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409.xml.htm"/>
      <w:bookmarkStart w:id="1" w:name="kswkform4_17830244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Rosenstein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ASANA,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633 FOLSOM STREET,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Asana, Inc.</w:t>
              </w:r>
            </w:hyperlink>
            <w:r>
              <w:rPr/>
              <w:t xml:space="preserve"> [ </w:t>
            </w:r>
            <w:r>
              <w:rPr>
                <w:rFonts w:ascii="Times;serif" w:hAnsi="Times;serif"/>
                <w:color w:val="0000FF"/>
                <w:sz w:val="24"/>
                <w:shd w:fill="FFFFFF" w:val="clear"/>
              </w:rPr>
              <w:t>ASAN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1181"/>
        <w:gridCol w:w="447"/>
        <w:gridCol w:w="609"/>
        <w:gridCol w:w="1149"/>
        <w:gridCol w:w="98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2,700,000</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532,776</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that the Reporting Person donated as a gift to Fidelity Investments Charitable Gift Fund. The Reporting Person does not exercise voting or investment control, directly or indirectly, over Fidelity Investments Charitable Gift Fund or any of its affiliates, or over the donated shares following this transfer. The Reporting Person does not have any pecuniary interest in any shares held by Fidelity Investments Charitable Gift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Katie Colendich,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099" TargetMode="External"/><Relationship Id="rId5" Type="http://schemas.openxmlformats.org/officeDocument/2006/relationships/hyperlink" Target="http://www.sec.gov/cgi-bin/browse-edgar?action=getcompany&amp;CIK=00014777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3469</Characters>
  <CharactersWithSpaces>4045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