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June 23, 2025</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Asana,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w:t>
      </w:r>
    </w:p>
    <w:tbl>
      <w:tblPr>
        <w:tblW w:w="4692" w:type="dxa"/>
        <w:jc w:val="left"/>
        <w:tblInd w:w="0" w:type="dxa"/>
        <w:tblLayout w:type="fixed"/>
        <w:tblCellMar>
          <w:top w:w="28" w:type="dxa"/>
          <w:left w:w="28" w:type="dxa"/>
          <w:bottom w:w="28" w:type="dxa"/>
          <w:right w:w="28" w:type="dxa"/>
        </w:tblCellMar>
      </w:tblPr>
      <w:tblGrid>
        <w:gridCol w:w="776"/>
        <w:gridCol w:w="680"/>
        <w:gridCol w:w="688"/>
        <w:gridCol w:w="353"/>
        <w:gridCol w:w="353"/>
        <w:gridCol w:w="358"/>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001-39495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26-3912448</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269" w:type="dxa"/>
        <w:jc w:val="left"/>
        <w:tblInd w:w="0" w:type="dxa"/>
        <w:tblLayout w:type="fixed"/>
        <w:tblCellMar>
          <w:top w:w="28" w:type="dxa"/>
          <w:left w:w="28" w:type="dxa"/>
          <w:bottom w:w="28" w:type="dxa"/>
          <w:right w:w="28" w:type="dxa"/>
        </w:tblCellMar>
      </w:tblPr>
      <w:tblGrid>
        <w:gridCol w:w="724"/>
        <w:gridCol w:w="636"/>
        <w:gridCol w:w="639"/>
        <w:gridCol w:w="337"/>
        <w:gridCol w:w="337"/>
        <w:gridCol w:w="340"/>
        <w:gridCol w:w="109"/>
        <w:gridCol w:w="109"/>
        <w:gridCol w:w="109"/>
        <w:gridCol w:w="272"/>
        <w:gridCol w:w="272"/>
        <w:gridCol w:w="385"/>
      </w:tblGrid>
      <w:tr>
        <w:trPr/>
        <w:tc>
          <w:tcPr>
            <w:tcW w:w="7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633 Folsom Street, </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San Francisco,</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94107</w:t>
            </w:r>
          </w:p>
        </w:tc>
      </w:tr>
      <w:tr>
        <w:trPr/>
        <w:tc>
          <w:tcPr>
            <w:tcW w:w="30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(415) 525-3888</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781" w:type="dxa"/>
        <w:jc w:val="left"/>
        <w:tblInd w:w="0" w:type="dxa"/>
        <w:tblLayout w:type="fixed"/>
        <w:tblCellMar>
          <w:top w:w="28" w:type="dxa"/>
          <w:left w:w="28" w:type="dxa"/>
          <w:bottom w:w="28" w:type="dxa"/>
          <w:right w:w="28" w:type="dxa"/>
        </w:tblCellMar>
      </w:tblPr>
      <w:tblGrid>
        <w:gridCol w:w="1117"/>
        <w:gridCol w:w="983"/>
        <w:gridCol w:w="989"/>
        <w:gridCol w:w="109"/>
        <w:gridCol w:w="109"/>
        <w:gridCol w:w="109"/>
        <w:gridCol w:w="519"/>
        <w:gridCol w:w="519"/>
        <w:gridCol w:w="521"/>
        <w:gridCol w:w="109"/>
        <w:gridCol w:w="109"/>
        <w:gridCol w:w="109"/>
        <w:gridCol w:w="1019"/>
        <w:gridCol w:w="1019"/>
        <w:gridCol w:w="1441"/>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Common Stock, $0.00001 par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York Stock Exchange</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 Stock Exchange</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Appointment of Chief Executive Officer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25, 2025 the Board of Directors (the “Board”) of Asana, Inc. (the “Company”) announced the planned appointment of Mr. Daniel Rogers as the Company’s Chief Executive Officer and a member of the Board, both effective July 21, 2025. Mr. Rogers will serve on the Board as a Class III director, until the Company’s 2026 Annual Meeting of Stockholders and until his successor has been duly elected and qualified, or until his earlier death, resignation or removal. As an employee-director, Mr. Rogers will not serve on any committees of the Board, nor receive any additional compensation as a director. Effective as of the time of Mr. Rogers’ appointment, the Board approved an increase to the size of the Board to ten members.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Rogers, age 48, has served as Chief Executive Officer at Catamorphic Co. (also known as LaunchDarkly), a software development platform since February 2023. Previously, Mr. Rogers served as President at Rubrik, a cloud data management and data security company, leading the Products, GTM Strategy, Product Line Sales, Marketing, Strategic Alliances &amp; Corp Development functions, from March 2020 to February 2023. From July 2016 to March 2020, Mr. Rogers was the Chief Marketing Officer of ServiceNow, a cloud computing platform for the creation and management of automated business workflows. Mr. Rogers has also held senior roles at Symantec, Salesforce, Amazon, and Microsoft. Mr. Rogers holds an MBA from Harvard Business School where he graduated as a Baker Scholar and a BSc in Economics from the University of Birmingham.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Mr. Rogers’ offer letter, he will receive an annual base salary of $650,000 and be eligible to earn an annual target bonus of $650,000. The actual annual bonus may range from 0% to 150% based on the achievement of performance targets. For fiscal 2026, Mr. Rogers’ annual bonus is guaranteed at $650,000, prorated based on the number of days he is employed by the Company during fiscal 2026. Mr. Rogers will also receive a number of restricted stock units (“RSUs”) with a total grant date value of $18,200,000 and a target number of performance-based restricted stock units (“PSUs”) with a total grant date value of $16,800,000. The number of RSUs and target number of PSUs to be granted will be calculated based on the average closing share price of the Company’s Class A Common Stock on each trading day for the month of June 2025. The maximum number of PSUs eligible to vest shall be equal to 200% of the target number of PSUs. The RSUs and PSUs will both be subject to the terms and conditions applicable to RSUs and PSUs granted under the Company’s 2020 Equity Incentive Plan and the applicable award agreements that Mr. Rogers will be required to sign as a condition of the grants.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RSUs will vest over three years as follows: 40% of the RSUs will vest on the first anniversary of the vesting commencement date (as approved by the Board, the “VCD”), and the remainder of the RSUs will vest in eight equal quarterly installments over the remaining two-year period (7.5% each installment) beginning on the date that is three months following the first anniversary of the VCD, in each case, subject to Mr. Rogers’ continuous service through the applicable vesting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PSU grant will be eligible to vest in three tranches based on revenue growth (weighted at 20%) and relative total shareholder return (“rTSR”) (weighted at 80%) as follows: the first 20% of the maximum number of PSUs shall be eligible to vest based on revenue growth and rTSR over the first four quarters following the grant date, an additional 40% of the maximum number of PSUs shall be eligible to vest based on revenue growth and rTSR over the next four quarters following the first anniversary of the grant date, and the remaining 40% of the maximum number of PSUs shall be eligible to vest based on revenue growth and rTSR over the next four quarters following the second anniversary of the grant date, and in each case, such quarterly periods need not coincide with the Company’s fiscal year. With respect to the target number of PSUs in each tranche, performance below the 25th percentile will result in 0% vesting, performance at the 25th percentile will result in 50% vesting, performance at the 50th percentile will result in 100% vesting, and performance at the 75th percentile or above will result in 200% vesting, with linear interpolation between performance levels, and in each case, subject to Mr. Rogers’ continuous service through the applicable vesting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Mr. Rogers’ offer letter, in the event his employment is terminated without cause, and outside of the change in control period (i.e., the period beginning three months prior to the date on which a change in control becomes effective and ending eighteen months following the effective date of such change in control), Mr. Rogers is entitled to receive, subject to, among other things, the execution and delivery of an effective release of claims in the Company’s favor, (i) a lump sum cash payment equal to his annual base salary, (ii) a pro rata bonus for the fiscal year in which the termination date occurs based on actual performance and the number of days he is employed by the Company during such fiscal year, (iii) a lump sum cash payment equal to twelve months of the Company’s contribution towards health insurance premiums, (iv) the pro rata accelerated vesting of his initial award of restricted stock units calculated by dividing the number of completed months of 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continuous service by 36 and (v) any then-outstanding unvested PSUs (or other performance awards) will be forfeited without consideration.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Rogers’ offer letter also provides that upon a termination of his employment by the Company without cause, or his resignation for good reason, in either case, within the change in control period (i.e., the period beginning three months prior to the date on which a change in control becomes effective and ending eighteen months following the effective date of such change in control), he will be entitled to receive, in lieu of the payments and benefits above and subject to, among other things, the execution and delivery of an effective release of claims in the Company’s favor, (i) a lump sum cash payment equal to one and one-half times the sum of his (a) annual base salary plus (b) target annual bonus, (ii) a lump sum cash payment equal to 18 months of the Company’s contribution towards health insurance premiums, (iii) the full accelerated vesting of any then-outstanding unvested RSUs (or other time-based awards) and (iv) solely with respect to a termination during the change in control period that occurs on or prior to a change in control, any then-outstanding unvested PSUs (or other performance awards) will accelerate (at the greater of actual and target performance levels) and be fully vested.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Rogers’ offer letter also provides that if his continuous service is terminated due to his death or disability, then (i) 100% of the unvested RSUs (or other time-based equity awards) held by him immediately prior to such termination will vest immediately on the termination date and (ii) the Company will provide him and/or his covered dependents, as applicable, continued health and medical insurance coverage for a period of 12 months following the termination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condition of Mr. Rogers’ employment with the Company, he has agreed to maintain the confidentiality of the Company’s confidential information and be bound by the Company’s standard form of Confidential Information and Invention Assignment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also enter into its standard form of indemnification agreement with Mr. Rogers, the form of which was filed as Exhibit 10.1 to the Company’s Form 10-K for the fiscal year ended January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is a summary only and does not purport to be a complete description of all of the terms, provisions and agreements contained in Mr. Rogers’ offer letter, and is subject to and qualified in its entirety by reference to the complete text of the offer letter, a copy of which is filed as Exhibit 10.1 hereto.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arrangements or understandings between Mr. Rogers and any other persons pursuant to which he was appointed as a director or an executive officer of the Company. There are no family relationships between Mr. Rogers and any other director or executive officer of the Company and he has no direct or indirect material interest in any transaction required to be disclosed pursuant to Item 404(a) of Regulation S-K promulgated by the SEC.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Retirement of Dustin Moskovitz as President and Chief Executive Officer upon the Appointment of His Successor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Dustin Moskovitz, the current President and Chief Executive Officer of the Company, will retire from his position as President and Chief Executive Officer in connection with the appointment of Mr. Rogers as the Chief Executive Officer of the Company, effective July 21, 2025. Mr. Moskovitz will transition on such date to a non-employee director and continue to serve on the Board as a Class I director and Chair of the Board. As a non-employee director, he will be eligible to receive compensation for his service as a director in accordance with the Company’s Non-Employee Director Compensation Policy.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press release issued on June 25, 2025, announcing Mr. Rogers’ appointment as the Chief Executive Officer of the Company and the retirement of Mr. Moskovitz from his position as President and Chief Executive Officer, as disclosed above, is attached hereto as Exhibit 99.1.</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furnished under this Item 7.01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9.01</w:t>
      </w:r>
      <w:r>
        <w:rPr>
          <w:color w:val="000000"/>
        </w:rPr>
        <w:t>    </w:t>
      </w:r>
      <w:r>
        <w:rPr>
          <w:rFonts w:ascii="Times New Roman;sans-serif" w:hAnsi="Times New Roman;sans-serif"/>
          <w:b/>
          <w:color w:val="000000"/>
          <w:sz w:val="20"/>
        </w:rPr>
        <w:t xml:space="preserve">Financial Statements and Exhibits.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(d) Exhibits </w:t>
      </w:r>
    </w:p>
    <w:tbl>
      <w:tblPr>
        <w:tblW w:w="959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393"/>
        <w:gridCol w:w="2393"/>
        <w:gridCol w:w="340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offerletterxdan.htm">
              <w:r>
                <w:rPr>
                  <w:rStyle w:val="InternetLink"/>
                  <w:rFonts w:ascii="Times New Roman;sans-serif" w:hAnsi="Times New Roman;sans-serif"/>
                  <w:b w:val="false"/>
                  <w:color w:val="0000FF"/>
                  <w:sz w:val="20"/>
                  <w:u w:val="single"/>
                </w:rPr>
                <w:t>Offer Letter between Daniel Rogers and the Registrant, dated June 23, 2025.</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xce.htm">
              <w:r>
                <w:rPr>
                  <w:rStyle w:val="InternetLink"/>
                  <w:rFonts w:ascii="Times New Roman;sans-serif" w:hAnsi="Times New Roman;sans-serif"/>
                  <w:b w:val="false"/>
                  <w:color w:val="000080"/>
                  <w:sz w:val="20"/>
                  <w:u w:val="single"/>
                </w:rPr>
                <w:t>Press Release, dated June 25, 2025, entitled “Asana Names Dan Rogers as Chief Executive Officer</w:t>
              </w:r>
            </w:hyperlink>
            <w:hyperlink w:anchor="exhibit991-pressreleasexce.htm">
              <w:r>
                <w:rPr>
                  <w:rStyle w:val="InternetLink"/>
                  <w:rFonts w:ascii="Times New Roman;sans-serif" w:hAnsi="Times New Roman;sans-serif"/>
                  <w:b w:val="false"/>
                  <w:color w:val="000080"/>
                  <w:sz w:val="20"/>
                  <w:u w:val="single"/>
                </w:rPr>
                <w:t>.</w:t>
              </w:r>
            </w:hyperlink>
            <w:hyperlink w:anchor="exhibit991-pressreleasexce.htm">
              <w:r>
                <w:rPr>
                  <w:rStyle w:val="InternetLink"/>
                  <w:rFonts w:ascii="Times New Roman;sans-serif" w:hAnsi="Times New Roman;sans-serif"/>
                  <w:b w:val="false"/>
                  <w:color w:val="000080"/>
                  <w:sz w:val="20"/>
                  <w:u w:val="single"/>
                </w:rPr>
                <w:t>”</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783" w:type="dxa"/>
        <w:jc w:val="left"/>
        <w:tblInd w:w="0" w:type="dxa"/>
        <w:tblLayout w:type="fixed"/>
        <w:tblCellMar>
          <w:top w:w="28" w:type="dxa"/>
          <w:left w:w="28" w:type="dxa"/>
          <w:bottom w:w="28" w:type="dxa"/>
          <w:right w:w="28" w:type="dxa"/>
        </w:tblCellMar>
      </w:tblPr>
      <w:tblGrid>
        <w:gridCol w:w="667"/>
        <w:gridCol w:w="586"/>
        <w:gridCol w:w="592"/>
        <w:gridCol w:w="198"/>
        <w:gridCol w:w="198"/>
        <w:gridCol w:w="198"/>
        <w:gridCol w:w="976"/>
        <w:gridCol w:w="976"/>
        <w:gridCol w:w="1392"/>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ASANA,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June 25, 2025</w:t>
            </w:r>
          </w:p>
        </w:tc>
        <w:tc>
          <w:tcPr>
            <w:tcW w:w="5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Eleanor Lacey</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Eleanor Lacey</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&amp; Corporate Secretary</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before="0" w:after="0"/>
        <w:jc w:val="left"/>
        <w:rPr/>
      </w:pPr>
      <w:r>
        <w:rPr/>
        <w:drawing>
          <wp:inline distT="0" distB="0" distL="0" distR="0">
            <wp:extent cx="1428750" cy="2857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428750" cy="285750"/>
                    </a:xfrm>
                    <a:prstGeom prst="rect">
                      <a:avLst/>
                    </a:prstGeom>
                  </pic:spPr>
                </pic:pic>
              </a:graphicData>
            </a:graphic>
          </wp:inline>
        </w:drawing>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Asana</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633 Folsom Street, Suite 100 </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San Francisco, CA 94107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June 23, 2025</w:t>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Daniel Rogers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Dear Daniel,</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2"/>
        </w:rPr>
        <w:t>Welcome to Asana, Inc., a Delaware corporation (the “</w:t>
      </w:r>
      <w:r>
        <w:rPr>
          <w:rFonts w:ascii="Arial;sans-serif" w:hAnsi="Arial;sans-serif"/>
          <w:b w:val="false"/>
          <w:color w:val="000000"/>
          <w:sz w:val="22"/>
          <w:u w:val="single"/>
        </w:rPr>
        <w:t>Company</w:t>
      </w:r>
      <w:r>
        <w:rPr>
          <w:color w:val="000000"/>
        </w:rPr>
        <w:t>”</w:t>
      </w:r>
      <w:r>
        <w:rPr>
          <w:rFonts w:ascii="Arial;sans-serif" w:hAnsi="Arial;sans-serif"/>
          <w:b w:val="false"/>
          <w:color w:val="000000"/>
          <w:sz w:val="22"/>
        </w:rPr>
        <w:t>). This letter sets out the terms and conditions of your employment.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2"/>
        </w:rPr>
        <w:t>1.CEO POSITION. You will serve in a full-time capacity as an employee at the Company starting on July 21, 2025 and, subject to approval by the Company’s Board of Directors (the “</w:t>
      </w:r>
      <w:r>
        <w:rPr>
          <w:rFonts w:ascii="Arial;sans-serif" w:hAnsi="Arial;sans-serif"/>
          <w:b w:val="false"/>
          <w:color w:val="000000"/>
          <w:sz w:val="22"/>
          <w:u w:val="single"/>
        </w:rPr>
        <w:t>Board</w:t>
      </w:r>
      <w:r>
        <w:rPr>
          <w:color w:val="000000"/>
        </w:rPr>
        <w:t>”</w:t>
      </w:r>
      <w:r>
        <w:rPr>
          <w:rFonts w:ascii="Arial;sans-serif" w:hAnsi="Arial;sans-serif"/>
          <w:b w:val="false"/>
          <w:color w:val="000000"/>
          <w:sz w:val="22"/>
        </w:rPr>
        <w:t>), as Chief Executive Officer, effective July 21, 2025 reporting to the Board, working at our facility located in San Francisco, California. Subject to the other provisions of or referred to in this letter agreement, we may change your position, duties, and work location from time to time at our discretion.</w:t>
      </w:r>
    </w:p>
    <w:p>
      <w:pPr>
        <w:pStyle w:val="TextBody"/>
        <w:bidi w:val="0"/>
        <w:spacing w:before="0" w:after="0"/>
        <w:jc w:val="both"/>
        <w:rPr/>
      </w:pPr>
      <w:r>
        <w:rPr/>
      </w:r>
    </w:p>
    <w:p>
      <w:pPr>
        <w:pStyle w:val="TextBody"/>
        <w:bidi w:val="0"/>
        <w:spacing w:lineRule="auto" w:line="268" w:before="0" w:after="0"/>
        <w:ind w:left="0" w:right="0" w:hanging="360"/>
        <w:jc w:val="both"/>
        <w:rPr>
          <w:rFonts w:ascii="Arial;sans-serif" w:hAnsi="Arial;sans-serif"/>
          <w:b w:val="false"/>
          <w:color w:val="000000"/>
          <w:sz w:val="22"/>
        </w:rPr>
      </w:pPr>
      <w:r>
        <w:rPr>
          <w:rFonts w:ascii="Arial;sans-serif" w:hAnsi="Arial;sans-serif"/>
          <w:b w:val="false"/>
          <w:color w:val="000000"/>
          <w:sz w:val="22"/>
        </w:rPr>
        <w:t>2.BOARD POSITION. Subject to the recommendation of the Nominating and Corporate Governance Committee of the Board and approval of the Board, upon your assumption of your role as Chief Executive Officer, you will be appointed to the Board serving in the Class III cohort that is currently scheduled for nomination and stockholder approval at the 2026 Annual Meeting of Stockholders. Notwithstanding any other agreement or understanding to the contrary, you will not receive any compensation for your Board membership while you are serving as Chief Executive Officer. You also agree that in the event you cease to serve as the Company’s Chief Executive Officer, if requested by the Board, you will tender your resignation from the Board promptly upon such request.</w:t>
      </w:r>
    </w:p>
    <w:p>
      <w:pPr>
        <w:pStyle w:val="TextBody"/>
        <w:bidi w:val="0"/>
        <w:spacing w:before="0" w:after="0"/>
        <w:jc w:val="both"/>
        <w:rPr/>
      </w:pPr>
      <w:r>
        <w:rPr/>
      </w:r>
    </w:p>
    <w:p>
      <w:pPr>
        <w:pStyle w:val="TextBody"/>
        <w:bidi w:val="0"/>
        <w:spacing w:lineRule="auto" w:line="268" w:before="0" w:after="0"/>
        <w:ind w:left="0" w:right="0" w:hanging="360"/>
        <w:jc w:val="both"/>
        <w:rPr>
          <w:rFonts w:ascii="Arial;sans-serif" w:hAnsi="Arial;sans-serif"/>
          <w:b w:val="false"/>
          <w:color w:val="000000"/>
          <w:sz w:val="22"/>
        </w:rPr>
      </w:pPr>
      <w:r>
        <w:rPr>
          <w:rFonts w:ascii="Arial;sans-serif" w:hAnsi="Arial;sans-serif"/>
          <w:b w:val="false"/>
          <w:color w:val="000000"/>
          <w:sz w:val="22"/>
        </w:rPr>
        <w:t>3.EMPLOYEE BENEFITS. As a regular employee of the Company, you are eligible to participate in the Company’s standard benefits, subject to the terms and conditions of such plans and programs. Subject to the other provisions of this letter agreement, we may change compensation and benefits from time to time at our discretion.</w:t>
      </w:r>
    </w:p>
    <w:p>
      <w:pPr>
        <w:pStyle w:val="TextBody"/>
        <w:bidi w:val="0"/>
        <w:spacing w:before="0" w:after="0"/>
        <w:jc w:val="both"/>
        <w:rPr/>
      </w:pPr>
      <w:r>
        <w:rPr/>
      </w:r>
    </w:p>
    <w:p>
      <w:pPr>
        <w:pStyle w:val="TextBody"/>
        <w:bidi w:val="0"/>
        <w:spacing w:lineRule="auto" w:line="268"/>
        <w:ind w:left="0" w:right="0" w:hanging="360"/>
        <w:jc w:val="both"/>
        <w:rPr/>
      </w:pPr>
      <w:r>
        <w:rPr>
          <w:rFonts w:ascii="Arial;sans-serif" w:hAnsi="Arial;sans-serif"/>
          <w:b w:val="false"/>
          <w:color w:val="000000"/>
          <w:sz w:val="22"/>
        </w:rPr>
        <w:t>4.CASH COMPENSATION. Your annual base salary is Six Hundred Fifty Thousand Dollars ($650,000.00), payable in semi-monthly installments in accordance with the Company’s standard payroll practices for salaried employees. This salary will be subject to adjustment pursuant to the Company’s employee compensation policies in effect from time to time. In addition, you will be eligible to earn a discretionary performance bonus for each fiscal year of the Company (“</w:t>
      </w:r>
      <w:r>
        <w:rPr>
          <w:rFonts w:ascii="Arial;sans-serif" w:hAnsi="Arial;sans-serif"/>
          <w:b w:val="false"/>
          <w:color w:val="000000"/>
          <w:sz w:val="22"/>
          <w:u w:val="single"/>
        </w:rPr>
        <w:t>Annual Bonus</w:t>
      </w:r>
      <w:r>
        <w:rPr>
          <w:color w:val="000000"/>
        </w:rPr>
        <w:t>”</w:t>
      </w:r>
      <w:r>
        <w:rPr>
          <w:rFonts w:ascii="Arial;sans-serif" w:hAnsi="Arial;sans-serif"/>
          <w:b w:val="false"/>
          <w:color w:val="000000"/>
          <w:sz w:val="22"/>
        </w:rPr>
        <w:t xml:space="preserve">). Your target Annual Bonus will be equal to 100% of your annual base salary. The actual Annual Bonus payment (which may range from zero to 150% of your annual base salary) will be based on the achievement of performance targets to be determined by the Board, which targets will be set by the Board in its sole discretion promptly after the beginning of each fiscal year. For fiscal year 2026, we will guarantee your Annual Bonus payment at Six Hundred Fifty Thousand Dollars ($650,000.00), prorated based on the number of days that you are employed by the Company during fiscal year 2026. Any Annual Bonus payment for a given fiscal year (including your Annual Bonus payment for fiscal year 2026) will be paid within 2½ months after the close of that fiscal year, but only if you are still providing services to the Company at the time of payment (except you shall remain eligible to receive a pro rata bonus or your target bonus in the event of certain covered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before="0" w:after="0"/>
        <w:jc w:val="left"/>
        <w:rPr/>
      </w:pPr>
      <w:r>
        <w:rPr/>
        <w:drawing>
          <wp:inline distT="0" distB="0" distL="0" distR="0">
            <wp:extent cx="1428750" cy="2857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428750" cy="285750"/>
                    </a:xfrm>
                    <a:prstGeom prst="rect">
                      <a:avLst/>
                    </a:prstGeom>
                  </pic:spPr>
                </pic:pic>
              </a:graphicData>
            </a:graphic>
          </wp:inline>
        </w:drawing>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terminations of employment as set forth in Section 8 below). The determinations of the Board with respect to your Annual Bonus will be final and binding.</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2"/>
        </w:rPr>
        <w:t>5.EQUITY. Subject to the approval of the Board or a sub-committee thereof, you will be granted a number of restricted stock units (“</w:t>
      </w:r>
      <w:r>
        <w:rPr>
          <w:rFonts w:ascii="Arial;sans-serif" w:hAnsi="Arial;sans-serif"/>
          <w:b w:val="false"/>
          <w:color w:val="000000"/>
          <w:sz w:val="22"/>
          <w:u w:val="single"/>
        </w:rPr>
        <w:t>RSUs</w:t>
      </w:r>
      <w:r>
        <w:rPr>
          <w:color w:val="000000"/>
        </w:rPr>
        <w:t>”</w:t>
      </w:r>
      <w:r>
        <w:rPr>
          <w:rFonts w:ascii="Arial;sans-serif" w:hAnsi="Arial;sans-serif"/>
          <w:b w:val="false"/>
          <w:color w:val="000000"/>
          <w:sz w:val="22"/>
        </w:rPr>
        <w:t>) with a total grant date value of Eighteen Million Two Hundred Thousand Dollars ($18,200,000.00) and a target number performance-based restricted stock units (“</w:t>
      </w:r>
      <w:r>
        <w:rPr>
          <w:rFonts w:ascii="Arial;sans-serif" w:hAnsi="Arial;sans-serif"/>
          <w:b w:val="false"/>
          <w:color w:val="000000"/>
          <w:sz w:val="22"/>
          <w:u w:val="single"/>
        </w:rPr>
        <w:t>PSUs</w:t>
      </w:r>
      <w:r>
        <w:rPr>
          <w:color w:val="000000"/>
        </w:rPr>
        <w:t>”</w:t>
      </w:r>
      <w:r>
        <w:rPr>
          <w:rFonts w:ascii="Arial;sans-serif" w:hAnsi="Arial;sans-serif"/>
          <w:b w:val="false"/>
          <w:color w:val="000000"/>
          <w:sz w:val="22"/>
        </w:rPr>
        <w:t>) with a total grant date value of Sixteen Million Eight Hundred Thousand Dollars ($16,800,000.00). The number of RSUs and PSUs to be granted will be calculated based on the average closing share price of the Company’s Class A Common Stock on each trading day for the month of June 2025. The maximum number of PSUs eligible to vest shall be equal to 200% of the target number of PSUs. The RSU and PSU grants will be subject to the terms and conditions applicable to RSUs and PSUs granted under the Company’s 2020 Equity Incentive Plan (the “</w:t>
      </w:r>
      <w:r>
        <w:rPr>
          <w:rFonts w:ascii="Arial;sans-serif" w:hAnsi="Arial;sans-serif"/>
          <w:b w:val="false"/>
          <w:color w:val="000000"/>
          <w:sz w:val="22"/>
          <w:u w:val="single"/>
        </w:rPr>
        <w:t>Equity Incentive Plan</w:t>
      </w:r>
      <w:r>
        <w:rPr>
          <w:color w:val="000000"/>
        </w:rPr>
        <w:t>”</w:t>
      </w:r>
      <w:r>
        <w:rPr>
          <w:rFonts w:ascii="Arial;sans-serif" w:hAnsi="Arial;sans-serif"/>
          <w:b w:val="false"/>
          <w:color w:val="000000"/>
          <w:sz w:val="22"/>
        </w:rPr>
        <w:t xml:space="preserve">), respectively, and as described in the Equity Incentive Plan and the applicable award agreements that you will be required to sign as a condition of the grants. </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Arial;sans-serif" w:hAnsi="Arial;sans-serif"/>
          <w:b w:val="false"/>
          <w:color w:val="000000"/>
          <w:sz w:val="22"/>
        </w:rPr>
        <w:t>Generally, the RSU grant will vest over three years with 40% of the RSUs vesting on the first anniversary of your vesting commencement date (as approved by the Board, the “</w:t>
      </w:r>
      <w:r>
        <w:rPr>
          <w:rFonts w:ascii="Arial;sans-serif" w:hAnsi="Arial;sans-serif"/>
          <w:b w:val="false"/>
          <w:color w:val="000000"/>
          <w:sz w:val="22"/>
          <w:u w:val="single"/>
        </w:rPr>
        <w:t>VCD</w:t>
      </w:r>
      <w:r>
        <w:rPr>
          <w:color w:val="000000"/>
        </w:rPr>
        <w:t>”</w:t>
      </w:r>
      <w:r>
        <w:rPr>
          <w:rFonts w:ascii="Arial;sans-serif" w:hAnsi="Arial;sans-serif"/>
          <w:b w:val="false"/>
          <w:color w:val="000000"/>
          <w:sz w:val="22"/>
        </w:rPr>
        <w:t>), and the remainder to vest in eight quarterly installments over the remaining two-year period (7.5% each installment) beginning on the date that is three months following the first anniversary of the VCD, in each case, subject to your continuous service through the applicable vesting date.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Generally, the PSU grant will be eligible to vest in three tranches based on revenue growth (weighted at 20%) and relative total shareholder return (“rTSR”) (weighted at 80%) as follows: the first 20% of the maximum number of PSUs shall be eligible to vest based on revenue growth and rTSR over the first four quarters following the grant date, an additional 40% of the maximum number of PSUs shall be eligible to vest based on revenue growth and rTSR over the next four quarters following the first anniversary of the grant date, and the remaining 40% of the maximum number of PSUs shall be eligible to vest based on revenue growth and rTSR over the next four quarters following the second anniversary of the grant date, and in each case, such quarterly periods need not coincide with the Company’s fiscal year. With respect to the target number of PSUs in each tranche, performance below the 25th percentile will result in 0% vesting, performance at the 25th percentile will result in 50% vesting, performance at the 50th percentile will result in 100% vesting, and performance at the 75th percentile or above will result in 200% vesting, with linear interpolation between performance levels, and in each case, subject to your continuous service through the applicable vesting date.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In the event of a Change in Control (as defined in the Equity Incentive Plan) in which the PSUs are assumed or substituted, the outstanding PSUs allocated to any tranche for which the performance period has not been completed as of the date of the Change in Control shall be converted into time-based restricted stock units based on the deemed achievement of any performance conditions at the higher of target performance and actual performance levels (measured as of the Change in Control) and remain eligible to vest subject to your continuous service through the original vesting dates (except as provided in Section 8 below).</w:t>
      </w:r>
    </w:p>
    <w:p>
      <w:pPr>
        <w:pStyle w:val="TextBody"/>
        <w:bidi w:val="0"/>
        <w:spacing w:before="0" w:after="0"/>
        <w:jc w:val="both"/>
        <w:rPr/>
      </w:pPr>
      <w:r>
        <w:rPr/>
      </w:r>
    </w:p>
    <w:p>
      <w:pPr>
        <w:pStyle w:val="TextBody"/>
        <w:bidi w:val="0"/>
        <w:spacing w:lineRule="auto" w:line="268"/>
        <w:jc w:val="both"/>
        <w:rPr>
          <w:rFonts w:ascii="Arial;sans-serif" w:hAnsi="Arial;sans-serif"/>
          <w:b w:val="false"/>
          <w:color w:val="000000"/>
          <w:sz w:val="22"/>
        </w:rPr>
      </w:pPr>
      <w:r>
        <w:rPr>
          <w:rFonts w:ascii="Arial;sans-serif" w:hAnsi="Arial;sans-serif"/>
          <w:b w:val="false"/>
          <w:color w:val="000000"/>
          <w:sz w:val="22"/>
        </w:rPr>
        <w:t xml:space="preserve">You will also have stock ownership guidelines, as set forth in the Company’s Corporate Governance Guidelines, that are a multiple of your annual base salary that you will be expected to achieve over five years.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before="0" w:after="0"/>
        <w:jc w:val="left"/>
        <w:rPr/>
      </w:pPr>
      <w:r>
        <w:rPr/>
        <w:drawing>
          <wp:inline distT="0" distB="0" distL="0" distR="0">
            <wp:extent cx="1428750" cy="28575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1428750" cy="2857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68" w:before="0" w:after="0"/>
        <w:ind w:left="0" w:right="0" w:hanging="360"/>
        <w:jc w:val="both"/>
        <w:rPr>
          <w:rFonts w:ascii="Arial;sans-serif" w:hAnsi="Arial;sans-serif"/>
          <w:b w:val="false"/>
          <w:color w:val="000000"/>
          <w:sz w:val="22"/>
        </w:rPr>
      </w:pPr>
      <w:r>
        <w:rPr>
          <w:rFonts w:ascii="Arial;sans-serif" w:hAnsi="Arial;sans-serif"/>
          <w:b w:val="false"/>
          <w:color w:val="000000"/>
          <w:sz w:val="22"/>
        </w:rPr>
        <w:t xml:space="preserve">6.CONFIDENTIAL INFORMATION, INVENTION ASSIGNMENT AGREEMENT AND CODE OF CONDUCT AND ETHICS. As a condition of your employment with the Company, you are required to sign the enclosed Company standard Confidential Information and Invention Assignment Agreement. In addition, you will be expected to abide by Company policies and procedures, and acknowledge in writing that you have read and will comply with the Company’s Employee Handbook and Code of Conduct and Ethics. </w:t>
      </w:r>
    </w:p>
    <w:p>
      <w:pPr>
        <w:pStyle w:val="TextBody"/>
        <w:bidi w:val="0"/>
        <w:spacing w:before="0" w:after="0"/>
        <w:jc w:val="both"/>
        <w:rPr/>
      </w:pPr>
      <w:r>
        <w:rPr/>
      </w:r>
    </w:p>
    <w:p>
      <w:pPr>
        <w:pStyle w:val="TextBody"/>
        <w:bidi w:val="0"/>
        <w:spacing w:lineRule="auto" w:line="268" w:before="0" w:after="0"/>
        <w:ind w:left="0" w:right="0" w:hanging="360"/>
        <w:jc w:val="both"/>
        <w:rPr>
          <w:rFonts w:ascii="Arial;sans-serif" w:hAnsi="Arial;sans-serif"/>
          <w:b w:val="false"/>
          <w:color w:val="000000"/>
          <w:sz w:val="22"/>
        </w:rPr>
      </w:pPr>
      <w:r>
        <w:rPr>
          <w:rFonts w:ascii="Arial;sans-serif" w:hAnsi="Arial;sans-serif"/>
          <w:b w:val="false"/>
          <w:color w:val="000000"/>
          <w:sz w:val="22"/>
        </w:rPr>
        <w:t>7.PERIOD OF EMPLOYMENT. Your employment with the Company will be “at will,” meaning that either you or the Company may terminate your employment at any time and for any reason, with or without cause. This remains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or a duly authorized member of the Board. As required by law, this offer is subject to satisfactory proof of your right to work in the United States and acceptable background check.</w:t>
      </w:r>
    </w:p>
    <w:p>
      <w:pPr>
        <w:pStyle w:val="TextBody"/>
        <w:bidi w:val="0"/>
        <w:spacing w:before="0" w:after="0"/>
        <w:jc w:val="both"/>
        <w:rPr/>
      </w:pPr>
      <w:r>
        <w:rPr/>
      </w:r>
    </w:p>
    <w:p>
      <w:pPr>
        <w:pStyle w:val="TextBody"/>
        <w:bidi w:val="0"/>
        <w:spacing w:lineRule="auto" w:line="268" w:before="0" w:after="0"/>
        <w:ind w:left="0" w:right="0" w:hanging="360"/>
        <w:jc w:val="both"/>
        <w:rPr>
          <w:rFonts w:ascii="Arial;sans-serif" w:hAnsi="Arial;sans-serif"/>
          <w:b w:val="false"/>
          <w:color w:val="000000"/>
          <w:sz w:val="22"/>
        </w:rPr>
      </w:pPr>
      <w:r>
        <w:rPr>
          <w:rFonts w:ascii="Arial;sans-serif" w:hAnsi="Arial;sans-serif"/>
          <w:b w:val="false"/>
          <w:color w:val="000000"/>
          <w:sz w:val="22"/>
        </w:rPr>
        <w:t>8.SEVERANCE. You will be eligible for severance benefits under the terms and conditions of the Company’s Executive Severance and Change in Control Benefit Plan (the “Executive Severance Plan”); provided that, for purposes of your participation in the Executive Severance Plan, Sections 4 and 5 shall read as follows:</w:t>
      </w:r>
    </w:p>
    <w:p>
      <w:pPr>
        <w:pStyle w:val="TextBody"/>
        <w:bidi w:val="0"/>
        <w:spacing w:before="0" w:after="0"/>
        <w:jc w:val="both"/>
        <w:rPr/>
      </w:pPr>
      <w:r>
        <w:rPr/>
      </w:r>
    </w:p>
    <w:p>
      <w:pPr>
        <w:pStyle w:val="TextBody"/>
        <w:bidi w:val="0"/>
        <w:spacing w:lineRule="auto" w:line="268" w:before="0" w:after="0"/>
        <w:ind w:left="0" w:right="0" w:firstLine="1440"/>
        <w:jc w:val="both"/>
        <w:rPr/>
      </w:pPr>
      <w:r>
        <w:rPr>
          <w:color w:val="000000"/>
        </w:rPr>
        <w:t>“</w:t>
      </w:r>
      <w:r>
        <w:rPr>
          <w:rFonts w:ascii="Arial;sans-serif" w:hAnsi="Arial;sans-serif"/>
          <w:b w:val="false"/>
          <w:color w:val="000000"/>
          <w:sz w:val="22"/>
        </w:rPr>
        <w:t xml:space="preserve">4. </w:t>
      </w:r>
      <w:r>
        <w:rPr>
          <w:rFonts w:ascii="Arial;sans-serif" w:hAnsi="Arial;sans-serif"/>
          <w:b w:val="false"/>
          <w:color w:val="000000"/>
          <w:sz w:val="22"/>
          <w:u w:val="single"/>
        </w:rPr>
        <w:t>Severance Benefits</w:t>
      </w:r>
      <w:r>
        <w:rPr>
          <w:rFonts w:ascii="Arial;sans-serif" w:hAnsi="Arial;sans-serif"/>
          <w:b w:val="false"/>
          <w:color w:val="000000"/>
          <w:sz w:val="22"/>
        </w:rPr>
        <w:t>.</w:t>
      </w:r>
    </w:p>
    <w:p>
      <w:pPr>
        <w:pStyle w:val="TextBody"/>
        <w:bidi w:val="0"/>
        <w:spacing w:before="0" w:after="0"/>
        <w:ind w:left="0" w:right="0" w:firstLine="1440"/>
        <w:jc w:val="both"/>
        <w:rPr/>
      </w:pPr>
      <w:r>
        <w:rPr/>
      </w:r>
    </w:p>
    <w:p>
      <w:pPr>
        <w:pStyle w:val="TextBody"/>
        <w:bidi w:val="0"/>
        <w:spacing w:lineRule="auto" w:line="268" w:before="0" w:after="0"/>
        <w:jc w:val="both"/>
        <w:rPr/>
      </w:pPr>
      <w:r>
        <w:rPr>
          <w:rFonts w:ascii="Arial;sans-serif" w:hAnsi="Arial;sans-serif"/>
          <w:b w:val="false"/>
          <w:color w:val="000000"/>
          <w:sz w:val="22"/>
        </w:rPr>
        <w:t xml:space="preserve">4.1. </w:t>
      </w:r>
      <w:r>
        <w:rPr>
          <w:rFonts w:ascii="Arial;sans-serif" w:hAnsi="Arial;sans-serif"/>
          <w:b w:val="false"/>
          <w:color w:val="000000"/>
          <w:sz w:val="22"/>
          <w:u w:val="single"/>
        </w:rPr>
        <w:t>Covered Termination Outside of the Change in Control Period</w:t>
      </w:r>
      <w:r>
        <w:rPr>
          <w:rFonts w:ascii="Arial;sans-serif" w:hAnsi="Arial;sans-serif"/>
          <w:b w:val="false"/>
          <w:color w:val="000000"/>
          <w:sz w:val="22"/>
        </w:rPr>
        <w:t xml:space="preserve">. If, at any time other than during the Change in Control Period, a Covered Employee experiences a Covered Termination, then, subject to such Covered Employee’s compliance with Section 6, such Covered Employee shall receive the following Severance Benefits from the Company: </w:t>
      </w:r>
    </w:p>
    <w:p>
      <w:pPr>
        <w:pStyle w:val="TextBody"/>
        <w:bidi w:val="0"/>
        <w:spacing w:lineRule="auto" w:line="268" w:before="0" w:after="0"/>
        <w:jc w:val="both"/>
        <w:rPr/>
      </w:pPr>
      <w:r>
        <w:rPr>
          <w:rFonts w:ascii="Arial;sans-serif" w:hAnsi="Arial;sans-serif"/>
          <w:b w:val="false"/>
          <w:color w:val="000000"/>
          <w:sz w:val="22"/>
        </w:rPr>
        <w:t xml:space="preserve">4.1.1. </w:t>
      </w:r>
      <w:r>
        <w:rPr>
          <w:rFonts w:ascii="Arial;sans-serif" w:hAnsi="Arial;sans-serif"/>
          <w:b w:val="false"/>
          <w:color w:val="000000"/>
          <w:sz w:val="22"/>
          <w:u w:val="single"/>
        </w:rPr>
        <w:t>Cash Severance Benefits</w:t>
      </w:r>
      <w:r>
        <w:rPr>
          <w:rFonts w:ascii="Arial;sans-serif" w:hAnsi="Arial;sans-serif"/>
          <w:b w:val="false"/>
          <w:color w:val="000000"/>
          <w:sz w:val="22"/>
        </w:rPr>
        <w:t xml:space="preserve">. The Covered Employee shall receive cash severance in an amount equal to twelve months of Covered Employee’s annual base salary. The cash amount shall be paid, less applicable tax withholdings, in a single lump sum payment on the 60th day following the Termination Date.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2"/>
        </w:rPr>
        <w:t xml:space="preserve">4.1.2. </w:t>
      </w:r>
      <w:r>
        <w:rPr>
          <w:rFonts w:ascii="Arial;sans-serif" w:hAnsi="Arial;sans-serif"/>
          <w:b w:val="false"/>
          <w:color w:val="000000"/>
          <w:sz w:val="22"/>
          <w:u w:val="single"/>
        </w:rPr>
        <w:t>Pro Rata Bonus</w:t>
      </w:r>
      <w:r>
        <w:rPr>
          <w:rFonts w:ascii="Arial;sans-serif" w:hAnsi="Arial;sans-serif"/>
          <w:b w:val="false"/>
          <w:color w:val="000000"/>
          <w:sz w:val="22"/>
        </w:rPr>
        <w:t>. The Covered Employee shall receive a pro-rata bonus equal to the product of (a) the actual bonus for the fiscal year in which the Termination Date occurs, as determined by the Board based on actual performance for the year relative to the preestablished targets, (b) multiplied by a fraction, the numerator of which is the number of days in such fiscal year up to and including the Termination Date and the denominator of which is 365. The pro-rata bonus shall be paid, less applicable tax withholdings, in a single lump sum payment when annual bonuses for such fiscal year are paid to the Company’s executive officers (and in any event within 2½ months after the close of that fiscal year).</w:t>
      </w:r>
    </w:p>
    <w:p>
      <w:pPr>
        <w:pStyle w:val="TextBody"/>
        <w:bidi w:val="0"/>
        <w:spacing w:before="0" w:after="0"/>
        <w:jc w:val="both"/>
        <w:rPr/>
      </w:pPr>
      <w:r>
        <w:rPr/>
      </w:r>
    </w:p>
    <w:p>
      <w:pPr>
        <w:pStyle w:val="TextBody"/>
        <w:bidi w:val="0"/>
        <w:spacing w:lineRule="auto" w:line="268"/>
        <w:jc w:val="both"/>
        <w:rPr/>
      </w:pPr>
      <w:r>
        <w:rPr>
          <w:rFonts w:ascii="Arial;sans-serif" w:hAnsi="Arial;sans-serif"/>
          <w:b w:val="false"/>
          <w:color w:val="000000"/>
          <w:sz w:val="22"/>
        </w:rPr>
        <w:t xml:space="preserve">4.1.3. </w:t>
      </w:r>
      <w:r>
        <w:rPr>
          <w:rFonts w:ascii="Arial;sans-serif" w:hAnsi="Arial;sans-serif"/>
          <w:b w:val="false"/>
          <w:color w:val="000000"/>
          <w:sz w:val="22"/>
          <w:u w:val="single"/>
        </w:rPr>
        <w:t>COBRA Premium Payment</w:t>
      </w:r>
      <w:r>
        <w:rPr>
          <w:rFonts w:ascii="Arial;sans-serif" w:hAnsi="Arial;sans-serif"/>
          <w:b w:val="false"/>
          <w:color w:val="000000"/>
          <w:sz w:val="22"/>
        </w:rPr>
        <w:t xml:space="preserve">. The Covered Employee shall receive a cash payment in an amount equal to (i) the monthly cost of group health insurance coverage under COBRA for the Covered Employee and his or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1"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before="0" w:after="0"/>
        <w:jc w:val="left"/>
        <w:rPr/>
      </w:pPr>
      <w:r>
        <w:rPr/>
        <w:drawing>
          <wp:inline distT="0" distB="0" distL="0" distR="0">
            <wp:extent cx="1428750" cy="28575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1428750" cy="285750"/>
                    </a:xfrm>
                    <a:prstGeom prst="rect">
                      <a:avLst/>
                    </a:prstGeom>
                  </pic:spPr>
                </pic:pic>
              </a:graphicData>
            </a:graphic>
          </wp:inline>
        </w:drawing>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her covered dependents (determined based on the Covered Employee’s group health insurance coverage, if any, provided by the Company or an Affiliate as of the Termination Date) multiplied by (ii) twelve. The cash amount shall be paid, less applicable tax withholdings, in a single lump sum payment on the 60th day following the Termination Date.</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2"/>
        </w:rPr>
        <w:t xml:space="preserve">4.1.4. </w:t>
      </w:r>
      <w:r>
        <w:rPr>
          <w:rFonts w:ascii="Arial;sans-serif" w:hAnsi="Arial;sans-serif"/>
          <w:b w:val="false"/>
          <w:color w:val="000000"/>
          <w:sz w:val="22"/>
          <w:u w:val="single"/>
        </w:rPr>
        <w:t>Equity Vesting</w:t>
      </w:r>
      <w:r>
        <w:rPr>
          <w:rFonts w:ascii="Arial;sans-serif" w:hAnsi="Arial;sans-serif"/>
          <w:b w:val="false"/>
          <w:color w:val="000000"/>
          <w:sz w:val="22"/>
        </w:rPr>
        <w:t>. Each of the Covered Employee’s then-outstanding unvested restricted stock units subject to the Covered Employee’s initial award of restricted stock units shall accelerate and become vested with respect to that number of shares of Company stock subject to such award multiplied by a fraction, the numerator of which is the number of completed months of the Covered Employee’s continuous service with the Company and the denominator of which is 36. Each of the Covered Employee’s then-outstanding unvested performance-based restricted stock units (or other performance awards) shall expire and terminate and be forfeited in full without consideration. Subject to Section 6, the accelerated time-based vesting described in this paragraph shall be effective as of the Termination Date. Notwithstanding anything herein to the contrary, nothing in the Plan shall limit the Company’s ability to accelerate vesting and/or exercisability of outstanding equity awards pursuant to the terms of the applicable equity incentive plan of the Company.</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Arial;sans-serif" w:hAnsi="Arial;sans-serif"/>
          <w:b w:val="false"/>
          <w:color w:val="000000"/>
          <w:sz w:val="22"/>
        </w:rPr>
        <w:t xml:space="preserve">5. </w:t>
      </w:r>
      <w:r>
        <w:rPr>
          <w:rFonts w:ascii="Arial;sans-serif" w:hAnsi="Arial;sans-serif"/>
          <w:b w:val="false"/>
          <w:color w:val="000000"/>
          <w:sz w:val="22"/>
          <w:u w:val="single"/>
        </w:rPr>
        <w:t>Change in Control Severance Benefits</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2"/>
        </w:rPr>
        <w:t xml:space="preserve">5.1. </w:t>
      </w:r>
      <w:r>
        <w:rPr>
          <w:rFonts w:ascii="Arial;sans-serif" w:hAnsi="Arial;sans-serif"/>
          <w:b w:val="false"/>
          <w:color w:val="000000"/>
          <w:sz w:val="22"/>
          <w:u w:val="single"/>
        </w:rPr>
        <w:t>Covered Termination During the Change in Control Period</w:t>
      </w:r>
      <w:r>
        <w:rPr>
          <w:rFonts w:ascii="Arial;sans-serif" w:hAnsi="Arial;sans-serif"/>
          <w:b w:val="false"/>
          <w:color w:val="000000"/>
          <w:sz w:val="22"/>
        </w:rPr>
        <w:t>. If, at any time during the Change in Control Period, a Covered Employee experiences a Covered Termination, then, subject to the Covered Employee’s compliance with Section 6, the Covered Employee shall receive the following Severance Benefits from the Company:</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2"/>
        </w:rPr>
        <w:t xml:space="preserve">5.1.1. </w:t>
      </w:r>
      <w:r>
        <w:rPr>
          <w:rFonts w:ascii="Arial;sans-serif" w:hAnsi="Arial;sans-serif"/>
          <w:b w:val="false"/>
          <w:color w:val="000000"/>
          <w:sz w:val="22"/>
          <w:u w:val="single"/>
        </w:rPr>
        <w:t>Cash Severance Benefits</w:t>
      </w:r>
      <w:r>
        <w:rPr>
          <w:rFonts w:ascii="Arial;sans-serif" w:hAnsi="Arial;sans-serif"/>
          <w:b w:val="false"/>
          <w:color w:val="000000"/>
          <w:sz w:val="22"/>
        </w:rPr>
        <w:t>. The Covered Employee shall receive cash severance in an amount equal to the sum of the Covered Employee’s (i) one and one-half times the Covered Employee’s annual base salary (18 months) and (ii) one and one-half times the Covered Employee’s target annual bonus for the year (18 months) in which the Termination Date occurs. The cash amount shall be paid, less applicable tax withholdings, in a single lump sum payment on the 60th day following the Termination Date.</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2"/>
        </w:rPr>
        <w:t xml:space="preserve">5.1.2. </w:t>
      </w:r>
      <w:r>
        <w:rPr>
          <w:rFonts w:ascii="Arial;sans-serif" w:hAnsi="Arial;sans-serif"/>
          <w:b w:val="false"/>
          <w:color w:val="000000"/>
          <w:sz w:val="22"/>
          <w:u w:val="single"/>
        </w:rPr>
        <w:t>COBRA Premium Payment</w:t>
      </w:r>
      <w:r>
        <w:rPr>
          <w:rFonts w:ascii="Arial;sans-serif" w:hAnsi="Arial;sans-serif"/>
          <w:b w:val="false"/>
          <w:color w:val="000000"/>
          <w:sz w:val="22"/>
        </w:rPr>
        <w:t>. The Covered Employee shall receive a cash payment in an amount equal to (i) the monthly cost of group health insurance coverage under COBRA for the Covered Employee and his or her covered dependents (determined based on the Covered Employee’s group health insurance coverage, if any, provided by the Company or an Affiliate as of the Termination Date) multiplied by (ii) eighteen. The cash amount shall be paid, less applicable tax withholdings, in a single lump sum payment on the 60th day following the Termination Date.</w:t>
      </w:r>
    </w:p>
    <w:p>
      <w:pPr>
        <w:pStyle w:val="TextBody"/>
        <w:bidi w:val="0"/>
        <w:spacing w:before="0" w:after="0"/>
        <w:jc w:val="both"/>
        <w:rPr/>
      </w:pPr>
      <w:r>
        <w:rPr/>
      </w:r>
    </w:p>
    <w:p>
      <w:pPr>
        <w:pStyle w:val="TextBody"/>
        <w:bidi w:val="0"/>
        <w:spacing w:lineRule="auto" w:line="268"/>
        <w:jc w:val="both"/>
        <w:rPr/>
      </w:pPr>
      <w:r>
        <w:rPr>
          <w:rFonts w:ascii="Arial;sans-serif" w:hAnsi="Arial;sans-serif"/>
          <w:b w:val="false"/>
          <w:color w:val="000000"/>
          <w:sz w:val="22"/>
        </w:rPr>
        <w:t xml:space="preserve">5.1.3. </w:t>
      </w:r>
      <w:r>
        <w:rPr>
          <w:rFonts w:ascii="Arial;sans-serif" w:hAnsi="Arial;sans-serif"/>
          <w:b w:val="false"/>
          <w:color w:val="000000"/>
          <w:sz w:val="22"/>
          <w:u w:val="single"/>
        </w:rPr>
        <w:t>Equity Vesting</w:t>
      </w:r>
      <w:r>
        <w:rPr>
          <w:rFonts w:ascii="Arial;sans-serif" w:hAnsi="Arial;sans-serif"/>
          <w:b w:val="false"/>
          <w:color w:val="000000"/>
          <w:sz w:val="22"/>
        </w:rPr>
        <w:t xml:space="preserve">. Each of the Covered Employee’s then-outstanding unvested restricted stock units (or other time-based equity awards) shall accelerate and become fully vested, and, solely with respect to a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before="0" w:after="0"/>
        <w:jc w:val="left"/>
        <w:rPr/>
      </w:pPr>
      <w:r>
        <w:rPr/>
        <w:drawing>
          <wp:inline distT="0" distB="0" distL="0" distR="0">
            <wp:extent cx="1428750" cy="28575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1428750" cy="285750"/>
                    </a:xfrm>
                    <a:prstGeom prst="rect">
                      <a:avLst/>
                    </a:prstGeom>
                  </pic:spPr>
                </pic:pic>
              </a:graphicData>
            </a:graphic>
          </wp:inline>
        </w:drawing>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termination during the Change in Control Period that occurs on or prior to a Change in Control, each of the Covered Employee’s then-outstanding unvested performance-based restricted stock units (or other performance awards) shall accelerate (based on the deemed achievement of any performance conditions at the higher of target performance and actual performance levels) and become fully vested. Subject to Section 6, the accelerated vesting described in this paragraph shall be effective as of the Termination Date. Notwithstanding anything herein to the contrary, nothing in the Plan shall limit the Company’s ability to accelerate vesting and/or exercisability of outstanding equity awards pursuant to the terms of the applicable equity incentive plan of the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2"/>
        </w:rPr>
        <w:t>9.</w:t>
      </w:r>
      <w:r>
        <w:rPr>
          <w:color w:val="000000"/>
        </w:rPr>
        <w:t xml:space="preserve"> </w:t>
      </w:r>
      <w:r>
        <w:rPr>
          <w:rFonts w:ascii="Arial;sans-serif" w:hAnsi="Arial;sans-serif"/>
          <w:b w:val="false"/>
          <w:color w:val="000000"/>
          <w:sz w:val="22"/>
        </w:rPr>
        <w:t>DEATH/DISABILITY. In the event your continuous service is terminated due to your death or Disability (as defined in the Equity Incentive Plan), (a) one hundred percent (100%) of any unvested RSUs (or other time-based equity awards) held by you immediately prior to such termination shall immediately vest on the termination date; and (b) the Company shall provide you and/or your covered dependents, as applicable, continued health and medical insurance coverage for a period of 12 months following the termination date.</w:t>
      </w:r>
    </w:p>
    <w:p>
      <w:pPr>
        <w:pStyle w:val="TextBody"/>
        <w:bidi w:val="0"/>
        <w:spacing w:before="0" w:after="0"/>
        <w:jc w:val="both"/>
        <w:rPr/>
      </w:pPr>
      <w:r>
        <w:rPr/>
      </w:r>
    </w:p>
    <w:p>
      <w:pPr>
        <w:pStyle w:val="TextBody"/>
        <w:bidi w:val="0"/>
        <w:spacing w:lineRule="auto" w:line="268" w:before="0" w:after="0"/>
        <w:ind w:left="0" w:right="0" w:hanging="360"/>
        <w:jc w:val="both"/>
        <w:rPr>
          <w:rFonts w:ascii="Arial;sans-serif" w:hAnsi="Arial;sans-serif"/>
          <w:b w:val="false"/>
          <w:color w:val="000000"/>
          <w:sz w:val="22"/>
        </w:rPr>
      </w:pPr>
      <w:r>
        <w:rPr>
          <w:rFonts w:ascii="Arial;sans-serif" w:hAnsi="Arial;sans-serif"/>
          <w:b w:val="false"/>
          <w:color w:val="000000"/>
          <w:sz w:val="22"/>
        </w:rPr>
        <w:t>10.INDEMNIFICATION. You will be provided with indemnification to the maximum extent permitted by law by the Company’s directors and officers insurance policies, if any, and pursuant to the Company’s standard form of Indemnification Agreement for its officers.</w:t>
      </w:r>
    </w:p>
    <w:p>
      <w:pPr>
        <w:pStyle w:val="TextBody"/>
        <w:bidi w:val="0"/>
        <w:spacing w:before="0" w:after="0"/>
        <w:jc w:val="both"/>
        <w:rPr/>
      </w:pPr>
      <w:r>
        <w:rPr/>
      </w:r>
    </w:p>
    <w:p>
      <w:pPr>
        <w:pStyle w:val="TextBody"/>
        <w:bidi w:val="0"/>
        <w:spacing w:lineRule="auto" w:line="268" w:before="0" w:after="0"/>
        <w:ind w:left="0" w:right="0" w:hanging="360"/>
        <w:jc w:val="both"/>
        <w:rPr>
          <w:rFonts w:ascii="Arial;sans-serif" w:hAnsi="Arial;sans-serif"/>
          <w:b w:val="false"/>
          <w:color w:val="000000"/>
          <w:sz w:val="22"/>
        </w:rPr>
      </w:pPr>
      <w:r>
        <w:rPr>
          <w:rFonts w:ascii="Arial;sans-serif" w:hAnsi="Arial;sans-serif"/>
          <w:b w:val="false"/>
          <w:color w:val="000000"/>
          <w:sz w:val="22"/>
        </w:rPr>
        <w:t>11.AMENDMENT. This letter agreement (except for terms reserved to the Company’s discretion) may not be amended or modified except by an express written agreement signed by you and a duly authorized officer of the Company or a duly authorized member of the Board.</w:t>
      </w:r>
    </w:p>
    <w:p>
      <w:pPr>
        <w:pStyle w:val="TextBody"/>
        <w:bidi w:val="0"/>
        <w:spacing w:before="0" w:after="0"/>
        <w:jc w:val="both"/>
        <w:rPr/>
      </w:pPr>
      <w:r>
        <w:rPr/>
      </w:r>
    </w:p>
    <w:p>
      <w:pPr>
        <w:pStyle w:val="TextBody"/>
        <w:bidi w:val="0"/>
        <w:spacing w:lineRule="auto" w:line="268"/>
        <w:ind w:left="0" w:right="0" w:hanging="360"/>
        <w:jc w:val="both"/>
        <w:rPr/>
      </w:pPr>
      <w:r>
        <w:rPr>
          <w:rFonts w:ascii="Arial;sans-serif" w:hAnsi="Arial;sans-serif"/>
          <w:b w:val="false"/>
          <w:color w:val="000000"/>
          <w:sz w:val="22"/>
        </w:rPr>
        <w:t xml:space="preserve">12.ARBITRATION. To ensure the rapid and economical resolution of disputes that may arise in connection with your employment with the Company, you and the Company agree that any and all disputes, claims, or causes of action, in law or equity, including but not limited to statutory claims, arising from or relating to the enforcement, breach, performance, or interpretation of this letter, your employment with the Company, or the termination of your employment, shall be resolved pursuant to the Federal Arbitration Act, 9 U.S.C. § 1-16, to the fullest extent permitted by law, by final, binding and confidential arbitration conducted by JAMS or its successor, under JAMS’ then applicable rules and procedures for employment disputes before a single arbitrator (available upon request and also currently available at http://www.jamsadr.com/rules-employment-arbitration/). </w:t>
      </w:r>
      <w:r>
        <w:rPr>
          <w:rFonts w:ascii="Arial;sans-serif" w:hAnsi="Arial;sans-serif"/>
          <w:b/>
          <w:color w:val="000000"/>
          <w:sz w:val="22"/>
        </w:rPr>
        <w:t xml:space="preserve">You acknowledge that by agreeing to this arbitration procedure, both you and the Company waive the right to resolve any such dispute through a trial by jury or judge or administrative proceeding. </w:t>
      </w:r>
      <w:r>
        <w:rPr>
          <w:rFonts w:ascii="Arial;sans-serif" w:hAnsi="Arial;sans-serif"/>
          <w:b w:val="false"/>
          <w:color w:val="000000"/>
          <w:sz w:val="22"/>
        </w:rPr>
        <w:t xml:space="preserve">In addition,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5"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before="0" w:after="0"/>
        <w:jc w:val="left"/>
        <w:rPr/>
      </w:pPr>
      <w:r>
        <w:rPr/>
        <w:drawing>
          <wp:inline distT="0" distB="0" distL="0" distR="0">
            <wp:extent cx="1428750" cy="28575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1428750" cy="285750"/>
                    </a:xfrm>
                    <a:prstGeom prst="rect">
                      <a:avLst/>
                    </a:prstGeom>
                  </pic:spPr>
                </pic:pic>
              </a:graphicData>
            </a:graphic>
          </wp:inline>
        </w:drawing>
      </w:r>
    </w:p>
    <w:p>
      <w:pPr>
        <w:pStyle w:val="TextBody"/>
        <w:bidi w:val="0"/>
        <w:spacing w:lineRule="auto" w:line="268" w:before="0" w:after="0"/>
        <w:jc w:val="both"/>
        <w:rPr/>
      </w:pPr>
      <w:r>
        <w:rPr>
          <w:rFonts w:ascii="Arial;sans-serif" w:hAnsi="Arial;sans-serif"/>
          <w:b w:val="false"/>
          <w:color w:val="000000"/>
          <w:sz w:val="22"/>
        </w:rPr>
        <w:t>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Arial;sans-serif" w:hAnsi="Arial;sans-serif"/>
          <w:b w:val="false"/>
          <w:color w:val="000000"/>
          <w:sz w:val="22"/>
          <w:u w:val="single"/>
        </w:rPr>
        <w:t>Excluded Claims</w:t>
      </w:r>
      <w:r>
        <w:rPr>
          <w:color w:val="000000"/>
        </w:rPr>
        <w:t>”</w:t>
      </w:r>
      <w:r>
        <w:rPr>
          <w:rFonts w:ascii="Arial;sans-serif" w:hAnsi="Arial;sans-serif"/>
          <w:b w:val="false"/>
          <w:color w:val="000000"/>
          <w:sz w:val="22"/>
        </w:rPr>
        <w:t>).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letter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spacing w:before="0" w:after="0"/>
        <w:jc w:val="both"/>
        <w:rPr/>
      </w:pPr>
      <w:r>
        <w:rPr/>
      </w:r>
    </w:p>
    <w:p>
      <w:pPr>
        <w:pStyle w:val="TextBody"/>
        <w:bidi w:val="0"/>
        <w:spacing w:lineRule="auto" w:line="268" w:before="0" w:after="0"/>
        <w:ind w:left="0" w:right="0" w:hanging="360"/>
        <w:jc w:val="both"/>
        <w:rPr>
          <w:rFonts w:ascii="Arial;sans-serif" w:hAnsi="Arial;sans-serif"/>
          <w:b w:val="false"/>
          <w:color w:val="000000"/>
          <w:sz w:val="22"/>
        </w:rPr>
      </w:pPr>
      <w:r>
        <w:rPr>
          <w:rFonts w:ascii="Arial;sans-serif" w:hAnsi="Arial;sans-serif"/>
          <w:b w:val="false"/>
          <w:color w:val="000000"/>
          <w:sz w:val="22"/>
        </w:rPr>
        <w:t>13.LEGAL ADVICE AND FEE REIMBURSEMENT. You acknowledge that you have been advised by the Company to consult with, and seek the advice of, a personal attorney of your choice prior to executing this letter. The Company will reimburse reasonable legal fees up to Forty Thousand Dollars ($40,000.00) for the review and negotiation of this letter and associated documentation, including the Confidential Information and Invention Assignment Agreement. Any such reimbursement will be made following your timely presentation of appropriate documentation itemizing such expenses in reasonable detail. Any reimbursements will be made within thirty (30) days of such substantiation.</w:t>
      </w:r>
    </w:p>
    <w:p>
      <w:pPr>
        <w:pStyle w:val="TextBody"/>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This letter, together with your Confidential Information and Invention Assignment Agreement, equity agreements, and other agreements referenced herein), forms the complete and exclusive statement of your employment agreement with the Company and supersedes any other agreements or promises made to you by anyone, whether oral or written, with respect to the subject matter hereof.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 xml:space="preserve">Please sign and date this letter below to indicate your agreement with its terms. </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before="0" w:after="0"/>
        <w:jc w:val="left"/>
        <w:rPr/>
      </w:pPr>
      <w:r>
        <w:rPr/>
        <w:drawing>
          <wp:inline distT="0" distB="0" distL="0" distR="0">
            <wp:extent cx="1428750" cy="28575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1428750" cy="285750"/>
                    </a:xfrm>
                    <a:prstGeom prst="rect">
                      <a:avLst/>
                    </a:prstGeom>
                  </pic:spPr>
                </pic:pic>
              </a:graphicData>
            </a:graphic>
          </wp:inline>
        </w:drawing>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Sincerely,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u w:val="single"/>
        </w:rPr>
      </w:pPr>
      <w:r>
        <w:rPr>
          <w:rFonts w:ascii="Arial;sans-serif" w:hAnsi="Arial;sans-serif"/>
          <w:b w:val="false"/>
          <w:color w:val="000000"/>
          <w:sz w:val="22"/>
          <w:u w:val="single"/>
        </w:rPr>
        <w:t>/s/ Dustin Moskovitz</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Dustin Moskovitz Chief Executive Officer &amp; Chair of the Board of Directors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ACCEPTED AND AGREED TO:</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2"/>
          <w:u w:val="single"/>
        </w:rPr>
      </w:pPr>
      <w:r>
        <w:rPr>
          <w:rFonts w:ascii="Arial;sans-serif" w:hAnsi="Arial;sans-serif"/>
          <w:b w:val="false"/>
          <w:color w:val="000000"/>
          <w:sz w:val="22"/>
          <w:u w:val="single"/>
        </w:rPr>
        <w:t>/s/ Daniel Rogers</w:t>
      </w:r>
    </w:p>
    <w:p>
      <w:pPr>
        <w:pStyle w:val="TextBody"/>
        <w:bidi w:val="0"/>
        <w:spacing w:lineRule="auto" w:line="360" w:before="0" w:after="0"/>
        <w:jc w:val="left"/>
        <w:rPr>
          <w:rFonts w:ascii="Arial;sans-serif" w:hAnsi="Arial;sans-serif"/>
          <w:b w:val="false"/>
          <w:color w:val="000000"/>
          <w:sz w:val="22"/>
        </w:rPr>
      </w:pPr>
      <w:r>
        <w:rPr>
          <w:rFonts w:ascii="Arial;sans-serif" w:hAnsi="Arial;sans-serif"/>
          <w:b w:val="false"/>
          <w:color w:val="000000"/>
          <w:sz w:val="22"/>
        </w:rPr>
        <w:t>Daniel Rogers</w:t>
      </w:r>
    </w:p>
    <w:p>
      <w:pPr>
        <w:pStyle w:val="TextBody"/>
        <w:bidi w:val="0"/>
        <w:spacing w:before="0" w:after="0"/>
        <w:jc w:val="left"/>
        <w:rPr/>
      </w:pPr>
      <w:r>
        <w:rPr/>
      </w:r>
    </w:p>
    <w:p>
      <w:pPr>
        <w:pStyle w:val="TextBody"/>
        <w:bidi w:val="0"/>
        <w:spacing w:lineRule="auto" w:line="360"/>
        <w:jc w:val="left"/>
        <w:rPr>
          <w:rFonts w:ascii="Arial;sans-serif" w:hAnsi="Arial;sans-serif"/>
          <w:b w:val="false"/>
          <w:color w:val="000000"/>
          <w:sz w:val="22"/>
        </w:rPr>
      </w:pPr>
      <w:r>
        <w:rPr>
          <w:rFonts w:ascii="Arial;sans-serif" w:hAnsi="Arial;sans-serif"/>
          <w:b w:val="false"/>
          <w:color w:val="000000"/>
          <w:sz w:val="22"/>
        </w:rPr>
        <w:t>Dated: June 23,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99.1</w:t>
      </w:r>
    </w:p>
    <w:p>
      <w:pPr>
        <w:pStyle w:val="TextBody"/>
        <w:bidi w:val="0"/>
        <w:spacing w:lineRule="auto" w:line="268" w:before="0" w:after="0"/>
        <w:jc w:val="center"/>
        <w:rPr>
          <w:rFonts w:ascii="sans-serif" w:hAnsi="sans-serif"/>
          <w:b/>
          <w:color w:val="000000"/>
          <w:sz w:val="28"/>
        </w:rPr>
      </w:pPr>
      <w:r>
        <w:rPr>
          <w:rFonts w:ascii="sans-serif" w:hAnsi="sans-serif"/>
          <w:b/>
          <w:color w:val="000000"/>
          <w:sz w:val="28"/>
        </w:rPr>
        <w:t>Asana Names Dan Rogers as Chief Executive Officer</w:t>
      </w:r>
    </w:p>
    <w:p>
      <w:pPr>
        <w:pStyle w:val="TextBody"/>
        <w:bidi w:val="0"/>
        <w:spacing w:before="0" w:after="0"/>
        <w:jc w:val="left"/>
        <w:rPr/>
      </w:pPr>
      <w:r>
        <w:r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Transformative Technology Leader to Drive Asana’s Next Chapter of Growth and Innovation</w:t>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Succeeds Asana Co-Founder Dustin Moskovitz, who will remain Board Chair</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2"/>
        </w:rPr>
        <w:t>San Francisco – June 25, 2025</w:t>
      </w:r>
      <w:r>
        <w:rPr>
          <w:color w:val="000000"/>
        </w:rPr>
        <w:t xml:space="preserve"> – </w:t>
      </w:r>
      <w:r>
        <w:rPr>
          <w:rFonts w:ascii="sans-serif" w:hAnsi="sans-serif"/>
          <w:b w:val="false"/>
          <w:color w:val="000000"/>
          <w:sz w:val="22"/>
        </w:rPr>
        <w:t>Asana, Inc. (NYSE: ASAN) (LTSE: ASAN), a leading enterprise work management platform for human and AI coordination, announced today that Dan Rogers will assume the role of Chief Executive Officer, effective July 21, 2025. A proven executive with extensive experience leading high-growth technology companies, Rogers will succeed Dustin Moskovitz, Asana’s Co-Founder and current CEO and Chair. As announced in March, Moskovitz will transition to the role of Chair, where he will contribute to product vision, strategic guidance and supporting Asana’s artificial intelligence (AI) initiatives.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Rogers joins Asana from LaunchDarkly, where he has served as CEO since 2023. During his tenure, he scaled the business while driving innovation and operational excellence. Rogers has helped some of the most influential companies in the cloud ecosystem to scale and grow their businesses. Prior to LaunchDarkly, Rogers was President of Rubrik, a cloud data management and data security company, and earlier in his career he served as Chief Marketing Officer at ServiceNow. With a track record of leading growth in transformative enterprise SaaS businesses, Rogers is well-positioned to guide Asana in its next phase of profitable growth.</w: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2"/>
        </w:rPr>
        <w:t xml:space="preserve">"I’m honored to lead Asana during this period of extraordinary transformation and build on the incredible foundation Dustin and the team have created," said Rogers. </w:t>
      </w:r>
      <w:r>
        <w:rPr>
          <w:rFonts w:ascii="sans-serif" w:hAnsi="sans-serif"/>
          <w:b w:val="false"/>
          <w:color w:val="000000"/>
          <w:sz w:val="21"/>
          <w:shd w:fill="FFFFFF" w:val="clear"/>
        </w:rPr>
        <w:t xml:space="preserve">"Asana is a leading platform where humans and AI coordinate work effortlessly, to unlock enterprise productivity. </w:t>
      </w:r>
      <w:r>
        <w:rPr>
          <w:rFonts w:ascii="sans-serif" w:hAnsi="sans-serif"/>
          <w:b w:val="false"/>
          <w:color w:val="000000"/>
          <w:sz w:val="22"/>
        </w:rPr>
        <w:t>I look forward to partnering with the talented team at Asana to pursue the next chapter of growth and deliver even greater value to our customers and stakeholders."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"This moment represents an unprecedented opportunity for AI to evolve the way people work, and Dan is the leader with the experience, vision, and expertise needed to guide Asana into its next chapter," said Moskovitz. "As I step away from day-to-day operations, I remain committed to Asana’s long-term success as Board Chair and I am excited to support Dan, especially with advancing our product vision and navigating the rapidly evolving AI landscape.”</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Under Moskovitz’s leadership, Asana has grown into a leading enterprise work management platform for human and AI coordination. With more than 170,000 customers, Asana is trusted by over 85% of Fortune 500 companies and generates over $700 million in annual revenue. The company is recognized for its award-winning culture and innovative AI-powered solutions, which includes the recent launch of AI Studio.</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"On behalf of the Board, I want to thank Dustin for his visionary leadership and tireless dedication to Asana’s mission,” said Lorrie Norrington, Asana’s Lead Independent Director. “We are thrilled to welcome Dan as our next CEO. His expertise and track record of leading innovative organizations makes him the ideal leader to embrace AI and drive Asana’s continued growth and profitability."</w:t>
      </w:r>
    </w:p>
    <w:p>
      <w:pPr>
        <w:pStyle w:val="TextBody"/>
        <w:bidi w:val="0"/>
        <w:spacing w:before="0" w:after="0"/>
        <w:jc w:val="left"/>
        <w:rPr/>
      </w:pPr>
      <w:r>
        <w:rPr/>
      </w:r>
    </w:p>
    <w:p>
      <w:pPr>
        <w:pStyle w:val="TextBody"/>
        <w:bidi w:val="0"/>
        <w:spacing w:lineRule="auto" w:line="268"/>
        <w:jc w:val="left"/>
        <w:rPr>
          <w:rFonts w:ascii="sans-serif" w:hAnsi="sans-serif"/>
          <w:b w:val="false"/>
          <w:color w:val="000000"/>
          <w:sz w:val="22"/>
        </w:rPr>
      </w:pPr>
      <w:r>
        <w:rPr>
          <w:rFonts w:ascii="sans-serif" w:hAnsi="sans-serif"/>
          <w:b w:val="false"/>
          <w:color w:val="000000"/>
          <w:sz w:val="22"/>
        </w:rPr>
        <w:t xml:space="preserve">As CEO of LaunchDarkly, Rogers delivered on the vision of creating a platform for software teams to build successful products, expanding into release automation, experimentation, product analytics and AI engineering. As President of Rubrik, Rogers led products, marketing, specialist sales, go-to-market strategy, strategic alliances and corporate development. Prior to Rubrik, as Chief Marketing Officer at ServiceNow, Rogers was a part of the leadership team that grew the company to over $4.5 billion in revenue. Earlier in his career, Rogers held leadership roles at Amazon Web Services, Microsoft,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99.1</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Salesforce, and Symantec. Rogers graduated as a Baker Scholar from Harvard Business School and has a Bachelor of Science degree in economics from the University of Birmingham.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This press release contains “forward-looking” statements within the meaning of the Private Securities Litigation Reform Act of 1995 that are based on management’s beliefs and assumptions and on information currently available to management. Forward-looking statements include, but are not limited to, statements about our forward growth and profitability, our market opportunity, the potential and impact of AI, our ability to execute on our current strategies, and our technology and brand position. Forward-looking statements generally relate to future events or Asana’s future financial or operating performance. Forward-looking statements include all statements that are not historical facts and, in some cases, can be identified by terms such as “anticipate,” “expect,” “intend,” “plan,” “believe,” “continue,” “could,” “potential,” “may,” “will,” “goal,” or similar expressions and the negatives of those terms. However, not all forward-looking statements contain these identifying words. Forward-looking statements involve known and unknown risks, uncertainties and other factors, including factors beyond Asana’s control, that may cause Asana’s actual results, performance or achievements to be materially different from any future results, performance or achievements expressed or implied by the forward-looking statements. Further information on risks, including but not limited to, risks and uncertainties related to the loss of one or more of Asana’s key personnel, in particular Asana’s co-founder, President, Chief Executive Officer, and Chair of the Board, Dustin Moskovitz, that could cause actual results to differ materially from forecasted results are included in Asana’s filings with the SEC, including Asana’s Quarterly Report on Form 10-Q for the quarter ended April 30, 2025 and subsequent filings with the SEC. Any forward-looking statements contained in this press release are based on assumptions that Asana believes to be reasonable as of this date. Except as required by law, Asana assumes no obligation to update these forward-looking statements, or to update the reasons if actual results differ materially from those anticipated in the forward-looking statements.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About Asana</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Asana is a leading work management platform for human and AI coordination. Over 170,000 customers like Accenture, Amazon, Anthropic, Morningstar, and Suzuki rely on Asana to align teams and accelerate organizational impact. Whether it’s managing strategic initiatives, cross-functional programs, or company-wide goals, Asana helps organizations bring clarity to complexity—turning plans into action with AI working alongside teams every step of the way. To learn more, visit www.asana.com.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Media Contacts: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Eva Leung</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Asana Investor Relations</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ir@asana.com</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2"/>
        </w:rPr>
        <w:t>Frances Ward</w:t>
      </w:r>
      <w:r>
        <w:rPr>
          <w:color w:val="000000"/>
        </w:rPr>
        <w:t xml:space="preserve">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Asana Communications</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press@asana.com</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6492</Words>
  <Characters>34635</Characters>
  <CharactersWithSpaces>40985</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