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440" w:right="100"/>
        <w:spacing w:after="0" w:line="233" w:lineRule="auto"/>
        <w:rPr>
          <w:sz w:val="20"/>
          <w:szCs w:val="20"/>
          <w:color w:val="auto"/>
        </w:rPr>
      </w:pPr>
      <w:r>
        <w:rPr>
          <w:rFonts w:ascii="Arial" w:cs="Arial" w:eastAsia="Arial" w:hAnsi="Arial"/>
          <w:sz w:val="14"/>
          <w:szCs w:val="14"/>
          <w:b w:val="1"/>
          <w:bCs w:val="1"/>
          <w:color w:val="auto"/>
        </w:rPr>
        <w:t>Confidential draft No. 4 as confidentially submitted to the Securities Exchange Commission on July 2, 2020. This draft registration statement has not been filed publicly with the Securities and Exchange Commission and all information herein remains strictly confidential.</w:t>
      </w:r>
    </w:p>
    <w:p>
      <w:pPr>
        <w:ind w:left="91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ASANA, INC.</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7372</w:t>
            </w:r>
          </w:p>
        </w:tc>
        <w:tc>
          <w:tcPr>
            <w:tcW w:w="218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26-3912448</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180" w:type="dxa"/>
            <w:vAlign w:val="bottom"/>
          </w:tcPr>
          <w:p>
            <w:pPr>
              <w:jc w:val="center"/>
              <w:ind w:left="10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90"/>
              </w:rPr>
              <w:t>code number)</w:t>
            </w:r>
          </w:p>
        </w:tc>
        <w:tc>
          <w:tcPr>
            <w:tcW w:w="2180" w:type="dxa"/>
            <w:vAlign w:val="bottom"/>
          </w:tcPr>
          <w:p>
            <w:pPr>
              <w:jc w:val="center"/>
              <w:ind w:left="100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1550 Bryant Street, Suite 200</w:t>
      </w:r>
    </w:p>
    <w:p>
      <w:pPr>
        <w:jc w:val="center"/>
        <w:ind w:right="-99"/>
        <w:spacing w:after="0" w:line="226" w:lineRule="auto"/>
        <w:rPr>
          <w:sz w:val="20"/>
          <w:szCs w:val="20"/>
          <w:color w:val="auto"/>
        </w:rPr>
      </w:pPr>
      <w:r>
        <w:rPr>
          <w:rFonts w:ascii="Arial" w:cs="Arial" w:eastAsia="Arial" w:hAnsi="Arial"/>
          <w:sz w:val="14"/>
          <w:szCs w:val="14"/>
          <w:b w:val="1"/>
          <w:bCs w:val="1"/>
          <w:color w:val="auto"/>
        </w:rPr>
        <w:t>San Francisco, CA 94103</w:t>
      </w:r>
    </w:p>
    <w:p>
      <w:pPr>
        <w:jc w:val="center"/>
        <w:ind w:right="-99"/>
        <w:spacing w:after="0" w:line="221" w:lineRule="auto"/>
        <w:rPr>
          <w:sz w:val="20"/>
          <w:szCs w:val="20"/>
          <w:color w:val="auto"/>
        </w:rPr>
      </w:pPr>
      <w:r>
        <w:rPr>
          <w:rFonts w:ascii="Arial" w:cs="Arial" w:eastAsia="Arial" w:hAnsi="Arial"/>
          <w:sz w:val="14"/>
          <w:szCs w:val="14"/>
          <w:b w:val="1"/>
          <w:bCs w:val="1"/>
          <w:color w:val="auto"/>
        </w:rPr>
        <w:t>(415) 525-3888</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Dustin Moskovitz</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Chief Executive Officer, and Chair</w:t>
      </w:r>
    </w:p>
    <w:p>
      <w:pPr>
        <w:jc w:val="center"/>
        <w:ind w:right="-99"/>
        <w:spacing w:after="0" w:line="221" w:lineRule="auto"/>
        <w:rPr>
          <w:sz w:val="20"/>
          <w:szCs w:val="20"/>
          <w:color w:val="auto"/>
        </w:rPr>
      </w:pPr>
      <w:r>
        <w:rPr>
          <w:rFonts w:ascii="Arial" w:cs="Arial" w:eastAsia="Arial" w:hAnsi="Arial"/>
          <w:sz w:val="14"/>
          <w:szCs w:val="14"/>
          <w:b w:val="1"/>
          <w:bCs w:val="1"/>
          <w:color w:val="auto"/>
        </w:rPr>
        <w:t>Asana, Inc.</w:t>
      </w:r>
    </w:p>
    <w:p>
      <w:pPr>
        <w:jc w:val="center"/>
        <w:ind w:right="-99"/>
        <w:spacing w:after="0" w:line="222" w:lineRule="auto"/>
        <w:rPr>
          <w:sz w:val="20"/>
          <w:szCs w:val="20"/>
          <w:color w:val="auto"/>
        </w:rPr>
      </w:pPr>
      <w:r>
        <w:rPr>
          <w:rFonts w:ascii="Arial" w:cs="Arial" w:eastAsia="Arial" w:hAnsi="Arial"/>
          <w:sz w:val="14"/>
          <w:szCs w:val="14"/>
          <w:b w:val="1"/>
          <w:bCs w:val="1"/>
          <w:color w:val="auto"/>
        </w:rPr>
        <w:t>1550 Bryant Street, Suite 200</w:t>
      </w:r>
    </w:p>
    <w:p>
      <w:pPr>
        <w:jc w:val="center"/>
        <w:ind w:right="-99"/>
        <w:spacing w:after="0" w:line="221" w:lineRule="auto"/>
        <w:rPr>
          <w:sz w:val="20"/>
          <w:szCs w:val="20"/>
          <w:color w:val="auto"/>
        </w:rPr>
      </w:pPr>
      <w:r>
        <w:rPr>
          <w:rFonts w:ascii="Arial" w:cs="Arial" w:eastAsia="Arial" w:hAnsi="Arial"/>
          <w:sz w:val="14"/>
          <w:szCs w:val="14"/>
          <w:b w:val="1"/>
          <w:bCs w:val="1"/>
          <w:color w:val="auto"/>
        </w:rPr>
        <w:t>San Francisco, CA 94103</w:t>
      </w:r>
    </w:p>
    <w:p>
      <w:pPr>
        <w:jc w:val="center"/>
        <w:ind w:right="-99"/>
        <w:spacing w:after="0" w:line="222" w:lineRule="auto"/>
        <w:rPr>
          <w:sz w:val="20"/>
          <w:szCs w:val="20"/>
          <w:color w:val="auto"/>
        </w:rPr>
      </w:pPr>
      <w:r>
        <w:rPr>
          <w:rFonts w:ascii="Arial" w:cs="Arial" w:eastAsia="Arial" w:hAnsi="Arial"/>
          <w:sz w:val="14"/>
          <w:szCs w:val="14"/>
          <w:b w:val="1"/>
          <w:bCs w:val="1"/>
          <w:color w:val="auto"/>
        </w:rPr>
        <w:t>(415) 525-3888</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34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3820" w:type="dxa"/>
            <w:vAlign w:val="bottom"/>
          </w:tcPr>
          <w:p>
            <w:pPr>
              <w:ind w:left="16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51"/>
        </w:trPr>
        <w:tc>
          <w:tcPr>
            <w:tcW w:w="2300" w:type="dxa"/>
            <w:vAlign w:val="bottom"/>
          </w:tcPr>
          <w:p>
            <w:pPr>
              <w:jc w:val="center"/>
              <w:ind w:right="928"/>
              <w:spacing w:after="0" w:line="151" w:lineRule="exact"/>
              <w:rPr>
                <w:sz w:val="20"/>
                <w:szCs w:val="20"/>
                <w:color w:val="auto"/>
              </w:rPr>
            </w:pPr>
            <w:r>
              <w:rPr>
                <w:rFonts w:ascii="Arial" w:cs="Arial" w:eastAsia="Arial" w:hAnsi="Arial"/>
                <w:sz w:val="14"/>
                <w:szCs w:val="14"/>
                <w:b w:val="1"/>
                <w:bCs w:val="1"/>
                <w:color w:val="auto"/>
                <w:w w:val="91"/>
              </w:rPr>
              <w:t>David J. Segre, Esq.</w:t>
            </w:r>
          </w:p>
        </w:tc>
        <w:tc>
          <w:tcPr>
            <w:tcW w:w="3820" w:type="dxa"/>
            <w:vAlign w:val="bottom"/>
          </w:tcPr>
          <w:p>
            <w:pPr>
              <w:jc w:val="center"/>
              <w:ind w:left="308"/>
              <w:spacing w:after="0" w:line="151" w:lineRule="exact"/>
              <w:rPr>
                <w:sz w:val="20"/>
                <w:szCs w:val="20"/>
                <w:color w:val="auto"/>
              </w:rPr>
            </w:pPr>
            <w:r>
              <w:rPr>
                <w:rFonts w:ascii="Arial" w:cs="Arial" w:eastAsia="Arial" w:hAnsi="Arial"/>
                <w:sz w:val="14"/>
                <w:szCs w:val="14"/>
                <w:b w:val="1"/>
                <w:bCs w:val="1"/>
                <w:color w:val="auto"/>
                <w:w w:val="90"/>
              </w:rPr>
              <w:t>Stephen J. Venuto, Esq.</w:t>
            </w:r>
          </w:p>
        </w:tc>
        <w:tc>
          <w:tcPr>
            <w:tcW w:w="3200" w:type="dxa"/>
            <w:vAlign w:val="bottom"/>
          </w:tcPr>
          <w:p>
            <w:pPr>
              <w:jc w:val="center"/>
              <w:ind w:left="548"/>
              <w:spacing w:after="0" w:line="151" w:lineRule="exact"/>
              <w:rPr>
                <w:sz w:val="20"/>
                <w:szCs w:val="20"/>
                <w:color w:val="auto"/>
              </w:rPr>
            </w:pPr>
            <w:r>
              <w:rPr>
                <w:rFonts w:ascii="Arial" w:cs="Arial" w:eastAsia="Arial" w:hAnsi="Arial"/>
                <w:sz w:val="14"/>
                <w:szCs w:val="14"/>
                <w:b w:val="1"/>
                <w:bCs w:val="1"/>
                <w:color w:val="auto"/>
                <w:w w:val="92"/>
              </w:rPr>
              <w:t>Eleanor Lacey, Esq.,</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Jon C. Avina, Esq.</w:t>
            </w:r>
          </w:p>
        </w:tc>
        <w:tc>
          <w:tcPr>
            <w:tcW w:w="38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4"/>
              </w:rPr>
              <w:t>William L. Hughes, Esq.</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General Counsel and Corporate Secretary</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0"/>
              </w:rPr>
              <w:t>Calise Y. Cheng, Esq.</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Niki Fang, Esq.</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4"/>
              </w:rPr>
              <w:t>Asana, Inc.</w:t>
            </w:r>
          </w:p>
        </w:tc>
      </w:tr>
      <w:tr>
        <w:trPr>
          <w:trHeight w:val="149"/>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8"/>
              </w:rPr>
              <w:t>Orrick, Herrington &amp; Sutcliffe LLP</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1550 Bryant Street, Suite 200</w:t>
            </w:r>
          </w:p>
        </w:tc>
      </w:tr>
      <w:tr>
        <w:trPr>
          <w:trHeight w:val="148"/>
        </w:trPr>
        <w:tc>
          <w:tcPr>
            <w:tcW w:w="230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1000 Marsh Road</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2"/>
              </w:rPr>
              <w:t>San Francisco, CA 94103</w:t>
            </w:r>
          </w:p>
        </w:tc>
      </w:tr>
      <w:tr>
        <w:trPr>
          <w:trHeight w:val="148"/>
        </w:trPr>
        <w:tc>
          <w:tcPr>
            <w:tcW w:w="23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Palo Alto, CA 94304</w:t>
            </w:r>
          </w:p>
        </w:tc>
        <w:tc>
          <w:tcPr>
            <w:tcW w:w="38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6"/>
              </w:rPr>
              <w:t>Menlo Park, CA 94025</w:t>
            </w:r>
          </w:p>
        </w:tc>
        <w:tc>
          <w:tcPr>
            <w:tcW w:w="320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3"/>
              </w:rPr>
              <w:t>(415) 525-3888</w:t>
            </w:r>
          </w:p>
        </w:tc>
      </w:tr>
      <w:tr>
        <w:trPr>
          <w:trHeight w:val="186"/>
        </w:trPr>
        <w:tc>
          <w:tcPr>
            <w:tcW w:w="230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8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(650) 614-7400</w:t>
            </w:r>
          </w:p>
        </w:tc>
        <w:tc>
          <w:tcPr>
            <w:tcW w:w="3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7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620" w:firstLine="440"/>
        <w:spacing w:after="0" w:line="174"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30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3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66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300" w:type="dxa"/>
            <w:vAlign w:val="bottom"/>
            <w:tcBorders>
              <w:right w:val="single" w:sz="8" w:color="auto"/>
            </w:tcBorders>
            <w:vMerge w:val="restart"/>
          </w:tcPr>
          <w:p>
            <w:pPr>
              <w:ind w:left="1560"/>
              <w:spacing w:after="0"/>
              <w:rPr>
                <w:sz w:val="20"/>
                <w:szCs w:val="20"/>
                <w:color w:val="auto"/>
              </w:rPr>
            </w:pPr>
            <w:r>
              <w:rPr>
                <w:rFonts w:ascii="Arial" w:cs="Arial" w:eastAsia="Arial" w:hAnsi="Arial"/>
                <w:sz w:val="14"/>
                <w:szCs w:val="14"/>
                <w:b w:val="1"/>
                <w:bCs w:val="1"/>
                <w:color w:val="auto"/>
              </w:rPr>
              <w:t>Title of Securities To Be Registered</w:t>
            </w:r>
          </w:p>
        </w:tc>
        <w:tc>
          <w:tcPr>
            <w:tcW w:w="108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6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6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92"/>
              </w:rPr>
              <w:t>Aggregate</w:t>
            </w:r>
          </w:p>
        </w:tc>
        <w:tc>
          <w:tcPr>
            <w:tcW w:w="132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5300" w:type="dxa"/>
            <w:vAlign w:val="bottom"/>
            <w:tcBorders>
              <w:bottom w:val="single" w:sz="8" w:color="auto"/>
              <w:right w:val="single" w:sz="8" w:color="auto"/>
            </w:tcBorders>
            <w:vMerge w:val="continue"/>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1"/>
              </w:rPr>
              <w:t>Per Share</w:t>
            </w:r>
          </w:p>
        </w:tc>
        <w:tc>
          <w:tcPr>
            <w:tcW w:w="16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(1)</w:t>
            </w:r>
          </w:p>
        </w:tc>
        <w:tc>
          <w:tcPr>
            <w:tcW w:w="13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08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jc w:val="center"/>
              <w:ind w:left="31"/>
              <w:spacing w:after="0" w:line="142" w:lineRule="exact"/>
              <w:rPr>
                <w:sz w:val="20"/>
                <w:szCs w:val="20"/>
                <w:color w:val="auto"/>
              </w:rPr>
            </w:pPr>
            <w:r>
              <w:rPr>
                <w:rFonts w:ascii="Arial" w:cs="Arial" w:eastAsia="Arial" w:hAnsi="Arial"/>
                <w:sz w:val="14"/>
                <w:szCs w:val="14"/>
                <w:color w:val="auto"/>
                <w:w w:val="94"/>
              </w:rPr>
              <w:t>Not applicable</w:t>
            </w:r>
          </w:p>
        </w:tc>
        <w:tc>
          <w:tcPr>
            <w:tcW w:w="1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424"/>
        <w:spacing w:after="0" w:line="253"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pursuant to Rule 457(a) of the Securities Act of 1933, as amended. Given that there is no proposed maximum offering price per share of Class A common stock, the registrant calculates the proposed maximum aggregate offering price, by analogy to Rule 457(f)(2), based on the book value of the Class A common stock the registrant registers, which will be calculated from its unaudited pro forma balance sheet as of January 31, 2020. Given that the registrant’s shares of Class A common stock are not traded on an exchange or over-the-counter, the registrant did not use the market prices of its Class A common stock in accordance with Rule 457(c).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7" w:lineRule="exact"/>
        <w:rPr>
          <w:sz w:val="24"/>
          <w:szCs w:val="24"/>
          <w:color w:val="auto"/>
        </w:rPr>
      </w:pPr>
    </w:p>
    <w:p>
      <w:pPr>
        <w:ind w:left="120" w:right="42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4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DE1A1E"/>
        </w:rPr>
        <w:t>PROSPECTUS (Subject to Completion)</w:t>
      </w:r>
    </w:p>
    <w:p>
      <w:pPr>
        <w:spacing w:after="0" w:line="23"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i w:val="1"/>
          <w:iCs w:val="1"/>
          <w:color w:val="DE1A1E"/>
        </w:rPr>
        <w:t>Issued</w:t>
      </w:r>
      <w:r>
        <w:rPr>
          <w:sz w:val="20"/>
          <w:szCs w:val="20"/>
          <w:color w:val="auto"/>
        </w:rPr>
        <w:tab/>
      </w:r>
      <w:r>
        <w:rPr>
          <w:rFonts w:ascii="Arial" w:cs="Arial" w:eastAsia="Arial" w:hAnsi="Arial"/>
          <w:sz w:val="18"/>
          <w:szCs w:val="18"/>
          <w:i w:val="1"/>
          <w:iCs w:val="1"/>
          <w:color w:val="DE1A1E"/>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57150</wp:posOffset>
            </wp:positionV>
            <wp:extent cx="275145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b w:val="1"/>
          <w:bCs w:val="1"/>
          <w:i w:val="1"/>
          <w:iCs w:val="1"/>
          <w:color w:val="auto"/>
        </w:rPr>
        <w:t>This prospectus relates to the registration of the resale of up to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 and to the extent they may determine. Such sales, if any, will be made through brokerage transactions on the New York Stock Exchange, or the NYSE. See the section titled “Plan of Distribution.” We will not receive any proceeds from the sale of shares of Class A common stock by the Registered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two classes of common stock, Class A common stock and Class B common stock. The rights of holders of Class A common stock and</w:t>
      </w:r>
    </w:p>
    <w:p>
      <w:pPr>
        <w:spacing w:after="0" w:line="46" w:lineRule="exact"/>
        <w:rPr>
          <w:sz w:val="20"/>
          <w:szCs w:val="20"/>
          <w:color w:val="auto"/>
        </w:rPr>
      </w:pPr>
    </w:p>
    <w:p>
      <w:pPr>
        <w:ind w:left="120" w:right="40"/>
        <w:spacing w:after="0" w:line="300" w:lineRule="auto"/>
        <w:rPr>
          <w:sz w:val="20"/>
          <w:szCs w:val="20"/>
          <w:color w:val="auto"/>
        </w:rPr>
      </w:pPr>
      <w:r>
        <w:rPr>
          <w:rFonts w:ascii="Arial" w:cs="Arial" w:eastAsia="Arial" w:hAnsi="Arial"/>
          <w:sz w:val="15"/>
          <w:szCs w:val="15"/>
          <w:b w:val="1"/>
          <w:bCs w:val="1"/>
          <w:i w:val="1"/>
          <w:iCs w:val="1"/>
          <w:color w:val="auto"/>
        </w:rPr>
        <w:t>Class B common stock are identical, except with respect to voting and conversion rights. Each share of Class A common stock is entitled to one vote. Each share of Class B common stock is entitled to 10 votes and is convertible at any time into one share of Class A common stock. As</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i w:val="1"/>
          <w:iCs w:val="1"/>
          <w:color w:val="auto"/>
        </w:rPr>
        <w:t>of 2020, the holders of our outstanding Class B common stock held approximately % of the voting power of our outstanding capital stock, with our directors and executive officers and their affiliates holding approximately %.</w:t>
      </w:r>
    </w:p>
    <w:p>
      <w:pPr>
        <w:spacing w:after="0" w:line="7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Prior to any sales of shares of Class A common stock, Registered Stockholders who hold Class B common stock must convert their shares of Class B common stock into shares of Class A common stock.</w:t>
      </w:r>
    </w:p>
    <w:p>
      <w:pPr>
        <w:spacing w:after="0" w:line="62" w:lineRule="exact"/>
        <w:rPr>
          <w:sz w:val="20"/>
          <w:szCs w:val="20"/>
          <w:color w:val="auto"/>
        </w:rPr>
      </w:pPr>
    </w:p>
    <w:p>
      <w:pPr>
        <w:ind w:left="120" w:right="200"/>
        <w:spacing w:after="0" w:line="310" w:lineRule="auto"/>
        <w:rPr>
          <w:sz w:val="20"/>
          <w:szCs w:val="20"/>
          <w:color w:val="auto"/>
        </w:rPr>
      </w:pPr>
      <w:r>
        <w:rPr>
          <w:rFonts w:ascii="Arial" w:cs="Arial" w:eastAsia="Arial" w:hAnsi="Arial"/>
          <w:sz w:val="15"/>
          <w:szCs w:val="15"/>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w:t>
      </w:r>
    </w:p>
    <w:p>
      <w:pPr>
        <w:spacing w:after="0" w:line="1"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b w:val="1"/>
          <w:bCs w:val="1"/>
          <w:i w:val="1"/>
          <w:iCs w:val="1"/>
          <w:color w:val="auto"/>
        </w:rPr>
        <w:t>the period from February 1, 2020 through , 2020 was $ and $ , respectively. For more information, see the section titled “Sale Price History of our Capital Stock.” Any recent trading prices in private transactions may have little or no relation to the opening trading price of our shares of Class A common stock on the NYSE or the subsequent trading price of our shares of Class A common stock on the NYSE. Further, the listing of our Class A common stock on the NYSE without underwriters is a novel method for commencing public trading in shares of our Class A 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56"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Based on information provided by the NYSE, the opening trading price of our Class A common stock on the NYSE will be determined by buy and sell orders collected by the NYSE from broker-dealers. Based on such orders, the designated market maker will determine an opening price for our Class A common stock in consultation with a financial advisor pursuant to applicable NYSE rules. For more information, see the section titled “Plan of Distribution.”</w:t>
      </w:r>
    </w:p>
    <w:p>
      <w:pPr>
        <w:sectPr>
          <w:pgSz w:w="11900" w:h="16838" w:orient="portrait"/>
          <w:cols w:equalWidth="0" w:num="1">
            <w:col w:w="11120"/>
          </w:cols>
          <w:pgMar w:left="320" w:top="459" w:right="459" w:bottom="1440" w:gutter="0" w:footer="0" w:header="0"/>
        </w:sectPr>
      </w:pPr>
    </w:p>
    <w:p>
      <w:pPr>
        <w:spacing w:after="0" w:line="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intend to apply to list our Class A common stock on the NYSE under the symbol “ trading on the NYSE on or about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We expect our Class A common stock to begin</w:t>
      </w:r>
    </w:p>
    <w:p>
      <w:pPr>
        <w:spacing w:after="0" w:line="505" w:lineRule="exact"/>
        <w:rPr>
          <w:sz w:val="20"/>
          <w:szCs w:val="20"/>
          <w:color w:val="auto"/>
        </w:rPr>
      </w:pPr>
    </w:p>
    <w:p>
      <w:pPr>
        <w:sectPr>
          <w:pgSz w:w="11900" w:h="16838" w:orient="portrait"/>
          <w:cols w:equalWidth="0" w:num="2">
            <w:col w:w="6420" w:space="720"/>
            <w:col w:w="3980"/>
          </w:cols>
          <w:pgMar w:left="320" w:top="459" w:right="459" w:bottom="1440" w:gutter="0" w:footer="0" w:header="0"/>
          <w:type w:val="continuous"/>
        </w:sectPr>
      </w:pPr>
    </w:p>
    <w:p>
      <w:pPr>
        <w:spacing w:after="0" w:line="103" w:lineRule="exact"/>
        <w:rPr>
          <w:sz w:val="20"/>
          <w:szCs w:val="20"/>
          <w:color w:val="auto"/>
        </w:rPr>
      </w:pPr>
    </w:p>
    <w:p>
      <w:pPr>
        <w:ind w:left="120" w:right="520"/>
        <w:spacing w:after="0" w:line="287" w:lineRule="auto"/>
        <w:rPr>
          <w:sz w:val="20"/>
          <w:szCs w:val="20"/>
          <w:color w:val="auto"/>
        </w:rPr>
      </w:pPr>
      <w:r>
        <w:rPr>
          <w:rFonts w:ascii="Arial" w:cs="Arial" w:eastAsia="Arial" w:hAnsi="Arial"/>
          <w:sz w:val="19"/>
          <w:szCs w:val="19"/>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44" w:lineRule="exact"/>
        <w:rPr>
          <w:sz w:val="20"/>
          <w:szCs w:val="20"/>
          <w:color w:val="auto"/>
        </w:rPr>
      </w:pPr>
    </w:p>
    <w:p>
      <w:pPr>
        <w:ind w:left="120" w:right="52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See the section titled “</w:t>
      </w:r>
      <w:hyperlink w:anchor="page18">
        <w:r>
          <w:rPr>
            <w:rFonts w:ascii="Arial" w:cs="Arial" w:eastAsia="Arial" w:hAnsi="Arial"/>
            <w:sz w:val="20"/>
            <w:szCs w:val="20"/>
            <w:b w:val="1"/>
            <w:bCs w:val="1"/>
            <w:i w:val="1"/>
            <w:iCs w:val="1"/>
            <w:u w:val="single" w:color="auto"/>
            <w:color w:val="0000EE"/>
          </w:rPr>
          <w:t>Risk Factors</w:t>
        </w:r>
      </w:hyperlink>
      <w:r>
        <w:rPr>
          <w:rFonts w:ascii="Arial" w:cs="Arial" w:eastAsia="Arial" w:hAnsi="Arial"/>
          <w:sz w:val="20"/>
          <w:szCs w:val="20"/>
          <w:b w:val="1"/>
          <w:bCs w:val="1"/>
          <w:i w:val="1"/>
          <w:iCs w:val="1"/>
          <w:color w:val="auto"/>
        </w:rPr>
        <w:t>” beginning on page 15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 2020</w:t>
      </w:r>
    </w:p>
    <w:p>
      <w:pPr>
        <w:sectPr>
          <w:pgSz w:w="11900" w:h="16838" w:orient="portrait"/>
          <w:cols w:equalWidth="0" w:num="1">
            <w:col w:w="11120"/>
          </w:cols>
          <w:pgMar w:left="32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4"/>
            <w:vMerge w:val="restart"/>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8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00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Certain Relationships and Related Party Transactions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500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Principal and Registered Stockholders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Special Note Regarding Forward-Looking Statements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5000" w:type="dxa"/>
            <w:vAlign w:val="bottom"/>
            <w:gridSpan w:val="4"/>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Market, Industry and Other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5000" w:type="dxa"/>
            <w:vAlign w:val="bottom"/>
            <w:gridSpan w:val="4"/>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5000" w:type="dxa"/>
            <w:vAlign w:val="bottom"/>
            <w:gridSpan w:val="4"/>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Sale Price History of our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Dividend Policy</w:t>
              </w:r>
            </w:hyperlink>
          </w:p>
        </w:tc>
        <w:tc>
          <w:tcPr>
            <w:tcW w:w="74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54</w:t>
            </w:r>
          </w:p>
        </w:tc>
        <w:tc>
          <w:tcPr>
            <w:tcW w:w="5000" w:type="dxa"/>
            <w:vAlign w:val="bottom"/>
            <w:gridSpan w:val="4"/>
          </w:tcPr>
          <w:p>
            <w:pPr>
              <w:spacing w:after="0" w:line="190" w:lineRule="exact"/>
              <w:rPr>
                <w:rFonts w:ascii="Arial" w:cs="Arial" w:eastAsia="Arial" w:hAnsi="Arial"/>
                <w:sz w:val="18"/>
                <w:szCs w:val="18"/>
                <w:color w:val="0000EE"/>
                <w:w w:val="98"/>
              </w:rPr>
            </w:pPr>
            <w:hyperlink w:anchor="page155">
              <w:r>
                <w:rPr>
                  <w:rFonts w:ascii="Arial" w:cs="Arial" w:eastAsia="Arial" w:hAnsi="Arial"/>
                  <w:sz w:val="18"/>
                  <w:szCs w:val="18"/>
                  <w:color w:val="0000EE"/>
                  <w:w w:val="98"/>
                </w:rPr>
                <w:t>Material U.S. Federal Income Tax Considerations For Non-U.S.</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gridSpan w:val="4"/>
          </w:tcPr>
          <w:p>
            <w:pPr>
              <w:spacing w:after="0" w:line="196"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Capitalization</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55</w:t>
            </w:r>
          </w:p>
        </w:tc>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Holders of Common Stock</w:t>
              </w:r>
            </w:hyperlink>
          </w:p>
        </w:tc>
        <w:tc>
          <w:tcPr>
            <w:tcW w:w="24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Selected Consolidated Financial Data</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5000" w:type="dxa"/>
            <w:vAlign w:val="bottom"/>
            <w:gridSpan w:val="4"/>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Plan of Distribution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0"/>
        </w:trPr>
        <w:tc>
          <w:tcPr>
            <w:tcW w:w="4880" w:type="dxa"/>
            <w:vAlign w:val="bottom"/>
            <w:gridSpan w:val="4"/>
          </w:tcPr>
          <w:p>
            <w:pPr>
              <w:spacing w:after="0" w:line="190"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Legal Matters</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59</w:t>
            </w:r>
          </w:p>
        </w:tc>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Letter from Our Co-Founders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5000" w:type="dxa"/>
            <w:vAlign w:val="bottom"/>
            <w:gridSpan w:val="4"/>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Where You Can Find Additional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16"/>
        </w:trPr>
        <w:tc>
          <w:tcPr>
            <w:tcW w:w="4880" w:type="dxa"/>
            <w:vAlign w:val="bottom"/>
            <w:gridSpan w:val="4"/>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Business</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89</w:t>
            </w:r>
          </w:p>
        </w:tc>
        <w:tc>
          <w:tcPr>
            <w:tcW w:w="5000" w:type="dxa"/>
            <w:vAlign w:val="bottom"/>
            <w:gridSpan w:val="4"/>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Index to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30"/>
        </w:trPr>
        <w:tc>
          <w:tcPr>
            <w:tcW w:w="4880" w:type="dxa"/>
            <w:vAlign w:val="bottom"/>
            <w:gridSpan w:val="4"/>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Management</w:t>
              </w:r>
            </w:hyperlink>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316865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6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Through and including , 2020 (the 25th day after the listing date of our Class A common stock), all dealers effecting transactions in these securities, whether or not participating in this offering, may be required to deliver a prospectus.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Arial" w:cs="Arial" w:eastAsia="Arial" w:hAnsi="Arial"/>
          <w:sz w:val="16"/>
          <w:szCs w:val="16"/>
          <w:i w:val="1"/>
          <w:iCs w:val="1"/>
          <w:color w:val="auto"/>
        </w:rPr>
        <w: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80" w:right="36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reclassification of our Class A common stock and Class B common stock into Class B common stock and Class A common stock, respectively, which was effected on March 23, 2020, or the Reclassification;</w:t>
      </w:r>
    </w:p>
    <w:p>
      <w:pPr>
        <w:spacing w:after="0" w:line="75" w:lineRule="exact"/>
        <w:rPr>
          <w:rFonts w:ascii="Arial" w:cs="Arial" w:eastAsia="Arial" w:hAnsi="Arial"/>
          <w:sz w:val="18"/>
          <w:szCs w:val="18"/>
          <w:color w:val="auto"/>
        </w:rPr>
      </w:pPr>
    </w:p>
    <w:p>
      <w:pPr>
        <w:jc w:val="both"/>
        <w:ind w:left="1080" w:right="140" w:hanging="532"/>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reduction of the voting power of the high-vote common stock (reclassified as Class B common stock) from 100 votes per share to 10 votes per share, which will occur in connection with the effectiveness of the registration statement of which this prospectus forms a part;</w:t>
      </w:r>
    </w:p>
    <w:p>
      <w:pPr>
        <w:spacing w:after="0" w:line="29" w:lineRule="exact"/>
        <w:rPr>
          <w:rFonts w:ascii="Arial" w:cs="Arial" w:eastAsia="Arial" w:hAnsi="Arial"/>
          <w:sz w:val="16"/>
          <w:szCs w:val="16"/>
          <w:color w:val="auto"/>
        </w:rPr>
      </w:pPr>
    </w:p>
    <w:p>
      <w:pPr>
        <w:ind w:left="1080" w:right="80" w:hanging="532"/>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filing and effectiveness of our restated certificate of incorporation in Delaware and the adoption of our restated bylaws, each of which will occur in connection with the effectiveness of the registration statement of which this prospectus forms a part;</w:t>
      </w:r>
    </w:p>
    <w:p>
      <w:pPr>
        <w:spacing w:after="0" w:line="51"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or preferred stock, into an aggregate of 73,577,455 shares of our Class B common stock, the conversion of which will occur upon the effectiveness of the registration statement of which this prospectus forms a part;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conversion of our 3.5% senior mandatory convertible promissory notes due 2025;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exercise of the outstanding options or vesting and settlement of the restricted stock units, or RSUs, described herein.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300" w:right="180" w:firstLine="426"/>
        <w:spacing w:after="0" w:line="279" w:lineRule="auto"/>
        <w:rPr>
          <w:sz w:val="20"/>
          <w:szCs w:val="20"/>
          <w:color w:val="auto"/>
        </w:rPr>
      </w:pPr>
      <w:r>
        <w:rPr>
          <w:rFonts w:ascii="Arial" w:cs="Arial" w:eastAsia="Arial" w:hAnsi="Arial"/>
          <w:sz w:val="17"/>
          <w:szCs w:val="17"/>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jc w:val="both"/>
        <w:ind w:left="300" w:right="40" w:firstLine="426"/>
        <w:spacing w:after="0" w:line="296" w:lineRule="auto"/>
        <w:rPr>
          <w:sz w:val="20"/>
          <w:szCs w:val="20"/>
          <w:color w:val="auto"/>
        </w:rPr>
      </w:pPr>
      <w:r>
        <w:rPr>
          <w:rFonts w:ascii="Arial" w:cs="Arial" w:eastAsia="Arial" w:hAnsi="Arial"/>
          <w:sz w:val="16"/>
          <w:szCs w:val="16"/>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6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jc w:val="both"/>
        <w:ind w:left="300" w:right="260" w:firstLine="426"/>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units of work—tasks, projects, milestones, portfolios, and goals;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300" w:right="40" w:firstLine="426"/>
        <w:spacing w:after="0" w:line="290"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over 125%. Our dollar-based net retention rate within organizations spending $50,000 or more with us on an annualized basis was over 140%. Our overall dollar-based net retention rate as of January 31, 2020 was over 120%.</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300" w:right="260" w:firstLine="426"/>
        <w:spacing w:after="0" w:line="257" w:lineRule="auto"/>
        <w:rPr>
          <w:sz w:val="20"/>
          <w:szCs w:val="20"/>
          <w:color w:val="auto"/>
        </w:rPr>
      </w:pPr>
      <w:r>
        <w:rPr>
          <w:rFonts w:ascii="Arial" w:cs="Arial" w:eastAsia="Arial" w:hAnsi="Arial"/>
          <w:sz w:val="18"/>
          <w:szCs w:val="18"/>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have experienced rapid growth in recent periods. Our revenues were $76.8 million and $142.6 million for fiscal 2019 and fiscal 2020, respectively, representing growth of 86%. Our revenues were $28.0 million and $47.7 million for the three months ended April 30, 2019 and 2020, respectively. We had a net loss of $50.9 million and $118.6 million for fiscal 2019 and fiscal 2020, respectively, and $15.0 million and $35.8 million for the three months ended April 30, 2019 and 2020, respectively.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29" w:lineRule="exact"/>
        <w:rPr>
          <w:sz w:val="20"/>
          <w:szCs w:val="20"/>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6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color w:val="auto"/>
        </w:rPr>
        <w:t>top quartile of employee engagement realize substantially better customer engagement, higher productivity, better retention, fewer accidents, and 21% higher profitability than organizations with low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left="300" w:right="40" w:firstLine="426"/>
        <w:spacing w:after="0" w:line="311" w:lineRule="auto"/>
        <w:rPr>
          <w:sz w:val="20"/>
          <w:szCs w:val="20"/>
          <w:color w:val="auto"/>
        </w:rPr>
      </w:pPr>
      <w:r>
        <w:rPr>
          <w:rFonts w:ascii="Arial" w:cs="Arial" w:eastAsia="Arial" w:hAnsi="Arial"/>
          <w:sz w:val="16"/>
          <w:szCs w:val="16"/>
          <w:color w:val="auto"/>
        </w:rPr>
        <w:t>Organizations need a work management solution that provides transparency, clarity, and accountability so that individuals and teams know— 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225" w:lineRule="exact"/>
        <w:rPr>
          <w:sz w:val="20"/>
          <w:szCs w:val="20"/>
          <w:color w:val="auto"/>
        </w:rPr>
      </w:pPr>
    </w:p>
    <w:p>
      <w:pPr>
        <w:ind w:left="300" w:right="140" w:firstLine="426"/>
        <w:spacing w:after="0" w:line="342" w:lineRule="auto"/>
        <w:rPr>
          <w:sz w:val="20"/>
          <w:szCs w:val="20"/>
          <w:color w:val="auto"/>
        </w:rPr>
      </w:pPr>
      <w:r>
        <w:rPr>
          <w:rFonts w:ascii="Arial" w:cs="Arial" w:eastAsia="Arial" w:hAnsi="Arial"/>
          <w:sz w:val="16"/>
          <w:szCs w:val="16"/>
          <w:b w:val="1"/>
          <w:bCs w:val="1"/>
          <w:i w:val="1"/>
          <w:iCs w:val="1"/>
          <w:color w:val="auto"/>
        </w:rPr>
        <w:t>Spreadsheets and email</w:t>
      </w:r>
      <w:r>
        <w:rPr>
          <w:rFonts w:ascii="Arial" w:cs="Arial" w:eastAsia="Arial" w:hAnsi="Arial"/>
          <w:sz w:val="16"/>
          <w:szCs w:val="16"/>
          <w:color w:val="auto"/>
        </w:rPr>
        <w:t>. Spreadsheets and email lack the required capabilities to help teams effectively plan, manage, and orchestrate 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scale. Captured information quickly becomes out of date because it is not connected to the workstreams happening outside of these tools.</w:t>
      </w:r>
    </w:p>
    <w:p>
      <w:pPr>
        <w:spacing w:after="0" w:line="124"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b w:val="1"/>
          <w:bCs w:val="1"/>
          <w:i w:val="1"/>
          <w:iCs w:val="1"/>
          <w:color w:val="auto"/>
        </w:rPr>
        <w:t>Legacy project management tools</w:t>
      </w:r>
      <w:r>
        <w:rPr>
          <w:rFonts w:ascii="Arial" w:cs="Arial" w:eastAsia="Arial" w:hAnsi="Arial"/>
          <w:sz w:val="18"/>
          <w:szCs w:val="18"/>
          <w:color w:val="auto"/>
        </w:rPr>
        <w:t>. Legacy project management tools are difficult for many users to adopt. These tools were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87" w:lineRule="exact"/>
        <w:rPr>
          <w:sz w:val="20"/>
          <w:szCs w:val="20"/>
          <w:color w:val="auto"/>
        </w:rPr>
      </w:pPr>
    </w:p>
    <w:p>
      <w:pPr>
        <w:ind w:left="300" w:right="280" w:firstLine="426"/>
        <w:spacing w:after="0" w:line="342" w:lineRule="auto"/>
        <w:rPr>
          <w:sz w:val="20"/>
          <w:szCs w:val="20"/>
          <w:color w:val="auto"/>
        </w:rPr>
      </w:pPr>
      <w:r>
        <w:rPr>
          <w:rFonts w:ascii="Arial" w:cs="Arial" w:eastAsia="Arial" w:hAnsi="Arial"/>
          <w:sz w:val="16"/>
          <w:szCs w:val="16"/>
          <w:b w:val="1"/>
          <w:bCs w:val="1"/>
          <w:i w:val="1"/>
          <w:iCs w:val="1"/>
          <w:color w:val="auto"/>
        </w:rPr>
        <w:t>Vertical applications</w:t>
      </w:r>
      <w:r>
        <w:rPr>
          <w:rFonts w:ascii="Arial" w:cs="Arial" w:eastAsia="Arial" w:hAnsi="Arial"/>
          <w:sz w:val="16"/>
          <w:szCs w:val="16"/>
          <w:color w:val="auto"/>
        </w:rPr>
        <w:t>. Vertical applications are purpose-built for specific use cases, such as software development, ticketing,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planning. These generally operate in departmental silos and are difficult to adapt to other use cases, either at all or without coding.</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240" w:hanging="523"/>
        <w:spacing w:after="0" w:line="296"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Individuals </w:t>
      </w:r>
      <w:r>
        <w:rPr>
          <w:rFonts w:ascii="Arial" w:cs="Arial" w:eastAsia="Arial" w:hAnsi="Arial"/>
          <w:sz w:val="16"/>
          <w:szCs w:val="16"/>
          <w:color w:val="auto"/>
        </w:rPr>
        <w:t>can manage and prioritize across each of their projects to maximize their effectiveness and reduce distractions. They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their own tasks, how their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66" w:lineRule="exact"/>
        <w:rPr>
          <w:rFonts w:ascii="Arial" w:cs="Arial" w:eastAsia="Arial" w:hAnsi="Arial"/>
          <w:sz w:val="16"/>
          <w:szCs w:val="16"/>
          <w:color w:val="auto"/>
        </w:rPr>
      </w:pPr>
    </w:p>
    <w:p>
      <w:pPr>
        <w:ind w:left="1240" w:right="40" w:hanging="523"/>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Team leads see progress, bottlenecks, resource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92" w:lineRule="exact"/>
        <w:rPr>
          <w:rFonts w:ascii="Arial" w:cs="Arial" w:eastAsia="Arial" w:hAnsi="Arial"/>
          <w:sz w:val="18"/>
          <w:szCs w:val="18"/>
          <w:color w:val="auto"/>
        </w:rPr>
      </w:pPr>
    </w:p>
    <w:p>
      <w:pPr>
        <w:ind w:left="1240" w:right="200" w:hanging="523"/>
        <w:spacing w:after="0" w:line="31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Executives </w:t>
      </w:r>
      <w:r>
        <w:rPr>
          <w:rFonts w:ascii="Arial" w:cs="Arial" w:eastAsia="Arial" w:hAnsi="Arial"/>
          <w:sz w:val="16"/>
          <w:szCs w:val="16"/>
          <w:color w:val="auto"/>
        </w:rPr>
        <w:t>can communicate company-wide goals, monitor status, and oversee work across projects to gain real-time insights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initiatives are on track or at risk. With this visibility, they can proactively to ensure alignment,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when. Our multi-dimensional data model provides different views so individuals can not only see the tasks they are working on, but also understand how their individual work contributes to a broader project goal.</w:t>
      </w:r>
    </w:p>
    <w:p>
      <w:pPr>
        <w:spacing w:after="0" w:line="184" w:lineRule="exact"/>
        <w:rPr>
          <w:sz w:val="20"/>
          <w:szCs w:val="20"/>
          <w:color w:val="auto"/>
        </w:rPr>
      </w:pPr>
    </w:p>
    <w:p>
      <w:pPr>
        <w:ind w:left="300" w:right="360" w:firstLine="426"/>
        <w:spacing w:after="0" w:line="308" w:lineRule="auto"/>
        <w:rPr>
          <w:sz w:val="20"/>
          <w:szCs w:val="20"/>
          <w:color w:val="auto"/>
        </w:rPr>
      </w:pPr>
      <w:r>
        <w:rPr>
          <w:rFonts w:ascii="Arial" w:cs="Arial" w:eastAsia="Arial" w:hAnsi="Arial"/>
          <w:sz w:val="17"/>
          <w:szCs w:val="17"/>
          <w:b w:val="1"/>
          <w:bCs w:val="1"/>
          <w:i w:val="1"/>
          <w:iCs w:val="1"/>
          <w:color w:val="auto"/>
        </w:rPr>
        <w:t xml:space="preserve">Transparency. </w:t>
      </w:r>
      <w:r>
        <w:rPr>
          <w:rFonts w:ascii="Arial" w:cs="Arial" w:eastAsia="Arial" w:hAnsi="Arial"/>
          <w:sz w:val="17"/>
          <w:szCs w:val="17"/>
          <w:color w:val="auto"/>
        </w:rPr>
        <w:t>Our platform provides transparency into the work being done across a project or portfolio of projects so everyone can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to completion, manage deadlines, identify and resolve bottlenecks, and rebalance workloads in real time.</w:t>
      </w:r>
    </w:p>
    <w:p>
      <w:pPr>
        <w:spacing w:after="0" w:line="146" w:lineRule="exact"/>
        <w:rPr>
          <w:sz w:val="20"/>
          <w:szCs w:val="20"/>
          <w:color w:val="auto"/>
        </w:rPr>
      </w:pPr>
    </w:p>
    <w:p>
      <w:pPr>
        <w:ind w:left="300" w:right="300" w:firstLine="426"/>
        <w:spacing w:after="0" w:line="308" w:lineRule="auto"/>
        <w:rPr>
          <w:sz w:val="20"/>
          <w:szCs w:val="20"/>
          <w:color w:val="auto"/>
        </w:rPr>
      </w:pPr>
      <w:r>
        <w:rPr>
          <w:rFonts w:ascii="Arial" w:cs="Arial" w:eastAsia="Arial" w:hAnsi="Arial"/>
          <w:sz w:val="17"/>
          <w:szCs w:val="17"/>
          <w:b w:val="1"/>
          <w:bCs w:val="1"/>
          <w:i w:val="1"/>
          <w:iCs w:val="1"/>
          <w:color w:val="auto"/>
        </w:rPr>
        <w:t xml:space="preserve">Accountability. </w:t>
      </w:r>
      <w:r>
        <w:rPr>
          <w:rFonts w:ascii="Arial" w:cs="Arial" w:eastAsia="Arial" w:hAnsi="Arial"/>
          <w:sz w:val="17"/>
          <w:szCs w:val="17"/>
          <w:color w:val="auto"/>
        </w:rPr>
        <w:t>Our platform enables teams to assign work to individuals with completion dates and requirements, eliminating ambiguity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responsibilities. Individuals can track their action items across projects and manage their time more effectively.</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left="300" w:right="240" w:firstLine="426"/>
        <w:spacing w:after="0" w:line="255" w:lineRule="auto"/>
        <w:rPr>
          <w:sz w:val="20"/>
          <w:szCs w:val="20"/>
          <w:color w:val="auto"/>
        </w:rPr>
      </w:pPr>
      <w:r>
        <w:rPr>
          <w:rFonts w:ascii="Arial" w:cs="Arial" w:eastAsia="Arial" w:hAnsi="Arial"/>
          <w:sz w:val="18"/>
          <w:szCs w:val="18"/>
          <w:color w:val="auto"/>
        </w:rPr>
        <w:t>Teams get work done faster using Asana. When structure is added to work, creating greater clarity, transparency, and accountability, teams are able to take action and be more efficient—regardless of whether their team members are in the office or working remotely. 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300" w:right="200" w:firstLine="426"/>
        <w:spacing w:after="0" w:line="286" w:lineRule="auto"/>
        <w:rPr>
          <w:sz w:val="20"/>
          <w:szCs w:val="20"/>
          <w:color w:val="auto"/>
        </w:rPr>
      </w:pPr>
      <w:r>
        <w:rPr>
          <w:rFonts w:ascii="Arial" w:cs="Arial" w:eastAsia="Arial" w:hAnsi="Arial"/>
          <w:sz w:val="17"/>
          <w:szCs w:val="17"/>
          <w:color w:val="auto"/>
        </w:rPr>
        <w:t>Our users love Asana because they gain clarity into what they need to do and how their contribution is connected to broader organizational goals. This clarity is particularly important for distributed teams and remote employees. By eliminating much of the work about work, we give them back valuable hours in their day leading to higher productivity, higher engagement, and improved retention.</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Improved business continuity for distributed teams and remote work</w:t>
      </w:r>
    </w:p>
    <w:p>
      <w:pPr>
        <w:spacing w:after="0" w:line="117"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right="220" w:firstLine="426"/>
        <w:spacing w:after="0" w:line="279" w:lineRule="auto"/>
        <w:rPr>
          <w:sz w:val="20"/>
          <w:szCs w:val="20"/>
          <w:color w:val="auto"/>
        </w:rPr>
      </w:pPr>
      <w:r>
        <w:rPr>
          <w:rFonts w:ascii="Arial" w:cs="Arial" w:eastAsia="Arial" w:hAnsi="Arial"/>
          <w:sz w:val="17"/>
          <w:szCs w:val="17"/>
          <w:b w:val="1"/>
          <w:bCs w:val="1"/>
          <w:i w:val="1"/>
          <w:iCs w:val="1"/>
          <w:color w:val="auto"/>
        </w:rPr>
        <w:t xml:space="preserve">Easy for an entire team to adopt. </w:t>
      </w:r>
      <w:r>
        <w:rPr>
          <w:rFonts w:ascii="Arial" w:cs="Arial" w:eastAsia="Arial" w:hAnsi="Arial"/>
          <w:sz w:val="17"/>
          <w:szCs w:val="17"/>
          <w:color w:val="auto"/>
        </w:rPr>
        <w:t>We designed our platform to be easy to adopt and transition away from legacy project management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71" w:lineRule="exact"/>
        <w:rPr>
          <w:sz w:val="20"/>
          <w:szCs w:val="20"/>
          <w:color w:val="auto"/>
        </w:rPr>
      </w:pPr>
    </w:p>
    <w:p>
      <w:pPr>
        <w:ind w:left="300" w:right="40" w:firstLine="426"/>
        <w:spacing w:after="0" w:line="342" w:lineRule="auto"/>
        <w:rPr>
          <w:sz w:val="20"/>
          <w:szCs w:val="20"/>
          <w:color w:val="auto"/>
        </w:rPr>
      </w:pPr>
      <w:r>
        <w:rPr>
          <w:rFonts w:ascii="Arial" w:cs="Arial" w:eastAsia="Arial" w:hAnsi="Arial"/>
          <w:sz w:val="16"/>
          <w:szCs w:val="16"/>
          <w:b w:val="1"/>
          <w:bCs w:val="1"/>
          <w:i w:val="1"/>
          <w:iCs w:val="1"/>
          <w:color w:val="auto"/>
        </w:rPr>
        <w:t xml:space="preserve">Applicable to individuals, team leads, and executives. </w:t>
      </w:r>
      <w:r>
        <w:rPr>
          <w:rFonts w:ascii="Arial" w:cs="Arial" w:eastAsia="Arial" w:hAnsi="Arial"/>
          <w:sz w:val="16"/>
          <w:szCs w:val="16"/>
          <w:color w:val="auto"/>
        </w:rPr>
        <w:t>Our multi-dimensional data model allows individuals, team leads, and executives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the way they want, in the interface that is most applicable to them. Users realize different benefits from our platform, depending on their role:</w:t>
      </w:r>
    </w:p>
    <w:p>
      <w:pPr>
        <w:spacing w:after="0" w:line="29" w:lineRule="exact"/>
        <w:rPr>
          <w:sz w:val="20"/>
          <w:szCs w:val="20"/>
          <w:color w:val="auto"/>
        </w:rPr>
      </w:pPr>
    </w:p>
    <w:p>
      <w:pPr>
        <w:ind w:left="1240" w:right="40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individuals can view a task list to prioritize their work across projects and see how the work they depend on is progressing in real time;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Adaptable to virtually any use case. </w:t>
      </w:r>
      <w:r>
        <w:rPr>
          <w:rFonts w:ascii="Arial" w:cs="Arial" w:eastAsia="Arial" w:hAnsi="Arial"/>
          <w:sz w:val="18"/>
          <w:szCs w:val="18"/>
          <w:color w:val="auto"/>
        </w:rPr>
        <w:t>Asana is applicable to thousands of use cases, across many departments and industries. We have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seen adoption among distributed teams and teams working from home. Customers typically 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88" w:lineRule="exact"/>
        <w:rPr>
          <w:sz w:val="20"/>
          <w:szCs w:val="20"/>
          <w:color w:val="auto"/>
        </w:rPr>
      </w:pPr>
    </w:p>
    <w:p>
      <w:pPr>
        <w:jc w:val="both"/>
        <w:ind w:left="300" w:right="120" w:firstLine="426"/>
        <w:spacing w:after="0" w:line="259" w:lineRule="auto"/>
        <w:rPr>
          <w:sz w:val="20"/>
          <w:szCs w:val="20"/>
          <w:color w:val="auto"/>
        </w:rPr>
      </w:pPr>
      <w:r>
        <w:rPr>
          <w:rFonts w:ascii="Arial" w:cs="Arial" w:eastAsia="Arial" w:hAnsi="Arial"/>
          <w:sz w:val="18"/>
          <w:szCs w:val="18"/>
          <w:b w:val="1"/>
          <w:bCs w:val="1"/>
          <w:i w:val="1"/>
          <w:iCs w:val="1"/>
          <w:color w:val="auto"/>
        </w:rPr>
        <w:t xml:space="preserve">Loved by customers. </w:t>
      </w:r>
      <w:r>
        <w:rPr>
          <w:rFonts w:ascii="Arial" w:cs="Arial" w:eastAsia="Arial" w:hAnsi="Arial"/>
          <w:sz w:val="18"/>
          <w:szCs w:val="18"/>
          <w:color w:val="auto"/>
        </w:rPr>
        <w:t>We have fostered a vibrant global user community that is passionate about using Asana to orchestrate their work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87"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b w:val="1"/>
          <w:bCs w:val="1"/>
          <w:i w:val="1"/>
          <w:iCs w:val="1"/>
          <w:color w:val="auto"/>
        </w:rPr>
        <w:t xml:space="preserve">Efficient hybrid go-to-market model. </w:t>
      </w:r>
      <w:r>
        <w:rPr>
          <w:rFonts w:ascii="Arial" w:cs="Arial" w:eastAsia="Arial" w:hAnsi="Arial"/>
          <w:sz w:val="17"/>
          <w:szCs w:val="17"/>
          <w:color w:val="auto"/>
        </w:rPr>
        <w:t>Our hybrid self-service and direct sales model allows us to efficiently reach teams everywhere and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77" w:lineRule="auto"/>
        <w:rPr>
          <w:sz w:val="20"/>
          <w:szCs w:val="20"/>
          <w:color w:val="auto"/>
        </w:rPr>
      </w:pPr>
      <w:r>
        <w:rPr>
          <w:rFonts w:ascii="Arial" w:cs="Arial" w:eastAsia="Arial" w:hAnsi="Arial"/>
          <w:sz w:val="18"/>
          <w:szCs w:val="18"/>
          <w:color w:val="auto"/>
        </w:rPr>
        <w:t>registered users, as measured by the number of paid users divided by the total number of then-registered users, has increased from 3.6% as of January 31, 2018 to over 4.8% as of January 31, 2020.</w:t>
      </w:r>
    </w:p>
    <w:p>
      <w:pPr>
        <w:spacing w:after="0" w:line="170" w:lineRule="exact"/>
        <w:rPr>
          <w:sz w:val="20"/>
          <w:szCs w:val="20"/>
          <w:color w:val="auto"/>
        </w:rPr>
      </w:pPr>
    </w:p>
    <w:p>
      <w:pPr>
        <w:ind w:left="300" w:right="280" w:firstLine="426"/>
        <w:spacing w:after="0" w:line="279" w:lineRule="auto"/>
        <w:rPr>
          <w:sz w:val="20"/>
          <w:szCs w:val="20"/>
          <w:color w:val="auto"/>
        </w:rPr>
      </w:pPr>
      <w:r>
        <w:rPr>
          <w:rFonts w:ascii="Arial" w:cs="Arial" w:eastAsia="Arial" w:hAnsi="Arial"/>
          <w:sz w:val="17"/>
          <w:szCs w:val="17"/>
          <w:b w:val="1"/>
          <w:bCs w:val="1"/>
          <w:i w:val="1"/>
          <w:iCs w:val="1"/>
          <w:color w:val="auto"/>
        </w:rPr>
        <w:t xml:space="preserve">High performance. </w:t>
      </w:r>
      <w:r>
        <w:rPr>
          <w:rFonts w:ascii="Arial" w:cs="Arial" w:eastAsia="Arial" w:hAnsi="Arial"/>
          <w:sz w:val="17"/>
          <w:szCs w:val="17"/>
          <w:color w:val="auto"/>
        </w:rPr>
        <w:t>We have architected our platform to be easy to use, extremely fast, and powerful. We have a modern architecture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71"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is a critical component of our success. Our commitment to transparency, distributed responsibility,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growth helps us attract and retain top quality talent from 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77"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leveraging tooling and automation to enable rapid feature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84"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166" w:lineRule="exact"/>
        <w:rPr>
          <w:sz w:val="20"/>
          <w:szCs w:val="20"/>
          <w:color w:val="auto"/>
        </w:rPr>
      </w:pPr>
    </w:p>
    <w:p>
      <w:pPr>
        <w:ind w:left="300" w:firstLine="426"/>
        <w:spacing w:after="0" w:line="261"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inception, 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80" w:lineRule="exact"/>
        <w:rPr>
          <w:sz w:val="20"/>
          <w:szCs w:val="20"/>
          <w:color w:val="auto"/>
        </w:rPr>
      </w:pPr>
    </w:p>
    <w:p>
      <w:pPr>
        <w:ind w:left="300" w:right="100" w:firstLine="426"/>
        <w:spacing w:after="0" w:line="282"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and then expand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use cases across departments and, in some instances, across an entire</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organization. To address the significant whitespace opportunity within our existing customer base, we are growing our direct sales team, which has nearly doubled in size since January 31, 2019, to promote department-specific and organization-wide use cases.</w:t>
      </w:r>
    </w:p>
    <w:p>
      <w:pPr>
        <w:spacing w:after="0" w:line="170"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 offerings and enhance the features and functionality of our platform. Since January 31, 2019, we have grown our engineering team by over 80% to drive product innovation.</w:t>
      </w:r>
    </w:p>
    <w:p>
      <w:pPr>
        <w:spacing w:after="0" w:line="184"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management—a market still in the early stages of development,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greenfield opportunities for adoption among companies of all sizes. We will 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88"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87"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b w:val="1"/>
          <w:bCs w:val="1"/>
          <w:i w:val="1"/>
          <w:iCs w:val="1"/>
          <w:color w:val="auto"/>
        </w:rPr>
        <w:t xml:space="preserve">Develop organization-wide use cases. </w:t>
      </w:r>
      <w:r>
        <w:rPr>
          <w:rFonts w:ascii="Arial" w:cs="Arial" w:eastAsia="Arial" w:hAnsi="Arial"/>
          <w:sz w:val="18"/>
          <w:szCs w:val="18"/>
          <w:color w:val="auto"/>
        </w:rPr>
        <w:t>Customers use Asana for a number of use cases, from departmental projects to organization-wide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including employee goal management, new employee onboarding, one-on-ones, and meeting agendas. Over time, we intend to productize and monetize organization-specific use cases on our platform.</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Investment in our Class A Common Stock</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71" w:lineRule="exact"/>
        <w:rPr>
          <w:sz w:val="20"/>
          <w:szCs w:val="20"/>
          <w:color w:val="auto"/>
        </w:rPr>
      </w:pPr>
    </w:p>
    <w:p>
      <w:pPr>
        <w:ind w:left="1240" w:hanging="523"/>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experienced rapid growth in recent periods, and our recent growth rates may not be indicative of our future growth.</w:t>
      </w:r>
    </w:p>
    <w:p>
      <w:pPr>
        <w:spacing w:after="0" w:line="142" w:lineRule="exact"/>
        <w:rPr>
          <w:rFonts w:ascii="Arial" w:cs="Arial" w:eastAsia="Arial" w:hAnsi="Arial"/>
          <w:sz w:val="17"/>
          <w:szCs w:val="17"/>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profitability or, if achieved, sustain profitability.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meet our expectations or those of investors or securities analysts.</w:t>
      </w:r>
    </w:p>
    <w:p>
      <w:pPr>
        <w:spacing w:after="0" w:line="142" w:lineRule="exact"/>
        <w:rPr>
          <w:rFonts w:ascii="Arial" w:cs="Arial" w:eastAsia="Arial" w:hAnsi="Arial"/>
          <w:sz w:val="17"/>
          <w:szCs w:val="17"/>
          <w:color w:val="auto"/>
        </w:rPr>
      </w:pPr>
    </w:p>
    <w:p>
      <w:pPr>
        <w:ind w:left="1240" w:right="340" w:hanging="523"/>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29" w:lineRule="exact"/>
        <w:rPr>
          <w:rFonts w:ascii="Arial" w:cs="Arial" w:eastAsia="Arial" w:hAnsi="Arial"/>
          <w:sz w:val="16"/>
          <w:szCs w:val="16"/>
          <w:color w:val="auto"/>
        </w:rPr>
      </w:pPr>
    </w:p>
    <w:p>
      <w:pPr>
        <w:jc w:val="both"/>
        <w:ind w:left="1240" w:right="140" w:hanging="523"/>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40" w:hanging="523"/>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30"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develop and expand our direct sales capabilities would harm our ability to expand usage of our platform within our customer base and achieve broader market acceptance of our platform.</w:t>
      </w:r>
    </w:p>
    <w:p>
      <w:pPr>
        <w:spacing w:after="0" w:line="75" w:lineRule="exact"/>
        <w:rPr>
          <w:rFonts w:ascii="Arial" w:cs="Arial" w:eastAsia="Arial" w:hAnsi="Arial"/>
          <w:sz w:val="18"/>
          <w:szCs w:val="18"/>
          <w:color w:val="auto"/>
        </w:rPr>
      </w:pPr>
    </w:p>
    <w:p>
      <w:pPr>
        <w:ind w:left="1240" w:right="46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and Chair, Dustin Moskovitz, would harm our business.</w:t>
      </w:r>
    </w:p>
    <w:p>
      <w:pPr>
        <w:spacing w:after="0" w:line="75" w:lineRule="exact"/>
        <w:rPr>
          <w:rFonts w:ascii="Arial" w:cs="Arial" w:eastAsia="Arial" w:hAnsi="Arial"/>
          <w:sz w:val="18"/>
          <w:szCs w:val="18"/>
          <w:color w:val="auto"/>
        </w:rPr>
      </w:pPr>
    </w:p>
    <w:p>
      <w:pPr>
        <w:ind w:left="1240" w:right="180" w:hanging="523"/>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75" w:lineRule="exact"/>
        <w:rPr>
          <w:rFonts w:ascii="Arial" w:cs="Arial" w:eastAsia="Arial" w:hAnsi="Arial"/>
          <w:sz w:val="18"/>
          <w:szCs w:val="18"/>
          <w:color w:val="auto"/>
        </w:rPr>
      </w:pPr>
    </w:p>
    <w:p>
      <w:pPr>
        <w:ind w:left="1240" w:right="58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Class A common stock may be volatile and could, upon listing on the NYSE, decline significantly and rapidly.</w:t>
      </w:r>
    </w:p>
    <w:p>
      <w:pPr>
        <w:spacing w:after="0" w:line="75" w:lineRule="exact"/>
        <w:rPr>
          <w:rFonts w:ascii="Arial" w:cs="Arial" w:eastAsia="Arial" w:hAnsi="Arial"/>
          <w:sz w:val="18"/>
          <w:szCs w:val="18"/>
          <w:color w:val="auto"/>
        </w:rPr>
      </w:pPr>
    </w:p>
    <w:p>
      <w:pPr>
        <w:ind w:left="1240" w:right="3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75" w:lineRule="exact"/>
        <w:rPr>
          <w:rFonts w:ascii="Arial" w:cs="Arial" w:eastAsia="Arial" w:hAnsi="Arial"/>
          <w:sz w:val="18"/>
          <w:szCs w:val="18"/>
          <w:color w:val="auto"/>
        </w:rPr>
      </w:pPr>
    </w:p>
    <w:p>
      <w:pPr>
        <w:ind w:left="1240" w:right="10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75" w:lineRule="exact"/>
        <w:rPr>
          <w:rFonts w:ascii="Arial" w:cs="Arial" w:eastAsia="Arial" w:hAnsi="Arial"/>
          <w:sz w:val="18"/>
          <w:szCs w:val="18"/>
          <w:color w:val="auto"/>
        </w:rPr>
      </w:pPr>
    </w:p>
    <w:p>
      <w:pPr>
        <w:ind w:left="1240" w:right="120" w:hanging="523"/>
        <w:spacing w:after="0" w:line="29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w:t>
      </w:r>
    </w:p>
    <w:p>
      <w:pPr>
        <w:ind w:left="1240" w:right="320"/>
        <w:spacing w:after="0" w:line="253" w:lineRule="auto"/>
        <w:rPr>
          <w:sz w:val="20"/>
          <w:szCs w:val="20"/>
          <w:color w:val="auto"/>
        </w:rPr>
      </w:pPr>
      <w:r>
        <w:rPr>
          <w:rFonts w:ascii="Arial" w:cs="Arial" w:eastAsia="Arial" w:hAnsi="Arial"/>
          <w:sz w:val="18"/>
          <w:szCs w:val="18"/>
          <w:color w:val="auto"/>
        </w:rPr>
        <w:t>their respective affiliates, who held in the aggregate % of the voting power of our capital stock as of ,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8" w:lineRule="exact"/>
        <w:rPr>
          <w:sz w:val="20"/>
          <w:szCs w:val="20"/>
          <w:color w:val="auto"/>
        </w:rPr>
      </w:pPr>
    </w:p>
    <w:p>
      <w:pPr>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84"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adversely affected.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300" w:right="220"/>
        <w:spacing w:after="0" w:line="255" w:lineRule="auto"/>
        <w:rPr>
          <w:sz w:val="20"/>
          <w:szCs w:val="20"/>
          <w:color w:val="auto"/>
        </w:rPr>
      </w:pPr>
      <w:r>
        <w:rPr>
          <w:rFonts w:ascii="Arial" w:cs="Arial" w:eastAsia="Arial" w:hAnsi="Arial"/>
          <w:sz w:val="18"/>
          <w:szCs w:val="18"/>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blog posts on our website, press releases, public conference calls, webcasts, our twitter feed (@asana), our Facebook page, our Instagram account (@asana), and our LinkedIn page.</w:t>
      </w:r>
    </w:p>
    <w:p>
      <w:pPr>
        <w:spacing w:after="0" w:line="187" w:lineRule="exact"/>
        <w:rPr>
          <w:sz w:val="20"/>
          <w:szCs w:val="20"/>
          <w:color w:val="auto"/>
        </w:rPr>
      </w:pPr>
    </w:p>
    <w:p>
      <w:pPr>
        <w:ind w:left="300" w:right="440" w:firstLine="426"/>
        <w:spacing w:after="0" w:line="308" w:lineRule="auto"/>
        <w:rPr>
          <w:sz w:val="20"/>
          <w:szCs w:val="20"/>
          <w:color w:val="auto"/>
        </w:rPr>
      </w:pPr>
      <w:r>
        <w:rPr>
          <w:rFonts w:ascii="Arial" w:cs="Arial" w:eastAsia="Arial" w:hAnsi="Arial"/>
          <w:sz w:val="17"/>
          <w:szCs w:val="17"/>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46"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240" w:right="40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240" w:right="140" w:hanging="523"/>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40" w:right="2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5"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firstLine="426"/>
        <w:spacing w:after="0" w:line="269" w:lineRule="auto"/>
        <w:rPr>
          <w:sz w:val="20"/>
          <w:szCs w:val="20"/>
          <w:color w:val="auto"/>
        </w:rPr>
      </w:pPr>
      <w:r>
        <w:rPr>
          <w:rFonts w:ascii="Arial" w:cs="Arial" w:eastAsia="Arial" w:hAnsi="Arial"/>
          <w:sz w:val="17"/>
          <w:szCs w:val="17"/>
          <w:i w:val="1"/>
          <w:iCs w:val="1"/>
          <w:color w:val="auto"/>
        </w:rPr>
        <w:t>The following tables summarize our consolidated financial data. The summary consolidated statements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The consolidated statements of operations data for the three months ended April 30, 2019 and 2020 and the consolidated balance sheet data as of April 30,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left="414"/>
              <w:spacing w:after="0"/>
              <w:rPr>
                <w:sz w:val="20"/>
                <w:szCs w:val="20"/>
                <w:color w:val="auto"/>
              </w:rPr>
            </w:pPr>
            <w:r>
              <w:rPr>
                <w:rFonts w:ascii="Arial" w:cs="Arial" w:eastAsia="Arial" w:hAnsi="Arial"/>
                <w:sz w:val="14"/>
                <w:szCs w:val="14"/>
                <w:b w:val="1"/>
                <w:bCs w:val="1"/>
                <w:color w:val="auto"/>
                <w:w w:val="97"/>
              </w:rPr>
              <w:t>April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8"/>
          </w:tcPr>
          <w:p>
            <w:pPr>
              <w:jc w:val="right"/>
              <w:spacing w:after="0" w:line="119" w:lineRule="exact"/>
              <w:rPr>
                <w:sz w:val="20"/>
                <w:szCs w:val="20"/>
                <w:color w:val="auto"/>
              </w:rPr>
            </w:pPr>
            <w:r>
              <w:rPr>
                <w:rFonts w:ascii="Arial" w:cs="Arial" w:eastAsia="Arial" w:hAnsi="Arial"/>
                <w:sz w:val="13"/>
                <w:szCs w:val="13"/>
                <w:b w:val="1"/>
                <w:bCs w:val="1"/>
                <w:color w:val="auto"/>
                <w:w w:val="96"/>
              </w:rPr>
              <w:t>(in thousands, except per share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76,770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142,606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1"/>
              <w:spacing w:after="0"/>
              <w:rPr>
                <w:sz w:val="20"/>
                <w:szCs w:val="20"/>
                <w:color w:val="auto"/>
              </w:rPr>
            </w:pPr>
            <w:r>
              <w:rPr>
                <w:rFonts w:ascii="Arial" w:cs="Arial" w:eastAsia="Arial" w:hAnsi="Arial"/>
                <w:sz w:val="18"/>
                <w:szCs w:val="18"/>
                <w:color w:val="auto"/>
                <w:w w:val="98"/>
              </w:rPr>
              <w:t>27,970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47,706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13,832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122,725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23,861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42,585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89,675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Arial" w:cs="Arial" w:eastAsia="Arial" w:hAnsi="Arial"/>
                <w:sz w:val="18"/>
                <w:szCs w:val="18"/>
                <w:color w:val="auto"/>
                <w:w w:val="98"/>
              </w:rPr>
              <w:t>13,432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22,383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52,106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98"/>
              </w:rPr>
              <w:t>18,859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36,091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20,260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46,845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6,934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6"/>
              </w:rPr>
              <w:t>114,951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242,356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w w:val="98"/>
              </w:rPr>
              <w:t>39,225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70,585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(52,013)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(119,631)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(15,364)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(50,900)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(118,344)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(14,892)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(35,722)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(50,928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(118,589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(14,953</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(35,845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(1.69)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1"/>
              <w:spacing w:after="0"/>
              <w:rPr>
                <w:sz w:val="20"/>
                <w:szCs w:val="20"/>
                <w:color w:val="auto"/>
              </w:rPr>
            </w:pPr>
            <w:r>
              <w:rPr>
                <w:rFonts w:ascii="Arial" w:cs="Arial" w:eastAsia="Arial" w:hAnsi="Arial"/>
                <w:sz w:val="18"/>
                <w:szCs w:val="18"/>
                <w:color w:val="auto"/>
              </w:rPr>
              <w:t>(0.22)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65,214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70,335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Arial" w:cs="Arial" w:eastAsia="Arial" w:hAnsi="Arial"/>
                <w:sz w:val="18"/>
                <w:szCs w:val="18"/>
                <w:color w:val="auto"/>
                <w:w w:val="98"/>
              </w:rPr>
              <w:t>67,782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75,641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shares used in calculating pro forma net loss per share</w:t>
            </w:r>
            <w:r>
              <w:rPr>
                <w:rFonts w:ascii="Arial" w:cs="Arial" w:eastAsia="Arial" w:hAnsi="Arial"/>
                <w:sz w:val="15"/>
                <w:szCs w:val="15"/>
                <w:color w:val="auto"/>
                <w:w w:val="97"/>
              </w:rPr>
              <w:t>(2)</w:t>
            </w:r>
            <w:r>
              <w:rPr>
                <w:rFonts w:ascii="Arial" w:cs="Arial" w:eastAsia="Arial" w:hAnsi="Arial"/>
                <w:sz w:val="18"/>
                <w:szCs w:val="18"/>
                <w:color w:val="auto"/>
                <w:w w:val="97"/>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143,887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180" w:type="dxa"/>
            <w:vAlign w:val="bottom"/>
            <w:gridSpan w:val="2"/>
          </w:tcPr>
          <w:p>
            <w:pPr>
              <w:jc w:val="right"/>
              <w:ind w:right="49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47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84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hanging="422"/>
        <w:spacing w:after="0"/>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7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5"/>
          </w:tcPr>
          <w:p>
            <w:pPr>
              <w:jc w:val="right"/>
              <w:ind w:right="800"/>
              <w:spacing w:after="0"/>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0"/>
                <w:szCs w:val="10"/>
                <w:color w:val="auto"/>
              </w:rPr>
            </w:pPr>
          </w:p>
        </w:tc>
        <w:tc>
          <w:tcPr>
            <w:tcW w:w="1240" w:type="dxa"/>
            <w:vAlign w:val="bottom"/>
            <w:gridSpan w:val="6"/>
          </w:tcPr>
          <w:p>
            <w:pPr>
              <w:jc w:val="right"/>
              <w:ind w:right="180"/>
              <w:spacing w:after="0"/>
              <w:rPr>
                <w:sz w:val="20"/>
                <w:szCs w:val="20"/>
                <w:color w:val="auto"/>
              </w:rPr>
            </w:pPr>
            <w:r>
              <w:rPr>
                <w:rFonts w:ascii="Arial" w:cs="Arial" w:eastAsia="Arial" w:hAnsi="Arial"/>
                <w:sz w:val="11"/>
                <w:szCs w:val="11"/>
                <w:b w:val="1"/>
                <w:bCs w:val="1"/>
                <w:color w:val="auto"/>
                <w:w w:val="95"/>
              </w:rPr>
              <w:t>Three Months Ended</w:t>
            </w:r>
          </w:p>
        </w:tc>
      </w:tr>
      <w:tr>
        <w:trPr>
          <w:trHeight w:val="135"/>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tcPr>
          <w:p>
            <w:pPr>
              <w:jc w:val="right"/>
              <w:ind w:right="800"/>
              <w:spacing w:after="0"/>
              <w:rPr>
                <w:sz w:val="20"/>
                <w:szCs w:val="20"/>
                <w:color w:val="auto"/>
              </w:rPr>
            </w:pPr>
            <w:r>
              <w:rPr>
                <w:rFonts w:ascii="Arial" w:cs="Arial" w:eastAsia="Arial" w:hAnsi="Arial"/>
                <w:sz w:val="11"/>
                <w:szCs w:val="11"/>
                <w:b w:val="1"/>
                <w:bCs w:val="1"/>
                <w:color w:val="auto"/>
              </w:rPr>
              <w:t>January 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2"/>
              </w:rPr>
              <w:t>April 30,</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70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35"/>
              <w:spacing w:after="0" w:line="115" w:lineRule="exact"/>
              <w:rPr>
                <w:sz w:val="20"/>
                <w:szCs w:val="20"/>
                <w:color w:val="auto"/>
              </w:rPr>
            </w:pPr>
            <w:r>
              <w:rPr>
                <w:rFonts w:ascii="Arial" w:cs="Arial" w:eastAsia="Arial" w:hAnsi="Arial"/>
                <w:sz w:val="11"/>
                <w:szCs w:val="11"/>
                <w:b w:val="1"/>
                <w:bCs w:val="1"/>
                <w:color w:val="auto"/>
                <w:w w:val="81"/>
              </w:rPr>
              <w:t>2019</w:t>
            </w:r>
          </w:p>
        </w:tc>
        <w:tc>
          <w:tcPr>
            <w:tcW w:w="4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1"/>
                <w:szCs w:val="11"/>
                <w:b w:val="1"/>
                <w:bCs w:val="1"/>
                <w:color w:val="auto"/>
                <w:w w:val="97"/>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35"/>
              <w:spacing w:after="0" w:line="115" w:lineRule="exact"/>
              <w:rPr>
                <w:sz w:val="20"/>
                <w:szCs w:val="20"/>
                <w:color w:val="auto"/>
              </w:rPr>
            </w:pPr>
            <w:r>
              <w:rPr>
                <w:rFonts w:ascii="Arial" w:cs="Arial" w:eastAsia="Arial" w:hAnsi="Arial"/>
                <w:sz w:val="11"/>
                <w:szCs w:val="11"/>
                <w:b w:val="1"/>
                <w:bCs w:val="1"/>
                <w:color w:val="auto"/>
                <w:w w:val="81"/>
              </w:rPr>
              <w:t>2019</w:t>
            </w:r>
          </w:p>
        </w:tc>
        <w:tc>
          <w:tcPr>
            <w:tcW w:w="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1"/>
              <w:spacing w:after="0" w:line="115" w:lineRule="exact"/>
              <w:rPr>
                <w:sz w:val="20"/>
                <w:szCs w:val="20"/>
                <w:color w:val="auto"/>
              </w:rPr>
            </w:pPr>
            <w:r>
              <w:rPr>
                <w:rFonts w:ascii="Arial" w:cs="Arial" w:eastAsia="Arial" w:hAnsi="Arial"/>
                <w:sz w:val="11"/>
                <w:szCs w:val="11"/>
                <w:b w:val="1"/>
                <w:bCs w:val="1"/>
                <w:color w:val="auto"/>
                <w:w w:val="89"/>
              </w:rPr>
              <w:t>2020</w:t>
            </w:r>
          </w:p>
        </w:tc>
        <w:tc>
          <w:tcPr>
            <w:tcW w:w="40" w:type="dxa"/>
            <w:vAlign w:val="bottom"/>
          </w:tcPr>
          <w:p>
            <w:pPr>
              <w:spacing w:after="0"/>
              <w:rPr>
                <w:sz w:val="10"/>
                <w:szCs w:val="10"/>
                <w:color w:val="auto"/>
              </w:rPr>
            </w:pPr>
          </w:p>
        </w:tc>
      </w:tr>
      <w:tr>
        <w:trPr>
          <w:trHeight w:val="101"/>
        </w:trPr>
        <w:tc>
          <w:tcPr>
            <w:tcW w:w="7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5"/>
          </w:tcPr>
          <w:p>
            <w:pPr>
              <w:jc w:val="right"/>
              <w:ind w:right="320"/>
              <w:spacing w:after="0" w:line="102" w:lineRule="exact"/>
              <w:rPr>
                <w:sz w:val="20"/>
                <w:szCs w:val="20"/>
                <w:color w:val="auto"/>
              </w:rPr>
            </w:pPr>
            <w:r>
              <w:rPr>
                <w:rFonts w:ascii="Arial" w:cs="Arial" w:eastAsia="Arial" w:hAnsi="Arial"/>
                <w:sz w:val="11"/>
                <w:szCs w:val="11"/>
                <w:b w:val="1"/>
                <w:bCs w:val="1"/>
                <w:color w:val="auto"/>
              </w:rPr>
              <w:t>(in thousands)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35"/>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(unaudited)</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r>
      <w:tr>
        <w:trPr>
          <w:trHeight w:val="148"/>
        </w:trPr>
        <w:tc>
          <w:tcPr>
            <w:tcW w:w="70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5"/>
              </w:rPr>
              <w:t>5,160</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8"/>
              </w:rPr>
              <w:t>24,869</w:t>
            </w:r>
          </w:p>
        </w:tc>
        <w:tc>
          <w:tcPr>
            <w:tcW w:w="10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2,081</w:t>
            </w:r>
          </w:p>
        </w:tc>
      </w:tr>
      <w:tr>
        <w:trPr>
          <w:trHeight w:val="148"/>
        </w:trPr>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2,108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8"/>
              </w:rPr>
              <w:t>10,177</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1,099</w:t>
            </w:r>
          </w:p>
        </w:tc>
      </w:tr>
      <w:tr>
        <w:trPr>
          <w:trHeight w:val="148"/>
        </w:trPr>
        <w:tc>
          <w:tcPr>
            <w:tcW w:w="702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5"/>
              </w:rPr>
              <w:t>1,242</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8"/>
              </w:rPr>
              <w:t>13,237</w:t>
            </w:r>
          </w:p>
        </w:tc>
        <w:tc>
          <w:tcPr>
            <w:tcW w:w="10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756</w:t>
            </w:r>
          </w:p>
        </w:tc>
      </w:tr>
      <w:tr>
        <w:trPr>
          <w:trHeight w:val="27"/>
        </w:trPr>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7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8,547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8"/>
              </w:rPr>
              <w:t>48,386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1,509</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3,982</w:t>
            </w:r>
          </w:p>
        </w:tc>
      </w:tr>
      <w:tr>
        <w:trPr>
          <w:trHeight w:val="20"/>
        </w:trPr>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720" w:right="46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79" w:lineRule="exact"/>
        <w:rPr>
          <w:sz w:val="20"/>
          <w:szCs w:val="20"/>
          <w:color w:val="auto"/>
        </w:rPr>
      </w:pPr>
    </w:p>
    <w:p>
      <w:pPr>
        <w:ind w:left="720" w:right="60" w:hanging="422"/>
        <w:spacing w:after="0" w:line="290"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As of April 30, 2020</w:t>
            </w:r>
          </w:p>
        </w:tc>
      </w:tr>
      <w:tr>
        <w:trPr>
          <w:trHeight w:val="142"/>
        </w:trPr>
        <w:tc>
          <w:tcPr>
            <w:tcW w:w="6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85"/>
              <w:spacing w:after="0" w:line="142" w:lineRule="exact"/>
              <w:rPr>
                <w:sz w:val="20"/>
                <w:szCs w:val="20"/>
                <w:color w:val="auto"/>
              </w:rPr>
            </w:pPr>
            <w:r>
              <w:rPr>
                <w:rFonts w:ascii="Arial" w:cs="Arial" w:eastAsia="Arial" w:hAnsi="Arial"/>
                <w:sz w:val="14"/>
                <w:szCs w:val="14"/>
                <w:b w:val="1"/>
                <w:bCs w:val="1"/>
                <w:color w:val="auto"/>
              </w:rPr>
              <w:t>Actual</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r>
      <w:tr>
        <w:trPr>
          <w:trHeight w:val="119"/>
        </w:trPr>
        <w:tc>
          <w:tcPr>
            <w:tcW w:w="63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60" w:type="dxa"/>
            <w:vAlign w:val="bottom"/>
          </w:tcPr>
          <w:p>
            <w:pPr>
              <w:spacing w:after="0"/>
              <w:rPr>
                <w:sz w:val="10"/>
                <w:szCs w:val="10"/>
                <w:color w:val="auto"/>
              </w:rPr>
            </w:pPr>
          </w:p>
        </w:tc>
      </w:tr>
      <w:tr>
        <w:trPr>
          <w:trHeight w:val="171"/>
        </w:trPr>
        <w:tc>
          <w:tcPr>
            <w:tcW w:w="6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3240" w:type="dxa"/>
            <w:vAlign w:val="bottom"/>
            <w:gridSpan w:val="2"/>
          </w:tcPr>
          <w:p>
            <w:pPr>
              <w:jc w:val="right"/>
              <w:ind w:right="225"/>
              <w:spacing w:after="0"/>
              <w:rPr>
                <w:sz w:val="20"/>
                <w:szCs w:val="20"/>
                <w:color w:val="auto"/>
              </w:rPr>
            </w:pPr>
            <w:r>
              <w:rPr>
                <w:rFonts w:ascii="Arial" w:cs="Arial" w:eastAsia="Arial" w:hAnsi="Arial"/>
                <w:sz w:val="18"/>
                <w:szCs w:val="18"/>
                <w:color w:val="auto"/>
              </w:rPr>
              <w:t>$ 331,546</w:t>
            </w:r>
          </w:p>
        </w:tc>
        <w:tc>
          <w:tcPr>
            <w:tcW w:w="1040" w:type="dxa"/>
            <w:vAlign w:val="bottom"/>
          </w:tcPr>
          <w:p>
            <w:pPr>
              <w:jc w:val="right"/>
              <w:spacing w:after="0"/>
              <w:rPr>
                <w:sz w:val="20"/>
                <w:szCs w:val="20"/>
                <w:color w:val="auto"/>
              </w:rPr>
            </w:pPr>
            <w:r>
              <w:rPr>
                <w:rFonts w:ascii="Arial" w:cs="Arial" w:eastAsia="Arial" w:hAnsi="Arial"/>
                <w:sz w:val="18"/>
                <w:szCs w:val="18"/>
                <w:color w:val="auto"/>
              </w:rPr>
              <w:t>$  481,546</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32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253,070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403,070</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Total assets</w:t>
            </w:r>
          </w:p>
        </w:tc>
        <w:tc>
          <w:tcPr>
            <w:tcW w:w="3240" w:type="dxa"/>
            <w:vAlign w:val="bottom"/>
            <w:gridSpan w:val="2"/>
          </w:tcPr>
          <w:p>
            <w:pPr>
              <w:jc w:val="right"/>
              <w:ind w:right="225"/>
              <w:spacing w:after="0"/>
              <w:rPr>
                <w:sz w:val="20"/>
                <w:szCs w:val="20"/>
                <w:color w:val="auto"/>
              </w:rPr>
            </w:pPr>
            <w:r>
              <w:rPr>
                <w:rFonts w:ascii="Arial" w:cs="Arial" w:eastAsia="Arial" w:hAnsi="Arial"/>
                <w:sz w:val="18"/>
                <w:szCs w:val="18"/>
                <w:color w:val="auto"/>
              </w:rPr>
              <w:t>406,505</w:t>
            </w:r>
          </w:p>
        </w:tc>
        <w:tc>
          <w:tcPr>
            <w:tcW w:w="1040" w:type="dxa"/>
            <w:vAlign w:val="bottom"/>
          </w:tcPr>
          <w:p>
            <w:pPr>
              <w:jc w:val="right"/>
              <w:spacing w:after="0"/>
              <w:rPr>
                <w:sz w:val="20"/>
                <w:szCs w:val="20"/>
                <w:color w:val="auto"/>
              </w:rPr>
            </w:pPr>
            <w:r>
              <w:rPr>
                <w:rFonts w:ascii="Arial" w:cs="Arial" w:eastAsia="Arial" w:hAnsi="Arial"/>
                <w:sz w:val="18"/>
                <w:szCs w:val="18"/>
                <w:color w:val="auto"/>
              </w:rPr>
              <w:t>556,505</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70,142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70,142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Convertible note, net due January 2025—related party</w:t>
            </w:r>
            <w:r>
              <w:rPr>
                <w:rFonts w:ascii="Arial" w:cs="Arial" w:eastAsia="Arial" w:hAnsi="Arial"/>
                <w:sz w:val="15"/>
                <w:szCs w:val="15"/>
                <w:color w:val="auto"/>
              </w:rPr>
              <w:t>(3)</w:t>
            </w:r>
          </w:p>
        </w:tc>
        <w:tc>
          <w:tcPr>
            <w:tcW w:w="3240" w:type="dxa"/>
            <w:vAlign w:val="bottom"/>
            <w:gridSpan w:val="2"/>
          </w:tcPr>
          <w:p>
            <w:pPr>
              <w:jc w:val="right"/>
              <w:ind w:right="225"/>
              <w:spacing w:after="0"/>
              <w:rPr>
                <w:sz w:val="20"/>
                <w:szCs w:val="20"/>
                <w:color w:val="auto"/>
              </w:rPr>
            </w:pPr>
            <w:r>
              <w:rPr>
                <w:rFonts w:ascii="Arial" w:cs="Arial" w:eastAsia="Arial" w:hAnsi="Arial"/>
                <w:sz w:val="18"/>
                <w:szCs w:val="18"/>
                <w:color w:val="auto"/>
              </w:rPr>
              <w:t>210,088</w:t>
            </w:r>
          </w:p>
        </w:tc>
        <w:tc>
          <w:tcPr>
            <w:tcW w:w="1040" w:type="dxa"/>
            <w:vAlign w:val="bottom"/>
          </w:tcPr>
          <w:p>
            <w:pPr>
              <w:jc w:val="right"/>
              <w:spacing w:after="0"/>
              <w:rPr>
                <w:sz w:val="20"/>
                <w:szCs w:val="20"/>
                <w:color w:val="auto"/>
              </w:rPr>
            </w:pPr>
            <w:r>
              <w:rPr>
                <w:rFonts w:ascii="Arial" w:cs="Arial" w:eastAsia="Arial" w:hAnsi="Arial"/>
                <w:sz w:val="18"/>
                <w:szCs w:val="18"/>
                <w:color w:val="auto"/>
              </w:rPr>
              <w:t>210,088</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due June 2025—related party</w:t>
            </w:r>
            <w:r>
              <w:rPr>
                <w:rFonts w:ascii="Arial" w:cs="Arial" w:eastAsia="Arial" w:hAnsi="Arial"/>
                <w:sz w:val="15"/>
                <w:szCs w:val="15"/>
                <w:color w:val="auto"/>
              </w:rPr>
              <w:t>(4)</w:t>
            </w:r>
          </w:p>
        </w:tc>
        <w:tc>
          <w:tcPr>
            <w:tcW w:w="2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240" w:type="dxa"/>
            <w:vAlign w:val="bottom"/>
            <w:gridSpan w:val="2"/>
          </w:tcPr>
          <w:p>
            <w:pPr>
              <w:jc w:val="right"/>
              <w:ind w:right="225"/>
              <w:spacing w:after="0"/>
              <w:rPr>
                <w:sz w:val="20"/>
                <w:szCs w:val="20"/>
                <w:color w:val="auto"/>
              </w:rPr>
            </w:pPr>
            <w:r>
              <w:rPr>
                <w:rFonts w:ascii="Arial" w:cs="Arial" w:eastAsia="Arial" w:hAnsi="Arial"/>
                <w:sz w:val="18"/>
                <w:szCs w:val="18"/>
                <w:color w:val="auto"/>
              </w:rPr>
              <w:t>250,581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32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(175,611)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74,970</w:t>
            </w:r>
          </w:p>
        </w:tc>
      </w:tr>
    </w:tbl>
    <w:p>
      <w:pPr>
        <w:spacing w:after="0" w:line="157" w:lineRule="exact"/>
        <w:rPr>
          <w:sz w:val="20"/>
          <w:szCs w:val="20"/>
          <w:color w:val="auto"/>
        </w:rPr>
      </w:pPr>
    </w:p>
    <w:p>
      <w:pPr>
        <w:ind w:left="720" w:hanging="422"/>
        <w:spacing w:after="0" w:line="227"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table above reflects (i) the sale and issuance in June 2020 of a 3.5% senior mandatory convertible promissory note due 2025 in the aggregate principal amount of $150.0 million and (ii) the automatic conversion of all outstanding shares of our preferred stock into an aggregate of 73,577,455 shares of our Class B common stock, as if such conversion had occurred on April 30, 2020.</w:t>
      </w:r>
    </w:p>
    <w:p>
      <w:pPr>
        <w:ind w:left="720" w:hanging="422"/>
        <w:spacing w:after="0" w:line="221"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720" w:right="280" w:hanging="422"/>
        <w:spacing w:after="0" w:line="221"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a 3.5% senior mandatory convertible promissory note, net of debt discount, due in January 2025. For additional information, see “Description of Capital Stock— Senior Mandatory Convertible Promissory Notes.”</w:t>
      </w:r>
    </w:p>
    <w:p>
      <w:pPr>
        <w:ind w:left="720" w:right="60" w:hanging="422"/>
        <w:spacing w:after="0" w:line="271"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a 3.5% senior mandatory convertible promissory note issued in June 2020 and due in June 2025. The pro forma amount above reflects the principal amount and does not reflect any debt discount or accrued interest. For additional information, see “Description of Capital Stock—Senior Mandatory 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44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2344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300" w:right="120" w:firstLine="426"/>
        <w:spacing w:after="0" w:line="308" w:lineRule="auto"/>
        <w:rPr>
          <w:sz w:val="20"/>
          <w:szCs w:val="20"/>
          <w:color w:val="auto"/>
        </w:rPr>
      </w:pPr>
      <w:r>
        <w:rPr>
          <w:rFonts w:ascii="Arial" w:cs="Arial" w:eastAsia="Arial" w:hAnsi="Arial"/>
          <w:sz w:val="17"/>
          <w:szCs w:val="17"/>
          <w:color w:val="auto"/>
        </w:rPr>
        <w:t>The following table summarizes our non-GAAP financial measures for each period presented below. In addition to our results determined in accordance with GAAP, we believe these non-GAAP financial measures are useful in evaluating our operating performance.</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April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19"/>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60" w:type="dxa"/>
            <w:vAlign w:val="bottom"/>
            <w:gridSpan w:val="5"/>
          </w:tcPr>
          <w:p>
            <w:pPr>
              <w:jc w:val="right"/>
              <w:ind w:right="1079"/>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2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$(43,466)</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$(69,333)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89"/>
              </w:rPr>
              <w:t>(13,855)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$(23,917)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Non-GAAP net loss</w:t>
            </w:r>
          </w:p>
        </w:tc>
        <w:tc>
          <w:tcPr>
            <w:tcW w:w="2820" w:type="dxa"/>
            <w:vAlign w:val="bottom"/>
            <w:gridSpan w:val="2"/>
          </w:tcPr>
          <w:p>
            <w:pPr>
              <w:jc w:val="right"/>
              <w:ind w:right="228"/>
              <w:spacing w:after="0"/>
              <w:rPr>
                <w:sz w:val="20"/>
                <w:szCs w:val="20"/>
                <w:color w:val="auto"/>
              </w:rPr>
            </w:pPr>
            <w:r>
              <w:rPr>
                <w:rFonts w:ascii="Arial" w:cs="Arial" w:eastAsia="Arial" w:hAnsi="Arial"/>
                <w:sz w:val="18"/>
                <w:szCs w:val="18"/>
                <w:color w:val="auto"/>
              </w:rPr>
              <w:t>$(42,381)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$(68,213)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9"/>
              <w:spacing w:after="0"/>
              <w:rPr>
                <w:sz w:val="20"/>
                <w:szCs w:val="20"/>
                <w:color w:val="auto"/>
              </w:rPr>
            </w:pPr>
            <w:r>
              <w:rPr>
                <w:rFonts w:ascii="Arial" w:cs="Arial" w:eastAsia="Arial" w:hAnsi="Arial"/>
                <w:sz w:val="18"/>
                <w:szCs w:val="18"/>
                <w:color w:val="auto"/>
                <w:w w:val="89"/>
              </w:rPr>
              <w:t>(13,444)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$(23,686)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8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$(33,587)</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$(44,605)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(7,309)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$(17,063)</w:t>
            </w:r>
          </w:p>
        </w:tc>
      </w:tr>
    </w:tbl>
    <w:p>
      <w:pPr>
        <w:spacing w:after="0" w:line="202" w:lineRule="exact"/>
        <w:rPr>
          <w:sz w:val="20"/>
          <w:szCs w:val="20"/>
          <w:color w:val="auto"/>
        </w:rPr>
      </w:pPr>
    </w:p>
    <w:p>
      <w:pPr>
        <w:ind w:left="300" w:right="560" w:firstLine="426"/>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7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successfully expand our sales force;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62"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have been growing rapidly in recent periods and, as a result, have a relatively short history operating our business at its current scale. Furthermore, we operate in an industry that is characterized by rapid technological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economic and market conditions, including those caused by the ongoing COVID-19 pandemic.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have incurred net losses in each fiscal year since our founding. We generated net losses of $50.9 million and $118.6 million in fiscal 2019 and fiscal 2020, respectively, and $15.0 million and $35.8 million for the three months ended April 30, 2019 and 2020, respectively. As of April 30, 2020, we had an accumulated deficit of $365.6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continue to make substantial future investments and expenditures related to the growth of our business, including:</w:t>
      </w:r>
    </w:p>
    <w:p>
      <w:pPr>
        <w:spacing w:after="0" w:line="13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additional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operations across our multiple geographies;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costs associated with our general and administrative organization.</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 significant part of our business strategy and culture is to focus on long-term growth and customer success over short-term financial results. For example, in fiscal 2020, we increased our operating expenses to $242.4 million as compared to $115.0 million in fiscal 2019. In fiscal 2020, our net loss increased to $118.6 million from $50.9 million in fiscal 2019. As a result, in the near and medium term, we may continue to operate at a loss, or our 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54"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using our free and trial versions into paying customers;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300"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3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December 2019, COVID-19 was first reported to the World Health Organization, or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we have temporarily closed our headquarters and most of our other offices, enabled our employees and contractors to work remotely, implemented travel restrictions, and shifted company events and meetings to virtual-only experiences, all of which may continue for an indefinite amount of time and represent a significant disruption in how we operate our business. The operations of our partners, vendors, and customers have likewise been disrupted.</w:t>
      </w:r>
    </w:p>
    <w:p>
      <w:pPr>
        <w:spacing w:after="0" w:line="16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In particular, the conditions caused by this pandemic may affect the rate of global IT spending, which could adversely affect demand for our platform. Further, the COVID-19 pandemic has caused us to experience, in some cases, longer sales cycles and an increase in certain prospective and current customers seeking lower prices or other more favorable contract terms, and has limited the ability of our direct sales force to travel to customers and potential customers. In addition, the COVID-19 pandemic could reduce the value or duration of subscriptions, negatively impact collections of accounts receivable, reduce expected spending from our paying customers, cause some of our paying customers to go out of business, and affect contraction or attrition rates of our paying customers, all of which could adversely affect our business, results of operations, and financial condition. Additionally, concerns over the economic impact of COVID-19 have caused extreme volatility in financial and other capital markets, which may adversely affect our stock price and our ability to access capital markets in the future.</w:t>
      </w:r>
    </w:p>
    <w:p>
      <w:pPr>
        <w:spacing w:after="0" w:line="16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While we have developed and continue to develop plans to help mitigate the potential negative impact of COVID-19,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76"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 or implementation requirements have been met. In addition, the ongoing COVID-19 pandemic and related precautionary measures we and other companies are taking are impacting our sales activity. For example, like many other companies, including our customers and prospects, our employees are working remotely, and we have limited all non-essential business travel. Restrictions on travel and in-person meetings have interrupted and could continue to interrupt our sales activity, and we cannot predict whether, for how long, or the extent to which the COVID-19 pandemic and related precautionary measures may have an impact. If our efforts to sell to organizations of all sizes are not successful or do not generate additional revenues, our business, results of operations, and financial condition would suffer.</w:t>
      </w:r>
    </w:p>
    <w:p>
      <w:pPr>
        <w:spacing w:after="0" w:line="17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Furthermore,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COVID-19 pandemic could have an impact on our plans to offer certain new features, integrations, and capabilities in a timely manner, particularly if we experience impacts to productivity due to our employees or their family members experiencing health issues, if our employees continue to work remotely for extended periods, or if there are increasing delays in the hiring and onboarding of new employees.</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 Additionally, we continue to monitor how COVID-19 may impact the adoption of our platform generally and our success in engaging with new customers and expanding relationships with existing customers. We also may continue to experience a reduction in renewal rates, particularly within our small and medium-sized customers,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the COVID-19 pandemic may not be fully reflected in our operating results and overall financial performance until future periods. If we fail to predict customer demands, fail to sufficiently account for the impact of COVID-19 on our sales projections, or fail to attract new customers and maintain and expand new and existing customer relationships, our revenues may grow more slowly than expected, may not grow at all, or may decline, and our business may be harmed.</w:t>
      </w:r>
    </w:p>
    <w:p>
      <w:pPr>
        <w:spacing w:after="0" w:line="28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One of our marketing strategies is to offer free and trial subscription plans, and we may not be able to continue to realize the benefits of this strategy.</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solution.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7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1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3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7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or, particularly during the ongoing COVID-19 pandemic, may offer price concessions, delayed payment terms, financing terms, or other terms and conditions that are more enticing to potential customers.</w:t>
      </w:r>
    </w:p>
    <w:p>
      <w:pPr>
        <w:spacing w:after="0" w:line="17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9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6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59" w:lineRule="auto"/>
        <w:rPr>
          <w:sz w:val="20"/>
          <w:szCs w:val="20"/>
          <w:color w:val="auto"/>
        </w:rPr>
      </w:pPr>
      <w:r>
        <w:rPr>
          <w:rFonts w:ascii="Arial" w:cs="Arial" w:eastAsia="Arial" w:hAnsi="Arial"/>
          <w:sz w:val="18"/>
          <w:szCs w:val="18"/>
          <w:color w:val="auto"/>
        </w:rPr>
        <w:t>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286"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Real or perceived errors, failures, vulnerabilities, or bugs in our platform would harm our business, results of operations, and financial condition.</w:t>
      </w:r>
    </w:p>
    <w:p>
      <w:pPr>
        <w:spacing w:after="0" w:line="15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73"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3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9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modifies its terms of service or other policies, including fees charged to, or other restrictions on us, or other application developers;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225"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62"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9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business could fail to grow for a variety of reasons outside of our control, including competition in our industry. If any of these risks materialize, it could adversely affect our results of operations.</w:t>
      </w:r>
    </w:p>
    <w:p>
      <w:pPr>
        <w:spacing w:after="0" w:line="2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7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other party. Any of these events would cause our business and results of operations to be materially and adversely affected as a result.</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62"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7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protect our technology or platform and provide us with competitive advantages. Furthermore, any issued patents may be challenged, invalidated, or circumvented by third parties.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30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and we may incorporate open source software in our platform and mobile application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8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27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88"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to the European Union,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would potentially impose more stringent obligations, including data localization requirements.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a way that would be currently considered a “sale” under the CCPA,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6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30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enacted laws that could limit our ability to distribute our platform or could limit the ability of organizations to use our platform in those countries.</w:t>
      </w:r>
    </w:p>
    <w:p>
      <w:pPr>
        <w:spacing w:after="0" w:line="24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Until recently, we did not have a comprehensive Trade Controls compliance program. Although we have since implemented controls designed to promote and achieve compliance with applicable Trade Controls, we may have previously provided certain services to some customers in apparent violation of U.S. sanctions laws and exported software and source code prior to submitting required filings and obtaining authorization from BIS regarding exports of our software. As a result, we have submitted voluntary self-disclosures concerning these activities to OFAC and BIS. It is possible that these activities may result in administrative fines or penalties. In addition, if we are found to be in violation of U.S. economic sanctions or export control laws for other activities, it could result in fines and penalties. We may also be adversely affected through reputational harm, loss of access to certain markets, or otherwise. While we continue to review and assess the facts and circumstances surrounding these or other possible violations, we are simultaneously working to further enhance our compliance program regarding applicable Trade Controls. These controls include the implementation of IP address blocking functionality, screenings of our users against government lists of restricted and prohibited persons, training our employees, and the development of a global Trade Controls policy.</w:t>
      </w:r>
    </w:p>
    <w:p>
      <w:pPr>
        <w:spacing w:after="0" w:line="18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4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For fiscal 2020, 41%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6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need to localize and adapt our platform for specific countries, including translation into foreign languages and associated expenses;</w:t>
      </w:r>
    </w:p>
    <w:p>
      <w:pPr>
        <w:spacing w:after="0" w:line="153"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2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part of our business strategy to expand our platform and grow our business in response to changing technologies, customer demand, and competitive pressures, we may in the future make investments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9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spacing w:after="0" w:line="1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and to encumber our intellectual property. In addition, the loan and security agreement contains customary affirmative and negative covenants, including maintaining certain liquidity thresholds, and restrictions and limitations on our ability to incur additional indebtedness, dispose of assets, engage in certain merger or acquisition transactions, pay dividends or make distributions, and certain other restrictions on our activities. Our business may be adversely affected by these restrictions on our ability to operate our business.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certain of our covenants under the loan and security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investors to lose confidence in our reported financial and other information, which would likely have a negative effect on the trading price of our Class A common stock.</w:t>
      </w:r>
    </w:p>
    <w:p>
      <w:pPr>
        <w:spacing w:after="0" w:line="17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6"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6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6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 listing on the NYSE, or subsequent shifts in our stock ownership (some of which shifts are outside our control). As a result, even if we attain profitability, we may be unable to use a material portion of our NOLs and other tax attributes.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Natural disasters or other catastrophic events may cause damage or disruption to our operations, international commerce, and the global economy, and thus could harm our business. In particular, the COVID-19 pandemic,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90"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7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which could be as long as five years following the completion of our listing on the NYSE,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listing differs significantly from an underwritten initial public offering.</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is not an underwritten initial public offering of our Class A common stock. This listing of our Class A common stock on the NYSE differs from an underwritten initial public offering in several significant ways, which include, but are not limited to, the following:</w:t>
      </w:r>
    </w:p>
    <w:p>
      <w:pPr>
        <w:spacing w:after="0" w:line="76" w:lineRule="exact"/>
        <w:rPr>
          <w:sz w:val="20"/>
          <w:szCs w:val="20"/>
          <w:color w:val="auto"/>
        </w:rPr>
      </w:pPr>
    </w:p>
    <w:p>
      <w:pPr>
        <w:ind w:left="108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underwriters. Consequently, prior to the opening of trading on the NYSE, there will be no book building process and no price at which underwriters initially sell shares to the public to help inform efficient and sufficient price discovery with respect to the opening trades on the NYSE. Therefore, buy and sell orders submitted prior to and at the opening of trading of our Class A common stock on the NYSE will not have the benefit of being informed by a published price range or a price at which the underwriters initially sell shares to the public, as would be the case in an underwritten initial public offering. Moreover, there will be no underwriters assuming risk in connection with the initial resale of shares of our Class A common stock. Additionally, there is no underwriters’ option to purchase additional shares to help stabilize, maintain, or affect the trading price of our Class A common stock on the NYSE immediately after the listing. In an underwritten initial public offering, the underwriters may engage in “covered” short sales in an amount of shares representing the underwriters’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89" w:lineRule="auto"/>
        <w:rPr>
          <w:sz w:val="20"/>
          <w:szCs w:val="20"/>
          <w:color w:val="auto"/>
        </w:rPr>
      </w:pPr>
      <w:r>
        <w:rPr>
          <w:rFonts w:ascii="Arial" w:cs="Arial" w:eastAsia="Arial" w:hAnsi="Arial"/>
          <w:sz w:val="16"/>
          <w:szCs w:val="16"/>
          <w:color w:val="auto"/>
        </w:rPr>
        <w:t>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trading price of shares of our Class A common stock. Given that there will be no underwriters’ option to purchase additional shares and no underwriters engaging in stabilizing transactions with respect to the trading of our Class A common stock on the NYSE, there could be greater volatility in the trading price of our Class A common stock during the period immediately following the listing. See also “—The trading price of our Class A common stock may be volatile, and could, upon listing on the NYSE, decline significantly and rapidly.”</w:t>
      </w:r>
    </w:p>
    <w:p>
      <w:pPr>
        <w:spacing w:after="0" w:line="72" w:lineRule="exact"/>
        <w:rPr>
          <w:sz w:val="20"/>
          <w:szCs w:val="20"/>
          <w:color w:val="auto"/>
        </w:rPr>
      </w:pPr>
    </w:p>
    <w:p>
      <w:pPr>
        <w:jc w:val="both"/>
        <w:ind w:left="1080" w:right="40" w:hanging="532"/>
        <w:spacing w:after="0" w:line="287"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There is not a fixed or determined number of shares of Class A common stock available for sale in connection with the registration and the listing. Therefore, there can be no assurance that any Registered Stockholders or other existing stockholders will sell any of their shares of Class A common stock, and there may initially be a lack of supply of, or demand for, shares of Class A common stock on the NYSE.</w:t>
      </w:r>
    </w:p>
    <w:p>
      <w:pPr>
        <w:spacing w:after="0" w:line="2"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Alternatively, we may have a large number of Registered Stockholders or other existing stockholders who choose to sell their shares of Class A common stock in the near term, resulting in potential oversupply of our Class A common stock, which could adversely impact the trading price of our Class A common stock once listed on the NYSE and thereafter.</w:t>
      </w:r>
    </w:p>
    <w:p>
      <w:pPr>
        <w:spacing w:after="0" w:line="95" w:lineRule="exact"/>
        <w:rPr>
          <w:rFonts w:ascii="Arial" w:cs="Arial" w:eastAsia="Arial" w:hAnsi="Arial"/>
          <w:sz w:val="16"/>
          <w:szCs w:val="16"/>
          <w:color w:val="auto"/>
        </w:rPr>
      </w:pPr>
    </w:p>
    <w:p>
      <w:pPr>
        <w:ind w:left="1080" w:right="60" w:hanging="532"/>
        <w:spacing w:after="0" w:line="287"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7" w:lineRule="exact"/>
        <w:rPr>
          <w:rFonts w:ascii="Arial" w:cs="Arial" w:eastAsia="Arial" w:hAnsi="Arial"/>
          <w:sz w:val="16"/>
          <w:szCs w:val="16"/>
          <w:color w:val="auto"/>
        </w:rPr>
      </w:pPr>
    </w:p>
    <w:p>
      <w:pPr>
        <w:ind w:left="1080" w:hanging="532"/>
        <w:spacing w:after="0" w:line="270"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will not conduct a traditional “roadshow” with underwriters prior to the opening of trading of our Class A common stock on the NYSE. Instead, we will host an investor day and are engaging in certain other investor education meetings. In advance of the investor day, we plan to announce the date for such day over financial news outlets in a manner consistent with typical corporate outreach to investors. We will prepare an electronic presentation for this investor day, which content will be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agreed to indemnify certain of the Registered Stockholders for certain claims arising in connection with sales under this prospectus.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Large indemnity payments would adversely affect our business, results of operations, and financial condition.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could, upon listing on the NYSE, decline significantly and rapidly.</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listing of our Class A common stock and the registration of the Registered Stockholders’ shares of Class A common stock is a novel process</w:t>
      </w:r>
    </w:p>
    <w:p>
      <w:pPr>
        <w:spacing w:after="0" w:line="46"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that is not an underwritten initial public offering. We have engaged , , and to serve as our financial advisors. There will be no book building process and no price at which underwriters initially sell shares to the public to help inform efficient and sufficient price discovery with respect to the opening trades on the NYSE. As there has not been a recent sustained history of trading in our common stock in a private placement market prior to listing, NYSE listing rules require that a designated market maker, or DMM, consult with our financial advisors in order to effect a fair and orderly opening of trading of our Class A common stock without coordination with us, consistent with the federal securities laws in connection with our direct</w:t>
      </w:r>
    </w:p>
    <w:p>
      <w:pPr>
        <w:spacing w:after="0" w:line="1"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listing. Accordingly, the DMM will consult with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 with us, in connection with our direct listing. Pursuant to such NYSE rules, and</w:t>
      </w:r>
    </w:p>
    <w:p>
      <w:pPr>
        <w:ind w:left="120" w:right="40"/>
        <w:spacing w:after="0" w:line="251" w:lineRule="auto"/>
        <w:rPr>
          <w:sz w:val="20"/>
          <w:szCs w:val="20"/>
          <w:color w:val="auto"/>
        </w:rPr>
      </w:pPr>
      <w:r>
        <w:rPr>
          <w:rFonts w:ascii="Arial" w:cs="Arial" w:eastAsia="Arial" w:hAnsi="Arial"/>
          <w:sz w:val="18"/>
          <w:szCs w:val="18"/>
          <w:color w:val="auto"/>
        </w:rPr>
        <w:t>based upon information known to it at that time,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 coordination with us. The DMM, in consultation with our financial advisors, is also expected to consider the information in the section titled “Sale Price History of our Capital Stock.” Based on information provided to the NYSE, the opening public price of our Class A common stock on the NYSE will be determined by buy and sell orders collected by the NYSE from broker-dealers, and the NYSE is where buy orders can be matched with sell orders at a single price. Based on such orders, the DMM will determine an opening price for our Class A common stock pursuant to NYSE rules. However, because our financial advisors will not have engaged in a book building process, they will not be able to provide input to the DMM that is based on or informed by that process. For more information, see the section titled “Plan of Distribution.”</w:t>
      </w:r>
    </w:p>
    <w:p>
      <w:pPr>
        <w:spacing w:after="0" w:line="19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 sell orders collected by the NYSE from various broker-dealers. Consequently, upon listing on the NYSE, the trading price of our Class A common stock may be more volatile than in an underwritten initial public offering and could decline significantly and rapidly.</w:t>
      </w:r>
    </w:p>
    <w:p>
      <w:pPr>
        <w:spacing w:after="0" w:line="17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the NYSE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Prior to the listing of our Class A common stock on the NYSE, there has been no public market for our capital stock. There has been limited trading of our capital stock historically in private transactions. In the section titled “Sale Price History of our Capital Stock,” we have provided the historical sales prices of our capital stock in private transactions. However, we have only recently permitted our capital stock to be transferred in private transactions, and from March 16, 2020 to June 14, 2020, as economic conditions worsened during the COVID-19 pandemic, we restricted the ability of our stockholders to transfer shares of our capital stock at a price per share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0660" w:val="left"/>
        </w:tabs>
        <w:rPr>
          <w:sz w:val="20"/>
          <w:szCs w:val="20"/>
          <w:color w:val="auto"/>
        </w:rPr>
      </w:pPr>
      <w:r>
        <w:rPr>
          <w:rFonts w:ascii="Arial" w:cs="Arial" w:eastAsia="Arial" w:hAnsi="Arial"/>
          <w:sz w:val="17"/>
          <w:szCs w:val="17"/>
          <w:color w:val="auto"/>
        </w:rPr>
        <w:t>below $13.04, which was the estimated fair value of our common stock determined by our board of directors, and from June 15, 2020 to</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2020, we restricted the ability of our stockholders to transfer shares of our capital stock at a price per share below $14.24, which was the estimated fair value of our common stock determined by our board of directors. Given the limited history of sales and the price-based limitation we implemented beginning in March 2020, this information may have little or no relation to broader market demand for our Class A common stock and thus the initial trading price of our Class A common stock on the NYSE once trading begins. As a result, you should not place undue reliance on these historical sales prices as they may differ materially from the opening trading prices and subsequent trading prices of our Class A common stock on the NYSE. For more information about how the initial listing price on the NYSE will be determined, see the section titled “Plan of Distribution.”</w:t>
      </w:r>
    </w:p>
    <w:p>
      <w:pPr>
        <w:spacing w:after="0" w:line="27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currently expect our Class A common stock to be listed and traded on the NYSE. Prior to listing on the NYSE,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 our listing on the NYSE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 of, or demand for, Class A common stock on the NYSE. Conversely, there can be no assurance that the Registered Stockholders and other existing stockholders will not sell all of their shares of Class A common stock, resulting in an oversupply of our Class A common stock on the NYSE. In the case of a lack of supply of 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 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40"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Immediately following the effectiveness of the registration statement of which this prospectus forms a part, Dustin Moskovitz, our co-founder, President, Chief Executive Officer, Chair, and largest stockholder, will beneficially own approximately % of our outstanding Class A common stock and Class B common stock, together as a single class, representing % of the voting power of our capital stock as of , 2020. Additionally, if the two</w:t>
      </w:r>
    </w:p>
    <w:p>
      <w:pPr>
        <w:spacing w:after="0" w:line="2"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3.5% senior mandatory convertible promissory notes due 2025 convert into Class B common stock on or before its maturity date, the number of shares of our Class A common stock beneficially owned by Mr. Moskovitz will increase by a number of shares between 17,012,822 and 27,220,504 shares,</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or and additional percentage points of our voting power, respectively, based on the outstanding shares of our Class A common stock and Class B common stock, together as a single class, as of July 31, 2020. Mr. Moskovitz</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96" w:lineRule="exact"/>
        <w:rPr>
          <w:sz w:val="20"/>
          <w:szCs w:val="20"/>
          <w:color w:val="auto"/>
        </w:rPr>
      </w:pPr>
    </w:p>
    <w:p>
      <w:pPr>
        <w:ind w:left="120" w:right="40"/>
        <w:spacing w:after="0" w:line="310" w:lineRule="auto"/>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 their respective affiliates, who</w:t>
      </w:r>
    </w:p>
    <w:p>
      <w:pPr>
        <w:spacing w:after="0" w:line="1" w:lineRule="exact"/>
        <w:rPr>
          <w:sz w:val="20"/>
          <w:szCs w:val="20"/>
          <w:color w:val="auto"/>
        </w:rPr>
      </w:pPr>
    </w:p>
    <w:p>
      <w:pPr>
        <w:ind w:left="120" w:right="140"/>
        <w:spacing w:after="0" w:line="277" w:lineRule="auto"/>
        <w:rPr>
          <w:sz w:val="20"/>
          <w:szCs w:val="20"/>
          <w:color w:val="auto"/>
        </w:rPr>
      </w:pPr>
      <w:r>
        <w:rPr>
          <w:rFonts w:ascii="Arial" w:cs="Arial" w:eastAsia="Arial" w:hAnsi="Arial"/>
          <w:sz w:val="17"/>
          <w:szCs w:val="17"/>
          <w:b w:val="1"/>
          <w:bCs w:val="1"/>
          <w:i w:val="1"/>
          <w:iCs w:val="1"/>
          <w:color w:val="auto"/>
        </w:rPr>
        <w:t>held in the aggregate % of the voting power of our capital stock as of ,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Class B common stock has 10 votes per share, and our Class A common stock, which is the stock we are listing on the NYSE and is being</w:t>
      </w:r>
    </w:p>
    <w:p>
      <w:pPr>
        <w:spacing w:after="0" w:line="4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registered pursuant to the registration statement of which this prospectus forms a part, has one vote per share. As of , 2020, our founders, directors, executive officers, and their affiliates held in the aggregate %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7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w:t>
      </w:r>
    </w:p>
    <w:p>
      <w:pPr>
        <w:ind w:left="120"/>
        <w:spacing w:after="0"/>
        <w:tabs>
          <w:tab w:leader="none" w:pos="7240" w:val="left"/>
          <w:tab w:leader="none" w:pos="10600" w:val="left"/>
        </w:tabs>
        <w:rPr>
          <w:sz w:val="20"/>
          <w:szCs w:val="20"/>
          <w:color w:val="auto"/>
        </w:rPr>
      </w:pPr>
      <w:r>
        <w:rPr>
          <w:rFonts w:ascii="Arial" w:cs="Arial" w:eastAsia="Arial" w:hAnsi="Arial"/>
          <w:sz w:val="18"/>
          <w:szCs w:val="18"/>
          <w:color w:val="auto"/>
        </w:rPr>
        <w:t>into one share of Class A common stock upon the date that is the earlier of (i)</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jc w:val="both"/>
        <w:ind w:left="120" w:hanging="4"/>
        <w:spacing w:after="0" w:line="253" w:lineRule="auto"/>
        <w:tabs>
          <w:tab w:leader="none" w:pos="10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9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84"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2020, giving effect to the conversion of all outstanding shares of our preferred stock to shares of Class B common stock upon the</w:t>
      </w:r>
    </w:p>
    <w:p>
      <w:pPr>
        <w:spacing w:after="0" w:line="23" w:lineRule="exact"/>
        <w:rPr>
          <w:sz w:val="20"/>
          <w:szCs w:val="20"/>
          <w:color w:val="auto"/>
        </w:rPr>
      </w:pPr>
    </w:p>
    <w:p>
      <w:pPr>
        <w:ind w:left="120"/>
        <w:spacing w:after="0"/>
        <w:tabs>
          <w:tab w:leader="none" w:pos="7220" w:val="left"/>
        </w:tabs>
        <w:rPr>
          <w:sz w:val="20"/>
          <w:szCs w:val="20"/>
          <w:color w:val="auto"/>
        </w:rPr>
      </w:pPr>
      <w:r>
        <w:rPr>
          <w:rFonts w:ascii="Arial" w:cs="Arial" w:eastAsia="Arial" w:hAnsi="Arial"/>
          <w:sz w:val="18"/>
          <w:szCs w:val="18"/>
          <w:color w:val="auto"/>
        </w:rPr>
        <w:t>effectiveness of the registration statement of which this prospectus forms a part, we had</w:t>
      </w:r>
      <w:r>
        <w:rPr>
          <w:sz w:val="20"/>
          <w:szCs w:val="20"/>
          <w:color w:val="auto"/>
        </w:rPr>
        <w:tab/>
      </w:r>
      <w:r>
        <w:rPr>
          <w:rFonts w:ascii="Arial" w:cs="Arial" w:eastAsia="Arial" w:hAnsi="Arial"/>
          <w:sz w:val="16"/>
          <w:szCs w:val="16"/>
          <w:color w:val="auto"/>
        </w:rPr>
        <w:t>shares of common stock outstanding, of which</w:t>
      </w:r>
    </w:p>
    <w:p>
      <w:pPr>
        <w:spacing w:after="0" w:line="9" w:lineRule="exact"/>
        <w:rPr>
          <w:sz w:val="20"/>
          <w:szCs w:val="20"/>
          <w:color w:val="auto"/>
        </w:rPr>
      </w:pPr>
    </w:p>
    <w:p>
      <w:pPr>
        <w:ind w:left="880"/>
        <w:spacing w:after="0"/>
        <w:tabs>
          <w:tab w:leader="none" w:pos="3900" w:val="left"/>
        </w:tabs>
        <w:rPr>
          <w:sz w:val="20"/>
          <w:szCs w:val="20"/>
          <w:color w:val="auto"/>
        </w:rPr>
      </w:pPr>
      <w:r>
        <w:rPr>
          <w:rFonts w:ascii="Arial" w:cs="Arial" w:eastAsia="Arial" w:hAnsi="Arial"/>
          <w:sz w:val="18"/>
          <w:szCs w:val="18"/>
          <w:color w:val="auto"/>
        </w:rPr>
        <w:t>are Class B common stock and</w:t>
      </w:r>
      <w:r>
        <w:rPr>
          <w:sz w:val="20"/>
          <w:szCs w:val="20"/>
          <w:color w:val="auto"/>
        </w:rPr>
        <w:tab/>
      </w:r>
      <w:r>
        <w:rPr>
          <w:rFonts w:ascii="Arial" w:cs="Arial" w:eastAsia="Arial" w:hAnsi="Arial"/>
          <w:sz w:val="16"/>
          <w:szCs w:val="16"/>
          <w:color w:val="auto"/>
        </w:rPr>
        <w:t>are Class A common stock, all of which are “restricted securities” (as defined in Rule 144 under the</w:t>
      </w:r>
    </w:p>
    <w:p>
      <w:pPr>
        <w:spacing w:after="0" w:line="9" w:lineRule="exact"/>
        <w:rPr>
          <w:sz w:val="20"/>
          <w:szCs w:val="20"/>
          <w:color w:val="auto"/>
        </w:rPr>
      </w:pPr>
    </w:p>
    <w:p>
      <w:pPr>
        <w:ind w:left="120"/>
        <w:spacing w:after="0"/>
        <w:tabs>
          <w:tab w:leader="none" w:pos="3160" w:val="left"/>
        </w:tabs>
        <w:rPr>
          <w:sz w:val="20"/>
          <w:szCs w:val="20"/>
          <w:color w:val="auto"/>
        </w:rPr>
      </w:pPr>
      <w:r>
        <w:rPr>
          <w:rFonts w:ascii="Arial" w:cs="Arial" w:eastAsia="Arial" w:hAnsi="Arial"/>
          <w:sz w:val="18"/>
          <w:szCs w:val="18"/>
          <w:color w:val="auto"/>
        </w:rPr>
        <w:t>Securities Act). Approximately</w:t>
      </w:r>
      <w:r>
        <w:rPr>
          <w:sz w:val="20"/>
          <w:szCs w:val="20"/>
          <w:color w:val="auto"/>
        </w:rPr>
        <w:tab/>
      </w:r>
      <w:r>
        <w:rPr>
          <w:rFonts w:ascii="Arial" w:cs="Arial" w:eastAsia="Arial" w:hAnsi="Arial"/>
          <w:sz w:val="16"/>
          <w:szCs w:val="16"/>
          <w:color w:val="auto"/>
        </w:rPr>
        <w:t>of these shares may be converted to Class A common stock and then immediately sold either by the</w:t>
      </w:r>
    </w:p>
    <w:p>
      <w:pPr>
        <w:spacing w:after="0" w:line="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Registered Stockholders pursuant to this prospectus or by our other 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Further, as of , 2020, we had options outstanding that, if fully exercised, would result in the issuance of shares of Class A common stock, as well as shares of Class A common stock subject to RSU awards. All of the shares of Class A common stock issuable upon</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exercise of stock options, subject to RSU awards, and reserved for future issuance under our equity incentive plans, will be registered for public resale under the Securities Act. Accordingly, these shares will be able to be freely sold in the public market upon issuance, subject to applicable vesting requirements and compliance by affiliates with Rule 144.</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securityholders are subject to any contractual lock-up or other restriction on the transfer or sale of their shares.</w:t>
      </w:r>
    </w:p>
    <w:p>
      <w:pPr>
        <w:sectPr>
          <w:pgSz w:w="11900" w:h="16838" w:orient="portrait"/>
          <w:cols w:equalWidth="0" w:num="1">
            <w:col w:w="11100"/>
          </w:cols>
          <w:pgMar w:left="320" w:top="459" w:right="479" w:bottom="1440" w:gutter="0" w:footer="0" w:header="0"/>
        </w:sectPr>
      </w:pP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Following the effectiveness of the registration statement of which this prospectus forms a part, the holders of up to Class B common stock will have rights, subject to some conditions, to require 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shares of our</w:t>
      </w:r>
    </w:p>
    <w:p>
      <w:pPr>
        <w:spacing w:after="0" w:line="408" w:lineRule="exact"/>
        <w:rPr>
          <w:sz w:val="20"/>
          <w:szCs w:val="20"/>
          <w:color w:val="auto"/>
        </w:rPr>
      </w:pPr>
    </w:p>
    <w:p>
      <w:pPr>
        <w:sectPr>
          <w:pgSz w:w="11900" w:h="16838" w:orient="portrait"/>
          <w:cols w:equalWidth="0" w:num="2">
            <w:col w:w="8900" w:space="720"/>
            <w:col w:w="148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the NYSE.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8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a public company, we will be subject to the reporting requirements of the Exchange Act, the listing standards of the NYSE,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after price appreciation, which may never occur, as the only way to realize any future gains on their investments.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and June 2020, we issued and sold to the Dustin Moskovitz Trust, an affiliated trust of</w:t>
      </w:r>
    </w:p>
    <w:p>
      <w:pPr>
        <w:spacing w:after="0" w:line="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Mr. Moskovitz, two 3.5% senior mandatory convertible promissory notes due 2025 for an aggregate principal amount of $450.0 million, which will convert into a number of shares of our Class B common stock between an aggregate of 17,012,822 and 27,220,504 shares on or prior to their maturity dates. Any such issuances could result in substantial dilution to our existing stockholders and cause the trading price of our Class A common stock to decline.</w:t>
      </w:r>
    </w:p>
    <w:p>
      <w:pPr>
        <w:spacing w:after="0" w:line="301"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There are provisions in our restated certificate of incorporation and restated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7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80" w:right="7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6"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amended and restated certificate of incorporation,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320" w:top="459" w:right="5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w:t>
      </w:r>
    </w:p>
    <w:p>
      <w:pPr>
        <w:spacing w:after="0" w:line="4"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w:t>
      </w:r>
    </w:p>
    <w:p>
      <w:pPr>
        <w:spacing w:after="0" w:line="2" w:lineRule="exact"/>
        <w:rPr>
          <w:sz w:val="20"/>
          <w:szCs w:val="20"/>
          <w:color w:val="auto"/>
        </w:rPr>
      </w:pPr>
    </w:p>
    <w:p>
      <w:pPr>
        <w:ind w:left="120" w:right="460"/>
        <w:spacing w:after="0" w:line="277" w:lineRule="auto"/>
        <w:rPr>
          <w:sz w:val="20"/>
          <w:szCs w:val="20"/>
          <w:color w:val="auto"/>
        </w:rPr>
      </w:pPr>
      <w:r>
        <w:rPr>
          <w:rFonts w:ascii="Arial" w:cs="Arial" w:eastAsia="Arial" w:hAnsi="Arial"/>
          <w:sz w:val="17"/>
          <w:szCs w:val="17"/>
          <w:color w:val="auto"/>
        </w:rPr>
        <w:t>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78" w:lineRule="exact"/>
        <w:rPr>
          <w:sz w:val="20"/>
          <w:szCs w:val="20"/>
          <w:color w:val="auto"/>
        </w:rPr>
      </w:pPr>
    </w:p>
    <w:p>
      <w:pPr>
        <w:ind w:left="1080" w:right="9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of our platform within organizations, and sell subscriptions to our platform;</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in the work management market;</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focus on growth to drive long-term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expenses and our expectations regarding our cost of revenues, gross margin, and operating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on our business, results of operations, and financial condition;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potential dispute-related settlement payments, or other litigation-related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about additional hiring;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pricing pressure as a result of competition or otherwise;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fluctuations in foreign currency exchange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including on the rate of global IT spending, and geopolitical uncertainty and instability.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industry publications or reports that have been prepared by independent third parties:</w:t>
      </w:r>
    </w:p>
    <w:p>
      <w:pPr>
        <w:spacing w:after="0" w:line="76" w:lineRule="exact"/>
        <w:rPr>
          <w:sz w:val="20"/>
          <w:szCs w:val="20"/>
          <w:color w:val="auto"/>
        </w:rPr>
      </w:pPr>
    </w:p>
    <w:p>
      <w:pPr>
        <w:ind w:left="1080" w:right="1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International Data Corporation, Inc., Worldwide Collaborative Applications Forecast, 2019-2023: Accelerating Enterprise Collaboration, June 2019</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International Data Corporation, Inc., Worldwide Project and Portfolio Management Forecast, 2019-2023, June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Forrester Research, Inc., New Technologies Create The Need To Design For New Categories of Information Workers, September 2019</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Forrester Research, Inc., The Forrester Wave</w:t>
      </w:r>
      <w:r>
        <w:rPr>
          <w:rFonts w:ascii="Arial" w:cs="Arial" w:eastAsia="Arial" w:hAnsi="Arial"/>
          <w:sz w:val="14"/>
          <w:szCs w:val="14"/>
          <w:color w:val="auto"/>
        </w:rPr>
        <w:t>™</w:t>
      </w:r>
      <w:r>
        <w:rPr>
          <w:rFonts w:ascii="Arial" w:cs="Arial" w:eastAsia="Arial" w:hAnsi="Arial"/>
          <w:sz w:val="17"/>
          <w:szCs w:val="17"/>
          <w:color w:val="auto"/>
        </w:rPr>
        <w:t>: Collaborative Work Management Tools For The Enterprise, Q4 2018, October 2018</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Culture Amp Pty Ltd, FY20 Annual Engagement Survey (December) for Asana, December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publicly available reports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 In addition, the terms of our senior secured term loan facility place restrictions on our ability to declare or pay cash dividends, even if no amounts are currently outstanding.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April 30, 2020 as follows:</w:t>
      </w:r>
    </w:p>
    <w:p>
      <w:pPr>
        <w:spacing w:after="0" w:line="14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 giving effect to the Reclassification; and</w:t>
      </w:r>
    </w:p>
    <w:p>
      <w:pPr>
        <w:spacing w:after="0" w:line="130"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pro forma basis, giving effect to (i) the sale and issuance in June 2020 of a 3.5% senior mandatory convertible promissory note due 2025 in the aggregate principal amount of $150.0 million and (ii) the automatic conversion of all outstanding shares of our preferred stock into an aggregate of 73,577,455 shares of our Class B common stock, as if such conversion had occurred on April 30, 2020.</w:t>
      </w:r>
    </w:p>
    <w:p>
      <w:pPr>
        <w:spacing w:after="0" w:line="14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the sections titled “Selected Consolidated Financial Data” and “Management’s Discussion and Analysis of Financial Condition and Results of Operations” that are included elsewhere in this prospectus.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As of April 30, 2020</w:t>
            </w: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Actual</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share values)</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$ 331,546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$ 481,546</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Convertible note, net due January 2025—related party</w:t>
            </w:r>
            <w:r>
              <w:rPr>
                <w:rFonts w:ascii="Arial" w:cs="Arial" w:eastAsia="Arial" w:hAnsi="Arial"/>
                <w:sz w:val="15"/>
                <w:szCs w:val="15"/>
                <w:color w:val="auto"/>
              </w:rPr>
              <w:t>(1)</w:t>
            </w:r>
          </w:p>
        </w:tc>
        <w:tc>
          <w:tcPr>
            <w:tcW w:w="1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$ 210,088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$ 210,088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due June 2025—related party</w:t>
            </w:r>
            <w:r>
              <w:rPr>
                <w:rFonts w:ascii="Arial" w:cs="Arial" w:eastAsia="Arial" w:hAnsi="Arial"/>
                <w:sz w:val="15"/>
                <w:szCs w:val="15"/>
                <w:color w:val="auto"/>
              </w:rPr>
              <w:t>(2)</w:t>
            </w:r>
          </w:p>
        </w:tc>
        <w:tc>
          <w:tcPr>
            <w:tcW w:w="1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9"/>
        </w:trPr>
        <w:tc>
          <w:tcPr>
            <w:tcW w:w="8980" w:type="dxa"/>
            <w:vAlign w:val="bottom"/>
            <w:gridSpan w:val="2"/>
          </w:tcPr>
          <w:p>
            <w:pPr>
              <w:spacing w:after="0"/>
              <w:rPr>
                <w:sz w:val="20"/>
                <w:szCs w:val="20"/>
                <w:color w:val="auto"/>
              </w:rPr>
            </w:pPr>
            <w:r>
              <w:rPr>
                <w:rFonts w:ascii="Arial" w:cs="Arial" w:eastAsia="Arial" w:hAnsi="Arial"/>
                <w:sz w:val="18"/>
                <w:szCs w:val="18"/>
                <w:color w:val="auto"/>
                <w:w w:val="97"/>
              </w:rPr>
              <w:t>Redeemable convertible preferred stock, $0.00001 par value; 151,101 shares authorized, 73,577 shares issued and</w:t>
            </w: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80"/>
              <w:spacing w:after="0"/>
              <w:rPr>
                <w:sz w:val="20"/>
                <w:szCs w:val="20"/>
                <w:color w:val="auto"/>
              </w:rPr>
            </w:pPr>
            <w:r>
              <w:rPr>
                <w:rFonts w:ascii="Arial" w:cs="Arial" w:eastAsia="Arial" w:hAnsi="Arial"/>
                <w:sz w:val="18"/>
                <w:szCs w:val="18"/>
                <w:color w:val="auto"/>
              </w:rPr>
              <w:t>outstanding, actual; no shares authorized, issued, and outstanding, pro forma</w:t>
            </w:r>
          </w:p>
        </w:tc>
        <w:tc>
          <w:tcPr>
            <w:tcW w:w="2840" w:type="dxa"/>
            <w:vAlign w:val="bottom"/>
            <w:gridSpan w:val="3"/>
          </w:tcPr>
          <w:p>
            <w:pPr>
              <w:jc w:val="right"/>
              <w:ind w:right="181"/>
              <w:spacing w:after="0"/>
              <w:rPr>
                <w:sz w:val="20"/>
                <w:szCs w:val="20"/>
                <w:color w:val="auto"/>
              </w:rPr>
            </w:pPr>
            <w:r>
              <w:rPr>
                <w:rFonts w:ascii="Arial" w:cs="Arial" w:eastAsia="Arial" w:hAnsi="Arial"/>
                <w:sz w:val="18"/>
                <w:szCs w:val="18"/>
                <w:color w:val="auto"/>
              </w:rPr>
              <w:t>250,581</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7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40" w:type="dxa"/>
            <w:vAlign w:val="bottom"/>
          </w:tcPr>
          <w:p>
            <w:pPr>
              <w:ind w:left="360"/>
              <w:spacing w:after="0" w:line="201" w:lineRule="exact"/>
              <w:rPr>
                <w:sz w:val="20"/>
                <w:szCs w:val="20"/>
                <w:color w:val="auto"/>
              </w:rPr>
            </w:pPr>
            <w:r>
              <w:rPr>
                <w:rFonts w:ascii="Arial" w:cs="Arial" w:eastAsia="Arial" w:hAnsi="Arial"/>
                <w:sz w:val="18"/>
                <w:szCs w:val="18"/>
                <w:color w:val="auto"/>
                <w:w w:val="92"/>
              </w:rPr>
              <w:t>Preferred stock, $0.00001 par value; no shares authorized, issued, and outstanding, actual;</w:t>
            </w:r>
          </w:p>
        </w:tc>
        <w:tc>
          <w:tcPr>
            <w:tcW w:w="2840" w:type="dxa"/>
            <w:vAlign w:val="bottom"/>
            <w:gridSpan w:val="3"/>
          </w:tcPr>
          <w:p>
            <w:pPr>
              <w:jc w:val="right"/>
              <w:ind w:right="2021"/>
              <w:spacing w:after="0" w:line="201" w:lineRule="exact"/>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40"/>
              <w:spacing w:after="0"/>
              <w:rPr>
                <w:sz w:val="20"/>
                <w:szCs w:val="20"/>
                <w:color w:val="auto"/>
              </w:rPr>
            </w:pPr>
            <w:r>
              <w:rPr>
                <w:rFonts w:ascii="Arial" w:cs="Arial" w:eastAsia="Arial" w:hAnsi="Arial"/>
                <w:sz w:val="18"/>
                <w:szCs w:val="18"/>
                <w:color w:val="auto"/>
              </w:rPr>
              <w:t>authorized and no shares issued and outstanding, pro forma</w:t>
            </w:r>
          </w:p>
        </w:tc>
        <w:tc>
          <w:tcPr>
            <w:tcW w:w="1840" w:type="dxa"/>
            <w:vAlign w:val="bottom"/>
          </w:tcPr>
          <w:p>
            <w:pPr>
              <w:spacing w:after="0"/>
              <w:rPr>
                <w:sz w:val="20"/>
                <w:szCs w:val="20"/>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98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A common stock, $0.00001 par value; 270,000 shares authorized; 16,094 shares issued and outstanding,</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 16,094 shares issued and outstanding, pro forma</w:t>
            </w:r>
          </w:p>
        </w:tc>
        <w:tc>
          <w:tcPr>
            <w:tcW w:w="18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98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Class B common stock, $0.00001 par value; 270,000 shares authorized; 61,066 shares issued and outstanding,</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540"/>
              <w:spacing w:after="0"/>
              <w:rPr>
                <w:sz w:val="20"/>
                <w:szCs w:val="20"/>
                <w:color w:val="auto"/>
              </w:rPr>
            </w:pPr>
            <w:r>
              <w:rPr>
                <w:rFonts w:ascii="Arial" w:cs="Arial" w:eastAsia="Arial" w:hAnsi="Arial"/>
                <w:sz w:val="18"/>
                <w:szCs w:val="18"/>
                <w:color w:val="auto"/>
              </w:rPr>
              <w:t>actual; 134,643 shares issued and outstanding, pro forma</w:t>
            </w:r>
          </w:p>
        </w:tc>
        <w:tc>
          <w:tcPr>
            <w:tcW w:w="2840" w:type="dxa"/>
            <w:vAlign w:val="bottom"/>
            <w:gridSpan w:val="3"/>
          </w:tcPr>
          <w:p>
            <w:pPr>
              <w:jc w:val="right"/>
              <w:ind w:right="181"/>
              <w:spacing w:after="0"/>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190,112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440,692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40" w:type="dxa"/>
            <w:vAlign w:val="bottom"/>
            <w:gridSpan w:val="3"/>
          </w:tcPr>
          <w:p>
            <w:pPr>
              <w:jc w:val="right"/>
              <w:ind w:right="121"/>
              <w:spacing w:after="0"/>
              <w:rPr>
                <w:sz w:val="20"/>
                <w:szCs w:val="20"/>
                <w:color w:val="auto"/>
              </w:rPr>
            </w:pPr>
            <w:r>
              <w:rPr>
                <w:rFonts w:ascii="Arial" w:cs="Arial" w:eastAsia="Arial" w:hAnsi="Arial"/>
                <w:sz w:val="18"/>
                <w:szCs w:val="18"/>
                <w:color w:val="auto"/>
              </w:rPr>
              <w:t>(143)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(365,581)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(365,581)</w:t>
            </w: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Total stockholders’ (deficit) equity</w:t>
            </w:r>
          </w:p>
        </w:tc>
        <w:tc>
          <w:tcPr>
            <w:tcW w:w="18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(175,611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8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$ 285,058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$ 435,058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60" w:hanging="424"/>
        <w:spacing w:after="0" w:line="230"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a 3.5% senior mandatory convertible promissory note, net of debt discount, due in January 2025. For additional information, see “Description of Capital Stock—Senior Mandatory Convertible Promissory Notes.”</w:t>
      </w:r>
    </w:p>
    <w:p>
      <w:pPr>
        <w:ind w:left="540" w:right="200" w:hanging="424"/>
        <w:spacing w:after="0" w:line="271" w:lineRule="auto"/>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Consists of a 3.5% senior mandatory convertible promissory note issued in June 2020 and due in June 2025. The pro forma amount above reflects the principal amount and does not reflect any debt discount or accrued interest. For additional information, see “Description of Capital Stock—Senior Mandatory Convertible Promissory Notes.”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pro forma column in the table above is based on 16,093,510 shares of Class A common stock and 61,065,725 shares of Class B common stock outstanding as of April 30, 2020, and excludes:</w:t>
      </w:r>
    </w:p>
    <w:p>
      <w:pPr>
        <w:spacing w:after="0" w:line="76" w:lineRule="exact"/>
        <w:rPr>
          <w:sz w:val="20"/>
          <w:szCs w:val="20"/>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32,938,945 shares of our Class A common stock issuable upon the exercise of options to purchase shares of our Class A common stock that were outstanding as of April 30, 2020, with a weighted-average exercise price of $2.6168 per share;</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857,226 shares of our Class B common stock issuable upon the exercise of options to purchase shares of our Class B common stock that were outstanding as of April 30, 2020, with a weighted-average exercise price of $0.1671 per share;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1,984,459 RSUs for shares of our Class A common stock outstanding as of April 30, 2020;</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between 11,282,390 and 18,051,810 shares of our Class B common stock issuable upon the conversion of our 3.5% senior mandatory convertible promissory note due 2025 that was outstanding as of April 30, 2020;</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between 5,730,432 and 9,168,694 shares of our Class B common stock issuable upon the conversion of our 3.5% senior mandatory convertible promissory note due 2025 that was issued on June 26,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3,143,066 shares of our Class A common stock reserved for future issuance under our 2012 Stock Plan, as of April 30, 2020, of which:</w:t>
      </w:r>
    </w:p>
    <w:p>
      <w:pPr>
        <w:spacing w:after="0" w:line="153" w:lineRule="exact"/>
        <w:rPr>
          <w:rFonts w:ascii="Arial" w:cs="Arial" w:eastAsia="Arial" w:hAnsi="Arial"/>
          <w:sz w:val="16"/>
          <w:szCs w:val="16"/>
          <w:color w:val="auto"/>
        </w:rPr>
      </w:pPr>
    </w:p>
    <w:p>
      <w:pPr>
        <w:ind w:left="1540" w:hanging="439"/>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1,588,000 RSUs for shares of our Class A common stock were granted after April 30, 2020; and</w:t>
      </w:r>
    </w:p>
    <w:p>
      <w:pPr>
        <w:spacing w:after="0" w:line="130" w:lineRule="exact"/>
        <w:rPr>
          <w:rFonts w:ascii="Arial" w:cs="Arial" w:eastAsia="Arial" w:hAnsi="Arial"/>
          <w:sz w:val="18"/>
          <w:szCs w:val="18"/>
          <w:color w:val="auto"/>
        </w:rPr>
      </w:pPr>
    </w:p>
    <w:p>
      <w:pPr>
        <w:ind w:left="1540" w:right="260" w:hanging="439"/>
        <w:spacing w:after="0" w:line="308"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1,555,066 shares of our Class A common stock will become available for future issuance under our 2020 Equity Incentive Plan in connection with the effectiveness of the registration statement of which this prospectus forms a part; and</w:t>
      </w:r>
    </w:p>
    <w:p>
      <w:pPr>
        <w:spacing w:after="0" w:line="51" w:lineRule="exact"/>
        <w:rPr>
          <w:rFonts w:ascii="Arial" w:cs="Arial" w:eastAsia="Arial" w:hAnsi="Arial"/>
          <w:sz w:val="17"/>
          <w:szCs w:val="17"/>
          <w:color w:val="auto"/>
        </w:rPr>
      </w:pPr>
    </w:p>
    <w:p>
      <w:pPr>
        <w:ind w:left="1680" w:hanging="1132"/>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shares of our Class A common stock reserved for future issuance under our 2020 Equity Incentive Plan and</w:t>
      </w:r>
    </w:p>
    <w:p>
      <w:pPr>
        <w:spacing w:after="0" w:line="23" w:lineRule="exact"/>
        <w:rPr>
          <w:sz w:val="20"/>
          <w:szCs w:val="20"/>
          <w:color w:val="auto"/>
        </w:rPr>
      </w:pPr>
    </w:p>
    <w:p>
      <w:pPr>
        <w:jc w:val="both"/>
        <w:ind w:left="1080"/>
        <w:spacing w:after="0" w:line="302" w:lineRule="auto"/>
        <w:rPr>
          <w:sz w:val="20"/>
          <w:szCs w:val="20"/>
          <w:color w:val="auto"/>
        </w:rPr>
      </w:pPr>
      <w:r>
        <w:rPr>
          <w:rFonts w:ascii="Arial" w:cs="Arial" w:eastAsia="Arial" w:hAnsi="Arial"/>
          <w:sz w:val="16"/>
          <w:szCs w:val="16"/>
          <w:color w:val="auto"/>
        </w:rPr>
        <w:t>shares of common stock reserved for future issuance under our Employee Stock Purchase Plan, or ESPP, which plans will become effective in connection with the effectiveness of the registration statement of which this prospectus forms a part and will contain provisions that will automatically increase their share reserves each year, as more fully described in “Executive Compensation—Employee Benefit Plans.”</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The selected consolidated statements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The consolidated statements of operations data for the three months ended April 30, 2019 and 2020 and the consolidated balance sheet data as of April 30,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80" w:type="dxa"/>
            <w:vAlign w:val="bottom"/>
            <w:gridSpan w:val="5"/>
          </w:tcPr>
          <w:p>
            <w:pPr>
              <w:jc w:val="center"/>
              <w:ind w:right="16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11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80" w:type="dxa"/>
            <w:vAlign w:val="bottom"/>
            <w:gridSpan w:val="7"/>
          </w:tcPr>
          <w:p>
            <w:pPr>
              <w:jc w:val="right"/>
              <w:ind w:right="61"/>
              <w:spacing w:after="0" w:line="119" w:lineRule="exact"/>
              <w:rPr>
                <w:sz w:val="20"/>
                <w:szCs w:val="20"/>
                <w:color w:val="auto"/>
              </w:rPr>
            </w:pPr>
            <w:r>
              <w:rPr>
                <w:rFonts w:ascii="Arial" w:cs="Arial" w:eastAsia="Arial" w:hAnsi="Arial"/>
                <w:sz w:val="13"/>
                <w:szCs w:val="13"/>
                <w:b w:val="1"/>
                <w:bCs w:val="1"/>
                <w:color w:val="auto"/>
                <w:w w:val="97"/>
              </w:rPr>
              <w:t>(in thousands, except per share amounts)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Revenues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76,770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w w:val="95"/>
              </w:rPr>
              <w:t>142,606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27,970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47,706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13,832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19,881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4,109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122,725</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42,585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rPr>
              <w:t>89,675</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13,432</w:t>
            </w:r>
          </w:p>
        </w:tc>
        <w:tc>
          <w:tcPr>
            <w:tcW w:w="14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52,106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5"/>
              </w:rPr>
              <w:t>105,836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18,859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36,091</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20,260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rPr>
              <w:t>46,845</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6,934</w:t>
            </w:r>
          </w:p>
        </w:tc>
        <w:tc>
          <w:tcPr>
            <w:tcW w:w="14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114,951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5"/>
              </w:rPr>
              <w:t>242,356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39,225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70,585</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(52,013)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(119,631)</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(15,364)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(118,344)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(14,892)</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(35,722)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(50,928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(118,589</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(14,953</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(35,845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1"/>
              <w:spacing w:after="0"/>
              <w:rPr>
                <w:sz w:val="20"/>
                <w:szCs w:val="20"/>
                <w:color w:val="auto"/>
              </w:rPr>
            </w:pPr>
            <w:r>
              <w:rPr>
                <w:rFonts w:ascii="Arial" w:cs="Arial" w:eastAsia="Arial" w:hAnsi="Arial"/>
                <w:sz w:val="18"/>
                <w:szCs w:val="18"/>
                <w:color w:val="auto"/>
              </w:rPr>
              <w:t>(1.69)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1"/>
              <w:spacing w:after="0"/>
              <w:rPr>
                <w:sz w:val="20"/>
                <w:szCs w:val="20"/>
                <w:color w:val="auto"/>
              </w:rPr>
            </w:pPr>
            <w:r>
              <w:rPr>
                <w:rFonts w:ascii="Arial" w:cs="Arial" w:eastAsia="Arial" w:hAnsi="Arial"/>
                <w:sz w:val="18"/>
                <w:szCs w:val="18"/>
                <w:color w:val="auto"/>
              </w:rPr>
              <w:t>(0.22)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65,214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rPr>
              <w:t>70,335</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8"/>
                <w:szCs w:val="18"/>
                <w:color w:val="auto"/>
              </w:rPr>
              <w:t>67,782</w:t>
            </w:r>
          </w:p>
        </w:tc>
        <w:tc>
          <w:tcPr>
            <w:tcW w:w="14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75,641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calculating pro forma net loss per share</w:t>
            </w:r>
            <w:r>
              <w:rPr>
                <w:rFonts w:ascii="Arial" w:cs="Arial" w:eastAsia="Arial" w:hAnsi="Arial"/>
                <w:sz w:val="15"/>
                <w:szCs w:val="15"/>
                <w:color w:val="auto"/>
                <w:w w:val="99"/>
              </w:rPr>
              <w:t>(2)</w:t>
            </w: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Arial" w:cs="Arial" w:eastAsia="Arial" w:hAnsi="Arial"/>
                <w:sz w:val="18"/>
                <w:szCs w:val="18"/>
                <w:color w:val="auto"/>
                <w:w w:val="95"/>
              </w:rPr>
              <w:t>143,887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149,218</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5420"/>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7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Year Ended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1"/>
                <w:szCs w:val="11"/>
                <w:b w:val="1"/>
                <w:bCs w:val="1"/>
                <w:color w:val="auto"/>
                <w:w w:val="90"/>
              </w:rPr>
              <w:t>Three Months Ended</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January 31,</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1"/>
                <w:szCs w:val="11"/>
                <w:b w:val="1"/>
                <w:bCs w:val="1"/>
                <w:color w:val="auto"/>
                <w:w w:val="96"/>
              </w:rPr>
              <w:t>April 30,</w:t>
            </w: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line="115" w:lineRule="exact"/>
              <w:rPr>
                <w:sz w:val="20"/>
                <w:szCs w:val="20"/>
                <w:color w:val="auto"/>
              </w:rPr>
            </w:pPr>
            <w:r>
              <w:rPr>
                <w:rFonts w:ascii="Arial" w:cs="Arial" w:eastAsia="Arial" w:hAnsi="Arial"/>
                <w:sz w:val="11"/>
                <w:szCs w:val="11"/>
                <w:b w:val="1"/>
                <w:bCs w:val="1"/>
                <w:color w:val="auto"/>
              </w:rPr>
              <w:t>2019</w:t>
            </w: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93"/>
              <w:spacing w:after="0" w:line="115" w:lineRule="exact"/>
              <w:rPr>
                <w:sz w:val="20"/>
                <w:szCs w:val="20"/>
                <w:color w:val="auto"/>
              </w:rPr>
            </w:pPr>
            <w:r>
              <w:rPr>
                <w:rFonts w:ascii="Arial" w:cs="Arial" w:eastAsia="Arial" w:hAnsi="Arial"/>
                <w:sz w:val="11"/>
                <w:szCs w:val="11"/>
                <w:b w:val="1"/>
                <w:bCs w:val="1"/>
                <w:color w:val="auto"/>
                <w:w w:val="97"/>
              </w:rPr>
              <w:t>2020</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96"/>
              <w:spacing w:after="0" w:line="115" w:lineRule="exact"/>
              <w:rPr>
                <w:sz w:val="20"/>
                <w:szCs w:val="20"/>
                <w:color w:val="auto"/>
              </w:rPr>
            </w:pPr>
            <w:r>
              <w:rPr>
                <w:rFonts w:ascii="Arial" w:cs="Arial" w:eastAsia="Arial" w:hAnsi="Arial"/>
                <w:sz w:val="11"/>
                <w:szCs w:val="11"/>
                <w:b w:val="1"/>
                <w:bCs w:val="1"/>
                <w:color w:val="auto"/>
                <w:w w:val="81"/>
              </w:rPr>
              <w:t>2019</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1"/>
              <w:spacing w:after="0" w:line="115" w:lineRule="exact"/>
              <w:rPr>
                <w:sz w:val="20"/>
                <w:szCs w:val="20"/>
                <w:color w:val="auto"/>
              </w:rPr>
            </w:pPr>
            <w:r>
              <w:rPr>
                <w:rFonts w:ascii="Arial" w:cs="Arial" w:eastAsia="Arial" w:hAnsi="Arial"/>
                <w:sz w:val="11"/>
                <w:szCs w:val="11"/>
                <w:b w:val="1"/>
                <w:bCs w:val="1"/>
                <w:color w:val="auto"/>
                <w:w w:val="97"/>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(in thousands)</w:t>
            </w:r>
          </w:p>
        </w:tc>
        <w:tc>
          <w:tcPr>
            <w:tcW w:w="960" w:type="dxa"/>
            <w:vAlign w:val="bottom"/>
            <w:gridSpan w:val="3"/>
            <w:vMerge w:val="restart"/>
          </w:tcPr>
          <w:p>
            <w:pPr>
              <w:jc w:val="center"/>
              <w:ind w:left="236"/>
              <w:spacing w:after="0"/>
              <w:rPr>
                <w:sz w:val="20"/>
                <w:szCs w:val="20"/>
                <w:color w:val="auto"/>
              </w:rPr>
            </w:pPr>
            <w:r>
              <w:rPr>
                <w:rFonts w:ascii="Arial" w:cs="Arial" w:eastAsia="Arial" w:hAnsi="Arial"/>
                <w:sz w:val="11"/>
                <w:szCs w:val="11"/>
                <w:b w:val="1"/>
                <w:bCs w:val="1"/>
                <w:color w:val="auto"/>
                <w:w w:val="90"/>
              </w:rPr>
              <w:t>(unaudited)</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7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72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5,160</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24,869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780</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2,108</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13,237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48,386</w:t>
            </w: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1,509</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10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79" w:lineRule="exact"/>
        <w:rPr>
          <w:sz w:val="20"/>
          <w:szCs w:val="20"/>
          <w:color w:val="auto"/>
        </w:rPr>
      </w:pPr>
    </w:p>
    <w:p>
      <w:pPr>
        <w:ind w:left="540" w:right="160" w:hanging="424"/>
        <w:spacing w:after="0" w:line="290" w:lineRule="auto"/>
        <w:tabs>
          <w:tab w:leader="none" w:pos="5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As of January 31,</w:t>
            </w:r>
          </w:p>
        </w:tc>
        <w:tc>
          <w:tcPr>
            <w:tcW w:w="1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1"/>
        </w:trPr>
        <w:tc>
          <w:tcPr>
            <w:tcW w:w="5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820" w:type="dxa"/>
            <w:vAlign w:val="bottom"/>
            <w:gridSpan w:val="2"/>
          </w:tcPr>
          <w:p>
            <w:pPr>
              <w:jc w:val="right"/>
              <w:ind w:right="122"/>
              <w:spacing w:after="0"/>
              <w:rPr>
                <w:sz w:val="20"/>
                <w:szCs w:val="20"/>
                <w:color w:val="auto"/>
              </w:rPr>
            </w:pPr>
            <w:r>
              <w:rPr>
                <w:rFonts w:ascii="Arial" w:cs="Arial" w:eastAsia="Arial" w:hAnsi="Arial"/>
                <w:sz w:val="18"/>
                <w:szCs w:val="18"/>
                <w:color w:val="auto"/>
              </w:rPr>
              <w:t>$  87,967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$ 351,308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$ 331,546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59,662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280,506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253,070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2820" w:type="dxa"/>
            <w:vAlign w:val="bottom"/>
            <w:gridSpan w:val="2"/>
          </w:tcPr>
          <w:p>
            <w:pPr>
              <w:jc w:val="right"/>
              <w:ind w:right="122"/>
              <w:spacing w:after="0"/>
              <w:rPr>
                <w:sz w:val="20"/>
                <w:szCs w:val="20"/>
                <w:color w:val="auto"/>
              </w:rPr>
            </w:pPr>
            <w:r>
              <w:rPr>
                <w:rFonts w:ascii="Arial" w:cs="Arial" w:eastAsia="Arial" w:hAnsi="Arial"/>
                <w:sz w:val="18"/>
                <w:szCs w:val="18"/>
                <w:color w:val="auto"/>
              </w:rPr>
              <w:t>113,749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421,692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406,505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31,918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64,106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70,142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Convertible note, net—related party</w:t>
            </w:r>
            <w:r>
              <w:rPr>
                <w:rFonts w:ascii="Arial" w:cs="Arial" w:eastAsia="Arial" w:hAnsi="Arial"/>
                <w:sz w:val="15"/>
                <w:szCs w:val="15"/>
                <w:color w:val="auto"/>
              </w:rPr>
              <w:t>(2)</w:t>
            </w:r>
          </w:p>
        </w:tc>
        <w:tc>
          <w:tcPr>
            <w:tcW w:w="188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203,097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210,088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94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820" w:type="dxa"/>
            <w:vAlign w:val="bottom"/>
            <w:gridSpan w:val="2"/>
          </w:tcPr>
          <w:p>
            <w:pPr>
              <w:jc w:val="right"/>
              <w:ind w:right="122"/>
              <w:spacing w:after="0"/>
              <w:rPr>
                <w:sz w:val="20"/>
                <w:szCs w:val="20"/>
                <w:color w:val="auto"/>
              </w:rPr>
            </w:pPr>
            <w:r>
              <w:rPr>
                <w:rFonts w:ascii="Arial" w:cs="Arial" w:eastAsia="Arial" w:hAnsi="Arial"/>
                <w:sz w:val="18"/>
                <w:szCs w:val="18"/>
                <w:color w:val="auto"/>
              </w:rPr>
              <w:t>250,370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250,581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250,581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(181,011)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(145,315)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540" w:right="260" w:hanging="424"/>
        <w:spacing w:after="0" w:line="237"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a 3.5% senior mandatory convertible promissory note, net of debt discount, due in January 2025. For additional information, see “Description of Capital Stock—Senior Mandatory Convertible Promissory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following table summarizes our non-GAAP financial measures for each period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4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(43,466)</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(69,333)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(13,855)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(23,917)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Non-GAAP net loss</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(42,381)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(68,213)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(13,444)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(23,686)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(33,587)</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(44,605)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(7,309)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(17,063)</w:t>
            </w:r>
          </w:p>
        </w:tc>
      </w:tr>
    </w:tbl>
    <w:p>
      <w:pPr>
        <w:spacing w:after="0" w:line="20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the launch of the Premium level of Asana in 2012, we have achieved strong growth and the following key milestones: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4757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experienced rapid growth in recent periods. Our revenues were $76.8 million and $142.6 million for fiscal 2019 and fiscal 2020, respectively, representing growth of 86%. Our revenues were $28.0 million and $47.7 million for the three months ended April 30, 2019 and 2020, respectively, representing growth of 71%. As of January 31, 2020, we had 701 employees, representing growth of 65% since January 31, 2019. We had a net loss of $50.9 million and $118.6 million for fiscal 2019 and fiscal 2020, respectively, and $15.0 million and $35.8 million for the three months ended April 30, 2019 and 2020, respectively.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generate revenues from the sale of subscriptions to our cloud-based platform. We offer three levels of paid subscriptions to serve the varying needs of our paying customers: Premium, Business, and Enterprise.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Pricing is based on the number of users and increases with each subscription level as more features and functionality are included. We introduced Enterprise subscriptions and Business subscriptions in December 2016 and November 2018, respectively. These subscriptions have grown to represent approximately 42% of our revenues during the three months ended January 31, 2020, up from 11% during the three months ended January 31, 2019. We have also experienced a shift to larger subscriptions, with subscriptions of over $5,000 representing 54% of our revenues for the three months ended January 31, 2020, compared to 43% for the three months ended January 31, 2019. Paying customers typically pay on a monthly or annual basis, with the majority of our Business and Enterprise level customers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203190" cy="33947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0319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Over 25 million users have registered on Asana since our inception, representing a significant number of users associated with accounts that may convert to paying customers over time. As of January 31, 2020, we had over 1.2 million paid users on Asana. Our free-to-paid conversion rate of registered users, as measured by the number of paid users divided by the total number of then-registered users, has increased from 3.6% as of January 31, 2018 to over 4.8% as of January 31, 2020.</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serve a large and diverse customer base, including over 75,000 paying customers, across all industry verticals and market segments, and over 30% of the FORTUNE 500.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No single customer accounted for more than 1% of our revenues, and our top 100 customers accounted for approximately 9% of our revenues for fiscal 2020. For fiscal 2020, 41% of our revenues were generated outside the United States with limited international sales presence or major product customization.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Go-To-Market Approach</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their adoption of Asana. A majority of our new paying customers initially adopted our platform through self-service and free trials. By providing a free version of Asana, a free trial option, and a feature where customers can invite guests outside of their organizations to use Asana, we are able to seed the market with Asana users.</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Continuing to Acquire New Paying Customers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opportunity depend, in part, on our ability to attract new customers. While we currently have over 75,000 paying customers, we believe we have significant greenfield opportunities among addressable customers worldwide. We also have over 3.2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Retain and Expand Within Existing Customers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77"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overall dollar-based net retention rate was over 110% and over 120% for fiscal 2019 and fiscal 2020, respectively.</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 with us on an annualized basis was over 115% and over 125% for fiscal 2019 and fiscal 2020, respectively.</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$50,000 with us on an annualized basis was over 140% for both fiscal 2019 and fiscal 2020.</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Continue to Invest in Product Development and Functionality</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intend to continue to improve our platform by developing new products and expanding the functionality of existing products. Since our initial release of Asana, we have released a variety of additional functionality and 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 integrations increase the value of our platform to our customers, as they allow our customers to leverage Asana alongside their existing infrastructure. We intend to expend additional resources in the future to continue introducing new products, features, and functionality.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Continue to Invest in Growth</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nearly doubled in size since January 31, 2019. We calculate our payback for a given period by multiplying 12 months by the year-over-year increase in revenue for that period by our gross margin for that period and dividing by the non-GAAP sales and marketing expenses, defined as sales and marketing expenses less stock-based compensation expense, from the prior year’s comparable period for a given fiscal year or quarter. We use this calculation of our payback to track the efficiency of our non-GAAP sales and marketing expenses. For fiscal 2020, our payback was 10.6 months, and for the 12 months ended April 30, 2020, it was 11.4 months. Based on the efficiency of our spend and our large market opportunity, we intend to continue to invest in sales and marketing.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a result of the COVID-19 pandemic, we have temporarily closed our headquarters and other offices, required our employees and contractors to work remotely, and implemented travel restrictions, all of which represent a significant disruption in how we operate our business. The operations of our partners and customers have likewise been disrupted.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potentially future periods.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(43,466)</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(69,333)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(13,855)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(23,917)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Non-GAAP net loss</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(42,381)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(68,213)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(13,444)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(23,686)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(33,587)</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(44,605)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(7,309)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(17,063)</w:t>
            </w:r>
          </w:p>
        </w:tc>
      </w:tr>
      <w:tr>
        <w:trPr>
          <w:trHeight w:val="365"/>
        </w:trPr>
        <w:tc>
          <w:tcPr>
            <w:tcW w:w="3900" w:type="dxa"/>
            <w:vAlign w:val="bottom"/>
          </w:tcPr>
          <w:p>
            <w:pPr>
              <w:spacing w:after="0"/>
              <w:rPr>
                <w:sz w:val="24"/>
                <w:szCs w:val="24"/>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Non-GAAP Loss From Operations and Non-GAAP Net Loss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define non-GAAP loss from operations as loss from operations plus stock-based compensation expense and non-recurring costs, such as direct listing expenses.</w:t>
      </w:r>
    </w:p>
    <w:p>
      <w:pPr>
        <w:spacing w:after="0" w:line="17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We define non-GAAP net loss as net loss plus stock-based compensation expense, amortization of discount and non-cash contractual interest expense related to our senior mandatory convertible promissory note, and non-recurring costs such as direct listing expenses.</w:t>
      </w:r>
    </w:p>
    <w:p>
      <w:pPr>
        <w:spacing w:after="0" w:line="146" w:lineRule="exact"/>
        <w:rPr>
          <w:sz w:val="20"/>
          <w:szCs w:val="20"/>
          <w:color w:val="auto"/>
        </w:rPr>
      </w:pPr>
    </w:p>
    <w:p>
      <w:pPr>
        <w:jc w:val="both"/>
        <w:ind w:left="120" w:right="660" w:firstLine="440"/>
        <w:spacing w:after="0" w:line="286" w:lineRule="auto"/>
        <w:rPr>
          <w:sz w:val="20"/>
          <w:szCs w:val="20"/>
          <w:color w:val="auto"/>
        </w:rPr>
      </w:pPr>
      <w:r>
        <w:rPr>
          <w:rFonts w:ascii="Arial" w:cs="Arial" w:eastAsia="Arial" w:hAnsi="Arial"/>
          <w:sz w:val="17"/>
          <w:szCs w:val="17"/>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define free cash flow as net cash used in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Loss From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right"/>
              <w:ind w:right="9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(52,013)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(119,631)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(15,364)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(29,085)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Add:</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48,386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Direct listing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(43,466)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(69,333)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(13,855)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(23,917)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00" w:type="dxa"/>
            <w:vAlign w:val="bottom"/>
            <w:vMerge w:val="restart"/>
          </w:tcPr>
          <w:p>
            <w:pPr>
              <w:jc w:val="right"/>
              <w:ind w:right="990"/>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Net Loss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8"/>
          </w:tcPr>
          <w:p>
            <w:pPr>
              <w:jc w:val="center"/>
              <w:ind w:right="26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April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5"/>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(50,928)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88"/>
              </w:rPr>
              <w:t>(118,589)</w:t>
            </w:r>
          </w:p>
        </w:tc>
        <w:tc>
          <w:tcPr>
            <w:tcW w:w="1260" w:type="dxa"/>
            <w:vAlign w:val="bottom"/>
            <w:gridSpan w:val="6"/>
            <w:shd w:val="clear" w:color="auto" w:fill="CCEEFF"/>
          </w:tcPr>
          <w:p>
            <w:pPr>
              <w:jc w:val="right"/>
              <w:ind w:right="48"/>
              <w:spacing w:after="0"/>
              <w:rPr>
                <w:sz w:val="20"/>
                <w:szCs w:val="20"/>
                <w:color w:val="auto"/>
              </w:rPr>
            </w:pPr>
            <w:r>
              <w:rPr>
                <w:rFonts w:ascii="Arial" w:cs="Arial" w:eastAsia="Arial" w:hAnsi="Arial"/>
                <w:sz w:val="18"/>
                <w:szCs w:val="18"/>
                <w:color w:val="auto"/>
              </w:rPr>
              <w:t>$ (14,953)</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(35,845)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Add:</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8,547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48,386</w:t>
            </w: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1,509</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Amortization of discount on convertible note</w:t>
            </w:r>
          </w:p>
        </w:tc>
        <w:tc>
          <w:tcPr>
            <w:tcW w:w="52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3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convertible note</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Direct listing expenses</w:t>
            </w:r>
          </w:p>
        </w:tc>
        <w:tc>
          <w:tcPr>
            <w:tcW w:w="52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1,912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3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(42,381)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(68,213)</w:t>
            </w:r>
          </w:p>
        </w:tc>
        <w:tc>
          <w:tcPr>
            <w:tcW w:w="1260" w:type="dxa"/>
            <w:vAlign w:val="bottom"/>
            <w:gridSpan w:val="6"/>
            <w:shd w:val="clear" w:color="auto" w:fill="CCEEFF"/>
          </w:tcPr>
          <w:p>
            <w:pPr>
              <w:jc w:val="right"/>
              <w:ind w:right="48"/>
              <w:spacing w:after="0"/>
              <w:rPr>
                <w:sz w:val="20"/>
                <w:szCs w:val="20"/>
                <w:color w:val="auto"/>
              </w:rPr>
            </w:pPr>
            <w:r>
              <w:rPr>
                <w:rFonts w:ascii="Arial" w:cs="Arial" w:eastAsia="Arial" w:hAnsi="Arial"/>
                <w:sz w:val="18"/>
                <w:szCs w:val="18"/>
                <w:color w:val="auto"/>
              </w:rPr>
              <w:t>$ (13,444)</w:t>
            </w: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(23,686)</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Free Cash Flow</w:t>
            </w: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8"/>
          </w:tcPr>
          <w:p>
            <w:pPr>
              <w:ind w:left="3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7"/>
          </w:tcPr>
          <w:p>
            <w:pPr>
              <w:jc w:val="right"/>
              <w:ind w:right="16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8"/>
          </w:tcPr>
          <w:p>
            <w:pPr>
              <w:ind w:left="320"/>
              <w:spacing w:after="0"/>
              <w:rPr>
                <w:sz w:val="20"/>
                <w:szCs w:val="20"/>
                <w:color w:val="auto"/>
              </w:rPr>
            </w:pPr>
            <w:r>
              <w:rPr>
                <w:rFonts w:ascii="Arial" w:cs="Arial" w:eastAsia="Arial" w:hAnsi="Arial"/>
                <w:sz w:val="14"/>
                <w:szCs w:val="14"/>
                <w:b w:val="1"/>
                <w:bCs w:val="1"/>
                <w:color w:val="auto"/>
              </w:rPr>
              <w:t>January 31,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jc w:val="center"/>
              <w:ind w:left="172"/>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7"/>
          </w:tcPr>
          <w:p>
            <w:pPr>
              <w:jc w:val="right"/>
              <w:ind w:right="51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right w:val="single" w:sz="8" w:color="CCEEFF"/>
            </w:tcBorders>
            <w:gridSpan w:val="2"/>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(44,662)</w:t>
            </w:r>
          </w:p>
        </w:tc>
        <w:tc>
          <w:tcPr>
            <w:tcW w:w="1160" w:type="dxa"/>
            <w:vAlign w:val="bottom"/>
            <w:gridSpan w:val="5"/>
            <w:shd w:val="clear" w:color="auto" w:fill="CCEEFF"/>
          </w:tcPr>
          <w:p>
            <w:pPr>
              <w:jc w:val="right"/>
              <w:ind w:right="181"/>
              <w:spacing w:after="0"/>
              <w:rPr>
                <w:sz w:val="20"/>
                <w:szCs w:val="20"/>
                <w:color w:val="auto"/>
              </w:rPr>
            </w:pPr>
            <w:r>
              <w:rPr>
                <w:rFonts w:ascii="Arial" w:cs="Arial" w:eastAsia="Arial" w:hAnsi="Arial"/>
                <w:sz w:val="18"/>
                <w:szCs w:val="18"/>
                <w:color w:val="auto"/>
              </w:rPr>
              <w:t>$ 12,655</w:t>
            </w:r>
          </w:p>
        </w:tc>
        <w:tc>
          <w:tcPr>
            <w:tcW w:w="94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(7,597)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26,857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1240" w:type="dxa"/>
            <w:vAlign w:val="bottom"/>
            <w:gridSpan w:val="2"/>
          </w:tcPr>
          <w:p>
            <w:pPr>
              <w:spacing w:after="0"/>
              <w:rPr>
                <w:sz w:val="18"/>
                <w:szCs w:val="18"/>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$ 55,293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311,597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9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$(30,180)</w:t>
            </w:r>
          </w:p>
        </w:tc>
        <w:tc>
          <w:tcPr>
            <w:tcW w:w="1160" w:type="dxa"/>
            <w:vAlign w:val="bottom"/>
            <w:gridSpan w:val="5"/>
            <w:shd w:val="clear" w:color="auto" w:fill="CCEEFF"/>
          </w:tcPr>
          <w:p>
            <w:pPr>
              <w:jc w:val="right"/>
              <w:ind w:right="121"/>
              <w:spacing w:after="0"/>
              <w:rPr>
                <w:sz w:val="20"/>
                <w:szCs w:val="20"/>
                <w:color w:val="auto"/>
              </w:rPr>
            </w:pPr>
            <w:r>
              <w:rPr>
                <w:rFonts w:ascii="Arial" w:cs="Arial" w:eastAsia="Arial" w:hAnsi="Arial"/>
                <w:sz w:val="18"/>
                <w:szCs w:val="18"/>
                <w:color w:val="auto"/>
              </w:rPr>
              <w:t>$ (40,136)</w:t>
            </w:r>
          </w:p>
        </w:tc>
        <w:tc>
          <w:tcPr>
            <w:tcW w:w="94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$(6,954)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(18,154)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Less: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(2,850)</w:t>
            </w:r>
          </w:p>
        </w:tc>
        <w:tc>
          <w:tcPr>
            <w:tcW w:w="1160" w:type="dxa"/>
            <w:vAlign w:val="bottom"/>
            <w:gridSpan w:val="5"/>
            <w:shd w:val="clear" w:color="auto" w:fill="CCEEFF"/>
          </w:tcPr>
          <w:p>
            <w:pPr>
              <w:jc w:val="right"/>
              <w:ind w:right="121"/>
              <w:spacing w:after="0"/>
              <w:rPr>
                <w:sz w:val="20"/>
                <w:szCs w:val="20"/>
                <w:color w:val="auto"/>
              </w:rPr>
            </w:pPr>
            <w:r>
              <w:rPr>
                <w:rFonts w:ascii="Arial" w:cs="Arial" w:eastAsia="Arial" w:hAnsi="Arial"/>
                <w:sz w:val="18"/>
                <w:szCs w:val="18"/>
                <w:color w:val="auto"/>
              </w:rPr>
              <w:t>(6,878)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(162)</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(384)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(208)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5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w w:val="97"/>
              </w:rPr>
              <w:t>Purchases of property and equipment from build-out of corporate headquarters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gridSpan w:val="4"/>
          </w:tcPr>
          <w:p>
            <w:pPr>
              <w:jc w:val="right"/>
              <w:ind w:right="60"/>
              <w:spacing w:after="0"/>
              <w:rPr>
                <w:sz w:val="20"/>
                <w:szCs w:val="20"/>
                <w:color w:val="auto"/>
              </w:rPr>
            </w:pPr>
            <w:r>
              <w:rPr>
                <w:rFonts w:ascii="Arial" w:cs="Arial" w:eastAsia="Arial" w:hAnsi="Arial"/>
                <w:sz w:val="18"/>
                <w:szCs w:val="18"/>
                <w:color w:val="auto"/>
                <w:w w:val="88"/>
              </w:rPr>
              <w:t>—</w:t>
            </w:r>
          </w:p>
        </w:tc>
        <w:tc>
          <w:tcPr>
            <w:tcW w:w="1160" w:type="dxa"/>
            <w:vAlign w:val="bottom"/>
            <w:gridSpan w:val="5"/>
          </w:tcPr>
          <w:p>
            <w:pPr>
              <w:jc w:val="right"/>
              <w:ind w:right="181"/>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 listing expenses paid</w:t>
            </w:r>
          </w:p>
        </w:tc>
        <w:tc>
          <w:tcPr>
            <w:tcW w:w="5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Free cash flow</w:t>
            </w:r>
          </w:p>
        </w:tc>
        <w:tc>
          <w:tcPr>
            <w:tcW w:w="1240" w:type="dxa"/>
            <w:vAlign w:val="bottom"/>
            <w:gridSpan w:val="2"/>
          </w:tcPr>
          <w:p>
            <w:pPr>
              <w:spacing w:after="0"/>
              <w:rPr>
                <w:sz w:val="19"/>
                <w:szCs w:val="19"/>
                <w:color w:val="auto"/>
              </w:rPr>
            </w:pPr>
          </w:p>
        </w:tc>
        <w:tc>
          <w:tcPr>
            <w:tcW w:w="6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(33,587</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6"/>
              </w:rPr>
              <w:t>$ (44,605</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(7,309</w:t>
            </w:r>
          </w:p>
        </w:tc>
        <w:tc>
          <w:tcPr>
            <w:tcW w:w="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(17,063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 in dollar amount.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8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each of the last two fiscal years, our personnel-related expenses have been significantly impacted by stock-based compensation expense associated with tender offers.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April 2018, our board of directors approved a plan for a private trust whose sole trustee and grantor is our co-founder, President, Chief Executive Officer, or CEO, and Chair to purchase shares of our Class A and Class B common stock from certain current and former employees. A total of approximately 1.5 million shares were tendered in the offer. The tender offer closed in May 2018, at which time we recorded $3.8 million in stock-based compensation expense related to the excess of the selling price per share paid to our employees and former employees over the fair value of each tendered share.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Research and development expenses consist primarily of personnel-related expenses. These expenses also include product design costs, third-party services and consulting expenses, software subscriptions and expensed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continue to make investments in our sales and marketing organization, and we expect sales and marketing expenses to remain our largest operating expense in dollar amount. We expect our sales and marketing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expenses to continue to increase in dollar amount but to decrease as a percentage of revenues over time, although the percentage may fluctuate from quarter to quarter depending on the extent and timing of our marketing initiatives.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4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also expect to recognize certain expenses as part of our transition to a publicly traded company, consisting of professional fees and other expenses. In the quarters leading up to the listing of our Class A common stock on the NYSE, we expect to incur professional fees and expenses, and in the quarter of our listing we expect to incur fees paid to our financial advisors in addition to other professional fees and expenses related to such listing. Following the listing of our Class A common stock on the NYSE,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income earned on our marketable securities.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Interest expense consists of contractual interest expense and amortization of the debt discount on the senior mandatory convertible promissory note we issued in January 2020 to a trust affiliated with our CEO.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(expense), net consists primarily of foreign currency transaction gains and losses.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 net operating loss carryforwards of $476.7 million and research and development tax credit carryforwards of $21.7 million as of January 31, 2020, which begin expiring in 2029 and 2030, respectively. We expect to maintain this full valuation allowance for the foreseeable future as it is not more likely than not the deferred tax assets will be realized based on our history of losses.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320" w:top="459"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9"/>
              </w:rPr>
              <w:t>Year Ended January 31,</w:t>
            </w:r>
          </w:p>
        </w:tc>
        <w:tc>
          <w:tcPr>
            <w:tcW w:w="100" w:type="dxa"/>
            <w:vAlign w:val="bottom"/>
          </w:tcPr>
          <w:p>
            <w:pPr>
              <w:spacing w:after="0"/>
              <w:rPr>
                <w:sz w:val="14"/>
                <w:szCs w:val="14"/>
                <w:color w:val="auto"/>
              </w:rPr>
            </w:pPr>
          </w:p>
        </w:tc>
        <w:tc>
          <w:tcPr>
            <w:tcW w:w="2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142"/>
        </w:trPr>
        <w:tc>
          <w:tcPr>
            <w:tcW w:w="4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7"/>
          </w:tcPr>
          <w:p>
            <w:pPr>
              <w:jc w:val="right"/>
              <w:ind w:right="360"/>
              <w:spacing w:after="0" w:line="142" w:lineRule="exact"/>
              <w:rPr>
                <w:sz w:val="20"/>
                <w:szCs w:val="20"/>
                <w:color w:val="auto"/>
              </w:rPr>
            </w:pPr>
            <w:r>
              <w:rPr>
                <w:rFonts w:ascii="Arial" w:cs="Arial" w:eastAsia="Arial" w:hAnsi="Arial"/>
                <w:sz w:val="14"/>
                <w:szCs w:val="14"/>
                <w:b w:val="1"/>
                <w:bCs w:val="1"/>
                <w:color w:val="auto"/>
                <w:w w:val="95"/>
              </w:rPr>
              <w:t>(in thousands, except per share amounts)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76,770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142,606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27,970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19,881</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4,109</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6,206</w:t>
            </w:r>
          </w:p>
        </w:tc>
      </w:tr>
      <w:tr>
        <w:trPr>
          <w:trHeight w:val="27"/>
        </w:trPr>
        <w:tc>
          <w:tcPr>
            <w:tcW w:w="4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122,725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41,500</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89,675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22,383</w:t>
            </w: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105,836</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18,859</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36,091</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46,845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12,111</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242,356</w:t>
            </w:r>
          </w:p>
        </w:tc>
        <w:tc>
          <w:tcPr>
            <w:tcW w:w="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39,225</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70,585</w:t>
            </w:r>
          </w:p>
        </w:tc>
        <w:tc>
          <w:tcPr>
            <w:tcW w:w="120" w:type="dxa"/>
            <w:vAlign w:val="bottom"/>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3"/>
              </w:rPr>
              <w:t>(119,631)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(15,364)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r>
      <w:tr>
        <w:trPr>
          <w:trHeight w:val="27"/>
        </w:trPr>
        <w:tc>
          <w:tcPr>
            <w:tcW w:w="4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3"/>
              </w:rPr>
              <w:t>(118,344)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(35,722)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r>
      <w:tr>
        <w:trPr>
          <w:trHeight w:val="27"/>
        </w:trPr>
        <w:tc>
          <w:tcPr>
            <w:tcW w:w="4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(50,928)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3"/>
              </w:rPr>
              <w:t>(118,589)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(35,845)</w:t>
            </w:r>
          </w:p>
        </w:tc>
      </w:tr>
      <w:tr>
        <w:trPr>
          <w:trHeight w:val="20"/>
        </w:trPr>
        <w:tc>
          <w:tcPr>
            <w:tcW w:w="4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6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6"/>
          </w:tcPr>
          <w:p>
            <w:pPr>
              <w:jc w:val="right"/>
              <w:ind w:right="340"/>
              <w:spacing w:after="0"/>
              <w:rPr>
                <w:sz w:val="20"/>
                <w:szCs w:val="20"/>
                <w:color w:val="auto"/>
              </w:rPr>
            </w:pPr>
            <w:r>
              <w:rPr>
                <w:rFonts w:ascii="Arial" w:cs="Arial" w:eastAsia="Arial" w:hAnsi="Arial"/>
                <w:sz w:val="11"/>
                <w:szCs w:val="11"/>
                <w:b w:val="1"/>
                <w:bCs w:val="1"/>
                <w:color w:val="auto"/>
                <w:w w:val="95"/>
              </w:rPr>
              <w:t>Year Ended January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6"/>
          </w:tcPr>
          <w:p>
            <w:pPr>
              <w:ind w:left="20"/>
              <w:spacing w:after="0"/>
              <w:rPr>
                <w:sz w:val="20"/>
                <w:szCs w:val="20"/>
                <w:color w:val="auto"/>
              </w:rPr>
            </w:pPr>
            <w:r>
              <w:rPr>
                <w:rFonts w:ascii="Arial" w:cs="Arial" w:eastAsia="Arial" w:hAnsi="Arial"/>
                <w:sz w:val="11"/>
                <w:szCs w:val="11"/>
                <w:b w:val="1"/>
                <w:bCs w:val="1"/>
                <w:color w:val="auto"/>
              </w:rPr>
              <w:t>Three Months Ended April 30,</w:t>
            </w:r>
          </w:p>
        </w:tc>
      </w:tr>
      <w:tr>
        <w:trPr>
          <w:trHeight w:val="115"/>
        </w:trPr>
        <w:tc>
          <w:tcPr>
            <w:tcW w:w="690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53"/>
              <w:spacing w:after="0" w:line="115"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53"/>
              <w:spacing w:after="0" w:line="115" w:lineRule="exact"/>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93"/>
              <w:spacing w:after="0" w:line="115" w:lineRule="exact"/>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91"/>
              <w:spacing w:after="0" w:line="115" w:lineRule="exact"/>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10"/>
                <w:szCs w:val="10"/>
                <w:color w:val="auto"/>
              </w:rPr>
            </w:pPr>
          </w:p>
        </w:tc>
      </w:tr>
      <w:tr>
        <w:trPr>
          <w:trHeight w:val="115"/>
        </w:trPr>
        <w:tc>
          <w:tcPr>
            <w:tcW w:w="6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6"/>
          </w:tcPr>
          <w:p>
            <w:pPr>
              <w:ind w:left="380"/>
              <w:spacing w:after="0" w:line="115" w:lineRule="exact"/>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r>
      <w:tr>
        <w:trPr>
          <w:trHeight w:val="148"/>
        </w:trPr>
        <w:tc>
          <w:tcPr>
            <w:tcW w:w="690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2,081</w:t>
            </w:r>
          </w:p>
        </w:tc>
      </w:tr>
      <w:tr>
        <w:trPr>
          <w:trHeight w:val="148"/>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w:t>
            </w: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756</w:t>
            </w:r>
          </w:p>
        </w:tc>
      </w:tr>
      <w:tr>
        <w:trPr>
          <w:trHeight w:val="27"/>
        </w:trPr>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6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stock-based compensation expense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8,547</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48,386</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1,509</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3,982</w:t>
            </w: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240"/>
        <w:spacing w:after="0" w:line="253" w:lineRule="auto"/>
        <w:rPr>
          <w:sz w:val="20"/>
          <w:szCs w:val="20"/>
          <w:color w:val="auto"/>
        </w:rPr>
      </w:pPr>
      <w:r>
        <w:rPr>
          <w:rFonts w:ascii="Arial" w:cs="Arial" w:eastAsia="Arial" w:hAnsi="Arial"/>
          <w:sz w:val="14"/>
          <w:szCs w:val="14"/>
          <w:color w:val="auto"/>
        </w:rPr>
        <w:t>Stock-based compensation expense for fiscal 2019 and fiscal 2020 includes $3.8 million and $38.7 million, respectively, of compensation expense related to tender offers described above and in Note 11 to our consolidated financial statements included elsewhere in this prospectus.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70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 January 31,</w:t>
            </w:r>
          </w:p>
        </w:tc>
        <w:tc>
          <w:tcPr>
            <w:tcW w:w="25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47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2019</w:t>
            </w:r>
          </w:p>
        </w:tc>
        <w:tc>
          <w:tcPr>
            <w:tcW w:w="9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r>
      <w:tr>
        <w:trPr>
          <w:trHeight w:val="142"/>
        </w:trPr>
        <w:tc>
          <w:tcPr>
            <w:tcW w:w="4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6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2"/>
              </w:rPr>
              <w:t>(percent of revenues)</w:t>
            </w: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100%</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Cost of revenues</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18</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r>
      <w:tr>
        <w:trPr>
          <w:trHeight w:val="27"/>
        </w:trPr>
        <w:tc>
          <w:tcPr>
            <w:tcW w:w="4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82</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68</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67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9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9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9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(68)</w:t>
            </w: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(66)</w:t>
            </w:r>
          </w:p>
        </w:tc>
        <w:tc>
          <w:tcPr>
            <w:tcW w:w="17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0"/>
        </w:trPr>
        <w:tc>
          <w:tcPr>
            <w:tcW w:w="4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Less than 1%</w:t>
      </w:r>
    </w:p>
    <w:p>
      <w:pPr>
        <w:ind w:left="120"/>
        <w:spacing w:after="0"/>
        <w:rPr>
          <w:sz w:val="20"/>
          <w:szCs w:val="20"/>
          <w:color w:val="auto"/>
        </w:rPr>
      </w:pPr>
      <w:r>
        <w:rPr>
          <w:rFonts w:ascii="Arial" w:cs="Arial" w:eastAsia="Arial" w:hAnsi="Arial"/>
          <w:sz w:val="14"/>
          <w:szCs w:val="14"/>
          <w:color w:val="auto"/>
        </w:rPr>
        <w:t>Note: Certain figures may not sum due to rounding.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Three Months Ended April 30, 2019 to Three Months Ended April 30, 2020</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7"/>
              </w:rPr>
              <w:t>Three Months Ended April 30,</w:t>
            </w:r>
          </w:p>
        </w:tc>
        <w:tc>
          <w:tcPr>
            <w:tcW w:w="16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27,970</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47,706</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19,736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Revenues increased $19.7 million, or 71%, during the three months ended April 30, 2020 compared to the three months ended April 30, 2019. The increase in revenues was primarily due to a shift in our sales mix toward our higher priced subscription plans, such as Enterprise and Business plans, the addition of new paying customers, and revenues generated from our existing paying customers expanding their use of our solution.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8"/>
              </w:rPr>
              <w:t>$ Change</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4,109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2,097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Gross margin</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Cost of revenues increased $2.1 million, or 51%, during the three months ended April 30, 2020 compared to the three months ended April 30, 2019. The increase was primarily due to an increase of $0.7 million in third-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party hosting costs as we increased capacity to support customer usage and growth of our customer base, $0.6 million in personnel-related costs due to increased headcount, $0.4 million in allocated overhead costs as a result of increased overall costs to support the growth of our business and related infrastructure, and $0.4 million in credit card processing fees.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gross margin increased during the three months ended April 30, 2020 compared to the three months ended April 30, 2019 as we increased our revenues and more efficiently managed third-party hosting costs and realized benefits due to economies of scale resulting from increased efficiency with our technology and infrastructure.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Three Months Ended April 30,</w:t>
            </w: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13,432</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22,383</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8,951</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17,232</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5,177</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38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Research and development expenses increased $9.0 million, or 67%, during the three months ended April 30, 2020 compared to the three months ended April 30, 2019. The increase was primarily due to an increase of $6.9 million in personnel-related expenses driven by higher headcount and an increase of $1.7 million in allocated overhead costs as a result of increased overall costs to support the growth of our business and related infrastructure.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left="120" w:right="40" w:firstLine="440"/>
        <w:spacing w:after="0" w:line="291" w:lineRule="auto"/>
        <w:rPr>
          <w:sz w:val="20"/>
          <w:szCs w:val="20"/>
          <w:color w:val="auto"/>
        </w:rPr>
      </w:pPr>
      <w:r>
        <w:rPr>
          <w:rFonts w:ascii="Arial" w:cs="Arial" w:eastAsia="Arial" w:hAnsi="Arial"/>
          <w:sz w:val="16"/>
          <w:szCs w:val="16"/>
          <w:color w:val="auto"/>
        </w:rPr>
        <w:t>Sales and marketing expenses increased $17.2 million, or 91%, during the three months ended April 30, 2020 compared to the three months ended April 30, 2019. The increase was primarily due to an increase of $8.2 million in advertising expenses for our marketing programs, an increase of</w:t>
      </w:r>
    </w:p>
    <w:p>
      <w:pPr>
        <w:ind w:left="120" w:right="460"/>
        <w:spacing w:after="0" w:line="260" w:lineRule="auto"/>
        <w:rPr>
          <w:sz w:val="20"/>
          <w:szCs w:val="20"/>
          <w:color w:val="auto"/>
        </w:rPr>
      </w:pPr>
      <w:r>
        <w:rPr>
          <w:rFonts w:ascii="Arial" w:cs="Arial" w:eastAsia="Arial" w:hAnsi="Arial"/>
          <w:sz w:val="18"/>
          <w:szCs w:val="18"/>
          <w:color w:val="auto"/>
        </w:rPr>
        <w:t>$6.3 million in personnel-related expenses as a result of higher headcount, and an increase of $1.9 million in allocated overhead costs as a result of increased overall costs to support the growth of our business and related infrastructure.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General and administrative expenses increased $5.2 million, or 75%, during the three months ended April 30, 2020 compared to the three months ended April 30, 2019. The increase was primarily due to an increase of $2.7 million in personnel-related expenses driven by higher headcount to support our continued growth and an increase of $1.9 million in fees for professional services associated with preparing to be a public company, including direct listing expenses.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558</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694</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(6,991)</w:t>
            </w:r>
          </w:p>
        </w:tc>
        <w:tc>
          <w:tcPr>
            <w:tcW w:w="4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(6,991)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(86)</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2380" w:type="dxa"/>
            <w:vAlign w:val="bottom"/>
            <w:gridSpan w:val="2"/>
          </w:tcPr>
          <w:p>
            <w:pPr>
              <w:jc w:val="right"/>
              <w:ind w:right="428"/>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Interest income increased $0.1 million, or 24%, during the three months ended April 30, 2020 compared to the three months ended April 30, 2019 primarily due to increased income from our investments in money market and marketable securities as a result of our higher investment balances. Interest expense increased $7.0 million during the three months ended April 30, 2020 compared to the three months ended April 30, 2019 due to the issuance of the senior mandatory convertible promissory note to a trust affiliated with our CEO in January 2020. Other income (expense), net decreased $0.3 million during the three months ended April 30, 2020 compared to the three months ended April 30, 2019 due primarily to an increase in other miscellaneous fees and losses on foreign currency transactions.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Fiscal 2019 and Fiscal 2020</w:t>
      </w:r>
    </w:p>
    <w:p>
      <w:pPr>
        <w:spacing w:after="0" w:line="200" w:lineRule="exact"/>
        <w:rPr>
          <w:sz w:val="20"/>
          <w:szCs w:val="20"/>
          <w:color w:val="auto"/>
        </w:r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January 31,</w:t>
            </w: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7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76,770</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$ 142,606</w:t>
            </w: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$65,836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Revenues increased $65.8 million, or 86%, for fiscal 2020 compared to fiscal 2019. The increase in revenues was primarily due to a shift in our sales mix toward our higher priced subscription plans, such as Enterprise and Business plans, and increased sales of our higher priced subscription plans, the addition of new paying customers, and revenues generated from our existing paying customers as reflected by our dollar-based net retention rate of over 120% as of January 31,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6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Year Ended January 31,</w:t>
            </w: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98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3"/>
              </w:rPr>
              <w:t>$  13,832</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19,881</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Gross margin</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82%</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Cost of revenues increased $6.0 million, or 44%, for fiscal 2020 compared to fiscal 2019. The increase was primarily due to an increase of $3.6 million in third-party hosting costs as we increased capacity to support customer usage and growth of our customer base, $1.6 million in personnel-related costs due to increased headcount, and $1.5 million in credit card processing fees, partially offset by a $0.7 million decrease in amortization of capitalized internal-use software costs.</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gross margin increased for fiscal 2020 compared to fiscal 2019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89,675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$ 47,090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 and marketing</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52,106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105,836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53,730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46,845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26,585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114,951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242,356</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127,405</w:t>
            </w: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20" w:type="dxa"/>
            <w:vAlign w:val="bottom"/>
            <w:vMerge w:val="restart"/>
          </w:tcPr>
          <w:p>
            <w:pPr>
              <w:jc w:val="right"/>
              <w:ind w:right="13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Research and development expenses increased $47.1 million, or 111%, for fiscal 2020 compared to fiscal 2019. The increase was primarily due to an increase of $40.5 million in personnel-related expenses driven by higher headcount and $16.6 million in higher tender offer-related stock-based compensation expense, an increase of $3.9 million in allocated overhead costs as a result of increased overall costs to support the growth of our business and related infrastructure, and an increase of $1.5 million related to software subscriptions and expensed computer equipment used in research and development activities.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Sales and marketing expenses increased $53.7 million, or 103%, for fiscal 2020 compared to fiscal 2019. The increase was primarily due to an increase of $26.1 million in personnel-related expenses as a result of higher headcount and sales commissions for our sales personnel and $7.0 million in higher tender offer-related stock-based compensation expense, an increase of $13.7 million in advertising expenses for our marketing programs, an increase of $7.2 million in fees to marketing vendors, and an increase of $3.6 million in allocated overhead costs as a result of increased overall costs to support the growth of our business and related infrastructure.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General and administrative expenses increased $26.6 million, or 131%, for fiscal 2020 compared to fiscal 2019. The increase was primarily due to an increase of $17.6 million in personnel-related expenses driven by higher headcount to support our continued growth and $11.2 million in higher tender offer-related stock-based compensation expense, an increase of $2.8 million in fees for professional services associated with preparing to be a public company, including direct listing expenses, an increase of $1.6 million in fees paid to external consultants, and an increase of $1.3 million in software subscriptions and expensed computer equipment to support the growth of our business and related infrastructure.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9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   1,290</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   1,755</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8"/>
                <w:szCs w:val="18"/>
                <w:color w:val="auto"/>
              </w:rPr>
            </w:pPr>
          </w:p>
        </w:tc>
        <w:tc>
          <w:tcPr>
            <w:tcW w:w="90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9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(177)</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Interest income increased $0.5 million, or 36%, for fiscal 2020 compared to fiscal 2019 primarily due to increased income from our investments in marketable securities as a result of our higher investment balances in fiscal 2020 compared to fiscal 2019. Interest expense increased $0.1 million for fiscal 2020 compared to fiscal 2019 due to the issuance of the senior mandatory convertible promissory note to a trust affiliated with our CEO. Other income (expense), net decreased $0.2 million in fiscal 2020 compared to fiscal 2019 due primarily to losses on foreign currency transactions.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following tables set forth selected unaudited quarterly statements of operations data for each of the eight fiscal quarters ended April 30, 2020, as well as the percentage of revenues that each line item represents for each quarter. The information for each of these quarters has been prepared in accordance with GAAP on the same basis as our audited annual consolidated financial statements included elsewhere in this prospectus and includes, in the opinion of management, all adjustments, consisting only of normal recurring adjustments, necessary for the fair statement of the results of operations for these periods. This data should be read 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conjunction with our consolidated financial statements included elsewhere in this prospectus. These quarterly results are not necessarily indicative of our results of operations to be expected for any future period.</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80"/>
              <w:spacing w:after="0" w:line="102" w:lineRule="exact"/>
              <w:rPr>
                <w:sz w:val="20"/>
                <w:szCs w:val="20"/>
                <w:color w:val="auto"/>
              </w:rPr>
            </w:pPr>
            <w:r>
              <w:rPr>
                <w:rFonts w:ascii="Arial" w:cs="Arial" w:eastAsia="Arial" w:hAnsi="Arial"/>
                <w:sz w:val="11"/>
                <w:szCs w:val="11"/>
                <w:b w:val="1"/>
                <w:bCs w:val="1"/>
                <w:color w:val="auto"/>
                <w:w w:val="89"/>
              </w:rPr>
              <w:t>July 31,</w:t>
            </w:r>
          </w:p>
        </w:tc>
        <w:tc>
          <w:tcPr>
            <w:tcW w:w="80" w:type="dxa"/>
            <w:vAlign w:val="bottom"/>
          </w:tcPr>
          <w:p>
            <w:pPr>
              <w:spacing w:after="0"/>
              <w:rPr>
                <w:sz w:val="8"/>
                <w:szCs w:val="8"/>
                <w:color w:val="auto"/>
              </w:rPr>
            </w:pPr>
          </w:p>
        </w:tc>
        <w:tc>
          <w:tcPr>
            <w:tcW w:w="76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2"/>
              </w:rPr>
              <w:t>October 31,</w:t>
            </w:r>
          </w:p>
        </w:tc>
        <w:tc>
          <w:tcPr>
            <w:tcW w:w="100" w:type="dxa"/>
            <w:vAlign w:val="bottom"/>
          </w:tcPr>
          <w:p>
            <w:pPr>
              <w:spacing w:after="0"/>
              <w:rPr>
                <w:sz w:val="8"/>
                <w:szCs w:val="8"/>
                <w:color w:val="auto"/>
              </w:rPr>
            </w:pPr>
          </w:p>
        </w:tc>
        <w:tc>
          <w:tcPr>
            <w:tcW w:w="76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2"/>
              </w:rPr>
              <w:t>January 31,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240"/>
              <w:spacing w:after="0" w:line="102" w:lineRule="exact"/>
              <w:rPr>
                <w:sz w:val="20"/>
                <w:szCs w:val="20"/>
                <w:color w:val="auto"/>
              </w:rPr>
            </w:pPr>
            <w:r>
              <w:rPr>
                <w:rFonts w:ascii="Arial" w:cs="Arial" w:eastAsia="Arial" w:hAnsi="Arial"/>
                <w:sz w:val="11"/>
                <w:szCs w:val="11"/>
                <w:b w:val="1"/>
                <w:bCs w:val="1"/>
                <w:color w:val="auto"/>
                <w:w w:val="92"/>
              </w:rPr>
              <w:t>April 30,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80"/>
              <w:spacing w:after="0" w:line="102" w:lineRule="exact"/>
              <w:rPr>
                <w:sz w:val="20"/>
                <w:szCs w:val="20"/>
                <w:color w:val="auto"/>
              </w:rPr>
            </w:pPr>
            <w:r>
              <w:rPr>
                <w:rFonts w:ascii="Arial" w:cs="Arial" w:eastAsia="Arial" w:hAnsi="Arial"/>
                <w:sz w:val="11"/>
                <w:szCs w:val="11"/>
                <w:b w:val="1"/>
                <w:bCs w:val="1"/>
                <w:color w:val="auto"/>
                <w:w w:val="89"/>
              </w:rPr>
              <w:t>July 31,</w:t>
            </w:r>
          </w:p>
        </w:tc>
        <w:tc>
          <w:tcPr>
            <w:tcW w:w="100" w:type="dxa"/>
            <w:vAlign w:val="bottom"/>
          </w:tcPr>
          <w:p>
            <w:pPr>
              <w:spacing w:after="0"/>
              <w:rPr>
                <w:sz w:val="8"/>
                <w:szCs w:val="8"/>
                <w:color w:val="auto"/>
              </w:rPr>
            </w:pPr>
          </w:p>
        </w:tc>
        <w:tc>
          <w:tcPr>
            <w:tcW w:w="74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89"/>
              </w:rPr>
              <w:t>October 31,</w:t>
            </w:r>
          </w:p>
        </w:tc>
        <w:tc>
          <w:tcPr>
            <w:tcW w:w="100" w:type="dxa"/>
            <w:vAlign w:val="bottom"/>
          </w:tcPr>
          <w:p>
            <w:pPr>
              <w:spacing w:after="0"/>
              <w:rPr>
                <w:sz w:val="8"/>
                <w:szCs w:val="8"/>
                <w:color w:val="auto"/>
              </w:rPr>
            </w:pPr>
          </w:p>
        </w:tc>
        <w:tc>
          <w:tcPr>
            <w:tcW w:w="76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2"/>
              </w:rPr>
              <w:t>January 31,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right"/>
              <w:ind w:right="50"/>
              <w:spacing w:after="0" w:line="102" w:lineRule="exact"/>
              <w:rPr>
                <w:sz w:val="20"/>
                <w:szCs w:val="20"/>
                <w:color w:val="auto"/>
              </w:rPr>
            </w:pPr>
            <w:r>
              <w:rPr>
                <w:rFonts w:ascii="Arial" w:cs="Arial" w:eastAsia="Arial" w:hAnsi="Arial"/>
                <w:sz w:val="11"/>
                <w:szCs w:val="11"/>
                <w:b w:val="1"/>
                <w:bCs w:val="1"/>
                <w:color w:val="auto"/>
                <w:w w:val="92"/>
              </w:rPr>
              <w:t>April 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2018</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2020</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right"/>
              <w:ind w:right="560"/>
              <w:spacing w:after="0" w:line="115" w:lineRule="exact"/>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17,605</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20,567</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24,319</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33,087</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38,079</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43,470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Cost of revenues</w:t>
            </w: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20,473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28,445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8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13,397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16,305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18,859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20,166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35,902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30,909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20,222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8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95,836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(12,640)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(63,085)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(25,302)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provision for income taxes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(12,278)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(62,742)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(25,183)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(15,820)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(12,223)</w:t>
            </w: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(12,285)</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(14,953)</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(15,588)</w:t>
            </w: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(62,803)</w:t>
            </w:r>
          </w:p>
        </w:tc>
        <w:tc>
          <w:tcPr>
            <w:tcW w:w="22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(25,245)</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1"/>
                <w:szCs w:val="11"/>
                <w:b w:val="1"/>
                <w:bCs w:val="1"/>
                <w:color w:val="auto"/>
                <w:w w:val="95"/>
              </w:rPr>
              <w:t>Three Months Ended</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33"/>
              <w:spacing w:after="0" w:line="102" w:lineRule="exact"/>
              <w:rPr>
                <w:sz w:val="20"/>
                <w:szCs w:val="20"/>
                <w:color w:val="auto"/>
              </w:rPr>
            </w:pPr>
            <w:r>
              <w:rPr>
                <w:rFonts w:ascii="Arial" w:cs="Arial" w:eastAsia="Arial" w:hAnsi="Arial"/>
                <w:sz w:val="11"/>
                <w:szCs w:val="11"/>
                <w:b w:val="1"/>
                <w:bCs w:val="1"/>
                <w:color w:val="auto"/>
                <w:w w:val="89"/>
              </w:rPr>
              <w:t>July 31,</w:t>
            </w:r>
          </w:p>
        </w:tc>
        <w:tc>
          <w:tcPr>
            <w:tcW w:w="720" w:type="dxa"/>
            <w:vAlign w:val="bottom"/>
            <w:gridSpan w:val="3"/>
          </w:tcPr>
          <w:p>
            <w:pPr>
              <w:ind w:left="180"/>
              <w:spacing w:after="0" w:line="102" w:lineRule="exact"/>
              <w:rPr>
                <w:sz w:val="20"/>
                <w:szCs w:val="20"/>
                <w:color w:val="auto"/>
              </w:rPr>
            </w:pPr>
            <w:r>
              <w:rPr>
                <w:rFonts w:ascii="Arial" w:cs="Arial" w:eastAsia="Arial" w:hAnsi="Arial"/>
                <w:sz w:val="11"/>
                <w:szCs w:val="11"/>
                <w:b w:val="1"/>
                <w:bCs w:val="1"/>
                <w:color w:val="auto"/>
                <w:w w:val="85"/>
              </w:rPr>
              <w:t>October 31,</w:t>
            </w:r>
          </w:p>
        </w:tc>
        <w:tc>
          <w:tcPr>
            <w:tcW w:w="740" w:type="dxa"/>
            <w:vAlign w:val="bottom"/>
            <w:gridSpan w:val="3"/>
          </w:tcPr>
          <w:p>
            <w:pPr>
              <w:ind w:left="200"/>
              <w:spacing w:after="0" w:line="102" w:lineRule="exact"/>
              <w:rPr>
                <w:sz w:val="20"/>
                <w:szCs w:val="20"/>
                <w:color w:val="auto"/>
              </w:rPr>
            </w:pPr>
            <w:r>
              <w:rPr>
                <w:rFonts w:ascii="Arial" w:cs="Arial" w:eastAsia="Arial" w:hAnsi="Arial"/>
                <w:sz w:val="11"/>
                <w:szCs w:val="11"/>
                <w:b w:val="1"/>
                <w:bCs w:val="1"/>
                <w:color w:val="auto"/>
                <w:w w:val="85"/>
              </w:rPr>
              <w:t>January 31,</w:t>
            </w:r>
          </w:p>
        </w:tc>
        <w:tc>
          <w:tcPr>
            <w:tcW w:w="200" w:type="dxa"/>
            <w:vAlign w:val="bottom"/>
          </w:tcPr>
          <w:p>
            <w:pPr>
              <w:spacing w:after="0"/>
              <w:rPr>
                <w:sz w:val="8"/>
                <w:szCs w:val="8"/>
                <w:color w:val="auto"/>
              </w:rPr>
            </w:pPr>
          </w:p>
        </w:tc>
        <w:tc>
          <w:tcPr>
            <w:tcW w:w="5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April 30,</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53"/>
              <w:spacing w:after="0" w:line="102" w:lineRule="exact"/>
              <w:rPr>
                <w:sz w:val="20"/>
                <w:szCs w:val="20"/>
                <w:color w:val="auto"/>
              </w:rPr>
            </w:pPr>
            <w:r>
              <w:rPr>
                <w:rFonts w:ascii="Arial" w:cs="Arial" w:eastAsia="Arial" w:hAnsi="Arial"/>
                <w:sz w:val="11"/>
                <w:szCs w:val="11"/>
                <w:b w:val="1"/>
                <w:bCs w:val="1"/>
                <w:color w:val="auto"/>
                <w:w w:val="84"/>
              </w:rPr>
              <w:t>July 31,</w:t>
            </w:r>
          </w:p>
        </w:tc>
        <w:tc>
          <w:tcPr>
            <w:tcW w:w="180" w:type="dxa"/>
            <w:vAlign w:val="bottom"/>
          </w:tcPr>
          <w:p>
            <w:pPr>
              <w:spacing w:after="0"/>
              <w:rPr>
                <w:sz w:val="8"/>
                <w:szCs w:val="8"/>
                <w:color w:val="auto"/>
              </w:rPr>
            </w:pPr>
          </w:p>
        </w:tc>
        <w:tc>
          <w:tcPr>
            <w:tcW w:w="62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w w:val="92"/>
              </w:rPr>
              <w:t>October 31,</w:t>
            </w:r>
          </w:p>
        </w:tc>
        <w:tc>
          <w:tcPr>
            <w:tcW w:w="740" w:type="dxa"/>
            <w:vAlign w:val="bottom"/>
            <w:gridSpan w:val="3"/>
          </w:tcPr>
          <w:p>
            <w:pPr>
              <w:ind w:left="180"/>
              <w:spacing w:after="0" w:line="102" w:lineRule="exact"/>
              <w:rPr>
                <w:sz w:val="20"/>
                <w:szCs w:val="20"/>
                <w:color w:val="auto"/>
              </w:rPr>
            </w:pPr>
            <w:r>
              <w:rPr>
                <w:rFonts w:ascii="Arial" w:cs="Arial" w:eastAsia="Arial" w:hAnsi="Arial"/>
                <w:sz w:val="11"/>
                <w:szCs w:val="11"/>
                <w:b w:val="1"/>
                <w:bCs w:val="1"/>
                <w:color w:val="auto"/>
                <w:w w:val="89"/>
              </w:rPr>
              <w:t>January 31,</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ind w:right="13"/>
              <w:spacing w:after="0" w:line="102" w:lineRule="exact"/>
              <w:rPr>
                <w:sz w:val="20"/>
                <w:szCs w:val="20"/>
                <w:color w:val="auto"/>
              </w:rPr>
            </w:pPr>
            <w:r>
              <w:rPr>
                <w:rFonts w:ascii="Arial" w:cs="Arial" w:eastAsia="Arial" w:hAnsi="Arial"/>
                <w:sz w:val="11"/>
                <w:szCs w:val="11"/>
                <w:b w:val="1"/>
                <w:bCs w:val="1"/>
                <w:color w:val="auto"/>
                <w:w w:val="87"/>
              </w:rPr>
              <w:t>April 30,</w:t>
            </w:r>
          </w:p>
        </w:tc>
        <w:tc>
          <w:tcPr>
            <w:tcW w:w="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5"/>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11"/>
                <w:szCs w:val="11"/>
                <w:color w:val="auto"/>
              </w:rPr>
            </w:pPr>
          </w:p>
        </w:tc>
      </w:tr>
      <w:tr>
        <w:trPr>
          <w:trHeight w:val="11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right"/>
              <w:ind w:right="213"/>
              <w:spacing w:after="0" w:line="115" w:lineRule="exact"/>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2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21,068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2,081</w:t>
            </w:r>
          </w:p>
        </w:tc>
        <w:tc>
          <w:tcPr>
            <w:tcW w:w="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12,042</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623</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w:t>
            </w:r>
          </w:p>
        </w:tc>
        <w:tc>
          <w:tcPr>
            <w:tcW w:w="4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1,509</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32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41,628</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53" w:lineRule="auto"/>
        <w:rPr>
          <w:sz w:val="20"/>
          <w:szCs w:val="20"/>
          <w:color w:val="auto"/>
        </w:rPr>
      </w:pPr>
      <w:r>
        <w:rPr>
          <w:rFonts w:ascii="Arial" w:cs="Arial" w:eastAsia="Arial" w:hAnsi="Arial"/>
          <w:sz w:val="14"/>
          <w:szCs w:val="14"/>
          <w:color w:val="auto"/>
        </w:rPr>
        <w:t>Stock-based compensation expense for the quarters ended July 31, 2018 and October 31, 2019 included $3.8 million and $38.7 million, respectively, of stock-based compensation expense related to tender offers described above and in Note 11 to our consolidated financial statements included elsewhere in this prospectus.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values from the statements of operations data, expressed as a percentage of revenues,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8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2840" w:type="dxa"/>
            <w:vAlign w:val="bottom"/>
          </w:tcPr>
          <w:p>
            <w:pPr>
              <w:spacing w:after="0"/>
              <w:rPr>
                <w:sz w:val="9"/>
                <w:szCs w:val="9"/>
                <w:color w:val="auto"/>
              </w:rPr>
            </w:pPr>
          </w:p>
        </w:tc>
        <w:tc>
          <w:tcPr>
            <w:tcW w:w="94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5"/>
              </w:rPr>
              <w:t>July 31,</w:t>
            </w:r>
          </w:p>
        </w:tc>
        <w:tc>
          <w:tcPr>
            <w:tcW w:w="112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0"/>
              </w:rPr>
              <w:t>October 31,</w:t>
            </w:r>
          </w:p>
        </w:tc>
        <w:tc>
          <w:tcPr>
            <w:tcW w:w="116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6"/>
              </w:rPr>
              <w:t>January 31,</w:t>
            </w:r>
          </w:p>
        </w:tc>
        <w:tc>
          <w:tcPr>
            <w:tcW w:w="100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7"/>
              </w:rPr>
              <w:t>April 30,</w:t>
            </w:r>
          </w:p>
        </w:tc>
        <w:tc>
          <w:tcPr>
            <w:tcW w:w="94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0"/>
              </w:rPr>
              <w:t>July 31,</w:t>
            </w:r>
          </w:p>
        </w:tc>
        <w:tc>
          <w:tcPr>
            <w:tcW w:w="114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3"/>
              </w:rPr>
              <w:t>October 31,</w:t>
            </w:r>
          </w:p>
        </w:tc>
        <w:tc>
          <w:tcPr>
            <w:tcW w:w="1160" w:type="dxa"/>
            <w:vAlign w:val="bottom"/>
            <w:gridSpan w:val="2"/>
          </w:tcPr>
          <w:p>
            <w:pPr>
              <w:jc w:val="right"/>
              <w:ind w:right="500"/>
              <w:spacing w:after="0" w:line="110" w:lineRule="exact"/>
              <w:rPr>
                <w:sz w:val="20"/>
                <w:szCs w:val="20"/>
                <w:color w:val="auto"/>
              </w:rPr>
            </w:pPr>
            <w:r>
              <w:rPr>
                <w:rFonts w:ascii="Arial" w:cs="Arial" w:eastAsia="Arial" w:hAnsi="Arial"/>
                <w:sz w:val="12"/>
                <w:szCs w:val="12"/>
                <w:b w:val="1"/>
                <w:bCs w:val="1"/>
                <w:color w:val="auto"/>
                <w:w w:val="96"/>
              </w:rPr>
              <w:t>January 31,</w:t>
            </w: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April 30,</w:t>
            </w:r>
          </w:p>
        </w:tc>
        <w:tc>
          <w:tcPr>
            <w:tcW w:w="220" w:type="dxa"/>
            <w:vAlign w:val="bottom"/>
          </w:tcPr>
          <w:p>
            <w:pPr>
              <w:spacing w:after="0"/>
              <w:rPr>
                <w:sz w:val="9"/>
                <w:szCs w:val="9"/>
                <w:color w:val="auto"/>
              </w:rPr>
            </w:pPr>
          </w:p>
        </w:tc>
      </w:tr>
      <w:tr>
        <w:trPr>
          <w:trHeight w:val="153"/>
        </w:trPr>
        <w:tc>
          <w:tcPr>
            <w:tcW w:w="28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42"/>
        </w:trPr>
        <w:tc>
          <w:tcPr>
            <w:tcW w:w="2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9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11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100%</w:t>
            </w:r>
          </w:p>
        </w:tc>
        <w:tc>
          <w:tcPr>
            <w:tcW w:w="11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100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116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100%</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100%</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Cost of revenues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4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w:t>
            </w:r>
          </w:p>
        </w:tc>
      </w:tr>
      <w:tr>
        <w:trPr>
          <w:trHeight w:val="27"/>
        </w:trPr>
        <w:tc>
          <w:tcPr>
            <w:tcW w:w="2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85</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86</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86</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Research and development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73</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104</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46</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r>
      <w:tr>
        <w:trPr>
          <w:trHeight w:val="149"/>
        </w:trPr>
        <w:tc>
          <w:tcPr>
            <w:tcW w:w="28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72</w:t>
            </w: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65</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61</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94</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71</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w:t>
            </w:r>
          </w:p>
        </w:tc>
      </w:tr>
      <w:tr>
        <w:trPr>
          <w:trHeight w:val="148"/>
        </w:trPr>
        <w:tc>
          <w:tcPr>
            <w:tcW w:w="2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53</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w:t>
            </w:r>
          </w:p>
        </w:tc>
      </w:tr>
      <w:tr>
        <w:trPr>
          <w:trHeight w:val="163"/>
        </w:trPr>
        <w:tc>
          <w:tcPr>
            <w:tcW w:w="284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5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w:t>
            </w:r>
          </w:p>
        </w:tc>
        <w:tc>
          <w:tcPr>
            <w:tcW w:w="4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w:t>
            </w:r>
          </w:p>
        </w:tc>
        <w:tc>
          <w:tcPr>
            <w:tcW w:w="5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w:t>
            </w:r>
          </w:p>
        </w:tc>
        <w:tc>
          <w:tcPr>
            <w:tcW w:w="5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w:t>
            </w:r>
          </w:p>
        </w:tc>
        <w:tc>
          <w:tcPr>
            <w:tcW w:w="5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w:t>
            </w:r>
          </w:p>
        </w:tc>
        <w:tc>
          <w:tcPr>
            <w:tcW w:w="5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5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w:t>
            </w:r>
          </w:p>
        </w:tc>
        <w:tc>
          <w:tcPr>
            <w:tcW w:w="220" w:type="dxa"/>
            <w:vAlign w:val="bottom"/>
          </w:tcPr>
          <w:p>
            <w:pPr>
              <w:spacing w:after="0"/>
              <w:rPr>
                <w:sz w:val="14"/>
                <w:szCs w:val="14"/>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(91)</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(52)</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(166)</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27"/>
        </w:trPr>
        <w:tc>
          <w:tcPr>
            <w:tcW w:w="2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provision for income taxes</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(59)</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(50)</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(165)</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w:t>
            </w: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r>
      <w:tr>
        <w:trPr>
          <w:trHeight w:val="27"/>
        </w:trPr>
        <w:tc>
          <w:tcPr>
            <w:tcW w:w="28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w:t>
            </w: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(59)%</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(165)%</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w:t>
            </w:r>
          </w:p>
        </w:tc>
      </w:tr>
      <w:tr>
        <w:trPr>
          <w:trHeight w:val="20"/>
        </w:trPr>
        <w:tc>
          <w:tcPr>
            <w:tcW w:w="2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Less than 1%</w:t>
      </w:r>
    </w:p>
    <w:p>
      <w:pPr>
        <w:ind w:left="120"/>
        <w:spacing w:after="0"/>
        <w:rPr>
          <w:sz w:val="20"/>
          <w:szCs w:val="20"/>
          <w:color w:val="auto"/>
        </w:rPr>
      </w:pPr>
      <w:r>
        <w:rPr>
          <w:rFonts w:ascii="Arial" w:cs="Arial" w:eastAsia="Arial" w:hAnsi="Arial"/>
          <w:sz w:val="14"/>
          <w:szCs w:val="14"/>
          <w:color w:val="auto"/>
        </w:rPr>
        <w:t>Note: Certain figures might not sum due to rounding.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Trends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quarterly revenues increased sequentially in each of the periods presented due primarily to a shift in our sales mix toward our higher priced subscription plans, such as Enterprise and Business plans, and increased sales of our higher priced subscription plans, as well as the addition of new paying customers, and revenue growth from expansion within existing paying customers.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Revenues and Gross Margin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Cost of revenues increased sequentially in each of the quarters presented, primarily driven by increased third-party hosting-related costs due to expanded use of our cloud-based platform by new and existing customers, personnel-related costs, and credit card processing fees.</w:t>
      </w:r>
    </w:p>
    <w:p>
      <w:pPr>
        <w:spacing w:after="0" w:line="146" w:lineRule="exact"/>
        <w:rPr>
          <w:sz w:val="20"/>
          <w:szCs w:val="20"/>
          <w:color w:val="auto"/>
        </w:rPr>
      </w:pPr>
    </w:p>
    <w:p>
      <w:pPr>
        <w:ind w:left="120" w:right="680" w:firstLine="440"/>
        <w:spacing w:after="0" w:line="263" w:lineRule="auto"/>
        <w:rPr>
          <w:sz w:val="20"/>
          <w:szCs w:val="20"/>
          <w:color w:val="auto"/>
        </w:rPr>
      </w:pPr>
      <w:r>
        <w:rPr>
          <w:rFonts w:ascii="Arial" w:cs="Arial" w:eastAsia="Arial" w:hAnsi="Arial"/>
          <w:sz w:val="18"/>
          <w:szCs w:val="18"/>
          <w:color w:val="auto"/>
        </w:rPr>
        <w:t>Our quarterly gross margin has increased sequentially in each of the quarters presented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120" w:right="40" w:firstLine="440"/>
        <w:spacing w:after="0" w:line="327" w:lineRule="auto"/>
        <w:rPr>
          <w:sz w:val="20"/>
          <w:szCs w:val="20"/>
          <w:color w:val="auto"/>
        </w:rPr>
      </w:pPr>
      <w:r>
        <w:rPr>
          <w:rFonts w:ascii="Arial" w:cs="Arial" w:eastAsia="Arial" w:hAnsi="Arial"/>
          <w:sz w:val="15"/>
          <w:szCs w:val="15"/>
          <w:color w:val="auto"/>
        </w:rPr>
        <w:t>Total operating expenses have increased sequentially in each quarter presented except for the third quarter of fiscal 2019 and the fourth quarter of fiscal 2020 when they decreased compared to the prior quarter, as a result of the higher stock-based compensation expense from our fiscal 2019 and fiscal 2020 tender offers recorded in the prior quarter as discussed below. The increases in total operating expenses were primarily due to increases in personnel-related expenses as a result of increased headcount and other related expenses to support the growth of our business and related infrastructure.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increases in research and development, sales and marketing, and general and administrative expenses in the second quarter of fiscal 2019 and in the third quarter of fiscal 2020 were due in part to stock-based compensation expense of $3.8 million and $38.7 million, respectively, attributable to our fiscal 2019 and fiscal 2020 tender offers. The increases in sales and marketing expenses in the fourth quarter of fiscal 2019, the third quarter of fiscal 2020, and the first quarter of fiscal 2021 were due in part to an increase in investments in brand and other paid marketing campaigns. The increase in general and administrative expenses in the fourth quarter of fiscal 2020 was due in part to legal and accounting expenses associated with preparing to be a public company, including direct listing expenses.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interest expense increased for the first quarter of fiscal 2021 as the result of the senior mandatory convertible promissory note issued in January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and cash generated from the sale of subscriptions to our platform. We have generated losses from our operations as reflected in our accumulated deficit of $365.6 million as of April 30, 2020 and negative cash flows from operating activities for fiscal 2019, fiscal 2020, and the three months ended April 30, 2019 and 2020.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pacing w:after="0" w:line="17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April 30, 2020, our principal sources of liquidity were cash, cash equivalents, and marketable securities of $331.5 million and restricted cash of $4.6 million.</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No amounts are outstanding under the term loan.</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substantial source of our cash provided by operating activities is our deferred revenue, which is included on our consolidated balance sheets as a liability. Deferred revenue consists of the unearned portion of billed fees for our subscriptions, which is recorded as revenues over the term of the subscription agreement. As of January 31, 2020 and April 30, 2020, we had $64.1 million and $70.1 million of deferred revenue, respectively, of which $62.7 million and $68.6 million, respectively, were recorded as a current liability. This deferred revenue will be recognized as revenues when all of the revenue recognition criteria are met.</w:t>
      </w:r>
    </w:p>
    <w:p>
      <w:pPr>
        <w:spacing w:after="0" w:line="18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9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4"/>
                <w:szCs w:val="14"/>
                <w:color w:val="auto"/>
              </w:rPr>
            </w:pPr>
          </w:p>
        </w:tc>
        <w:tc>
          <w:tcPr>
            <w:tcW w:w="2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142"/>
        </w:trPr>
        <w:tc>
          <w:tcPr>
            <w:tcW w:w="56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99"/>
              </w:rPr>
              <w:t>$   (30,180)</w:t>
            </w: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(40,136)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(6,954)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(18,154)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Pr>
          <w:p>
            <w:pPr>
              <w:jc w:val="right"/>
              <w:ind w:right="177"/>
              <w:spacing w:after="0"/>
              <w:rPr>
                <w:sz w:val="20"/>
                <w:szCs w:val="20"/>
                <w:color w:val="auto"/>
              </w:rPr>
            </w:pPr>
            <w:r>
              <w:rPr>
                <w:rFonts w:ascii="Arial" w:cs="Arial" w:eastAsia="Arial" w:hAnsi="Arial"/>
                <w:sz w:val="18"/>
                <w:szCs w:val="18"/>
                <w:color w:val="auto"/>
              </w:rPr>
              <w:t>(44,662)</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12,655</w:t>
            </w:r>
          </w:p>
        </w:tc>
        <w:tc>
          <w:tcPr>
            <w:tcW w:w="180" w:type="dxa"/>
            <w:vAlign w:val="bottom"/>
          </w:tcPr>
          <w:p>
            <w:pPr>
              <w:spacing w:after="0"/>
              <w:rPr>
                <w:sz w:val="18"/>
                <w:szCs w:val="18"/>
                <w:color w:val="auto"/>
              </w:rPr>
            </w:pP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(7,597)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26,857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55,293</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311,597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799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Net cash used in operating activities of $18.2 million for the three months ended April 30, 2020 reflects our net loss of $35.8 million, adjusted by non-cash items such as amortization of discount on convertible note of $4.4 million, stock-based compensation expense of $4.0 million, non-cash lease expense of $3.0 million, non-cash interest expense of $2.6 million, depreciation and amortization of $0.7 million, and amortization of deferred contract acquisition costs of $0.7 million, and net cash inflows of $2.0 million from changes in our operating assets and liabilities. The net cash inflows from changes in operating assets and liabilities primarily consisted of a $6.0 million increase in deferred revenue, resulting from increased billings for subscriptions and a $3.1 million increase in accounts payable. These amounts were partially offset by a $2.9 million increase in accounts receivable due to higher customer billings, a $3.0 million decrease in operating lease liabilities, and a $1.1 million increase in prepaid expenses and other current assets related to an increase in deposits and in deferred contract acquisition costs.</w:t>
      </w:r>
    </w:p>
    <w:p>
      <w:pPr>
        <w:spacing w:after="0" w:line="17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Net cash used in operating activities of $7.0 million for the three months ended April 30, 2019 reflects our net loss of $15.0 million, adjusted by non-cash items such as non-cash lease expense of $2.3 million, stock-based compensation expense of $1.5 million, depreciation and amortization of $0.6 million, and net cash inflows of $3.7 million from changes in our operating assets and liabilities. The net cash inflows from changes in operating assets and liabilities primarily consisted of a $7.7 million increase in deferred revenue, resulting from increased billings for subscriptions and a</w:t>
      </w:r>
    </w:p>
    <w:p>
      <w:pPr>
        <w:spacing w:after="0" w:line="1"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$1.4 million increase in accounts payable. These amounts were partially offset by a $1.6 million decrease in operating lease liabilities and a $1.5 million increase in prepaid expenses and other current assets primarily related to an increase in deferred contract acquisition costs.</w:t>
      </w:r>
    </w:p>
    <w:p>
      <w:pPr>
        <w:spacing w:after="0" w:line="16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Net cash used in operating activities of $40.1 million for fiscal 2020 reflects our net loss of $118.6 million, adjusted by non-cash items such as stock-based compensation expense of $48.4 million, non-cash lease expense of $8.2 million, depreciation and amortization of $2.2 million, amortization of deferred contract acquisition costs of $1.6 million, and net accretion of discount on marketable securities of $1.0 million, and net cash inflows of $18.2 million from changes in our operating assets and liabilities. The net cash inflows from changes in operating assets and liabilities primarily consisted of a $32.2 million increase in deferred revenue, resulting from increased billings for subscriptions, and an $8.3 million increase in accrued expenses and other current liabilities, resulting primarily from increases in accrued professional services, marketing, accrued payroll, and benefits, and a $3.5 million increase in accounts payable. These amounts were partially offset by an $8.7 million increase in prepaid expenses and other current assets related to an increase in prepayments made in advance for future services and an increase in deferred contract acquisition costs, a $7.7 million increase in accounts receivable due to higher customer billings, and a $7.6 million decrease in operating lease liabilities.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Net cash used in operating activities of $30.2 million for fiscal 2019 reflects our net loss of $50.9 million, offset by non-cash items such as stock-based compensation expense of $8.5 million and depreciation and amortization of $4.2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or ASC 606, and a $3.4 million increase in accounts receivable due to higher customer billings.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Net cash provided by investing activities of $26.9 million for the three months ended April 30, 2020 consisted of $29.4 million in maturities of marketable securities, partially offset by $2.1 million in purchases of property and equipment from an increase in construction in progress and $0.5 million in capitalized internal-use software costs.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used in investing activities of $7.6 million for the three months ended April 30, 2019 consisted of $7.2 million in net purchases, sales, and maturities of marketable securities, $0.2 million in capitalized internal-use software costs, and $0.2 million in purchases of property and equipment from an increase in construction in progress.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cash provided by investing activities of $12.7 million for fiscal 2020 consisted of $19.9 million in net purchases, sales, and maturities of marketable securities, partially offset by $6.9 million in purchases of property and equipment from an increase in construction in progress and leasehold improvements, and $0.4 million in capitalized internal-use software costs.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Net cash provided by financing activities of $0.9 million for the three months ended April 30, 2020 consisted of $1.0 million in proceeds from the exercise of stock options, partially offset by $0.1 million in repurchases of common stock.</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of $0.8 million for the three months ended April 30, 2019 primarily consisted of $0.8 million in proceeds from the exercise of stock options.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Net cash provided by financing activities of $311.6 million for fiscal 2020 consisted of $300.0 million of proceeds from the issuance of a senior mandatory convertible promissory note in January 2020 to a trust affiliated with our CEO and $11.7 million in proceeds from the exercise of stock options, partially offset by $0.1 million in repurchases of common stock.</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520" w:type="dxa"/>
            <w:vAlign w:val="bottom"/>
          </w:tcPr>
          <w:p>
            <w:pPr>
              <w:spacing w:after="0"/>
              <w:rPr>
                <w:sz w:val="10"/>
                <w:szCs w:val="10"/>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1-3 Years</w:t>
            </w:r>
          </w:p>
        </w:tc>
        <w:tc>
          <w:tcPr>
            <w:tcW w:w="60" w:type="dxa"/>
            <w:vAlign w:val="bottom"/>
          </w:tcPr>
          <w:p>
            <w:pPr>
              <w:spacing w:after="0"/>
              <w:rPr>
                <w:sz w:val="10"/>
                <w:szCs w:val="10"/>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6"/>
              </w:rPr>
              <w:t>3-5 Years</w:t>
            </w:r>
          </w:p>
        </w:tc>
        <w:tc>
          <w:tcPr>
            <w:tcW w:w="30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$22,852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12,156</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$10,696</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(2)</w:t>
            </w:r>
          </w:p>
        </w:tc>
        <w:tc>
          <w:tcPr>
            <w:tcW w:w="14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c>
          <w:tcPr>
            <w:tcW w:w="5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32,012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21,316</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10,696</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offices. Amounts above include imputed interest.</w:t>
      </w:r>
    </w:p>
    <w:p>
      <w:pPr>
        <w:ind w:left="540" w:right="60" w:hanging="424"/>
        <w:spacing w:after="0" w:line="232"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2020 and April 30, 2020, we had $9.2 million and $5.4 million, respectively, remaining on the commitment.</w:t>
      </w:r>
    </w:p>
    <w:p>
      <w:pPr>
        <w:spacing w:after="0" w:line="18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February 2019, we entered into a new lease agreement for our corporate headquarters in San Francisco. This lease commenced in May 2020 and expires in October 2033. As part of the agreement, we issued a $17.0 million letter of credit upon access to the office space. We expect to start making recurring rental payments under the lease in the second quarter of fiscal 2022. We have begun participating in the construction of the office space and will incur construction costs to prepare the office space for its use, which will be partially reimbursed by the landlord. As of January 31, 2020, the future minimum payments and capital commitments related to this lease, which include tenant improvement allowances of $26.6 million, totaled $466.0 million. Subsequent to January 31, 2020, we incurred a delay associated with the construction of the office space, and as a result, we expect to incur a total of $457.4 million of future minimum payments and capital commitments as of April 30, 2020. Additionally, in April 2020, we amended the lease arrangement to include additional space, for which future minimum payments total $3.9 million. Our CEO acts as a personal guarantor to the lease for the full rent payments over the 148-month term should we default on our obligations. These amounts are not included in the table above.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and June 2020, we issued two unsecured senior mandatory convertible promissory notes for an aggregate principal amount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$450.0 million, or the 2020 Notes, to a trust affiliated with our CEO. The 2020 Notes are senior, unsecured obligations of the Company. The 2020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bear interest at a fixed rate of 3.5% per annum that will be compounded annually and payable in-kind, resulting in an aggregate $534.5 million being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upon settlement. The 2020 Notes consist of a note that matures on January 30, 2025 and a note that matures on June 26, 2025. The 2020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mature, and would be converted into shares of our Class B common stock, on the applicable maturity date, unless earlier converted into shares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 common stock or redeemed in connection with our bankruptcy, insolvency, or other similar events. The holder of the 2020 Notes is not entitled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convert the 2020 Notes at any time. The 2020 Notes are only convertible into shares of our Class B common stock at our option under certain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scenarios, as discussed in Note 5 and Note 17 to our consolidated financial statements included elsewhere in this prospectus.</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April 2020, we entered into a $40.0 million term loan agreement with Silicon Valley Bank. The agreement provides for a senior secured term loan facility, in an aggregate principal amount of up to $40.0 million, to be used for the construction of our new corporate headquarters. Any borrowings, together with accrued but unpaid interest, under the term loan agreement are due and payable in April 2025. Interest will accrue on any outstanding balance at a floating rate per annum equal to the prime rate (as publicly announced from time to time by the Wall Street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No amounts are outstanding under this term loan as of April 30,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all periods presented,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our business.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cash, cash equivalents, and marketable securities primarily consist of cash on hand and highly liquid investments in money market funds and U.S. government securities. As of April 30, 2020, we had cash and cash equivalents of $315.6 million and marketable securities of $15.9 million.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January 2020, we issued the 2020 Note with a principal amount of $300 million. The 2020 Note bears interest at a fixed rate of 3.5% per annum that will be compounded annually and payable in-kind. As the 2020 Note has a fixed annual interest rate, we have no financial exposure associated with changes in interest rates. However, the fair value of the 2020 Note is subject to interest rate risk, market risk, and other factors, as the fair value of the 2020 Note will fluctuate when there are changes to the interest rate or the price of our common stock. The interest and common stock value changes affect the fair value of the 2020 Note, but do not impact our financial position, cash flows, or results of operations due to the fixed nature of the debt obligation.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8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Recognition of the revenues when, or as, we satisfy a performance obligation.</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Future revenues related to performance obligations that are unsatisfied or partially unsatisfied were $64.1 million and $70.1 million as of January 31, 2020 and April 30, 2020, respectively, of which $62.7 million and $68.6 million, respectively, is presented as deferred revenue for which we expect to satisfy the performance obligations in the next respective 12 months, and $1.4 million and $1.6 million, respectively, is presented within other liabilities, a noncurrent liability, in the consolidated balance sheets, as of January 31, 2020 and April 30, 2020.</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recognize stock-based compensation expense over the requisite service period, which is generally the vesting period of the respective award.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use the straight-line method for expense attribution. We account for forfeitures as they occur.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assumptions were used for each respective period to calculate our stock-based compensation: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22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Year Ended January 31,</w:t>
            </w:r>
          </w:p>
        </w:tc>
        <w:tc>
          <w:tcPr>
            <w:tcW w:w="28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49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1800" w:type="dxa"/>
            <w:vAlign w:val="bottom"/>
            <w:tcBorders>
              <w:top w:val="single" w:sz="8" w:color="auto"/>
              <w:bottom w:val="single" w:sz="8" w:color="auto"/>
            </w:tcBorders>
          </w:tcPr>
          <w:p>
            <w:pPr>
              <w:jc w:val="right"/>
              <w:ind w:right="1078"/>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 - 3.1%</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 - 2.6%</w:t>
            </w:r>
          </w:p>
        </w:tc>
        <w:tc>
          <w:tcPr>
            <w:tcW w:w="180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2.4% - 2.6%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Expected term</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8 years</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8 years</w:t>
            </w:r>
          </w:p>
        </w:tc>
        <w:tc>
          <w:tcPr>
            <w:tcW w:w="1800" w:type="dxa"/>
            <w:vAlign w:val="bottom"/>
          </w:tcPr>
          <w:p>
            <w:pPr>
              <w:jc w:val="right"/>
              <w:ind w:right="718"/>
              <w:spacing w:after="0"/>
              <w:rPr>
                <w:sz w:val="20"/>
                <w:szCs w:val="20"/>
                <w:color w:val="auto"/>
              </w:rPr>
            </w:pPr>
            <w:r>
              <w:rPr>
                <w:rFonts w:ascii="Arial" w:cs="Arial" w:eastAsia="Arial" w:hAnsi="Arial"/>
                <w:sz w:val="18"/>
                <w:szCs w:val="18"/>
                <w:color w:val="auto"/>
              </w:rPr>
              <w:t>8 years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41.6% - 46.6%</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44.8% - 46.3%</w:t>
            </w:r>
          </w:p>
        </w:tc>
        <w:tc>
          <w:tcPr>
            <w:tcW w:w="1800" w:type="dxa"/>
            <w:vAlign w:val="bottom"/>
          </w:tcPr>
          <w:p>
            <w:pPr>
              <w:jc w:val="right"/>
              <w:ind w:right="558"/>
              <w:spacing w:after="0"/>
              <w:rPr>
                <w:sz w:val="20"/>
                <w:szCs w:val="20"/>
                <w:color w:val="auto"/>
              </w:rPr>
            </w:pPr>
            <w:r>
              <w:rPr>
                <w:rFonts w:ascii="Arial" w:cs="Arial" w:eastAsia="Arial" w:hAnsi="Arial"/>
                <w:sz w:val="18"/>
                <w:szCs w:val="18"/>
                <w:color w:val="auto"/>
                <w:w w:val="96"/>
              </w:rPr>
              <w:t>45.7% - 46.3%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31" w:lineRule="exact"/>
        <w:rPr>
          <w:sz w:val="20"/>
          <w:szCs w:val="20"/>
          <w:color w:val="auto"/>
        </w:rPr>
      </w:pPr>
    </w:p>
    <w:p>
      <w:pPr>
        <w:ind w:left="1080" w:right="1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Because our common stock is not yet publicly traded, we must estimate the fair value of common stock; see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Valuations” below.</w:t>
      </w:r>
    </w:p>
    <w:p>
      <w:pPr>
        <w:spacing w:after="0" w:line="75"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54" w:lineRule="exact"/>
        <w:rPr>
          <w:rFonts w:ascii="Arial" w:cs="Arial" w:eastAsia="Arial" w:hAnsi="Arial"/>
          <w:sz w:val="16"/>
          <w:szCs w:val="16"/>
          <w:color w:val="auto"/>
        </w:rPr>
      </w:pPr>
    </w:p>
    <w:p>
      <w:pPr>
        <w:ind w:left="1080" w:right="560" w:hanging="532"/>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Expected term represents the period that our stock-based awards are expected to be outstanding.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are determined based on the vesting terms, exercise terms, and contractual lives of the options.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utilize a dividend yield of zero, as we do not currently issue dividends, nor do we expect to do so in the future.</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Arial" w:cs="Arial" w:eastAsia="Arial" w:hAnsi="Arial"/>
          <w:sz w:val="16"/>
          <w:szCs w:val="16"/>
          <w:i w:val="1"/>
          <w:iCs w:val="1"/>
          <w:color w:val="auto"/>
        </w:rPr>
        <w:t xml:space="preserve">American Institute of Certified Public Accountants, Valuation of Privately-Held-Company Equity Securities Issued as Compensation </w:t>
      </w:r>
      <w:r>
        <w:rPr>
          <w:rFonts w:ascii="Arial" w:cs="Arial" w:eastAsia="Arial" w:hAnsi="Arial"/>
          <w:sz w:val="16"/>
          <w:szCs w:val="16"/>
          <w:color w:val="auto"/>
        </w:rPr>
        <w:t>guide. Each fair value estimate was based on a variety of factors, which included the following:</w:t>
      </w:r>
    </w:p>
    <w:p>
      <w:pPr>
        <w:spacing w:after="0" w:line="54"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70"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valuations as of and subsequent to January 31, 2020, we used a hybrid method utilizing a combination of the option pricing model and the probability-weighted expected return method, or the PWERM, in estimating the fair value of our common stock. Using the PWERM, the value of our common stock is estimated based upon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the listing of our Class A common stock on the NYSE, our common stock will be publicly traded and will therefore be subject to potentially significant fluctuations in the market price. Increases and decreases in the market price of our Class A common stock will also increase and decrease the fair value of our stock-based awards granted in future periods.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 regarding recently issued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OUR CO-FOUNDERS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Everything we do here is in service of our mission: to help humanity thrive by enabling the world’s teams to work together effortlessly.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work together, we can do great things—things that contribute to a better life for people and the planet.</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All important progress in the world requires teams of people to work together. But today, most progress is severely impeded by the difficulty of coordinating teams and a pervasive lack of clarity about what needs to be done, when.</w:t>
      </w:r>
    </w:p>
    <w:p>
      <w:pPr>
        <w:spacing w:after="0" w:line="170"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If Asana succeeds at its mission, every one of these teams—from small partnerships to global organizations—will be vastly more efficient and effective because they have greater clarity, and the people who comprise these teams will feel more confident and less stressed.</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Building a system that enables the world’s teams to work together effortlessly represents an extraordinary leverage point on all other opportunities to drive progress in the world. Because delivering on that value proposition is also a great business opportunity, it creates a financial engine that enables us to continuously reinvest in our mission.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Asana?</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were inspired to start Asana after seeing the broad adoption and impact of an internal work management tool we built while at Facebook. We left Facebook and created Asana to address our own pain: We love working on big ideas, but we loathe the annoying busywork required by their execution.</w:t>
      </w:r>
    </w:p>
    <w:p>
      <w:pPr>
        <w:spacing w:after="0" w:line="18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 xml:space="preserve">That’s because coordinating work across teams is generally chaotic. The problem has only gotten worse as organizations take on greater challenges with more people, complexity, and technology. Most people working in teams today spend more time coordinating work in emails, chats, spreadsheets, and meetings than they spend doing actual productive work. Every day, they get inundated with requests and don’t know where to focus their attention. For people </w:t>
      </w:r>
      <w:r>
        <w:rPr>
          <w:rFonts w:ascii="Arial" w:cs="Arial" w:eastAsia="Arial" w:hAnsi="Arial"/>
          <w:sz w:val="16"/>
          <w:szCs w:val="16"/>
          <w:i w:val="1"/>
          <w:iCs w:val="1"/>
          <w:color w:val="auto"/>
        </w:rPr>
        <w:t>leading</w:t>
      </w:r>
      <w:r>
        <w:rPr>
          <w:rFonts w:ascii="Arial" w:cs="Arial" w:eastAsia="Arial" w:hAnsi="Arial"/>
          <w:sz w:val="16"/>
          <w:szCs w:val="16"/>
          <w:color w:val="auto"/>
        </w:rPr>
        <w:t xml:space="preserve"> teams, there’s the near-constant anxiety about missing deadlines and having work fall through the cracks.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What organizations need is a system to orchestrate their work, from daily tasks to big, strategic initiatives. Asana is that system.</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We’re gratified that, a decade later, Asana is the work management platform that addresses the pain of coordinating work for organizations across the globe. With Asana, they have a living system of clarity where everyone—regardless of where they’re located—can see, discuss, and execute their team’s priorities. Individual team members experience less of the soul-grinding “work about work” that plagues the coordination of complex undertakings, making work much more productive and enjoyable. And team leaders feel more organized and confident about making progress on their team’s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Creating products customers love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predominant attitude people have toward software they use at work is either hatred or apathy. These enterprise services succeed in spite of this sentiment. Sometimes, there’s just no better alternative. Other times, the typical enterprise sales model causes leaders to make purchase decisions based on the description of features without ever trying the experience of using them. In contrast, consumer software is expected to be beautifully designed, easy to learn, and a joy to use.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“Enterprise users” are just consumer users—or, as we like to call them, “people”—at work, with the same desire and appreciation for high-quality design and delightful interactive experiences. We want our customers to love the product we’ve built and to feel more connected to their teammates and their organization’s mission by using it. This is why we’ve set out to design and build products that rival the best consumer software.</w:t>
      </w:r>
    </w:p>
    <w:p>
      <w:pPr>
        <w:spacing w:after="0" w:line="149"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 xml:space="preserve">Of course, Asana also aims to rival the best </w:t>
      </w:r>
      <w:r>
        <w:rPr>
          <w:rFonts w:ascii="Arial" w:cs="Arial" w:eastAsia="Arial" w:hAnsi="Arial"/>
          <w:sz w:val="17"/>
          <w:szCs w:val="17"/>
          <w:i w:val="1"/>
          <w:iCs w:val="1"/>
          <w:color w:val="auto"/>
        </w:rPr>
        <w:t>enterprise</w:t>
      </w:r>
      <w:r>
        <w:rPr>
          <w:rFonts w:ascii="Arial" w:cs="Arial" w:eastAsia="Arial" w:hAnsi="Arial"/>
          <w:sz w:val="17"/>
          <w:szCs w:val="17"/>
          <w:color w:val="auto"/>
        </w:rPr>
        <w:t xml:space="preserve"> software, with a deep bench of functionality and controls powerful enough to meet the needs of the world’s largest companies, along with rock-solid stability, security, and compliance. We also provide world-class customer success and support: when you need more engagement from our team, you’ll get the help you need quickly and effectively.</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believe that artisanship lies at the heart of all great experiences. We take pride in crafting the product experience we deliver to our customers, the underlying technology that powers it, the interactions that teams have with our own employees, and the environment in which we ourselves work. We aim to be excellent across all these areas and more, in order to create the best possible outcomes for our customers and maximize the potential of our mission.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Growing a talented and diverse team</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Asana has invested deeply in hiring and developing an astoundingly gifted, mission-driven and values-aligned group of people. To achieve this, we have built a world-class talent acquisition organization, which partners with our existing team to identify top candidates all over the world in service of our global customer base.</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addition to seeking excellence in each individual hire, we work hard to build a team that is diverse in order to maximize our creative potential, develop empathy with our diverse customer base, and be the change we want to see in the workplace. This strategy makes us a better company and also contributes to the type of culture we want to work in: inclusive, dynamic, and engaging.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Co-creating a mindful culture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designed our culture with the same care and intentionality that we’ve invested in designing our product. As a result, Asana is consistently recognized as one of the best places to work, and as a cultural leader in technology and business at large. This enables us to hire and retain exceptional talent, move quickly like a well-oiled machine, and avoid conflict and dysfunction. Our reputation in the market means that customers turn to us as an authority on best practices to create clarity for teams. We regularly integrate these learnings into our product, our resources and publications on effective teamwork and our customer success services.</w:t>
      </w:r>
    </w:p>
    <w:p>
      <w:pPr>
        <w:spacing w:after="0" w:line="18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By culture, we don’t mean “beer on Fridays.” We mean the practical and pervasive implementation of norms, best practices, and ideals. We empower people with what they need to do their best work and avoid micromanagement. We achieve flow with practices like No Meeting Wednesday. We practice an unusual degree of candor, even when it’s uncomfortable, and the truth makes us better. We enact a fierce commitment to equity and inclusion for all teammates of every gender, appearance, race, and identity. We connect everything back to the mission, so everyone understands why their work is a critical piece of the puzzle. We work hard, move fast, and, simultaneously, live well. It’s a culture of clarity, accountability, transparency, empathy, humility, and, as a result, trust.</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Ironically, many companies see culture as an indulgence, at odds with business performance. Not only is this a false trade-off, but culture is one of Asana’s most enduring competitive advantages, and a core factor in the tremendous business results we’ve achieved.</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leverage our value of mindfulness to regularly and intentionally improve our business engine, customer support, onboarding, recruiting, internal processes, and everything else about our own organization. Just like we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continuously improve the Asana product, we aim to continuously improve Asana’s culture and processes. We strive to be unswervingly self-aware and have built processes at various organizational and time scales to periodically take stock of how well our actions—and their results—match our intentions. This surfaces areas that need improvement, which we call “culture bugs.” We then co-create concrete plans to address these bugs and improve our culture during the next period of work.</w:t>
      </w:r>
    </w:p>
    <w:p>
      <w:pPr>
        <w:spacing w:after="0" w:line="187"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Through repeated iterations of this approach, we have succeeded in scaling our culture. While cultures tend notoriously to degrade as most companies scale, our system for mindful, organizational self-improvement makes the company better and better over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Innovating new technologies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invested heavily in a number of technologies which put us at a competitive advantage, including:</w:t>
      </w:r>
    </w:p>
    <w:p>
      <w:pPr>
        <w:spacing w:after="0" w:line="131" w:lineRule="exact"/>
        <w:rPr>
          <w:sz w:val="20"/>
          <w:szCs w:val="20"/>
          <w:color w:val="auto"/>
        </w:rPr>
      </w:pPr>
    </w:p>
    <w:p>
      <w:pPr>
        <w:ind w:left="1080" w:right="200" w:hanging="532"/>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“work graph.” Like the social graph the two of us helped create for Facebook, the work graph is a flexible data model—of people, tasks, goals, projects, portfolios, conversations, files, and the relationships among them—powering Asana. The work graph enables each Asana user to see information in the format that makes most sense for them.</w:t>
      </w:r>
    </w:p>
    <w:p>
      <w:pPr>
        <w:spacing w:after="0" w:line="89" w:lineRule="exact"/>
        <w:rPr>
          <w:rFonts w:ascii="Arial" w:cs="Arial" w:eastAsia="Arial" w:hAnsi="Arial"/>
          <w:sz w:val="18"/>
          <w:szCs w:val="18"/>
          <w:color w:val="auto"/>
        </w:rPr>
      </w:pPr>
    </w:p>
    <w:p>
      <w:pPr>
        <w:jc w:val="both"/>
        <w:ind w:left="1080" w:right="120" w:hanging="532"/>
        <w:spacing w:after="0" w:line="31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proprietary “Luna2” application framework, which we believe to be ahead of the state of the art in enabling the rapid development of high-performance applications with complex user interfaces. This enables us to deliver sophisticated new functionality to customers with unusual speed even while concurrently scaling our infrastructure to support a quickly growing number of customers worldwide.</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“mindful technology” approach to design that respects user attention and enables focus.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Going forward, we plan to double down on these investments and expand into AI, marrying human and computer intelligence to automate and prioritize work for individuals, teams, and organizations.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Building a fast-growing business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At Asana, revenue is not an end in itself; it is the rocket fuel for achieving our mission. Enabling the world’s teams to work together effortlessly is a very big mission, so we have invested tremendous energy in building and optimizing an unusually powerful engine for revenue and growth.</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Traditional business software is sold </w:t>
      </w:r>
      <w:r>
        <w:rPr>
          <w:rFonts w:ascii="Arial" w:cs="Arial" w:eastAsia="Arial" w:hAnsi="Arial"/>
          <w:sz w:val="18"/>
          <w:szCs w:val="18"/>
          <w:i w:val="1"/>
          <w:iCs w:val="1"/>
          <w:color w:val="auto"/>
        </w:rPr>
        <w:t>top-down</w:t>
      </w:r>
      <w:r>
        <w:rPr>
          <w:rFonts w:ascii="Arial" w:cs="Arial" w:eastAsia="Arial" w:hAnsi="Arial"/>
          <w:sz w:val="18"/>
          <w:szCs w:val="18"/>
          <w:color w:val="auto"/>
        </w:rPr>
        <w:t xml:space="preserve"> with expensive enterprise sales reps and slow sales cycles. A new generation of vendors has taken a </w:t>
      </w:r>
      <w:r>
        <w:rPr>
          <w:rFonts w:ascii="Arial" w:cs="Arial" w:eastAsia="Arial" w:hAnsi="Arial"/>
          <w:sz w:val="18"/>
          <w:szCs w:val="18"/>
          <w:i w:val="1"/>
          <w:iCs w:val="1"/>
          <w:color w:val="auto"/>
        </w:rPr>
        <w:t xml:space="preserve">bottom-up </w:t>
      </w:r>
      <w:r>
        <w:rPr>
          <w:rFonts w:ascii="Arial" w:cs="Arial" w:eastAsia="Arial" w:hAnsi="Arial"/>
          <w:sz w:val="18"/>
          <w:szCs w:val="18"/>
          <w:color w:val="auto"/>
        </w:rPr>
        <w:t>approach, allowing small teams within large organizations to try and purchase business software online.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Asana takes an unusual </w:t>
      </w:r>
      <w:r>
        <w:rPr>
          <w:rFonts w:ascii="Arial" w:cs="Arial" w:eastAsia="Arial" w:hAnsi="Arial"/>
          <w:sz w:val="18"/>
          <w:szCs w:val="18"/>
          <w:i w:val="1"/>
          <w:iCs w:val="1"/>
          <w:color w:val="auto"/>
        </w:rPr>
        <w:t>hybrid</w:t>
      </w:r>
      <w:r>
        <w:rPr>
          <w:rFonts w:ascii="Arial" w:cs="Arial" w:eastAsia="Arial" w:hAnsi="Arial"/>
          <w:sz w:val="18"/>
          <w:szCs w:val="18"/>
          <w:color w:val="auto"/>
        </w:rPr>
        <w:t xml:space="preserve"> approach. Our optimized self-service engine allows us to land rapidly in teams all over the world, often via word-of-mouth recommendations, and our direct sales team can expand that bottom-up usage into company-wide deployment much faster than through organic growth. With this approach, we not only get the best of both worlds; we also get more than the sum of their parts. We close deals much more quickly by showing buyers the successful and happy Asana users that already exist within their organizations without needing to cold-call and “wine and dine” CIOs.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Similarly, our product and go-to-market strategy also gives us the best of both worlds. While some vendors choose to focus on an individual target market, and others create broad generic solutions, we offer a horizontal platform that can be used by any team in any industry anywhere, as well as templates, solutions, and in-house experts that are tailored to the needs of specific segments and geographies where we have the best product-market fit. The result is strong adoption across industries from technology and media to government and nonprofits, with customers in 190 countries.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Pursuing our long-term vision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From the beginning, we have had an expansive long-term vision to enable teams to work together effortlessly. Since then, we have partnered closely with our customers and the broader Asana team to develop and refine this vision. While many details have changed from what we first imagined, the fundamentals have endured.</w:t>
      </w:r>
    </w:p>
    <w:p>
      <w:pPr>
        <w:spacing w:after="0" w:line="184"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People are most effective, fulfilled, and happy at work when they are engaged in tasks that are uniquely human. That is, they are able to leverage their empathy, creativity, and judgment.</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Computers are most effective when they eliminate everything else: the work that can be error-prone, tedious, and even soul-sucking for humans. Asana aims to facilitate—and ultimately automate—all of the “work about work” associated with coordinating projects and managing schedules across individuals, teams, and organizations.</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first phase of our vision was to deliver clarity up, down, and across organizations. We created the work graph, which gives everyone a unique view of their individual work and how it fits into the work of their team and organization. This comprehensive, yet personalized map provides clarity and alignment on goals and progress across an entire organization to reach its collective aspirations. As of 2020, we are well through our roadmap for delivering the first stage of our vision: to create the living system of clarity for organizations.</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second phase of our vision capitalizes on the benefits of the work graph by marrying human intelligence with computer intelligence. When details and data about work are linked to and tracked in our database, Asana can serve as a powerful, intelligent tool in service of individuals, teams, and organizations—from optimizing how work should be done to predicting bottlenecks and suggesting ways to alleviate them. The second phase of our roadmap envisions Asana as the navigation system for organizations, its teams, and the individuals that comprise them.</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Over the next several years, we intend to offer several benefits:</w:t>
      </w:r>
    </w:p>
    <w:p>
      <w:pPr>
        <w:spacing w:after="0" w:line="127" w:lineRule="exact"/>
        <w:rPr>
          <w:sz w:val="20"/>
          <w:szCs w:val="20"/>
          <w:color w:val="auto"/>
        </w:rPr>
      </w:pPr>
    </w:p>
    <w:p>
      <w:pPr>
        <w:ind w:left="1080" w:hanging="532"/>
        <w:spacing w:after="0" w:line="25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For team members</w:t>
      </w:r>
      <w:r>
        <w:rPr>
          <w:rFonts w:ascii="Arial" w:cs="Arial" w:eastAsia="Arial" w:hAnsi="Arial"/>
          <w:sz w:val="18"/>
          <w:szCs w:val="18"/>
          <w:color w:val="auto"/>
        </w:rPr>
        <w:t>: Team members do their best, most creative work when they have clarity on how their work contributes to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the context and feedback they need to complete the task at hand, and freedom from distractions. We clarify how a given task fits into a team’s project or process, a division’s broader goals, and an organization’s mission. Our solution will surface the relevant context for tasks across workflows and apps, with features designed to enable teammates to recognize, encourage, and share feedback in real time. We also plan to deliver an intelligent assistant that curates notifications and suggests how work should be prioritized based on its importance to the organization. We seek to maximize the flow state for individuals by intentionally designing experiences that create the conditions for their best work to occur.</w:t>
      </w:r>
    </w:p>
    <w:p>
      <w:pPr>
        <w:spacing w:after="0" w:line="94"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For teams</w:t>
      </w:r>
      <w:r>
        <w:rPr>
          <w:rFonts w:ascii="Arial" w:cs="Arial" w:eastAsia="Arial" w:hAnsi="Arial"/>
          <w:sz w:val="17"/>
          <w:szCs w:val="17"/>
          <w:color w:val="auto"/>
        </w:rPr>
        <w:t>: When individuals do less work about work, their teams collectively become more efficient. Asana improves efficiency for</w:t>
      </w:r>
      <w:r>
        <w:rPr>
          <w:rFonts w:ascii="Arial" w:cs="Arial" w:eastAsia="Arial" w:hAnsi="Arial"/>
          <w:sz w:val="17"/>
          <w:szCs w:val="17"/>
          <w:b w:val="1"/>
          <w:bCs w:val="1"/>
          <w:color w:val="auto"/>
        </w:rPr>
        <w:t xml:space="preserve"> </w:t>
      </w:r>
      <w:r>
        <w:rPr>
          <w:rFonts w:ascii="Arial" w:cs="Arial" w:eastAsia="Arial" w:hAnsi="Arial"/>
          <w:sz w:val="17"/>
          <w:szCs w:val="17"/>
          <w:color w:val="auto"/>
        </w:rPr>
        <w:t>teams by serving as their real time executional plan of record. It also acts as a central hub across all their workflows, integrating with other tools where work is accomplished. Asana is the platform that puts the components of work themselves—tasks, projects, and goals—at the center. Asana reduces the number of messages required to accomplish team goals by making priorities unambiguous and intelligently clarifying team communication. We plan to eliminate the need for status meetings, and make other meetings more efficient and focused by enhancing them with software-based assistance. Asana democratizes the benefits of having a professional project manager for all teams by building and leveraging best practices for projects and processes seamlessly in the solution. Ultimately Asana will guide teams to create and automate workflows that make sure work doesn’t slip through the cracks.</w:t>
      </w:r>
    </w:p>
    <w:p>
      <w:pPr>
        <w:spacing w:after="0" w:line="77" w:lineRule="exact"/>
        <w:rPr>
          <w:rFonts w:ascii="Arial" w:cs="Arial" w:eastAsia="Arial" w:hAnsi="Arial"/>
          <w:sz w:val="17"/>
          <w:szCs w:val="17"/>
          <w:color w:val="auto"/>
        </w:rPr>
      </w:pPr>
    </w:p>
    <w:p>
      <w:pPr>
        <w:ind w:left="1080" w:right="100" w:hanging="532"/>
        <w:spacing w:after="0" w:line="282"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For organizations</w:t>
      </w:r>
      <w:r>
        <w:rPr>
          <w:rFonts w:ascii="Arial" w:cs="Arial" w:eastAsia="Arial" w:hAnsi="Arial"/>
          <w:sz w:val="18"/>
          <w:szCs w:val="18"/>
          <w:color w:val="auto"/>
        </w:rPr>
        <w:t>: When team members spend more time on creative work instead of work about work and their teams are able to create</w:t>
      </w:r>
      <w:r>
        <w:rPr>
          <w:rFonts w:ascii="Arial" w:cs="Arial" w:eastAsia="Arial" w:hAnsi="Arial"/>
          <w:sz w:val="18"/>
          <w:szCs w:val="18"/>
          <w:b w:val="1"/>
          <w:bCs w:val="1"/>
          <w:color w:val="auto"/>
        </w:rPr>
        <w:t xml:space="preserve"> </w:t>
      </w:r>
      <w:r>
        <w:rPr>
          <w:rFonts w:ascii="Arial" w:cs="Arial" w:eastAsia="Arial" w:hAnsi="Arial"/>
          <w:sz w:val="18"/>
          <w:szCs w:val="18"/>
          <w:color w:val="auto"/>
        </w:rPr>
        <w:t>shared victories more efficiently, overall employee engagement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0" w:lineRule="auto"/>
        <w:rPr>
          <w:sz w:val="20"/>
          <w:szCs w:val="20"/>
          <w:color w:val="auto"/>
        </w:rPr>
      </w:pPr>
      <w:r>
        <w:rPr>
          <w:rFonts w:ascii="Arial" w:cs="Arial" w:eastAsia="Arial" w:hAnsi="Arial"/>
          <w:sz w:val="17"/>
          <w:szCs w:val="17"/>
          <w:color w:val="auto"/>
        </w:rPr>
        <w:t>rises, the best talent can be attracted and retained, and organizations can better serve their customers. We are building Asana to be the navigation system for an organization. Leaders will be able to set goals in Asana, and Asana will help intelligently map the plans needed to achieve them—from strategy to execution—unifying and aligning an organization around its most important work. Asana will be able to predict and optimize team schedules, suggest where energy and attention need to be shifted for maximum efficiency, and assist with forecasting and scenario planning. It can assist in implementing company-wide processes, leveraging Asana’s ever-increasing knowledge of vertical-specific best practices. Executives will be able to plan and achieve high-level objectives, and monitor progress with an integrated dashboard that summarizes data across every department and third-party tool. For the first time, a tool will exist that links organization goals to strategy, and strategy to execution, that is easy to adopt across functions and teams. Organizations will experience clarity, accountability, alignment, continuous improvement, and, consequently, improved results.</w:t>
      </w:r>
    </w:p>
    <w:p>
      <w:pPr>
        <w:spacing w:after="0" w:line="18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Ten years in, we’re thrilled to have manifested so much of Asana’s vision. We continue to be viscerally excited by the promise of how much more we can do to create a joyful experience of flow every day for individuals, drive clarity and accountability to improve how teams work together, and automate work in unprecedented ways.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and Governance</w:t>
      </w:r>
    </w:p>
    <w:p>
      <w:pPr>
        <w:spacing w:after="0" w:line="121"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Like many fast-growing technology companies, we have opted to use a dual class voting structure, with more voting power given to early investors and employees who joined in our first few years of operations. This structure results in a large portion of voting power being held by the founders and the two of us commit to managing this power the way we always have: by listening to others and engaging sincerely with their perspectives.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Philosophically, we are choosing this path to align the governance of the company with the people who have taken the long view of our growth, in service of pursuing our long-term vision in a steady and persistent manner.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whose benefit</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Like all companies, we intend to create great returns for our shareholders. That outcome, however, is a byproduct and catalyst of our ultimate purpose: the fulfillment of our mission. We are also deeply committed to benefitting all our stakeholders: our customers, our employees, our partners, our communities, the environment, and humanity.</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the founders, are individually Asana’s largest shareholders, and will receive a large portion of the financial proceeds from the company’s enduring success. Both of us pledge to use 100% of the value of our Asana equity for philanthropic purposes.</w:t>
      </w:r>
    </w:p>
    <w:p>
      <w:pPr>
        <w:spacing w:after="0" w:line="38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built Asana because the work people do together matters. From curing diseases and developing clean energy to building local schools and creating global movements, progress depends on teamwork. We’re proud of how often teams tell us that Asana gives them the clarity to make their work today more effortless, but we’re just getting started. If you feel aligned with our mission, values, and approach, we would be honored to have you join us on this journey.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units of work—tasks, projects, milestones, portfolios, and goals;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over 125%, consisting of 6,555 customers. Our dollar-based net retention rate within organizations spending $50,000 or more with us on an annualized basis was over 140%, consisting of 207 customers. Our overall dollar-based net retention rate as of January 31, 2020 was over 120%.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experienced rapid growth in recent periods. Our revenues were $76.8 million and $142.6 million for fiscal 2019 and fiscal 2020, respectively, representing growth of 86%. Our revenues were $28.0 million and $47.7 million for the three months ended April 30, 2019 and 2020, respectively, representing growth of 71%. As of January 31, 2020, we had 701 employees, representing growth of 65% since January 31, 2019. We had a net loss of $50.9 million and $118.6 million for fiscal 2019 and fiscal 2020, respectively, and $15.0 million and $35.8 million for the three months ended April 30, 2019 and 2020, respectively.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77"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top quartile of employee engagement realize substantially better customer engagement, higher productivity, better retention, fewer accidents, and 21% higher profitability than organizations with low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Spreadsheets and email</w:t>
      </w:r>
      <w:r>
        <w:rPr>
          <w:rFonts w:ascii="Arial" w:cs="Arial" w:eastAsia="Arial" w:hAnsi="Arial"/>
          <w:sz w:val="17"/>
          <w:szCs w:val="17"/>
          <w:color w:val="auto"/>
        </w:rPr>
        <w:t>. Spreadsheets and email are poor tools for project management. These tools lack the required capabilities to help teams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6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project management tools are difficult for many users to adopt. These tools were primarily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Vertical applications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Vertical applications are purpose-built for specific use cases, such as software development, ticketing,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These generally operate in departmental silos and are not designed for teams to collaborate cross-functionally. These tools are also difficult to adapt to other use cases, either at all or without coding.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080" w:hanging="532"/>
        <w:spacing w:after="0" w:line="272"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Individuals </w:t>
      </w:r>
      <w:r>
        <w:rPr>
          <w:rFonts w:ascii="Arial" w:cs="Arial" w:eastAsia="Arial" w:hAnsi="Arial"/>
          <w:sz w:val="17"/>
          <w:szCs w:val="17"/>
          <w:color w:val="auto"/>
        </w:rPr>
        <w:t>can manage and prioritize across each of their projects to maximize their effectiveness and reduce distractions. They can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5"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 leads </w:t>
      </w:r>
      <w:r>
        <w:rPr>
          <w:rFonts w:ascii="Arial" w:cs="Arial" w:eastAsia="Arial" w:hAnsi="Arial"/>
          <w:sz w:val="17"/>
          <w:szCs w:val="17"/>
          <w:color w:val="auto"/>
        </w:rPr>
        <w:t>can manage work across a portfolio of projects or processes. A portfolio could include the new brand campaign, a user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81" w:lineRule="exact"/>
        <w:rPr>
          <w:rFonts w:ascii="Arial" w:cs="Arial" w:eastAsia="Arial" w:hAnsi="Arial"/>
          <w:sz w:val="17"/>
          <w:szCs w:val="17"/>
          <w:color w:val="auto"/>
        </w:rPr>
      </w:pPr>
    </w:p>
    <w:p>
      <w:pPr>
        <w:ind w:left="1080" w:hanging="532"/>
        <w:spacing w:after="0" w:line="286"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Executives </w:t>
      </w:r>
      <w:r>
        <w:rPr>
          <w:rFonts w:ascii="Arial" w:cs="Arial" w:eastAsia="Arial" w:hAnsi="Arial"/>
          <w:sz w:val="17"/>
          <w:szCs w:val="17"/>
          <w:color w:val="auto"/>
        </w:rPr>
        <w:t>can communicate company-wide goals, monitor status, and oversee work across projects to gain real-time insights into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who is doing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completion, manage deadlines, identify and resolve bottlenecks, and rebalance workloads if needed. Everyone has consistent access to the same data, so team members are on the same page all the time in real time.</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efficient—regardless of whether their team members are in the office or working remotely.</w:t>
      </w:r>
    </w:p>
    <w:p>
      <w:pPr>
        <w:spacing w:after="0" w:line="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users love Asana because they gain clarity into what they need to do and why their contribution is important to their organization. Employees are able to see that the work they do matters and understand how it connects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Improved business continuity for distributed teams and remote work</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Easy for an entire team to adopt. </w:t>
      </w:r>
      <w:r>
        <w:rPr>
          <w:rFonts w:ascii="Arial" w:cs="Arial" w:eastAsia="Arial" w:hAnsi="Arial"/>
          <w:sz w:val="18"/>
          <w:szCs w:val="18"/>
          <w:color w:val="auto"/>
        </w:rPr>
        <w:t>We designed our platform to be easy to adopt and transition away from legacy project management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friction. For example, new users can import existing workflows from spreadsheets into Asana in a few clicks. We provide an intuitive interface —incorporating common language navigation, flexible views, and easy point-and-click and drag-and-drop functionalities—that allows users, across any role or level of technical proficiency, to easily set up and navigate a process or project.</w:t>
      </w:r>
    </w:p>
    <w:p>
      <w:pPr>
        <w:spacing w:after="0" w:line="18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Applicable to individuals, team leads, and executives. </w:t>
      </w:r>
      <w:r>
        <w:rPr>
          <w:rFonts w:ascii="Arial" w:cs="Arial" w:eastAsia="Arial" w:hAnsi="Arial"/>
          <w:sz w:val="18"/>
          <w:szCs w:val="18"/>
          <w:color w:val="auto"/>
        </w:rPr>
        <w:t>Our multi-dimensional data model allows individuals, team leads, and executives to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way they want, in the interface that is most applicable to them. Users across an organization realize different benefits from our platform, depending on their role:</w:t>
      </w:r>
    </w:p>
    <w:p>
      <w:pPr>
        <w:spacing w:after="0" w:line="8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individuals can view a task list to prioritize their work across projects and see how the work they depend on is progressing in real time;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Adaptable to virtually any use case. </w:t>
      </w:r>
      <w:r>
        <w:rPr>
          <w:rFonts w:ascii="Arial" w:cs="Arial" w:eastAsia="Arial" w:hAnsi="Arial"/>
          <w:sz w:val="17"/>
          <w:szCs w:val="17"/>
          <w:color w:val="auto"/>
        </w:rPr>
        <w:t>Asana has broad applicability to thousands of use cases, across many departments and industries.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seen strong initial adoption in our customer base particularly in marketing, sales, operations, human resources, product management, and design where there are many workstreams requiring cross-functional collaboration. We have also seen adoption among distributed teams and teams working from home.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7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Loved by customers. </w:t>
      </w:r>
      <w:r>
        <w:rPr>
          <w:rFonts w:ascii="Arial" w:cs="Arial" w:eastAsia="Arial" w:hAnsi="Arial"/>
          <w:sz w:val="17"/>
          <w:szCs w:val="17"/>
          <w:color w:val="auto"/>
        </w:rPr>
        <w:t>We are intensely focused on customer experience, and in turn our customers love using Asana. We have fostered a vibrant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Efficient hybrid go-to-market model. </w:t>
      </w:r>
      <w:r>
        <w:rPr>
          <w:rFonts w:ascii="Arial" w:cs="Arial" w:eastAsia="Arial" w:hAnsi="Arial"/>
          <w:sz w:val="17"/>
          <w:szCs w:val="17"/>
          <w:color w:val="auto"/>
        </w:rPr>
        <w:t>Our hybrid self-service and direct sales model allows us to efficiently reach teams everywhere and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over 4.8% as of January 31, 2020.</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High performance. </w:t>
      </w:r>
      <w:r>
        <w:rPr>
          <w:rFonts w:ascii="Arial" w:cs="Arial" w:eastAsia="Arial" w:hAnsi="Arial"/>
          <w:sz w:val="16"/>
          <w:szCs w:val="16"/>
          <w:color w:val="auto"/>
        </w:rPr>
        <w:t>We have architected our platform to be easy to use, extremely fast, and powerful. We have a modern architecture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5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has been a critical component of our success since our founding. Our commitment to transparency,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7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for cloud-based, highly available, scalable, and secure applications.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7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5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41% of our revenues came from international regions, with limited dedicated sales effort and no product customization outside of limited language translation and multi-currency capabilities. Within the past 12 months, we have opened offices in key regions across Europe and Asia, and expect to grow our customer base within these areas.</w:t>
      </w:r>
    </w:p>
    <w:p>
      <w:pPr>
        <w:spacing w:after="0" w:line="18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After initial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nearly doubled in size since January 31, 2019, promoting department-specific use cases, targeting organization-wide use cases such as employee onboarding and goal setting, and continually improving our interface to ease cross-team adoption.</w:t>
      </w:r>
    </w:p>
    <w:p>
      <w:pPr>
        <w:spacing w:after="0" w:line="19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product offerings and enhancing the features and 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Keep building a high value brand. </w:t>
      </w:r>
      <w:r>
        <w:rPr>
          <w:rFonts w:ascii="Arial" w:cs="Arial" w:eastAsia="Arial" w:hAnsi="Arial"/>
          <w:sz w:val="17"/>
          <w:szCs w:val="17"/>
          <w:color w:val="auto"/>
        </w:rPr>
        <w:t>Our goal is to be the leader in work management. The work management market is still in the early stages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scores possible in customer satisfaction and pace of innovation criteria. In addition, G2 ranks Asana as the top Project Management software platform, leading the industry in market presence and customer satisfaction.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Develop functional workflows. </w:t>
      </w:r>
      <w:r>
        <w:rPr>
          <w:rFonts w:ascii="Arial" w:cs="Arial" w:eastAsia="Arial" w:hAnsi="Arial"/>
          <w:sz w:val="17"/>
          <w:szCs w:val="17"/>
          <w:color w:val="auto"/>
        </w:rPr>
        <w:t>We have seen strong initial adoption in our customer base particularly in marketing, sales, operations,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Develop organization-wide use cases. </w:t>
      </w:r>
      <w:r>
        <w:rPr>
          <w:rFonts w:ascii="Arial" w:cs="Arial" w:eastAsia="Arial" w:hAnsi="Arial"/>
          <w:sz w:val="17"/>
          <w:szCs w:val="17"/>
          <w:color w:val="auto"/>
        </w:rPr>
        <w:t>Customers use Asana for a number of use cases, from departmental projects to organization-wide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initiatives, 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22371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4342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On Glassdoor, we have a 4.9 out of 5.0 score and a 98% CEO approval rating. For the fourth consecutive year, Great Place to Work and FORTUNE have placed us in the top 5 Best Small and Medium Workplaces in the Bay Area. In 2019, we were awarded the Top 10 Best Small and Medium Workplaces; #3 Best Workplaces Technology (Small and Medium); #5 Best Workplaces for Millennials (Small and Medium); and #11 Best Workplaces for Women (Small and Medium) by Great Place to Work. In 2020, we were awarded #1 Best Workplaces in Technology (Small and Medium). As of January 31, 2020, we had 701 employees, representing growth of 65% since January 31, 2019.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Features of our Platform</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 Graph Hierarchy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Tasks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Projects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Portfolios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149860</wp:posOffset>
            </wp:positionV>
            <wp:extent cx="5194935" cy="3060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9493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Goals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Goals gives users a centralized place to set goals and track the work needed to achieve them. Goals is a flexible system that supports OKR (Objectives and Key Results) and other goal management methodologies. Users can set and view goals at the organization or team level and can create goal hierarchies to drive alignment across teams. Goals can be associated with Projects and Portfolios, providing executives and team leads a single system to set objectives and track progress. Goals can be made visible to the entire organization so all team members have clarity on the company’s priorities and see how their work contributes to the organization’s success.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9"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Dynamic Views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171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60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Inbox</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9"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 View</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188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604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Calendar View</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3566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View</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97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Timeline View</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197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740"/>
          </w:cols>
          <w:pgMar w:left="320" w:top="459" w:right="8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Workload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6231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Automated Workflows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Processes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Rules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Reporting</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Integrations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Asana platform integrates with over 100 third-party applications including:</w:t>
      </w:r>
    </w:p>
    <w:p>
      <w:pPr>
        <w:spacing w:after="0" w:line="13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Microsoft apps such as Teams, Outlook, OneDrive, SharePoint, and Power Automate;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G-suite apps such as Gmail, Calendar, Chrome, Sheets, and Drive;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Functional tools such as Salesforce and Adobe Creative Cloud;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Communication apps such as Slack;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 sharing apps such as Box and Dropbox;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 apps such as GitHub and Jira;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Reporting apps such as Tableau.</w:t>
      </w:r>
    </w:p>
    <w:p>
      <w:pPr>
        <w:spacing w:after="0" w:line="22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4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03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2020, we had over 75,000 paying customers globally. Of those paying customers, 207 spent $50,000 or more with us on an annualized basis, representing an increase of over 250% from January 31, 2019, and an increase of over 590% from January 31, 2018.</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current customer base spans numerous industry categories, including technology, retail, education, non-profit, government, healthcare, media, and financial services, and includes many category leaders across these diverse industries. No individual customer represented more than 1% of our revenues in the years ended January 31, 2019 and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examples of how some of our customers have benefited from using Asana.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Autodesk</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Autodesk creates software for people who make things—from skyscrapers to high-performance cars to smartphones—and has 100+</w:t>
      </w:r>
      <w:r>
        <w:rPr>
          <w:rFonts w:ascii="Arial" w:cs="Arial" w:eastAsia="Arial" w:hAnsi="Arial"/>
          <w:sz w:val="17"/>
          <w:szCs w:val="17"/>
          <w:i w:val="1"/>
          <w:iCs w:val="1"/>
          <w:color w:val="auto"/>
        </w:rPr>
        <w:t xml:space="preserve"> </w:t>
      </w:r>
      <w:r>
        <w:rPr>
          <w:rFonts w:ascii="Arial" w:cs="Arial" w:eastAsia="Arial" w:hAnsi="Arial"/>
          <w:sz w:val="17"/>
          <w:szCs w:val="17"/>
          <w:color w:val="auto"/>
        </w:rPr>
        <w:t>offices in over 38 countries. Every year, they bring together a global community at Autodesk’s events including numerous industry trade shows as well as user conferences called “Autodesk University (AU)”. To execute all of these events smoothly and ensure a great attendee experience, the Global Customer Events team (“Team”) needed a central tool to manage every detail, task, and deadline.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Autodesk uses Asana for general work and project management across marketing, sales, and operations. The Team, for example, tracks</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their event timelines and inbound requests in Asana so that everyone in the Team is working from the same information. They use templates in Asana to speed up planning and ensure that critical steps aren’t forgotten—because missing even a small detail can derail an event. Additionally, the Team has overhauled their inbound request process and automated it using Rules. Any other team at Autodesk can now fill out an Asana Form to submit a request, such as live streaming a talk, hosting a VIP event, or promoting a class on the AU website. The Rules automatically assign tasks to teammates, set custom fields, and usher the project through approvals, at which point the request gets a dedicated Asana project. As a result, the Team is now faster when acting on inbound requests, and they’ve reduced human error through this automation. Centralized requests also let the Team see patterns and themes to improve future planning. They also use Portfolios and status updates to monitor progress across projects. By managing work in Asana, the Team has cut down on coordination emails significantly and they execute projects more effectively because information, plans, and deadlines are tracked in one place.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Viessmann</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Viessmann is a leading manufacturer of heating and refrigeration systems with a global workforce of 12,000+ people operating in over</w:t>
      </w:r>
      <w:r>
        <w:rPr>
          <w:rFonts w:ascii="Arial" w:cs="Arial" w:eastAsia="Arial" w:hAnsi="Arial"/>
          <w:sz w:val="18"/>
          <w:szCs w:val="18"/>
          <w:i w:val="1"/>
          <w:iCs w:val="1"/>
          <w:color w:val="auto"/>
        </w:rPr>
        <w:t xml:space="preserve"> </w:t>
      </w:r>
      <w:r>
        <w:rPr>
          <w:rFonts w:ascii="Arial" w:cs="Arial" w:eastAsia="Arial" w:hAnsi="Arial"/>
          <w:sz w:val="18"/>
          <w:szCs w:val="18"/>
          <w:color w:val="auto"/>
        </w:rPr>
        <w:t>70 countries. As the climate solutions market shifts towards efficient, smart, and remotely accessible systems, Co-CEO Maximilian Viessmann initiated a company-wide digital transformation initiative to improve team agility.</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Viessmann introduced Asana as its foundation for team agility. By using Asana, the company improved the alignment across teams so</w:t>
      </w:r>
      <w:r>
        <w:rPr>
          <w:rFonts w:ascii="Arial" w:cs="Arial" w:eastAsia="Arial" w:hAnsi="Arial"/>
          <w:sz w:val="16"/>
          <w:szCs w:val="16"/>
          <w:i w:val="1"/>
          <w:iCs w:val="1"/>
          <w:color w:val="auto"/>
        </w:rPr>
        <w:t xml:space="preserve"> </w:t>
      </w:r>
      <w:r>
        <w:rPr>
          <w:rFonts w:ascii="Arial" w:cs="Arial" w:eastAsia="Arial" w:hAnsi="Arial"/>
          <w:sz w:val="16"/>
          <w:szCs w:val="16"/>
          <w:color w:val="auto"/>
        </w:rPr>
        <w:t>they are more agile and can proactively respond to changing market needs. Viessmann’s Executive Team captures the most important parts of the company strategy in an Asana project, including high-priority product and organizational changes. By centralizing company-wide announcements,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executive team can provide employees with real-time, easily accessible updates on key initiatives. Moreover, different teams and functions within Viessmann use Asana to collaborate and share information within projects that are accessible to everyone. All project updates are shared with the project followers, allowing them to proactively comment, raise questions, and engage with the work. Many teams, from Marketing to Quality Management to production-related functions, use Asana to manage their incoming requests. Employees submit requests via Asana Forms, which creates tasks in the team’s project. This ensures the team receives the information they need upfront, and all requests are centralized in one place so they can manage their workloads. Additionally, employees can track the progress of their requests, and teams use Rules to automate steps in the fulfillment process. This increased transparency between requesters and teams has improved process efficiency and productivity.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Whale and Dolphin Conservation</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 xml:space="preserve">Situation: </w:t>
      </w:r>
      <w:r>
        <w:rPr>
          <w:rFonts w:ascii="Arial" w:cs="Arial" w:eastAsia="Arial" w:hAnsi="Arial"/>
          <w:sz w:val="17"/>
          <w:szCs w:val="17"/>
          <w:color w:val="auto"/>
        </w:rPr>
        <w:t>The Whale and Dolphin Conservation (WDC) is the leading international charity solely dedicated to protecting whales and dolphins</w:t>
      </w:r>
      <w:r>
        <w:rPr>
          <w:rFonts w:ascii="Arial" w:cs="Arial" w:eastAsia="Arial" w:hAnsi="Arial"/>
          <w:sz w:val="17"/>
          <w:szCs w:val="17"/>
          <w:i w:val="1"/>
          <w:iCs w:val="1"/>
          <w:color w:val="auto"/>
        </w:rPr>
        <w:t xml:space="preserve"> </w:t>
      </w:r>
      <w:r>
        <w:rPr>
          <w:rFonts w:ascii="Arial" w:cs="Arial" w:eastAsia="Arial" w:hAnsi="Arial"/>
          <w:sz w:val="17"/>
          <w:szCs w:val="17"/>
          <w:color w:val="auto"/>
        </w:rPr>
        <w:t>everywhere. The team needed a one-stop shop to manage projects end-to-end and a tool that could assign tasks to owners clearly and transparently. With teams across four continents and multiple time zones, it had to communicate relevant project details to anyone involved, as well as to those who joined a project later on. Finally, WDC needed software that could track and measure time to help scope out future projects.</w:t>
      </w:r>
    </w:p>
    <w:p>
      <w:pPr>
        <w:spacing w:after="0" w:line="17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i w:val="1"/>
          <w:iCs w:val="1"/>
          <w:color w:val="auto"/>
        </w:rPr>
        <w:t xml:space="preserve">Solution: </w:t>
      </w:r>
      <w:r>
        <w:rPr>
          <w:rFonts w:ascii="Arial" w:cs="Arial" w:eastAsia="Arial" w:hAnsi="Arial"/>
          <w:sz w:val="17"/>
          <w:szCs w:val="17"/>
          <w:color w:val="auto"/>
        </w:rPr>
        <w:t>Today, everyone at WDC manages their program work in Asana. The fundraising team tracks opportunities for collaboration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corporate partners; the marketing team has created an activity calendar with social media posts and documentary appearances; and the communications team shares its updates and relevant media snippets to keep everyone up to speed on the latest news. After establishing new workflows with Asana, the teams noticed it took 25% less time to produce </w:t>
      </w:r>
      <w:r>
        <w:rPr>
          <w:rFonts w:ascii="Arial" w:cs="Arial" w:eastAsia="Arial" w:hAnsi="Arial"/>
          <w:sz w:val="17"/>
          <w:szCs w:val="17"/>
          <w:i w:val="1"/>
          <w:iCs w:val="1"/>
          <w:color w:val="auto"/>
        </w:rPr>
        <w:t>Whale &amp; Dolphin</w:t>
      </w:r>
      <w:r>
        <w:rPr>
          <w:rFonts w:ascii="Arial" w:cs="Arial" w:eastAsia="Arial" w:hAnsi="Arial"/>
          <w:sz w:val="17"/>
          <w:szCs w:val="17"/>
          <w:color w:val="auto"/>
        </w:rPr>
        <w:t>, their magazine for supporters. Moving meeting agendas to Asana resulted in shorter meetings that were laser-focused on decision-making because much of the agenda had been addressed before gathering in person. It was also easier to reflect on the successes and challenges of projects, paving smoother paths for the next time around. In particular, cross-departmental projects were improved significantly as colleagues were able to easily move in and out of projects, saving time on ramp-up and eliminating knowledge gaps. The organizational culture has also undergone its own transformation: teams now better understand how their work relates to WDC’s larger goals, since it is easy to divvy up tasks in Asana and see each teammate’s specific contribution. They feel strongly aligned with the organization’s mission and proud of their personal impact.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SiteMinder</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SiteMinder provides guest booking technology to more than 35,000 hotels across 160 countries. In 2018, the company generated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87 million reservations worth over $28 billion in revenue for hotels. The team realized there was an opportunity to increase transparency and alignment around company objectives to help scale its global business. OKRs were tracked in spreadsheets, which made them difficult to access and required manual updating. Collaboration between departments and international offices was also tricky as information was not accessible, which made delegating and tracking work difficult, especially for teams spread across time zones. Teams across SiteMinder found they were wasting time looking for the right information, updating documents, and coordinating work.</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SiteMinder uses Asana to improve company alignment with transparent OKRs. Teams use projects and tasks to collaborate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departments and internationally. SiteMinder’s leadership is now more aligned across top priorities, and the broader team knows the key areas of focus. Because work is more transparent, it is clear who is responsible and what is at risk if that work is not completed on time. SiteMinder was also able to make its global billing and collections processes more accurate, with recurring tasks set in Asana to ensure quality assurance and that critical steps involving invoices are not missed. This has enabled the team to distribute work more evenly and share knowledge across time zones. Large, cross-functional business projects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involving more than two departments are managed in Asana. With more than 10 projects and programs running concurrently, the team has better visibility into plans, responsibilities, and deadlines.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G2</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Situation: </w:t>
      </w:r>
      <w:r>
        <w:rPr>
          <w:rFonts w:ascii="Arial" w:cs="Arial" w:eastAsia="Arial" w:hAnsi="Arial"/>
          <w:sz w:val="17"/>
          <w:szCs w:val="17"/>
          <w:color w:val="auto"/>
        </w:rPr>
        <w:t>G2 is a B2B software and services review platform that serves millions of software buyers and vendors around the world. G2’s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team faced a lack of transparency around campaign needs, responsibilities, and deadlines, causing work to fall through the cracks. Knowledge and information sharing was manual and time-consuming because data lived in siloed tools like email. Marketing leadership was forced to rely on hundreds of hours of status update meetings because there was no way to monitor work happening across the team.</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Solution: </w:t>
      </w:r>
      <w:r>
        <w:rPr>
          <w:rFonts w:ascii="Arial" w:cs="Arial" w:eastAsia="Arial" w:hAnsi="Arial"/>
          <w:sz w:val="17"/>
          <w:szCs w:val="17"/>
          <w:color w:val="auto"/>
        </w:rPr>
        <w:t>G2 uses Asana as a company-wide tool to help them successfully scale and execute their programs and campaigns so they could hit their</w:t>
      </w:r>
      <w:r>
        <w:rPr>
          <w:rFonts w:ascii="Arial" w:cs="Arial" w:eastAsia="Arial" w:hAnsi="Arial"/>
          <w:sz w:val="17"/>
          <w:szCs w:val="17"/>
          <w:i w:val="1"/>
          <w:iCs w:val="1"/>
          <w:color w:val="auto"/>
        </w:rPr>
        <w:t xml:space="preserve"> </w:t>
      </w:r>
      <w:r>
        <w:rPr>
          <w:rFonts w:ascii="Arial" w:cs="Arial" w:eastAsia="Arial" w:hAnsi="Arial"/>
          <w:sz w:val="17"/>
          <w:szCs w:val="17"/>
          <w:color w:val="auto"/>
        </w:rPr>
        <w:t>traffic, review, and revenue goals. The marketing team organizes, tracks, and manages everything in Asana—strategic planning, program plans, and every campaign and activity, so they know how they are performing and tracking towards their top three metrics: traffic, reviews, and revenue. Now that the marketing team has clarity on responsibilities for every initiative, visibility into the status of work, and standard processes for routine campaigns and projects, they are able to 1) optimize team processes and workflows to launch campaigns two times faster, 2) quickly onboard new teammates because historical context, processes, and work are all in one place, and 3) hit their goals because critical work does not fall through the cracks and team members are not wasting time looking for the information they need.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Fireclay Tile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Situation: </w:t>
      </w:r>
      <w:r>
        <w:rPr>
          <w:rFonts w:ascii="Arial" w:cs="Arial" w:eastAsia="Arial" w:hAnsi="Arial"/>
          <w:sz w:val="17"/>
          <w:szCs w:val="17"/>
          <w:color w:val="auto"/>
        </w:rPr>
        <w:t>Fireclay Tile is a leading tile vendor founded in 1986. The marketing team faced siloed information in email and spreadsheets,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made it difficult to collaborate with cross-functional teams and external partners. Marketing processes lacked standardization, which meant the team had to start every new campaign from scratch. Team members were also spending too much time answering emails or attending inefficient meetings and not enough on execution. All of these inefficiencies led to work falling through the cracks, resulting in missed deadlines and delayed campaigns. The marketing team also struggled to provide company leadership with real-time insights into campaign development.</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Fireclay Tile uses Asana to centralize, standardize, and manage all of their work-from strategic planning to team meetings. Asana has</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the marketing team’s system of record, where they manage everything from strategic planning to email newsletter production. Once their strategy is set for the year, it gets translated into a master marketing calendar in Asana. Marketing initiatives such as major campaigns, product launches, and partnerships are then built out in projects using templates the team created to standardize all their processes. With Asana, the marketing team was able to increase brand awareness by four times since moving their marketing processes into Asana, execute twice as many marketing activities by planning and executing work in Asana, save an estimated 50 hours per week on emails and in meetings, and cut campaign planning time by 50%. After seeing the positive impact using Asana had on the marketing team, other departments at Fireclay Tile were eager to adapt it to their workflows as well. Now the whole company is using Asana to manage every aspect of the business to drive scale and efficiency.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Self-Service Model</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 Sales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nearly doubled in size since January 31, 2019.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market our platform through owned properties, such as our website and social media channels, media coverage, paid acquisition, and word of mouth to promote discovery and adoption. Our customers also have the ability to invite external parties to collaborate on specific Asana projects, which supports viral adoption of our platform.</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market for work management platforms is increasingly competitive, fragmented and subject to rapidly changing technology, shifting user and customer needs, new market entrants, and frequent introductions of new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efficient hybrid go-to-market model;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ability to create easy to use integrations for, and robust, effective partnerships with, other larger enterprise software solutions and tools.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8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of January 31, 2020, we had been granted five U.S. patents, had 19 U.S. patent applications pending, and one notice of allowance. Our issued patents expire between January 2031 and December 2034.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current corporate headquarters, consisting of approximately 110,000 square feet of office space in San Francisco, California, is leased through October 2021. In February 2019, we entered into a new lease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pursuant to which we will lease office space located in San Francisco, California consisting of 265,890 square feet for an initial term of 148 months commencing in May 2020. This new office building will house our new corporate headquarters, which we expect to begin occupying in the first quarter of fiscal 2022.</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lease additional offices in multiple locations in the United States and internationally, including in Dublin, London, Munich, New York, Reykjavik, Sydney, Tokyo, and Vancouver.</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As of January 31, 2020, we had 701 full-time employees. Of these employees, 573 were in the United States and 128 were in our international locations. None of our employees is represented by a labor union or covered by collective bargaining agreements. We have not experienced any work stoppages. We consider our relationship with our employees to be good.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580" w:type="dxa"/>
            <w:vAlign w:val="bottom"/>
          </w:tcPr>
          <w:p>
            <w:pPr>
              <w:spacing w:after="0"/>
              <w:rPr>
                <w:sz w:val="14"/>
                <w:szCs w:val="14"/>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69"/>
        </w:trPr>
        <w:tc>
          <w:tcPr>
            <w:tcW w:w="2880" w:type="dxa"/>
            <w:vAlign w:val="bottom"/>
            <w:gridSpan w:val="2"/>
          </w:tcPr>
          <w:p>
            <w:pPr>
              <w:spacing w:after="0"/>
              <w:rPr>
                <w:sz w:val="20"/>
                <w:szCs w:val="20"/>
                <w:color w:val="auto"/>
              </w:rPr>
            </w:pPr>
            <w:r>
              <w:rPr>
                <w:rFonts w:ascii="Arial" w:cs="Arial" w:eastAsia="Arial" w:hAnsi="Arial"/>
                <w:sz w:val="18"/>
                <w:szCs w:val="18"/>
                <w:color w:val="auto"/>
              </w:rPr>
              <w:t>Dustin Moskovitz</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w w:val="91"/>
              </w:rPr>
              <w:t>Co-Founder, President, Chief Executive Officer, and Chair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Chris Farinacci</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General Counsel and Corporate Secretary</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Tim Wan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Anna Binder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People</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Alex Hood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Product</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Oliver Jay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Sales and Business Development</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Dave King</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Marketing</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Prashant Pandey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Head of Engineering</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Adam D’Angelo</w:t>
            </w:r>
            <w:r>
              <w:rPr>
                <w:rFonts w:ascii="Arial" w:cs="Arial" w:eastAsia="Arial" w:hAnsi="Arial"/>
                <w:sz w:val="15"/>
                <w:szCs w:val="15"/>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880" w:type="dxa"/>
            <w:vAlign w:val="bottom"/>
            <w:gridSpan w:val="2"/>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(2)(3)</w:t>
            </w: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880" w:type="dxa"/>
            <w:vAlign w:val="bottom"/>
            <w:gridSpan w:val="2"/>
          </w:tcPr>
          <w:p>
            <w:pPr>
              <w:spacing w:after="0"/>
              <w:rPr>
                <w:sz w:val="20"/>
                <w:szCs w:val="20"/>
                <w:color w:val="auto"/>
              </w:rPr>
            </w:pPr>
            <w:r>
              <w:rPr>
                <w:rFonts w:ascii="Arial" w:cs="Arial" w:eastAsia="Arial" w:hAnsi="Arial"/>
                <w:sz w:val="18"/>
                <w:szCs w:val="18"/>
                <w:color w:val="auto"/>
              </w:rPr>
              <w:t>Justin Rosenstein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Lead independent director.</w:t>
      </w:r>
    </w:p>
    <w:p>
      <w:pPr>
        <w:spacing w:after="0" w:line="3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Dustin Moskovitz </w:t>
      </w:r>
      <w:r>
        <w:rPr>
          <w:rFonts w:ascii="Arial" w:cs="Arial" w:eastAsia="Arial" w:hAnsi="Arial"/>
          <w:sz w:val="16"/>
          <w:szCs w:val="16"/>
          <w:color w:val="auto"/>
        </w:rPr>
        <w:t>co-founded Asana and has served as a member of our board of directors since December 2008, as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Chris Farinacci </w:t>
      </w:r>
      <w:r>
        <w:rPr>
          <w:rFonts w:ascii="Arial" w:cs="Arial" w:eastAsia="Arial" w:hAnsi="Arial"/>
          <w:sz w:val="18"/>
          <w:szCs w:val="18"/>
          <w:color w:val="auto"/>
        </w:rPr>
        <w:t>has served as our Chief Operating Officer since September 2015. Prior to joining Asana, Mr. Farinacci served as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Marketing for Google for Work and Google for Education, Alphabet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320" w:top="459"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Eleanor Lacey </w:t>
      </w:r>
      <w:r>
        <w:rPr>
          <w:rFonts w:ascii="Arial" w:cs="Arial" w:eastAsia="Arial" w:hAnsi="Arial"/>
          <w:sz w:val="17"/>
          <w:szCs w:val="17"/>
          <w:color w:val="auto"/>
        </w:rPr>
        <w:t>has served as our General Counsel since July 2019 and as our Corporate Secretary since September 2019. Prior to joining Asana,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November 2016 to July 2019, Ms. Lacey was with Sophos, Inc., an affiliated entity of Sophos Group plc, a security software and hardware company, most recently serving as Executive Vice President and Chief Legal Officer, and served as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Tim Wan </w:t>
      </w:r>
      <w:r>
        <w:rPr>
          <w:rFonts w:ascii="Arial" w:cs="Arial" w:eastAsia="Arial" w:hAnsi="Arial"/>
          <w:sz w:val="17"/>
          <w:szCs w:val="17"/>
          <w:color w:val="auto"/>
        </w:rPr>
        <w:t>has served as our Chief Financial Officer since January 2017, and he previously served as our Secretary from May 2018 to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Anna Binder </w:t>
      </w:r>
      <w:r>
        <w:rPr>
          <w:rFonts w:ascii="Arial" w:cs="Arial" w:eastAsia="Arial" w:hAnsi="Arial"/>
          <w:sz w:val="17"/>
          <w:szCs w:val="17"/>
          <w:color w:val="auto"/>
        </w:rPr>
        <w:t>has served as our Head of People since May 2016. Prior to joining Asana, Ms. Binder was the Vice President of People at MuleSoft,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 in Barcelona, Spain. Ms. Binder has served on the Board of Directors of The Women’s Building in San Francisco since March 2020.</w:t>
      </w:r>
    </w:p>
    <w:p>
      <w:pPr>
        <w:spacing w:after="0" w:line="17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Alex Hood </w:t>
      </w:r>
      <w:r>
        <w:rPr>
          <w:rFonts w:ascii="Arial" w:cs="Arial" w:eastAsia="Arial" w:hAnsi="Arial"/>
          <w:sz w:val="18"/>
          <w:szCs w:val="18"/>
          <w:color w:val="auto"/>
        </w:rPr>
        <w:t>has served as our Head of Product since January 2018. Prior to joining Asana, Mr. Hood served as the Vice President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Oliver Jay </w:t>
      </w:r>
      <w:r>
        <w:rPr>
          <w:rFonts w:ascii="Arial" w:cs="Arial" w:eastAsia="Arial" w:hAnsi="Arial"/>
          <w:sz w:val="18"/>
          <w:szCs w:val="18"/>
          <w:color w:val="auto"/>
        </w:rPr>
        <w:t>has served as our Head of Sales and Business Development since November 2016. Prior to joining Asana, Mr. Jay was Head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APAC &amp; 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Dave King </w:t>
      </w:r>
      <w:r>
        <w:rPr>
          <w:rFonts w:ascii="Arial" w:cs="Arial" w:eastAsia="Arial" w:hAnsi="Arial"/>
          <w:sz w:val="18"/>
          <w:szCs w:val="18"/>
          <w:color w:val="auto"/>
        </w:rPr>
        <w:t>has served as our Head of Marketing since May 2017. Prior to joining Asana, Mr. King was Vice President of Marketing at Percolate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marketing software company, from October 2015 to January 2017.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Prashant Pandey </w:t>
      </w:r>
      <w:r>
        <w:rPr>
          <w:rFonts w:ascii="Arial" w:cs="Arial" w:eastAsia="Arial" w:hAnsi="Arial"/>
          <w:sz w:val="18"/>
          <w:szCs w:val="18"/>
          <w:color w:val="auto"/>
        </w:rPr>
        <w:t>has served as our Head of Engineering since July 2015, and previously as our Head of Infrastructure since May 2014.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Sydney Carey </w:t>
      </w:r>
      <w:r>
        <w:rPr>
          <w:rFonts w:ascii="Arial" w:cs="Arial" w:eastAsia="Arial" w:hAnsi="Arial"/>
          <w:sz w:val="17"/>
          <w:szCs w:val="17"/>
          <w:color w:val="auto"/>
        </w:rPr>
        <w:t>has served as a member of our board of directors since July 2019. Since November 2018, Ms. Carey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7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12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Matthew Cohler </w:t>
      </w:r>
      <w:r>
        <w:rPr>
          <w:rFonts w:ascii="Arial" w:cs="Arial" w:eastAsia="Arial" w:hAnsi="Arial"/>
          <w:sz w:val="17"/>
          <w:szCs w:val="17"/>
          <w:color w:val="auto"/>
        </w:rPr>
        <w:t>has served as a member of our board of directors since November 2009. Mr. Cohler has been a Partner at Benchmark Capital,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7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12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Adam D’Angelo </w:t>
      </w:r>
      <w:r>
        <w:rPr>
          <w:rFonts w:ascii="Arial" w:cs="Arial" w:eastAsia="Arial" w:hAnsi="Arial"/>
          <w:sz w:val="18"/>
          <w:szCs w:val="18"/>
          <w:color w:val="auto"/>
        </w:rPr>
        <w:t>has served as a member of our board of directors since December 2008. Mr. D’Angelo founded Quora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question-and-answer 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Lorrie Norrington </w:t>
      </w:r>
      <w:r>
        <w:rPr>
          <w:rFonts w:ascii="Arial" w:cs="Arial" w:eastAsia="Arial" w:hAnsi="Arial"/>
          <w:sz w:val="18"/>
          <w:szCs w:val="18"/>
          <w:color w:val="auto"/>
        </w:rPr>
        <w:t>has served as a member of our board of directors since July 2019. Ms. Norrington has served as an operating partner of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 Capital LLC, a growth equity investment firm, since October 2012. Ms. Norrington previously served in several senior management roles at eBay Inc., a multinational e-commerce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Colgate-Palmolive Company, and Eventbrite, Inc., and she also previously served on the board of directors of DirectTV from February 2011 to August 2015. Ms. Norrington holds a B.A. in business administration from the University of Maryland, College Park and an M.B.A. from Harvard University.</w:t>
      </w:r>
    </w:p>
    <w:p>
      <w:pPr>
        <w:spacing w:after="0" w:line="15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believe that Ms. Norrington is qualified to serve as a member of our board of directors because of her extensive experience as an executive and board member of many publicly-traded companies, including her business acumen and extensive global expertise, and her knowledge of our industry.</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Anne Raimondi </w:t>
      </w:r>
      <w:r>
        <w:rPr>
          <w:rFonts w:ascii="Arial" w:cs="Arial" w:eastAsia="Arial" w:hAnsi="Arial"/>
          <w:sz w:val="16"/>
          <w:szCs w:val="16"/>
          <w:color w:val="auto"/>
        </w:rPr>
        <w:t>has served as a member of our board of directors since February 2019 and as our lead independent director since December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 Ms. Raimondi holds a B.A. in economics and sociology and an M.B.A. from Stanford University.</w:t>
      </w:r>
    </w:p>
    <w:p>
      <w:pPr>
        <w:spacing w:after="0" w:line="16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Justin Rosenstein </w:t>
      </w:r>
      <w:r>
        <w:rPr>
          <w:rFonts w:ascii="Arial" w:cs="Arial" w:eastAsia="Arial" w:hAnsi="Arial"/>
          <w:sz w:val="18"/>
          <w:szCs w:val="18"/>
          <w:color w:val="auto"/>
        </w:rPr>
        <w:t>co-founded Asana and has served as a member of our board of directors since December 2008. Mr. Rosenstein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that Mr. Rosenstein is qualified to serve as a member of our board of directors due to the perspective and experience he brings as our co-founder and former President.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Pursuant to a voting agreement, Messrs. Cohler, Moskovitz, Rosenstein, and D’Angelo have been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are currently elected will terminate, and there will be no contractual obligations regarding the election of our directors, upon the effectiveness of the registration statement of which this prospectus forms a part.</w:t>
      </w:r>
    </w:p>
    <w:p>
      <w:pPr>
        <w:spacing w:after="0" w:line="16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 that will become effective in connection with the effectiveness of the registration statement of which this prospectus forms a part.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which will be in effect upon the effectiveness of the registration statement of which this prospectus forms a part,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will be divided among the three classes as follows: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 and</w:t>
            </w:r>
          </w:p>
        </w:tc>
        <w:tc>
          <w:tcPr>
            <w:tcW w:w="6400" w:type="dxa"/>
            <w:vAlign w:val="bottom"/>
          </w:tcPr>
          <w:p>
            <w:pPr>
              <w:ind w:left="580"/>
              <w:spacing w:after="0"/>
              <w:rPr>
                <w:sz w:val="20"/>
                <w:szCs w:val="20"/>
                <w:color w:val="auto"/>
              </w:rPr>
            </w:pPr>
            <w:r>
              <w:rPr>
                <w:rFonts w:ascii="Arial" w:cs="Arial" w:eastAsia="Arial" w:hAnsi="Arial"/>
                <w:sz w:val="18"/>
                <w:szCs w:val="18"/>
                <w:color w:val="auto"/>
                <w:w w:val="92"/>
              </w:rPr>
              <w:t>, and their terms will expire at our first annual meeting of stockholders following</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the effectiveness of the registration statement of which this prospectus forms a part;</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and</w:t>
            </w:r>
          </w:p>
        </w:tc>
        <w:tc>
          <w:tcPr>
            <w:tcW w:w="68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the</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 and</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460" w:type="dxa"/>
            <w:vAlign w:val="bottom"/>
          </w:tcPr>
          <w:p>
            <w:pPr>
              <w:spacing w:after="0"/>
              <w:rPr>
                <w:sz w:val="24"/>
                <w:szCs w:val="24"/>
                <w:color w:val="auto"/>
              </w:rPr>
            </w:pPr>
          </w:p>
        </w:tc>
        <w:tc>
          <w:tcPr>
            <w:tcW w:w="6400" w:type="dxa"/>
            <w:vAlign w:val="bottom"/>
          </w:tcPr>
          <w:p>
            <w:pPr>
              <w:jc w:val="center"/>
              <w:ind w:right="130"/>
              <w:spacing w:after="0"/>
              <w:rPr>
                <w:sz w:val="20"/>
                <w:szCs w:val="20"/>
                <w:color w:val="auto"/>
              </w:rPr>
            </w:pPr>
            <w:r>
              <w:rPr>
                <w:rFonts w:ascii="Arial" w:cs="Arial" w:eastAsia="Arial" w:hAnsi="Arial"/>
                <w:sz w:val="18"/>
                <w:szCs w:val="18"/>
                <w:color w:val="auto"/>
                <w:w w:val="92"/>
              </w:rPr>
              <w:t>, and their terms will expire at our third annual meeting of stockholders following the</w:t>
            </w:r>
          </w:p>
        </w:tc>
      </w:tr>
      <w:tr>
        <w:trPr>
          <w:trHeight w:val="230"/>
        </w:trPr>
        <w:tc>
          <w:tcPr>
            <w:tcW w:w="300" w:type="dxa"/>
            <w:vAlign w:val="bottom"/>
          </w:tcPr>
          <w:p>
            <w:pPr>
              <w:spacing w:after="0"/>
              <w:rPr>
                <w:sz w:val="20"/>
                <w:szCs w:val="20"/>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bl>
    <w:p>
      <w:pPr>
        <w:spacing w:after="0" w:line="20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 director and that each of these directors is “independent” as that term is defined under the listing standards of the NYSE.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audit committee consists of Sydney Carey, Matthew Cohler, and Lorrie Norrington. Our board of directors has determined that each member of the audit committee satisfies the independence requirements under the listing standards of the NYSE and Rule 10A-3(b)(1) of the Exchange Act. The chair of our audit committee is Ms. Carey. Our board of directors has determined that Ms. Carey is an “audit committee financial expert” within the meaning of SEC regulations. Each member of our audit committee can read and understand fundamental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financial statements in accordance with applicable requirements. In arriving at these determinations, our board of directors has examined each audit committee member’s scope of experience or the nature of his or her employment.</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or, as required, pre-approving audit and permissible non-audit services to be performed by the independent registered public accounting firm.</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effectiveness of the registration statement of which this prospectus forms a part, that satisfies the applicable listing standards of the NYSE.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compensation committee consists of Sydney Carey, Adam D’Angelo, and Anne Raimondi. The chair of our compensation committee is</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Ms. Raimondi. Our board of directors has determined that each member of the compensation committee is independent under the listing standards of the NYSE, and a “non-employee director” as defined in Rule 16b-3 promulgated under the Exchange Act.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80" w:right="26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approving, and determining, or recommending to our board of directors, the compensation of our chief executive officer and other executive officers;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effectiveness of the registration statement of which this prospectus forms a part, that satisfies the applicable listing standards of the NYSE.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 governance committee is independent under the listing standards of the NYSE.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right="40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leadership of our board of directors and its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reviewing, developing, and making recommendations to our board of directors regarding corporate governance guidelines and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effectiveness of the registration statement of which this prospectus forms a part, that satisfies the applicable listing standards of the NYSE.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Upon the effectiveness of the registration statement of which this prospectus forms a part, our code of business conduct and ethics will be available under the Corporate Governance section of our website at https://asana.com. In addition, we intend to post on our website all disclosures that are required by law or the listing standards of the NYSE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fiscal 2020, other than Dustin Moskovitz, our Chief Executive Officer, and Justin Rosenstein, who served as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760" w:type="dxa"/>
            <w:vAlign w:val="bottom"/>
            <w:vMerge w:val="restart"/>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760" w:type="dxa"/>
            <w:vAlign w:val="bottom"/>
            <w:vMerge w:val="continue"/>
          </w:tcPr>
          <w:p>
            <w:pPr>
              <w:spacing w:after="0"/>
              <w:rPr>
                <w:sz w:val="15"/>
                <w:szCs w:val="15"/>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(2)</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$ 217,061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$ 217,061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Matthew Cohler</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D’Angelo</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Colin le Duc</w:t>
            </w:r>
            <w:r>
              <w:rPr>
                <w:rFonts w:ascii="Arial" w:cs="Arial" w:eastAsia="Arial" w:hAnsi="Arial"/>
                <w:sz w:val="15"/>
                <w:szCs w:val="15"/>
                <w:color w:val="auto"/>
              </w:rPr>
              <w:t>(3)</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106,340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106,340</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217,061</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217,061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20" w:hanging="424"/>
        <w:spacing w:after="0" w:line="241" w:lineRule="auto"/>
        <w:tabs>
          <w:tab w:leader="none" w:pos="5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11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none of our non-employee directors held any equity awards other than Mmes. Carey, Raimondi, and Norrington who each held 50,000 shares of restricted stock acquired upon exercise of stock options, of which 43,750, 37,500, and 43,750 shares, respectively, were unvested as of January 31, 2020 and subject to repurchase by us.</w:t>
      </w:r>
    </w:p>
    <w:p>
      <w:pPr>
        <w:spacing w:after="0" w:line="2"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Carey was appointed to our board of directors in July 2019.</w:t>
      </w:r>
    </w:p>
    <w:p>
      <w:pPr>
        <w:ind w:left="540" w:hanging="424"/>
        <w:spacing w:after="0" w:line="221"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le Duc resigned from our board of directors in November 2019.</w:t>
      </w:r>
    </w:p>
    <w:p>
      <w:pPr>
        <w:ind w:left="540" w:hanging="424"/>
        <w:spacing w:after="0" w:line="221"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Raimondi was appointed to our board of directors in February 2019.</w:t>
      </w:r>
    </w:p>
    <w:p>
      <w:pPr>
        <w:ind w:left="540" w:hanging="424"/>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Norrington was appointed to our board of directors in July 2019.</w:t>
      </w:r>
    </w:p>
    <w:p>
      <w:pPr>
        <w:spacing w:after="0" w:line="19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In connection with the appointment of each of Ms. Carey, Ms. Norrington, and Ms. Raimondi to our board of directors, we granted the director an early-exercisable option to purchase 50,000 shares of our common stock with an exercise price per share equal to $4.02, $4.02, and $3.70, respectively. Each option vests and becomes exercisable in equal monthly installments over four years from the date the director was appointed to our board, subject to continued service on our board of directors.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effectiveness of the registration statement of which this prospectus forms a part.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240" w:firstLine="440"/>
        <w:spacing w:after="0" w:line="342" w:lineRule="auto"/>
        <w:rPr>
          <w:sz w:val="20"/>
          <w:szCs w:val="20"/>
          <w:color w:val="auto"/>
        </w:rPr>
      </w:pPr>
      <w:r>
        <w:rPr>
          <w:rFonts w:ascii="Arial" w:cs="Arial" w:eastAsia="Arial" w:hAnsi="Arial"/>
          <w:sz w:val="16"/>
          <w:szCs w:val="16"/>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400" w:type="dxa"/>
            <w:vAlign w:val="bottom"/>
            <w:vMerge w:val="restart"/>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Fiscal Year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80" w:type="dxa"/>
            <w:vAlign w:val="bottom"/>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Dustin Moskovitz</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 Executive Officer, and Chair</w:t>
            </w: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160" w:type="dxa"/>
            <w:vAlign w:val="bottom"/>
            <w:gridSpan w:val="2"/>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6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 and Corporate Secretary</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185,769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1,736,491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1,985,014</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4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 Wan</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333,333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414,424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260" w:hanging="424"/>
        <w:spacing w:after="0" w:line="224"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11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3" w:lineRule="exact"/>
        <w:rPr>
          <w:rFonts w:ascii="Arial" w:cs="Arial" w:eastAsia="Arial" w:hAnsi="Arial"/>
          <w:sz w:val="14"/>
          <w:szCs w:val="14"/>
          <w:color w:val="auto"/>
        </w:rPr>
      </w:pPr>
    </w:p>
    <w:p>
      <w:pPr>
        <w:ind w:left="540" w:right="32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amount disclosed represents the executive officer’s total bonuses earned for fiscal 2020, as described below under “—Non-Equity Incentive Plan Compensation—Fiscal 2020 Executive Incentive Plan.”</w:t>
      </w: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Ms. Lacey commenced employment with us in July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Year-End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the outstanding stock option awards held by our named executive officers as of January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40" w:type="dxa"/>
            <w:vAlign w:val="bottom"/>
            <w:tcBorders>
              <w:top w:val="single" w:sz="8" w:color="auto"/>
            </w:tcBorders>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4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that</w:t>
            </w:r>
          </w:p>
        </w:tc>
        <w:tc>
          <w:tcPr>
            <w:tcW w:w="80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92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4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Grant</w:t>
            </w:r>
          </w:p>
        </w:tc>
        <w:tc>
          <w:tcPr>
            <w:tcW w:w="19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Expiration</w:t>
            </w: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Have Not</w:t>
            </w:r>
          </w:p>
        </w:tc>
        <w:tc>
          <w:tcPr>
            <w:tcW w:w="8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89"/>
              </w:rPr>
              <w:t>Name</w:t>
            </w:r>
          </w:p>
        </w:tc>
        <w:tc>
          <w:tcPr>
            <w:tcW w:w="3600" w:type="dxa"/>
            <w:vAlign w:val="bottom"/>
          </w:tcPr>
          <w:p>
            <w:pPr>
              <w:spacing w:after="0"/>
              <w:rPr>
                <w:sz w:val="15"/>
                <w:szCs w:val="15"/>
                <w:color w:val="auto"/>
              </w:rPr>
            </w:pPr>
          </w:p>
        </w:tc>
        <w:tc>
          <w:tcPr>
            <w:tcW w:w="124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(1)</w:t>
            </w:r>
          </w:p>
        </w:tc>
        <w:tc>
          <w:tcPr>
            <w:tcW w:w="10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Exercisable</w:t>
            </w:r>
          </w:p>
        </w:tc>
        <w:tc>
          <w:tcPr>
            <w:tcW w:w="100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w w:val="88"/>
              </w:rPr>
              <w:t>Unexercisable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7"/>
              </w:rPr>
              <w:t>Price</w:t>
            </w: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Dustin Moskovitz</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7/30/2019</w:t>
            </w:r>
            <w:r>
              <w:rPr>
                <w:rFonts w:ascii="Arial" w:cs="Arial" w:eastAsia="Arial" w:hAnsi="Arial"/>
                <w:sz w:val="15"/>
                <w:szCs w:val="15"/>
                <w:color w:val="auto"/>
                <w:w w:val="95"/>
              </w:rPr>
              <w:t>(3)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375,000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7/29/2029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$ 326,000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Wan</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5/3/2017</w:t>
            </w:r>
            <w:r>
              <w:rPr>
                <w:rFonts w:ascii="Arial" w:cs="Arial" w:eastAsia="Arial" w:hAnsi="Arial"/>
                <w:sz w:val="15"/>
                <w:szCs w:val="15"/>
                <w:color w:val="auto"/>
              </w:rPr>
              <w:t>(4)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1,145,899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5/02/2027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4/29/2019</w:t>
            </w:r>
            <w:r>
              <w:rPr>
                <w:rFonts w:ascii="Arial" w:cs="Arial" w:eastAsia="Arial" w:hAnsi="Arial"/>
                <w:sz w:val="15"/>
                <w:szCs w:val="15"/>
                <w:color w:val="auto"/>
                <w:w w:val="95"/>
              </w:rPr>
              <w:t>(5)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189,660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4/28/2029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00" w:hanging="424"/>
        <w:spacing w:after="0" w:line="244" w:lineRule="auto"/>
        <w:tabs>
          <w:tab w:leader="none" w:pos="5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our Amended and Restated 2012 Stock Plan and are subject to acceleration of vesting as described in “—Employment, Severance, and Change of Control Arrangements” below. 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w:t>
      </w:r>
    </w:p>
    <w:p>
      <w:pPr>
        <w:spacing w:after="0" w:line="1" w:lineRule="exact"/>
        <w:rPr>
          <w:rFonts w:ascii="Arial" w:cs="Arial" w:eastAsia="Arial" w:hAnsi="Arial"/>
          <w:sz w:val="13"/>
          <w:szCs w:val="13"/>
          <w:color w:val="auto"/>
        </w:rPr>
      </w:pPr>
    </w:p>
    <w:p>
      <w:pPr>
        <w:ind w:left="540" w:right="2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represent the number of unvested shares acquired on exercise of an option subject to a right of repurchase by us multiplied by the value of a share of our Class A common stock on January 31, 2020, as determined by our board of directors, which was $13.04.</w:t>
      </w:r>
    </w:p>
    <w:p>
      <w:pPr>
        <w:ind w:left="540" w:right="14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1/4th of the shares initially subject to the option will vest on July 22, 2020 and an additional 1/48th of the initial shares will vest monthly thereafter, subject to continued service to us as of each vesting date.</w:t>
      </w:r>
    </w:p>
    <w:p>
      <w:pPr>
        <w:ind w:left="540" w:right="120" w:hanging="424"/>
        <w:spacing w:after="0" w:line="221"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1/4th of the shares subject to the option vested on January 17, 2018 and an additional 1/48th of the shares vest monthly thereafter, subject to continued service to us as of each vesting date.</w:t>
      </w:r>
    </w:p>
    <w:p>
      <w:pPr>
        <w:ind w:left="540" w:right="60" w:hanging="424"/>
        <w:spacing w:after="0" w:line="237"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1/24th of the shares subject to the option will vest on March 1, 2021 and an additional 1/24th of the shares vest monthly thereafter, subject to continued service to us as of each vesting date.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Severance, and Change of Control Arrangements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Offer Letters and Employment Agreements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entered into offer letters with Mr. Moskovitz, Ms. Lacey, and Mr. Wan. Each of these arrangements provide for at-will employment and generally include the named executive officer’s initial base salary and, in the cases of Ms. Lacey and Mr. Wan, an indication of eligibility for an annual cash incentive award opportunity, and an initial grant of equity awards. In addition, each of our named executive officers has executed our standard confidential information and invention assignment agreement. As discussed in “—Potential Payments upon Termination or Change of Control” below, under our offer letters with Ms. Lacey and Mr. Wan, we have agreed to accelerate the vesting of equity awards if we terminate her or him, as the case may be, under certain circumstances.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offer letters with Ms. Lacey and Mr. Wan provide that if the executive officer is terminated (A) upon the consummation of, or within 12 months following, a change in control transaction and (B) by us without cause or as a result of her or his resignation for good reason, then 100% of the then unvested shares subject to her or his equity awards will immediately vest and become exercisable upon the date of such termination; provided, however, if our successor or any affiliate of such successor does not agree to assume, substitute, or otherwise continue the equity awards at the time of a change in control transaction, and she or he does not voluntarily resign in connection with such change in control transaction without good reason, then 100% of the then unvested shares subject to her or his equity awards shall fully vest and become exercisable immediately prior to, and contingent upon, the consummation of such change in control transaction.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connection with the effectiveness of the registration statement of which this prospectus forms a part, we adopted an Executive Severance and Change in Control Benefit Plan, or the executive severance plan, in which our named executive officers, and certain other executives and key employees, will participate. Our executive severance plan provides that upon (i) a termination of an eligible participant’s employment with us that is effected by us without “cause,” as defined in the executive severance plan or (ii) a resignation by an eligible participant for “good reason,” as defined in the executive severance plan, in each case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one-third of the sum of the eligible participant’s (a) annual base salary and (b) target annual bonus (if applicable) for the year in which the termination date occurs, (ii) a lump sum cash payment equal to four months of our contribution towards health insurance, and (iii) accelerated vesting of certain outstanding and unvested time-based vesting equity awards held by such participant.</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executive severance plan also provides that upon (i) a termination of an eligible participant’s employment with us that is effected by us without cause, or (ii) a resignation by an eligible participant for good reason, in each case within the change in control period, the eligible participant will be entitled to receive, in lieu of the payments and benefits above and subject to, among other things, the execution and delivery of an effective release of claims in our favor, (i) a lump sum cash payment equal to 12 months of base salary plus target annual bonus (if applicable), (ii) a lump sum cash payment equal to the eligible participant’s prorated target annual bonus (if applicable), (iii) a lump sum cash payment equal to 12 months of our contribution towards health insurance, and (iv) accelerated vesting of certain outstanding and unvested equity awards held by such participant; provided, that any unvested and outstanding equity awards subject to performance conditions will be deemed satisfied at target levels specified in the applicable award agreements.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payments and benefits provided under the executive severance plan in connection with a change in control may not be eligible for a federal income tax deduction by us pursuant to Section 280G of the Code. These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2020 Executive Incentive Plan</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approved an executive incentive plan for our executive leadership team for fiscal 2020, or the FY2020 Bonus Plan. Each participant in the FY2020 Bonus Plan was eligible to receive cash bonuses based on the achievement of certain financial and strategic goals. In addition, to be eligible to earn a bonus under the FY2020 Bonus Plan, a participant had to remain continually employed by, and in good standing with, us through the applicable bonus payment date. Ms. Lacey, our General Counsel and Corporate Secretary, and Mr. Wan, our Chief Financial Officer, participated in our FY2020 Bonus Plan and earned cash bonuses totaling $62,754 and $180,600, respectively, thereunder.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ectPr>
          <w:pgSz w:w="11900" w:h="16838" w:orient="portrait"/>
          <w:cols w:equalWidth="0" w:num="1">
            <w:col w:w="11080"/>
          </w:cols>
          <w:pgMar w:left="320" w:top="459" w:right="499" w:bottom="1440" w:gutter="0" w:footer="0" w:header="0"/>
        </w:sectPr>
      </w:pPr>
    </w:p>
    <w:p>
      <w:pPr>
        <w:spacing w:after="0" w:line="117" w:lineRule="exact"/>
        <w:rPr>
          <w:sz w:val="20"/>
          <w:szCs w:val="20"/>
          <w:color w:val="auto"/>
        </w:rPr>
      </w:pPr>
    </w:p>
    <w:p>
      <w:pPr>
        <w:ind w:left="560"/>
        <w:spacing w:after="0"/>
        <w:tabs>
          <w:tab w:leader="none" w:pos="9120" w:val="left"/>
        </w:tabs>
        <w:rPr>
          <w:sz w:val="20"/>
          <w:szCs w:val="20"/>
          <w:color w:val="auto"/>
        </w:rPr>
      </w:pPr>
      <w:r>
        <w:rPr>
          <w:rFonts w:ascii="Arial" w:cs="Arial" w:eastAsia="Arial" w:hAnsi="Arial"/>
          <w:sz w:val="18"/>
          <w:szCs w:val="18"/>
          <w:color w:val="auto"/>
        </w:rPr>
        <w:t>Our board of directors adopted and our stockholders approved our 2020 Equity Incentive Plan, or 2020 Plan, on</w:t>
      </w:r>
      <w:r>
        <w:rPr>
          <w:sz w:val="20"/>
          <w:szCs w:val="20"/>
          <w:color w:val="auto"/>
        </w:rPr>
        <w:tab/>
      </w:r>
      <w:r>
        <w:rPr>
          <w:rFonts w:ascii="Arial" w:cs="Arial" w:eastAsia="Arial" w:hAnsi="Arial"/>
          <w:sz w:val="16"/>
          <w:szCs w:val="16"/>
          <w:color w:val="auto"/>
        </w:rPr>
        <w:t>, 2020 and 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0120" w:space="540"/>
            <w:col w:w="420"/>
          </w:cols>
          <w:pgMar w:left="320" w:top="459" w:right="499" w:bottom="1440" w:gutter="0" w:footer="0" w:header="0"/>
          <w:type w:val="continuous"/>
        </w:sectPr>
      </w:pPr>
    </w:p>
    <w:p>
      <w:pPr>
        <w:ind w:left="120" w:right="560"/>
        <w:spacing w:after="0" w:line="260" w:lineRule="auto"/>
        <w:rPr>
          <w:sz w:val="20"/>
          <w:szCs w:val="20"/>
          <w:color w:val="auto"/>
        </w:rPr>
      </w:pPr>
      <w:r>
        <w:rPr>
          <w:rFonts w:ascii="Arial" w:cs="Arial" w:eastAsia="Arial" w:hAnsi="Arial"/>
          <w:sz w:val="18"/>
          <w:szCs w:val="18"/>
          <w:color w:val="auto"/>
        </w:rPr>
        <w:t>2020, respectively. The 2020 Plan will become effective, and no stock awards may be granted under the 2020 Plan until immediately prior to the effectiveness of the registration statement of which this prospectus forms a part.</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The 2020 Plan provides for the grant of incentive stock options, within the meaning of Section 422 of the Code, or ISOs,</w:t>
      </w:r>
      <w:r>
        <w:rPr>
          <w:rFonts w:ascii="Arial" w:cs="Arial" w:eastAsia="Arial" w:hAnsi="Arial"/>
          <w:sz w:val="17"/>
          <w:szCs w:val="17"/>
          <w:i w:val="1"/>
          <w:iCs w:val="1"/>
          <w:color w:val="auto"/>
        </w:rPr>
        <w:t xml:space="preserve"> </w:t>
      </w:r>
      <w:r>
        <w:rPr>
          <w:rFonts w:ascii="Arial" w:cs="Arial" w:eastAsia="Arial" w:hAnsi="Arial"/>
          <w:sz w:val="17"/>
          <w:szCs w:val="17"/>
          <w:color w:val="auto"/>
        </w:rPr>
        <w:t>nonstatutory stock options, or NSOs, stock appreciation rights, restricted stock awards, RSU awards, performance-based stock awards, and other forms of equity compensation, which are 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the aggregate number of shares of our Class A common stock that may be issued pursuant to stock awards under the 2020</w:t>
      </w:r>
    </w:p>
    <w:p>
      <w:pPr>
        <w:spacing w:after="0" w:line="46" w:lineRule="exact"/>
        <w:rPr>
          <w:sz w:val="20"/>
          <w:szCs w:val="20"/>
          <w:color w:val="auto"/>
        </w:rPr>
      </w:pPr>
    </w:p>
    <w:p>
      <w:pPr>
        <w:ind w:left="120" w:right="120"/>
        <w:spacing w:after="0" w:line="265" w:lineRule="auto"/>
        <w:rPr>
          <w:sz w:val="20"/>
          <w:szCs w:val="20"/>
          <w:color w:val="auto"/>
        </w:rPr>
      </w:pPr>
      <w:r>
        <w:rPr>
          <w:rFonts w:ascii="Arial" w:cs="Arial" w:eastAsia="Arial" w:hAnsi="Arial"/>
          <w:sz w:val="17"/>
          <w:szCs w:val="17"/>
          <w:color w:val="auto"/>
        </w:rPr>
        <w:t>Plan is shares. The maximum number of shares that may be issued upon the exercise of ISOs under our 2020 Plan is shares.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w:t>
      </w:r>
    </w:p>
    <w:p>
      <w:pPr>
        <w:ind w:left="120"/>
        <w:spacing w:after="0"/>
        <w:tabs>
          <w:tab w:leader="none" w:pos="5020" w:val="left"/>
        </w:tabs>
        <w:rPr>
          <w:sz w:val="20"/>
          <w:szCs w:val="20"/>
          <w:color w:val="auto"/>
        </w:rPr>
      </w:pPr>
      <w:r>
        <w:rPr>
          <w:rFonts w:ascii="Arial" w:cs="Arial" w:eastAsia="Arial" w:hAnsi="Arial"/>
          <w:sz w:val="18"/>
          <w:szCs w:val="18"/>
          <w:color w:val="auto"/>
        </w:rPr>
        <w:t>including February 1, 2030, in an amount equal to the least of (1)</w:t>
      </w:r>
      <w:r>
        <w:rPr>
          <w:sz w:val="20"/>
          <w:szCs w:val="20"/>
          <w:color w:val="auto"/>
        </w:rPr>
        <w:tab/>
      </w:r>
      <w:r>
        <w:rPr>
          <w:rFonts w:ascii="Arial" w:cs="Arial" w:eastAsia="Arial" w:hAnsi="Arial"/>
          <w:sz w:val="16"/>
          <w:szCs w:val="16"/>
          <w:color w:val="auto"/>
        </w:rPr>
        <w:t>% of the total number of shares of our capital stock outstanding on the last day of</w:t>
      </w:r>
    </w:p>
    <w:p>
      <w:pPr>
        <w:spacing w:after="0" w:line="9" w:lineRule="exact"/>
        <w:rPr>
          <w:sz w:val="20"/>
          <w:szCs w:val="20"/>
          <w:color w:val="auto"/>
        </w:rPr>
      </w:pPr>
    </w:p>
    <w:p>
      <w:pPr>
        <w:ind w:left="120"/>
        <w:spacing w:after="0"/>
        <w:tabs>
          <w:tab w:leader="none" w:pos="2420" w:val="left"/>
        </w:tabs>
        <w:rPr>
          <w:sz w:val="20"/>
          <w:szCs w:val="20"/>
          <w:color w:val="auto"/>
        </w:rPr>
      </w:pPr>
      <w:r>
        <w:rPr>
          <w:rFonts w:ascii="Arial" w:cs="Arial" w:eastAsia="Arial" w:hAnsi="Arial"/>
          <w:sz w:val="18"/>
          <w:szCs w:val="18"/>
          <w:color w:val="auto"/>
        </w:rPr>
        <w:t>the prior fiscal year, (2)</w:t>
      </w:r>
      <w:r>
        <w:rPr>
          <w:sz w:val="20"/>
          <w:szCs w:val="20"/>
          <w:color w:val="auto"/>
        </w:rPr>
        <w:tab/>
      </w:r>
      <w:r>
        <w:rPr>
          <w:rFonts w:ascii="Arial" w:cs="Arial" w:eastAsia="Arial" w:hAnsi="Arial"/>
          <w:sz w:val="16"/>
          <w:szCs w:val="16"/>
          <w:color w:val="auto"/>
        </w:rPr>
        <w:t>shares, or (3) a number of shares approved by our board of directors.</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employment withholding taxes; or (3) shares used to pay the exercise or purchase price of a stock award. Shares issued under the 2020 Plan may be previously unissued shares or reacquired shares bought by us on the open market.</w:t>
      </w:r>
    </w:p>
    <w:p>
      <w:pPr>
        <w:spacing w:after="0" w:line="170"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w:t>
      </w:r>
    </w:p>
    <w:p>
      <w:pPr>
        <w:ind w:left="120" w:right="100"/>
        <w:spacing w:after="0" w:line="281" w:lineRule="auto"/>
        <w:rPr>
          <w:sz w:val="20"/>
          <w:szCs w:val="20"/>
          <w:color w:val="auto"/>
        </w:rPr>
      </w:pPr>
      <w:r>
        <w:rPr>
          <w:rFonts w:ascii="Arial" w:cs="Arial" w:eastAsia="Arial" w:hAnsi="Arial"/>
          <w:sz w:val="16"/>
          <w:szCs w:val="16"/>
          <w:color w:val="auto"/>
        </w:rPr>
        <w:t>service on the board of directors, will not exceed $ in total value (calculating the value of any such stock awards based on the grant date fair value of such stock awards for financial reporting purposes), or, with respect to the calendar year in which a non-employee director is first appointed or</w:t>
      </w:r>
    </w:p>
    <w:p>
      <w:pPr>
        <w:spacing w:after="0" w:line="1" w:lineRule="exact"/>
        <w:rPr>
          <w:sz w:val="20"/>
          <w:szCs w:val="20"/>
          <w:color w:val="auto"/>
        </w:rPr>
      </w:pPr>
    </w:p>
    <w:p>
      <w:pPr>
        <w:ind w:left="120"/>
        <w:spacing w:after="0"/>
        <w:tabs>
          <w:tab w:leader="none" w:pos="3120" w:val="left"/>
        </w:tabs>
        <w:rPr>
          <w:sz w:val="20"/>
          <w:szCs w:val="20"/>
          <w:color w:val="auto"/>
        </w:rPr>
      </w:pPr>
      <w:r>
        <w:rPr>
          <w:rFonts w:ascii="Arial" w:cs="Arial" w:eastAsia="Arial" w:hAnsi="Arial"/>
          <w:sz w:val="18"/>
          <w:szCs w:val="18"/>
          <w:color w:val="auto"/>
        </w:rPr>
        <w:t>elected to our board of directors,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thereof, has the authority to administer the 2020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also delegate to one or more of our officers the authority to (1) designate employees (other than other officers) to be recipients of certain stock awards, (2) 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plan administrator has the authority to modify outstanding stock awards under our 2020 Plan. Subject to the terms of our 2020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evidenced by stock option agreements adopted by the plan administrator. The plan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cause, the option holder may exercise any vested options at any time prior to the expiration of the applicable option’s maximum term. In the event of a termination for cause, options generally terminate immediately. In no event may an option be exercised beyond the expiration of its term.</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Acceptable consideration for the purchase of our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Class A common stock with respect to ISOs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evidenced by restricted stock award agreements adopted by the plan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in consideration for (1) cash, check, bank draft, or money order, (2) services rendered to us or our affiliates, or (3) any other form of legal consideration. Class A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64" w:lineRule="exact"/>
        <w:rPr>
          <w:sz w:val="20"/>
          <w:szCs w:val="20"/>
          <w:color w:val="auto"/>
        </w:rPr>
      </w:pPr>
    </w:p>
    <w:p>
      <w:pPr>
        <w:ind w:left="120" w:right="440" w:firstLine="440"/>
        <w:spacing w:after="0" w:line="272"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RSU awards are evidenced by RSU award agreements adopted by the plan administrator. RSU awards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in consideration for any form of legal consideration or for no 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are evidenced by stock appreciation grant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strike price for a stock appreciation right, which generally cannot be less than 100% of the fair market value of our Class A common stock on the date of grant. Upon the exercise of a stock appreciation right, we will pay the participant an amount in cash or stock equal to (1) 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6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the plan administrator provides otherwise, stock appreciation rights generally are not transferable except by will, the laws of descent and distribution, or pursuant to a domestic relations order. A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appreciation right holder may designate a beneficiary, however, who may exercise the stock appreciation right following the holder’s death.</w:t>
      </w:r>
    </w:p>
    <w:p>
      <w:pPr>
        <w:spacing w:after="0" w:line="23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Our 2020 Plan permits the grant of performance-based stock and cash awards. The performance goals may be any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of performance selected by our board of directors or a committee thereof for the performance period.</w:t>
      </w:r>
    </w:p>
    <w:p>
      <w:pPr>
        <w:spacing w:after="0" w:line="170"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Class A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specified significant corporate transactions, any surviving corporation or acquiring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its parent company) may assume or continue any or all awards outstanding under the 2020 Plan or may substitute similar awards for awards outstanding under the 2020 Plan. For the purposes of the 2020 Plan, an award will be considered assumed, continued or substituted if, following the corporate transaction, the award confers the right to purchase or receive, for each share subject to the award immediately prior to the corporate transaction, the consideration (whether stock, cash or other property) received in the corporate transaction by holders of shares for each share of Class A common stock held on the effective time of such transaction (and if holders were offered a choice of consideration, the type of consideration chosen by the holders of a majority of the outstanding shares of Class A common stock). The terms of any assumption, continuation, or substitution will otherwise be set by our board of directors.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the event of a corporate transaction in which the surviving corporation or acquiring corporation (or its parent company) does not assume or continue outstanding awards or substitute similar awards for awards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outstanding under the 2020 Plan, then with respect to awards that have not been assumed, continued, or substituted and that are held by holders whose service has not terminated prior to the effective time of the corporate transaction,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our board of directors determines (or, if the board of directors does not determine such a date, to the date that is five days prior to the effective time of the corporate transaction) and such awards, plus any outstanding awards held by holders who are not current service providers, will (1) terminate if not exercised (if applicable) prior to the effective time of the corporate transaction and (2) holders will have the right to receive a payment, in such form as may be determined by our board of directors, equal in value, at the effective time, to the excess, if any, of (a) the value of the property the holder would have received upon exercise of the award, over (b) any exercise price payable by the holder in connection with such exercise. With respect to the vesting of performance awards that will accelerate upon the occurrence of a corporate transaction and that have multiple vesting levels depending on the level of performance, unless otherwise provided in the award agreement, the vesting of such performance awards will accelerate at 100% of the target level upon the occurrence of the corporate transaction.</w:t>
      </w:r>
    </w:p>
    <w:p>
      <w:pPr>
        <w:spacing w:after="0" w:line="17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The plan administrator may provide, in an individual award agreement or in any other written agreement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560"/>
        <w:spacing w:after="0"/>
        <w:tabs>
          <w:tab w:leader="none" w:pos="7240" w:val="left"/>
        </w:tabs>
        <w:rPr>
          <w:sz w:val="20"/>
          <w:szCs w:val="20"/>
          <w:color w:val="auto"/>
        </w:rPr>
      </w:pPr>
      <w:r>
        <w:rPr>
          <w:rFonts w:ascii="Arial" w:cs="Arial" w:eastAsia="Arial" w:hAnsi="Arial"/>
          <w:sz w:val="18"/>
          <w:szCs w:val="18"/>
          <w:color w:val="auto"/>
        </w:rPr>
        <w:t>Our board of directors adopted the 2020 Employee Stock Purchase Plan, or ESPP, on</w:t>
      </w:r>
      <w:r>
        <w:rPr>
          <w:sz w:val="20"/>
          <w:szCs w:val="20"/>
          <w:color w:val="auto"/>
        </w:rPr>
        <w:tab/>
      </w:r>
      <w:r>
        <w:rPr>
          <w:rFonts w:ascii="Arial" w:cs="Arial" w:eastAsia="Arial" w:hAnsi="Arial"/>
          <w:sz w:val="16"/>
          <w:szCs w:val="16"/>
          <w:color w:val="auto"/>
        </w:rPr>
        <w:t>, 2020 and our stockholders approved the ESPP on</w:t>
      </w:r>
    </w:p>
    <w:p>
      <w:pPr>
        <w:spacing w:after="0" w:line="23" w:lineRule="exact"/>
        <w:rPr>
          <w:sz w:val="20"/>
          <w:szCs w:val="20"/>
          <w:color w:val="auto"/>
        </w:rPr>
      </w:pPr>
    </w:p>
    <w:p>
      <w:pPr>
        <w:ind w:left="120" w:right="20" w:firstLine="536"/>
        <w:spacing w:after="0" w:line="253" w:lineRule="auto"/>
        <w:tabs>
          <w:tab w:leader="none" w:pos="7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2020. The ESPP will become effective immediately prior to and contingent upon the effectiveness of the registration statement of which this prospectus forms a part.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3"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ESPP will authorize the issuance of shares of our Class A common stock pursuant to purchase rights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or to employees of any of our designated affiliates. The number of shares of our Class A common stock reserved for issuance will automatically increase on the first day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each fiscal year, beginning on February 1, 2021 (assuming the ESPP becomes effective in fiscal year 2021) and ending on and including January 31,</w:t>
      </w:r>
    </w:p>
    <w:p>
      <w:pPr>
        <w:spacing w:after="0" w:line="46" w:lineRule="exact"/>
        <w:rPr>
          <w:sz w:val="20"/>
          <w:szCs w:val="20"/>
          <w:color w:val="auto"/>
        </w:rPr>
      </w:pPr>
    </w:p>
    <w:p>
      <w:pPr>
        <w:ind w:left="120"/>
        <w:spacing w:after="0"/>
        <w:tabs>
          <w:tab w:leader="none" w:pos="2300" w:val="left"/>
        </w:tabs>
        <w:rPr>
          <w:sz w:val="20"/>
          <w:szCs w:val="20"/>
          <w:color w:val="auto"/>
        </w:rPr>
      </w:pPr>
      <w:r>
        <w:rPr>
          <w:rFonts w:ascii="Arial" w:cs="Arial" w:eastAsia="Arial" w:hAnsi="Arial"/>
          <w:sz w:val="18"/>
          <w:szCs w:val="18"/>
          <w:color w:val="auto"/>
        </w:rPr>
        <w:t>2030, by the lesser of (1)</w:t>
      </w:r>
      <w:r>
        <w:rPr>
          <w:sz w:val="20"/>
          <w:szCs w:val="20"/>
          <w:color w:val="auto"/>
        </w:rPr>
        <w:tab/>
      </w:r>
      <w:r>
        <w:rPr>
          <w:rFonts w:ascii="Arial" w:cs="Arial" w:eastAsia="Arial" w:hAnsi="Arial"/>
          <w:sz w:val="16"/>
          <w:szCs w:val="16"/>
          <w:color w:val="auto"/>
        </w:rPr>
        <w:t>% of the total number of shares of our capital stock outstanding on the last day of the calendar month before the date of</w:t>
      </w:r>
    </w:p>
    <w:p>
      <w:pPr>
        <w:spacing w:after="0" w:line="9"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the automatic increase, and (2) shares; unless our board of directors or compensation committee determines prior to the date of the increase that there will be a lesser increase, or no increase.</w:t>
      </w:r>
    </w:p>
    <w:p>
      <w:pPr>
        <w:spacing w:after="0" w:line="18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intends to delegate concurrent authority to administer the ESPP to our compensation committee.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6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15%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lower of (a) 85% of the fair market value of a share of our Class A common stock on the first trading date of an offering or (b) 85% of the fair market value of a share of our Class A common stock on the date of purchase.</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6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our capital structure through such actions as a stock split,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 and number of shares reserved under the ESPP, (2) the class and number of shares by which the share reserve is to increase automatically each year, (3) the class and number of shares and purchase price of all outstanding purchase rights and ongoing offerings and (4) the class and number of shares that are subject to purchase limits under ongoing offerings.</w:t>
      </w:r>
    </w:p>
    <w:p>
      <w:pPr>
        <w:spacing w:after="0" w:line="17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 (2)</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Class A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2009 Stock Plan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board of directors adopted our 2009 Stock Plan on February 4, 2009, which our stockholders approved on the same date, and which has been amended from time to time thereafter. Our 2009 Stock Plan provides for 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2012 Stock Plan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board of directors adopted, and our stockholders approved, the 2012 Plan in July 2012. The 2012 Plan has been periodically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was most recently amended and restated in May 2020. The 2012 Plan will be terminated in connection with, and contingent upon, the effectiveness of the registration statement of which this prospectus forms a part. All outstanding awards granted under the 2012 Plan will remain subject to the terms of the 2012 Plan.</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April 30, 2020, there were 3,143,066 shares remaining available for the future grant of stock awards under our 2012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of April 30, 2020, stock options covering 32,938,945 shares of our common stock and RSUs covering 1,984,459 shares of our common stock were outstanding under our 2012 Plan. In general, if an award granted under our 2012 Plan is canceled or terminated or otherwise forfeited by a participant, then the number of shares underlying such award will again become available for awards under the 2012 Plan. Following the effectiveness of our 2020 Plan, such shares will again become available for awards under our 2020 Plan.</w:t>
      </w:r>
    </w:p>
    <w:p>
      <w:pPr>
        <w:spacing w:after="0" w:line="18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2012 Plan provides for the grant of incentive stock options, nonstatutory stock options, restricted shares, and RSUs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plan administrator may grant incentive and/or non-statutory stock options under our 2012 Plan, provided that incentive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 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cause. In all other cases, the option will generally remain exercisable for three months following the termination of service. However, in no event may an option be exercised later than the expiration of its term.</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2012 Plan. Restricted stock awards are grants of shares of our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subject to various restrictions, including restrictions on transferability and forfeiture provisions. Shares of restricted stock will vest and the restrictions on such shares will lapse in accordance with terms and conditions established by the plan administrator. The plan administrator, in its sole discretion, may accelerate the time at which any restrictions will lapse or be removed. Recipients of restricted stock awards generally will have the same rights as other stockholders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9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RSUs may be granted under our 2012 Plan. Each RSU granted is a bookkeeping entry representing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(referred to as the plan administrator for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certain corporate events or changes in our capitalization, the plan administrator will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one or more of the number and class of shares that may be delivered under the 2012 Plan and/or the number, class, and price of shares covered by each outstanding award.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dissolution or liquidation, each award will terminate immediately prior to the consummation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unless otherwise determined by the plan administrator.</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(1) a transfer of all or substantially all of our assets, (2) a merger, consolidation, or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1" w:lineRule="exact"/>
        <w:rPr>
          <w:sz w:val="20"/>
          <w:szCs w:val="20"/>
          <w:color w:val="auto"/>
        </w:rPr>
      </w:pPr>
    </w:p>
    <w:p>
      <w:pPr>
        <w:jc w:val="both"/>
        <w:ind w:left="120" w:right="140" w:hanging="4"/>
        <w:spacing w:after="0" w:line="253" w:lineRule="auto"/>
        <w:tabs>
          <w:tab w:leader="none" w:pos="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9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at any time amend or terminate the 2012 Plan, provided such action does not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adversely affect the rights of any participant without his or her consent.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compensation up to certain limits imposed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and contributions and earnings on those amounts are generally not taxable to a participating employee until withdrawn or distributed from the 401(k) plan.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Liability and Indemnification Matters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Following the effectiveness of the registration statement of which this prospectus forms a part,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9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Our amended and restated certificate of incorporation that will be in effect following the effectiveness of the registration statement of which this prospectus forms a part will authorize us to indemnify our directors, officers, employees, and other agents to the fullest extent permitted by Delaware law. Our amended and restated bylaws that will be in effect following the effectiveness of the registration statement of which this prospectus forms a part will provide that we are required to indemnify our directors and officers to the fullest extent permitted by Delaware law and may indemnify our other employees and agents. Our amended and restated bylaws that will be in effect following the effectiveness of the registration statement of which this prospectus forms a part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7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80" w:right="140" w:hanging="532"/>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2017 Convertible Note Financing</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stockholder</w:t>
            </w:r>
          </w:p>
        </w:tc>
        <w:tc>
          <w:tcPr>
            <w:tcW w:w="7160" w:type="dxa"/>
            <w:vAlign w:val="bottom"/>
            <w:vMerge w:val="restart"/>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Shares of Series D</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7160" w:type="dxa"/>
            <w:vAlign w:val="bottom"/>
            <w:vMerge w:val="continue"/>
          </w:tcPr>
          <w:p>
            <w:pPr>
              <w:spacing w:after="0"/>
              <w:rPr>
                <w:sz w:val="15"/>
                <w:szCs w:val="15"/>
                <w:color w:val="auto"/>
              </w:rPr>
            </w:pPr>
          </w:p>
        </w:tc>
        <w:tc>
          <w:tcPr>
            <w:tcW w:w="16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9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Dustin A. Moskovitz</w:t>
            </w:r>
            <w:r>
              <w:rPr>
                <w:rFonts w:ascii="Arial" w:cs="Arial" w:eastAsia="Arial" w:hAnsi="Arial"/>
                <w:sz w:val="15"/>
                <w:szCs w:val="15"/>
                <w:color w:val="auto"/>
              </w:rPr>
              <w:t>(1)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7,109,553</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$37,149,995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6,698,099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34,999,999</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(3)</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47,843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the Dustin Moskovitz Trust, the Dustin A Moskovitz 2008 Annuity Trust DTD 3/10/08, and Moskovitz Investment Holdings, LLC, each of which are affiliated with</w:t>
      </w:r>
    </w:p>
    <w:p>
      <w:pPr>
        <w:ind w:left="540" w:right="40"/>
        <w:spacing w:after="0" w:line="221" w:lineRule="auto"/>
        <w:rPr>
          <w:rFonts w:ascii="Arial" w:cs="Arial" w:eastAsia="Arial" w:hAnsi="Arial"/>
          <w:sz w:val="14"/>
          <w:szCs w:val="14"/>
          <w:color w:val="auto"/>
        </w:rPr>
      </w:pPr>
      <w:r>
        <w:rPr>
          <w:rFonts w:ascii="Arial" w:cs="Arial" w:eastAsia="Arial" w:hAnsi="Arial"/>
          <w:sz w:val="14"/>
          <w:szCs w:val="14"/>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540" w:right="260" w:hanging="424"/>
        <w:spacing w:after="0" w:line="22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540" w:hanging="424"/>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Convertible Note Purchase Agreement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January 2018, we entered into a convertible note purchase agreement with the Dustin Moskovitz Trust pursuant to which we agreed to issue and sell convertible notes up to an aggregate principal amount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Shares of Series E</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Purchase</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6840" w:type="dxa"/>
            <w:vAlign w:val="bottom"/>
            <w:vMerge w:val="restart"/>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6840" w:type="dxa"/>
            <w:vAlign w:val="bottom"/>
            <w:vMerge w:val="continue"/>
          </w:tcPr>
          <w:p>
            <w:pPr>
              <w:spacing w:after="0"/>
              <w:rPr>
                <w:sz w:val="15"/>
                <w:szCs w:val="15"/>
                <w:color w:val="auto"/>
              </w:rPr>
            </w:pPr>
          </w:p>
        </w:tc>
        <w:tc>
          <w:tcPr>
            <w:tcW w:w="17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8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Dustin Moskovitz Trust</w:t>
            </w:r>
            <w:r>
              <w:rPr>
                <w:rFonts w:ascii="Arial" w:cs="Arial" w:eastAsia="Arial" w:hAnsi="Arial"/>
                <w:sz w:val="15"/>
                <w:szCs w:val="15"/>
                <w:color w:val="auto"/>
              </w:rPr>
              <w:t>(1)</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855,076</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6,999,995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3,053,845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(3)</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366,461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2,999,997</w:t>
            </w: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(4)</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122,153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Dustin Moskovitz Trust is affiliated with Mr. Moskovitz.</w:t>
      </w:r>
    </w:p>
    <w:p>
      <w:pPr>
        <w:ind w:left="540" w:right="260" w:hanging="424"/>
        <w:spacing w:after="0" w:line="221"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540" w:right="580" w:hanging="424"/>
        <w:spacing w:after="0" w:line="221"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540" w:hanging="424"/>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 which together beneficially hold greater than 5% of our capital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Mandatory Convertible Promissory Note Financings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January and June 2020, in each case, after an evaluation by the Board and an independent committee of the Board regarding market terms and other financing options, we issued and sold to the Dustin Moskovitz Trust two unsecured senior mandatory convertible promissory notes for an aggregate principal amount of $450.0 million, or the 2020 Notes. The Dustin Moskovitz Trust is a trust affiliated with Mr. Moskovitz. The 2020 Notes consist of a note that matures on January 30, 2025, or the January Note, and a note that matures on June 26, 2025, or the June Note. Other than principal amount, maturity date, and conversion price and rate, the January Note and June Note are identical. The 2020 Notes accrue interest at a rate of 3.5% per annum, which will compound annually and (other than in connection with our bankruptcy, insolvency, or other similar events) will mandatorily convert into shares of our Class B common stock.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However, we may convert the applicable 2020 Note in advance of its maturity date, at our option, into a number of shares of our Class B common stock set forth in the table below, subject to customary anti-dilution and other adjustments, if the trading price of our Class A common stock exceeds the applicable initial conversion price per share set forth in the table below (subject to customary anti-dilution and other adjustments in connection with certain extraordinary transactions) for at least 20 trading days in the 30 consecutive trading day period ending on the last trading day of the immediately preceding calendar quarter.</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principal amounts, maturity dates, range of shares potentially issuable at maturity, initial conversion price and shares issuable at maturity for each of the 2020 Notes are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Maturity</w:t>
            </w:r>
          </w:p>
        </w:tc>
        <w:tc>
          <w:tcPr>
            <w:tcW w:w="2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Range of Shares</w:t>
            </w:r>
          </w:p>
        </w:tc>
        <w:tc>
          <w:tcPr>
            <w:tcW w:w="12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Initial</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Shares Potentially</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Security</w:t>
            </w:r>
          </w:p>
        </w:tc>
        <w:tc>
          <w:tcPr>
            <w:tcW w:w="24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320" w:type="dxa"/>
            <w:vAlign w:val="bottom"/>
            <w:gridSpan w:val="2"/>
            <w:vMerge w:val="continue"/>
          </w:tcPr>
          <w:p>
            <w:pPr>
              <w:spacing w:after="0"/>
              <w:rPr>
                <w:sz w:val="12"/>
                <w:szCs w:val="12"/>
                <w:color w:val="auto"/>
              </w:rPr>
            </w:pPr>
          </w:p>
        </w:tc>
        <w:tc>
          <w:tcPr>
            <w:tcW w:w="2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Potentially Issuable at</w:t>
            </w: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Conversion</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Issuable Prior to</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440" w:type="dxa"/>
            <w:vAlign w:val="bottom"/>
          </w:tcPr>
          <w:p>
            <w:pPr>
              <w:spacing w:after="0"/>
              <w:rPr>
                <w:sz w:val="15"/>
                <w:szCs w:val="15"/>
                <w:color w:val="auto"/>
              </w:rPr>
            </w:pPr>
          </w:p>
        </w:tc>
        <w:tc>
          <w:tcPr>
            <w:tcW w:w="14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8"/>
              </w:rPr>
              <w:t>Amount</w:t>
            </w:r>
          </w:p>
        </w:tc>
        <w:tc>
          <w:tcPr>
            <w:tcW w:w="13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Date</w:t>
            </w:r>
          </w:p>
        </w:tc>
        <w:tc>
          <w:tcPr>
            <w:tcW w:w="22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rPr>
              <w:t>Maturity</w:t>
            </w: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10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12"/>
                <w:szCs w:val="12"/>
                <w:b w:val="1"/>
                <w:bCs w:val="1"/>
                <w:color w:val="auto"/>
                <w:w w:val="93"/>
              </w:rPr>
              <w:t>(1)</w:t>
            </w:r>
          </w:p>
        </w:tc>
        <w:tc>
          <w:tcPr>
            <w:tcW w:w="13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Maturity</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January Note</w:t>
            </w:r>
          </w:p>
        </w:tc>
        <w:tc>
          <w:tcPr>
            <w:tcW w:w="24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$ 300,000,000</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01/30/2025</w:t>
            </w:r>
          </w:p>
        </w:tc>
        <w:tc>
          <w:tcPr>
            <w:tcW w:w="3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11,282,390-18,051,810</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31.58</w:t>
            </w:r>
          </w:p>
        </w:tc>
        <w:tc>
          <w:tcPr>
            <w:tcW w:w="3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11,282,390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June Note</w:t>
            </w:r>
          </w:p>
        </w:tc>
        <w:tc>
          <w:tcPr>
            <w:tcW w:w="2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06/26/2025</w:t>
            </w:r>
          </w:p>
        </w:tc>
        <w:tc>
          <w:tcPr>
            <w:tcW w:w="2260" w:type="dxa"/>
            <w:vAlign w:val="bottom"/>
            <w:gridSpan w:val="2"/>
          </w:tcPr>
          <w:p>
            <w:pPr>
              <w:jc w:val="right"/>
              <w:ind w:right="380"/>
              <w:spacing w:after="0"/>
              <w:rPr>
                <w:sz w:val="20"/>
                <w:szCs w:val="20"/>
                <w:color w:val="auto"/>
              </w:rPr>
            </w:pPr>
            <w:r>
              <w:rPr>
                <w:rFonts w:ascii="Arial" w:cs="Arial" w:eastAsia="Arial" w:hAnsi="Arial"/>
                <w:sz w:val="18"/>
                <w:szCs w:val="18"/>
                <w:color w:val="auto"/>
              </w:rPr>
              <w:t>5,730,432-9,168,694</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31.09</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5,730,432</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$ 450,000,000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17,012,822-27,220,504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17,012,822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Subject to customary anti-dilution and other adjustments.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Notes are not transferable except to affiliates, contain no financial or restrictive covenants, and</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For additional information about the 2020 Notes, please refer to the section titled “Description of Capital Stock” or to the 2020 Notes, which are included as exhibits to the registration statement of which this prospectus forms a part.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Transfers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6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will terminate upon the effectiveness of the registration statement of which this 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Guaranty of Office Lease</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February 2019, Mr. Moskovitz entered into a personal guaranty in favor of the landlord under the office lease for our office space located at 633 Folsom Street, San Francisco, California, in which he has agreed to guarantee unconditionally the full and prompt payment and performance of our obligations to the landlord under the initial 148-month term of the office lease. In addition, we entered into a reimbursement agreement with</w:t>
      </w:r>
    </w:p>
    <w:p>
      <w:pPr>
        <w:spacing w:after="0" w:line="2" w:lineRule="exact"/>
        <w:rPr>
          <w:sz w:val="20"/>
          <w:szCs w:val="20"/>
          <w:color w:val="auto"/>
        </w:rPr>
      </w:pPr>
    </w:p>
    <w:p>
      <w:pPr>
        <w:ind w:left="120" w:right="360"/>
        <w:spacing w:after="0" w:line="281" w:lineRule="auto"/>
        <w:rPr>
          <w:sz w:val="20"/>
          <w:szCs w:val="20"/>
          <w:color w:val="auto"/>
        </w:rPr>
      </w:pPr>
      <w:r>
        <w:rPr>
          <w:rFonts w:ascii="Arial" w:cs="Arial" w:eastAsia="Arial" w:hAnsi="Arial"/>
          <w:sz w:val="16"/>
          <w:szCs w:val="16"/>
          <w:color w:val="auto"/>
        </w:rPr>
        <w:t>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w:t>
      </w:r>
    </w:p>
    <w:p>
      <w:pPr>
        <w:spacing w:after="0" w:line="2"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Mr. Moskovitz, and (iii) endeavor to find a replacement guarantor in the event that Mr. Moskovitz no longer controls at least 20% of our voting securities, in each case, subject to the terms and conditions therein.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9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840"/>
          </w:cols>
          <w:pgMar w:left="320" w:top="459" w:right="7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AND REGISTERED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080" w:hanging="532"/>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information with respect to the beneficial ownership of our common stock as of April 30,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of shares of common stock held by and registered for resale by means of this prospectus for the Registered Stockholders.</w:t>
      </w:r>
    </w:p>
    <w:p>
      <w:pPr>
        <w:spacing w:after="0" w:line="248"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w:t>
      </w:r>
    </w:p>
    <w:p>
      <w:pPr>
        <w:spacing w:after="0" w:line="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they may determine. Such sales, if any, will be made through brokerage transactions on the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7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8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After the listing of our Class A common stock on the NYSE,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not party to any arrangement with any Registered Stockholder or any broker-dealer with respect to sales of the shares of Class A common</w:t>
      </w:r>
    </w:p>
    <w:p>
      <w:pPr>
        <w:spacing w:after="0" w:line="46"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stock by the Registered Stockholders. However, we have engaged , , , and as our financial advisors with respect to certain other matters relating to the listing of our Class A common stock on the NYSE. See the section titled “Plan of Distribution.”</w:t>
      </w:r>
    </w:p>
    <w:p>
      <w:pPr>
        <w:spacing w:after="0" w:line="185"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April 30, 2020 to be outstanding and to be beneficially owned by the person holding the option for the purpose of computing the percentage ownership of that person. We have deemed shares of our common stock issuable upon settlement of RSUs that will vest within 60 days of April 30,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based percentage ownership of our common stock on 16,093,510 shares of our Class A common stock and 134,643,180 shares of our Class B common stock outstanding as of April 30, 2020, which includes 73,577,455 shares of Class B common stock resulting from the automatic conversion of all outstanding shares of our preferred stock upon the effectiveness of the registration statement of which this prospectus forms a part, as if this conversion had occurred as of April 30, 2020. Unless otherwise indicated, the address of each of the individuals and entities named below is c/o Asana, Inc., 1550 Bryant Street, Suite 200, San Francisco, California 94103.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vMerge w:val="restart"/>
          </w:tcPr>
          <w:p>
            <w:pPr>
              <w:jc w:val="right"/>
              <w:ind w:right="540"/>
              <w:spacing w:after="0"/>
              <w:rPr>
                <w:sz w:val="20"/>
                <w:szCs w:val="20"/>
                <w:color w:val="auto"/>
              </w:rPr>
            </w:pPr>
            <w:r>
              <w:rPr>
                <w:rFonts w:ascii="Arial" w:cs="Arial" w:eastAsia="Arial" w:hAnsi="Arial"/>
                <w:sz w:val="14"/>
                <w:szCs w:val="14"/>
                <w:b w:val="1"/>
                <w:bCs w:val="1"/>
                <w:color w:val="auto"/>
                <w:w w:val="91"/>
              </w:rPr>
              <w:t>Shares Beneficially Owned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6"/>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Percentage</w:t>
            </w:r>
          </w:p>
        </w:tc>
        <w:tc>
          <w:tcPr>
            <w:tcW w:w="8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Class B</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 Total</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8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vMerge w:val="restart"/>
          </w:tcPr>
          <w:p>
            <w:pPr>
              <w:jc w:val="center"/>
              <w:ind w:right="260"/>
              <w:spacing w:after="0" w:line="113" w:lineRule="exact"/>
              <w:rPr>
                <w:sz w:val="20"/>
                <w:szCs w:val="20"/>
                <w:color w:val="auto"/>
              </w:rPr>
            </w:pPr>
            <w:r>
              <w:rPr>
                <w:rFonts w:ascii="Arial" w:cs="Arial" w:eastAsia="Arial" w:hAnsi="Arial"/>
                <w:sz w:val="13"/>
                <w:szCs w:val="13"/>
                <w:b w:val="1"/>
                <w:bCs w:val="1"/>
                <w:color w:val="auto"/>
                <w:w w:val="98"/>
              </w:rPr>
              <w:t>Voting</w:t>
            </w:r>
          </w:p>
        </w:tc>
        <w:tc>
          <w:tcPr>
            <w:tcW w:w="800" w:type="dxa"/>
            <w:vAlign w:val="bottom"/>
            <w:gridSpan w:val="2"/>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7"/>
              </w:rPr>
              <w:t>Stock being</w:t>
            </w: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3880" w:type="dxa"/>
            <w:vAlign w:val="bottom"/>
            <w:vMerge w:val="continue"/>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44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Power</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right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Dustin A. Moskovitz</w:t>
            </w:r>
            <w:r>
              <w:rPr>
                <w:rFonts w:ascii="Arial" w:cs="Arial" w:eastAsia="Arial" w:hAnsi="Arial"/>
                <w:sz w:val="15"/>
                <w:szCs w:val="15"/>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1,561,779</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52,930,914</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403,875</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Tim Wan</w:t>
            </w:r>
            <w:r>
              <w:rPr>
                <w:rFonts w:ascii="Arial" w:cs="Arial" w:eastAsia="Arial" w:hAnsi="Arial"/>
                <w:sz w:val="15"/>
                <w:szCs w:val="15"/>
                <w:color w:val="auto"/>
              </w:rPr>
              <w:t>(3)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1,757,996</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Rosenstein</w:t>
            </w:r>
            <w:r>
              <w:rPr>
                <w:rFonts w:ascii="Arial" w:cs="Arial" w:eastAsia="Arial" w:hAnsi="Arial"/>
                <w:sz w:val="15"/>
                <w:szCs w:val="15"/>
                <w:color w:val="auto"/>
              </w:rPr>
              <w:t>(4)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575,984</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23,793,011</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Adam D’Angelo</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1,126,580</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14,012,703</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(10 persons)</w:t>
            </w:r>
            <w:r>
              <w:rPr>
                <w:rFonts w:ascii="Arial" w:cs="Arial" w:eastAsia="Arial" w:hAnsi="Arial"/>
                <w:sz w:val="15"/>
                <w:szCs w:val="15"/>
                <w:color w:val="auto"/>
              </w:rPr>
              <w:t>(9)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6,938,429</w:t>
            </w:r>
          </w:p>
        </w:tc>
        <w:tc>
          <w:tcPr>
            <w:tcW w:w="8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91,863,208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14,012,703</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(10)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9,751,944</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8,713,329</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Other Registered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Non-Executive Officer and Non-Director Service Providers Holding</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4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All Other Registered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ind w:left="540" w:right="140" w:hanging="424"/>
        <w:spacing w:after="0" w:line="237"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29,450,115 shares held of record by the Dustin Moskovitz Trust, (b) 2,604,170 shares held of record by the Dustin Moskovitz Roth IRA, and (c) 42,578 shares held of record by Moskovitz Investment Holdings, LLC. Mr. Moskovitz is the trustee of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80"/>
        <w:spacing w:after="0" w:line="224" w:lineRule="auto"/>
        <w:rPr>
          <w:sz w:val="20"/>
          <w:szCs w:val="20"/>
          <w:color w:val="auto"/>
        </w:rPr>
      </w:pPr>
      <w:r>
        <w:rPr>
          <w:rFonts w:ascii="Arial" w:cs="Arial" w:eastAsia="Arial" w:hAnsi="Arial"/>
          <w:sz w:val="14"/>
          <w:szCs w:val="14"/>
          <w:color w:val="auto"/>
        </w:rPr>
        <w:t>Dustin Moskovitz Trust. Therefore, Mr. Moskovitz may be deemed to have voting power and dispositive power over the shares held by the Dustin Moskovitz Trust. Mr. Moskovitz may be deemed to have voting power and dispositive power over the shares held by the 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between an aggregate of 17,012,822 and 27,220,504 shares of Class B common stock that are issuable on the maturity dates of senior mandatory convertible promissory notes held by the Dustin Moskovitz Trust.</w:t>
      </w:r>
    </w:p>
    <w:p>
      <w:pPr>
        <w:spacing w:after="0" w:line="3" w:lineRule="exact"/>
        <w:rPr>
          <w:sz w:val="20"/>
          <w:szCs w:val="20"/>
          <w:color w:val="auto"/>
        </w:rPr>
      </w:pPr>
    </w:p>
    <w:p>
      <w:pPr>
        <w:jc w:val="both"/>
        <w:ind w:left="540" w:right="34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25,000 shares of Class A common stock, all of which are unvested and subject to repurchase by us, (b) 375,000 shares of Class A common stock issuable upon the exercise of stock options that are exercisable within 60 days of April 30, 2020, all of which are unvested and subject to repurchase by us, and (c) 3,875 shares of Class A common stock issuable upon settlement of RSUs that will vest within 60 days of April 30, 2020.</w:t>
      </w:r>
    </w:p>
    <w:p>
      <w:pPr>
        <w:jc w:val="both"/>
        <w:ind w:left="54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412,500 shares of Class A common stock, (b) 1,335,559 shares of Class A common stock issuable upon the exercise of stock options that are exercisable within 60 days of April 30, 2020, of which 446,094 shares are unvested and subject to repurchase by us, and (c) 9,937 shares of Class A common stock issuable upon settlement of RSUs that will vest within 60 days of April 30, 2020.</w:t>
      </w:r>
    </w:p>
    <w:p>
      <w:pPr>
        <w:ind w:left="540" w:right="36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(a) 23,793,011 shares of Class B common stock held directly by Mr. Rosenstein and (b) 575,984 shares of Class A common stock issuable to Mr. Rosenstein upon the exercise of stock options that are exercisable within 60 days of April 30, 2020.</w:t>
      </w:r>
    </w:p>
    <w:p>
      <w:pPr>
        <w:ind w:left="54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40,625 shares are unvested and subject to repurchase by us.</w:t>
      </w:r>
    </w:p>
    <w:p>
      <w:pPr>
        <w:ind w:left="540" w:right="6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34,375 shares are unvested and subject to repurchase by us.</w:t>
      </w:r>
    </w:p>
    <w:p>
      <w:pPr>
        <w:ind w:left="540" w:hanging="424"/>
        <w:spacing w:after="0" w:line="221"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40,625 shares are unvested and subject to repurchase by us.</w:t>
      </w:r>
    </w:p>
    <w:p>
      <w:pPr>
        <w:ind w:left="540" w:right="100" w:hanging="424"/>
        <w:spacing w:after="0" w:line="238"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(a) 2,302,467 shares of Class A common stock, of which 140,625 shares are unvested and subject to repurchase by us, (b) 91,863,208 shares of Class B common stock, (c) 4,611,213 shares of Class A common stock issuable upon the exercise of stock options that are exercisable within 60 days of April 30, 2020, of which 1,559,031 shares are unvested and subject to repurchase by us, and (d) 24,749 shares of Class A common stock issuable upon settlement of RSUs that will vest within 60 days of April 30, 2020.</w:t>
      </w:r>
    </w:p>
    <w:p>
      <w:pPr>
        <w:ind w:left="540" w:right="120" w:hanging="424"/>
        <w:spacing w:after="0" w:line="238"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Arial" w:cs="Arial" w:eastAsia="Arial" w:hAnsi="Arial"/>
          <w:sz w:val="13"/>
          <w:szCs w:val="13"/>
          <w:color w:val="auto"/>
        </w:rPr>
      </w:pPr>
    </w:p>
    <w:p>
      <w:pPr>
        <w:ind w:left="540" w:right="220" w:hanging="424"/>
        <w:spacing w:after="0" w:line="237"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(i) 6,595,990 shares held of record by The Founders Fund IV, LP and (ii) 2,117,339 shares held of record by The Founders Fund IV Principals Fund, LP. The address for the Founders Fund entities is One Letterman Drive, Building D, 5th Floor, San Francisco, CA 94129.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following the effectiveness of the registration statement of which this prospectus forms a part. We expect to adopt an amended and restated certificate of incorporation and amended and restated bylaws in connection with this registration,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or will be included as exhibits to the registration statement of which this prospectus forms a part, and to the applicable provisions of Delaware law. Following the effectiveness of the registration statement of which this prospectus forms a part, our authorized capital stock will consist of:</w:t>
      </w:r>
    </w:p>
    <w:p>
      <w:pPr>
        <w:spacing w:after="0" w:line="84" w:lineRule="exact"/>
        <w:rPr>
          <w:sz w:val="20"/>
          <w:szCs w:val="20"/>
          <w:color w:val="auto"/>
        </w:rPr>
      </w:pPr>
    </w:p>
    <w:p>
      <w:pPr>
        <w:ind w:left="1620" w:hanging="1072"/>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Class A common stock, $0.00001 par value per share,</w:t>
      </w:r>
    </w:p>
    <w:p>
      <w:pPr>
        <w:spacing w:after="0" w:line="130" w:lineRule="exact"/>
        <w:rPr>
          <w:rFonts w:ascii="Arial" w:cs="Arial" w:eastAsia="Arial" w:hAnsi="Arial"/>
          <w:sz w:val="18"/>
          <w:szCs w:val="18"/>
          <w:color w:val="auto"/>
        </w:rPr>
      </w:pPr>
    </w:p>
    <w:p>
      <w:pPr>
        <w:ind w:left="1620" w:hanging="1072"/>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Class B common stock, $0.00001 par value per share, and</w:t>
      </w:r>
    </w:p>
    <w:p>
      <w:pPr>
        <w:spacing w:after="0" w:line="130" w:lineRule="exact"/>
        <w:rPr>
          <w:rFonts w:ascii="Arial" w:cs="Arial" w:eastAsia="Arial" w:hAnsi="Arial"/>
          <w:sz w:val="18"/>
          <w:szCs w:val="18"/>
          <w:color w:val="auto"/>
        </w:rPr>
      </w:pPr>
    </w:p>
    <w:p>
      <w:pPr>
        <w:ind w:left="1620" w:hanging="1072"/>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undesignated preferred stock, $0.00001 par value per share.</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Assuming the conversion of all outstanding shares of our preferred stock into shares of our Class B common stock, which will occur upon the effectiveness of the registration statement of which this prospectus forms a part, as of April 30, 2020, there were 16,093,510 shares of our Class A common stock and 134,643,180 shares of Class B common stock outstanding, held by 360 stockholders of record, and no shares of our preferred stock outstanding. Our board of directors is authorized, without stockholder approval except as required by the listing standards of the NYSE, to issue additional shares of our capital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two classes of authorized common stock, Class A common stock and Class B common stock. Upon the effectiveness of the registration statement of which this prospectus forms a part, all outstanding shares of our preferred stock will be converted into shares of our Class B common stock.</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1080" w:right="30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will not provide for cumulative voting for the election of directors.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B common stock, the Class A common stock will not be reissued. In addition, each share of Class B common stock will convert</w:t>
      </w:r>
    </w:p>
    <w:p>
      <w:pPr>
        <w:spacing w:after="0" w:line="2" w:lineRule="exact"/>
        <w:rPr>
          <w:sz w:val="20"/>
          <w:szCs w:val="20"/>
          <w:color w:val="auto"/>
        </w:rPr>
      </w:pPr>
    </w:p>
    <w:p>
      <w:pPr>
        <w:ind w:left="120"/>
        <w:spacing w:after="0"/>
        <w:tabs>
          <w:tab w:leader="none" w:pos="7320" w:val="left"/>
          <w:tab w:leader="none" w:pos="10500" w:val="left"/>
        </w:tabs>
        <w:rPr>
          <w:sz w:val="20"/>
          <w:szCs w:val="20"/>
          <w:color w:val="auto"/>
        </w:rPr>
      </w:pPr>
      <w:r>
        <w:rPr>
          <w:rFonts w:ascii="Arial" w:cs="Arial" w:eastAsia="Arial" w:hAnsi="Arial"/>
          <w:sz w:val="18"/>
          <w:szCs w:val="18"/>
          <w:color w:val="auto"/>
        </w:rPr>
        <w:t>automatically into one share of Class A common stock upon the earlier of (i) the date that is</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860" w:hanging="744"/>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or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After the effectiveness of the registration statement of which this prospectus forms a part, all of our previously outstanding shares of redeemable convertible preferred stock will have been converted into common stock, there will be no authorized shares of our redeemable convertible preferred stock and we will have no shares of preferred stock outstanding. Under the terms of our amended and restated certificate of incorporation, which will be in effect following the effectiveness of the registration statement of which this prospectus forms a part, our board of directors has the authority, without</w:t>
      </w:r>
    </w:p>
    <w:p>
      <w:pPr>
        <w:spacing w:after="0" w:line="1"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further action by our stockholders, to issue up to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As of April 30, 2020, we had outstanding options under our equity incentive plans to purchase an aggregate of 32,938,945 shares of our Class A common stock, with a weighted-average exercise price of $2.6168 per share, and an aggregate of 857,226 shares of our Class B common stock, with a weighted-average exercise price of $0.1671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As of April 30, 2020, we had outstanding RSUs representing an aggregate of 1,984,459 shares of our Class A common stock, issued pursuant to our 2012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Mandatory Convertible Promissory Notes</w:t>
      </w:r>
    </w:p>
    <w:p>
      <w:pPr>
        <w:spacing w:after="0" w:line="12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As of June 30, 2020, we had two outstanding unsecured senior mandatory convertible promissory notes issued to the Dustin Moskovitz Trust for an aggregate principal amount of $450.0 million, or the 2020 Notes. The 2020 Notes consist of a note that matures on January 30, 2025, or the January Note, and a note that matures on June 26, 2025, or the June Note. Other than principal amount, maturity date and conversion price and rate,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2020 Notes are identical. The 2020 Notes accrue interest at a rate of 3.5% per annum, which will compound annually and (other than in connection with our bankruptcy, insolvency, or other similar events) will mandatorily convert into shares of our Class B common stock. If outstanding at the applicable maturity date, the amount of principal and accrued interest under each 2020 Note will be as set forth in the table below, which we refer to as the applicable conversion amount. The applicable conversion amount under the applicable 2020 Note will mandatorily convert into shares of our Class B common stock at a rate equal to the greater of the applicable minimum conversion rate set forth in the table below, and (ii) the lesser of (a) $1,000 divided by the volume-weighted average price of our Class A common stock for the 20 trading days ending on the last trading day immediately preceding the Maturity Date per $1,000 of the Conversion Amount, and (b) the applicable maximum conversion rate set forth in the table below.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In addition, in advance of the applicable maturity date, at our option, we may convert the applicable conversion amount under the 2020 Notes into shares of our Class B common stock at the applicable minimum conversion rate at any time during a calendar quarter (prior to the second scheduled trading day immediately preceding the applicable maturity date) if the closing trading price of our Class A common stock equals or exceeds $1,000 divided by the applicable minimum conversion rate, which we refer to as the applicable conversion price, for 20 or more trading days in the 30 consecutive trading day period ending on the last trading day of the immediately preceding calendar quarter. The initial conversion price (subject to customary anti-dilution and other adjustments in connection with certain extraordinary transactions) is set forth in the table below. In the event we experience a change in control, the applicable conversion amount under each 2020 Note will convert into shares of our Class B common stock in connection with such acquisition at the applicable maximum conversion rate.</w:t>
      </w:r>
    </w:p>
    <w:p>
      <w:pPr>
        <w:spacing w:after="0" w:line="39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principal amounts, maturity dates, the conversion amount, the minimum conversion rate, the maximum conversion rate, range of shares potentially issuable at maturity, and the initial conversion price for each of the 2020 Notes are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Conversion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Conversion</w:t>
            </w: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Range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Initial</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vMerge w:val="restart"/>
          </w:tcPr>
          <w:p>
            <w:pPr>
              <w:jc w:val="right"/>
              <w:ind w:right="41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Conversion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w:t>
            </w:r>
          </w:p>
        </w:tc>
        <w:tc>
          <w:tcPr>
            <w:tcW w:w="2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Security</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6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shares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shares</w:t>
            </w: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Potentially Issuable at</w:t>
            </w:r>
          </w:p>
        </w:tc>
        <w:tc>
          <w:tcPr>
            <w:tcW w:w="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Amount</w:t>
            </w:r>
          </w:p>
        </w:tc>
        <w:tc>
          <w:tcPr>
            <w:tcW w:w="1260" w:type="dxa"/>
            <w:vAlign w:val="bottom"/>
            <w:gridSpan w:val="3"/>
          </w:tcPr>
          <w:p>
            <w:pPr>
              <w:jc w:val="right"/>
              <w:ind w:right="550"/>
              <w:spacing w:after="0" w:line="158" w:lineRule="exact"/>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5"/>
              </w:rPr>
              <w:t>per $1,000)</w:t>
            </w:r>
          </w:p>
        </w:tc>
        <w:tc>
          <w:tcPr>
            <w:tcW w:w="9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per $1,000)</w:t>
            </w:r>
          </w:p>
        </w:tc>
        <w:tc>
          <w:tcPr>
            <w:tcW w:w="20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Maturity</w:t>
            </w: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Price</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January Note</w:t>
            </w:r>
          </w:p>
        </w:tc>
        <w:tc>
          <w:tcPr>
            <w:tcW w:w="1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300,000,000</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01/30/2025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356,305,892</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31.6449</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50.6638</w:t>
            </w:r>
          </w:p>
        </w:tc>
        <w:tc>
          <w:tcPr>
            <w:tcW w:w="16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11,282,390-18,051,810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June Note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150,000,000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06/26/2025</w:t>
            </w: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178,152,946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32.1658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51.4653</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5,730,432-9,168,694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450,000,000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534,458,838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17,012,822-27,220,504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Subject to customary anti-dilution and other adjustments.</w:t>
      </w:r>
    </w:p>
    <w:p>
      <w:pPr>
        <w:spacing w:after="0" w:line="20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2020 Notes are not transferable except to affiliates, contain no financial or restrictive covenants, and 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Additionally, the 2020 Notes contain limited events of default, including our bankruptcy or insolvency, upon which the principal amount outstanding under the 2020 Notes, together with all accrued unpaid interest, become immediately due and payable.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will pay the registration expenses, other than underwriting discounts and commissions, of the shares registered by the demand, piggyback, and Form S-3 registrations described below.</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registration rights set forth in the amended and restated investors’ rights agreement will expire five years following the listing of our Class A common stock on the NYSE, or, with respect to any particular stockholder, when such stockholder is able to sell all of its shares pursuant to Rule 144(b)</w:t>
      </w:r>
    </w:p>
    <w:p>
      <w:pPr>
        <w:ind w:left="120"/>
        <w:spacing w:after="0" w:line="271" w:lineRule="auto"/>
        <w:rPr>
          <w:sz w:val="20"/>
          <w:szCs w:val="20"/>
          <w:color w:val="auto"/>
        </w:rPr>
      </w:pPr>
      <w:r>
        <w:rPr>
          <w:rFonts w:ascii="Arial" w:cs="Arial" w:eastAsia="Arial" w:hAnsi="Arial"/>
          <w:sz w:val="17"/>
          <w:szCs w:val="17"/>
          <w:color w:val="auto"/>
        </w:rPr>
        <w:t>(1)(i) 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560"/>
        <w:spacing w:after="0"/>
        <w:tabs>
          <w:tab w:leader="none" w:pos="9760" w:val="left"/>
        </w:tabs>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w:t>
      </w:r>
      <w:r>
        <w:rPr>
          <w:sz w:val="20"/>
          <w:szCs w:val="20"/>
          <w:color w:val="auto"/>
        </w:rPr>
        <w:tab/>
      </w:r>
      <w:r>
        <w:rPr>
          <w:rFonts w:ascii="Arial" w:cs="Arial" w:eastAsia="Arial" w:hAnsi="Arial"/>
          <w:sz w:val="15"/>
          <w:szCs w:val="15"/>
          <w:color w:val="auto"/>
        </w:rPr>
        <w:t>shares of our</w:t>
      </w:r>
    </w:p>
    <w:p>
      <w:pPr>
        <w:spacing w:after="0" w:line="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Class B common stock will be entitled to certain demand registration rights. At 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After the effectiveness of the registration statement of which this prospectus forms a part, in the event that we propose to register any of our</w:t>
      </w:r>
    </w:p>
    <w:p>
      <w:pPr>
        <w:spacing w:after="0" w:line="35" w:lineRule="exact"/>
        <w:rPr>
          <w:sz w:val="20"/>
          <w:szCs w:val="20"/>
          <w:color w:val="auto"/>
        </w:rPr>
      </w:pPr>
    </w:p>
    <w:p>
      <w:pPr>
        <w:jc w:val="both"/>
        <w:ind w:left="120" w:right="180"/>
        <w:spacing w:after="0" w:line="281" w:lineRule="auto"/>
        <w:rPr>
          <w:sz w:val="20"/>
          <w:szCs w:val="20"/>
          <w:color w:val="auto"/>
        </w:rPr>
      </w:pPr>
      <w:r>
        <w:rPr>
          <w:rFonts w:ascii="Arial" w:cs="Arial" w:eastAsia="Arial" w:hAnsi="Arial"/>
          <w:sz w:val="16"/>
          <w:szCs w:val="16"/>
          <w:color w:val="auto"/>
        </w:rPr>
        <w:t>securities under the Securities Act, either for our own account or for the account of other security holders, the holders of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w:t>
      </w:r>
    </w:p>
    <w:p>
      <w:pPr>
        <w:spacing w:after="0" w:line="2" w:lineRule="exact"/>
        <w:rPr>
          <w:sz w:val="20"/>
          <w:szCs w:val="20"/>
          <w:color w:val="auto"/>
        </w:rPr>
      </w:pPr>
    </w:p>
    <w:p>
      <w:pPr>
        <w:ind w:left="120" w:right="100" w:hanging="4"/>
        <w:spacing w:after="0" w:line="292" w:lineRule="auto"/>
        <w:tabs>
          <w:tab w:leader="none" w:pos="3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560"/>
        <w:spacing w:after="0"/>
        <w:tabs>
          <w:tab w:leader="none" w:pos="9760" w:val="left"/>
        </w:tabs>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w:t>
      </w:r>
      <w:r>
        <w:rPr>
          <w:sz w:val="20"/>
          <w:szCs w:val="20"/>
          <w:color w:val="auto"/>
        </w:rPr>
        <w:tab/>
      </w:r>
      <w:r>
        <w:rPr>
          <w:rFonts w:ascii="Arial" w:cs="Arial" w:eastAsia="Arial" w:hAnsi="Arial"/>
          <w:sz w:val="15"/>
          <w:szCs w:val="15"/>
          <w:color w:val="auto"/>
        </w:rPr>
        <w:t>shares of our</w:t>
      </w:r>
    </w:p>
    <w:p>
      <w:pPr>
        <w:spacing w:after="0" w:line="23" w:lineRule="exact"/>
        <w:rPr>
          <w:sz w:val="20"/>
          <w:szCs w:val="20"/>
          <w:color w:val="auto"/>
        </w:rPr>
      </w:pPr>
    </w:p>
    <w:p>
      <w:pPr>
        <w:jc w:val="both"/>
        <w:ind w:left="120" w:right="360"/>
        <w:spacing w:after="0" w:line="253" w:lineRule="auto"/>
        <w:rPr>
          <w:sz w:val="20"/>
          <w:szCs w:val="20"/>
          <w:color w:val="auto"/>
        </w:rPr>
      </w:pPr>
      <w:r>
        <w:rPr>
          <w:rFonts w:ascii="Arial" w:cs="Arial" w:eastAsia="Arial" w:hAnsi="Arial"/>
          <w:sz w:val="18"/>
          <w:szCs w:val="18"/>
          <w:color w:val="auto"/>
        </w:rPr>
        <w:t>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chief executive officer, or president, or by a resolution adopted by a majority of our board of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Charter Provisions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tabs>
          <w:tab w:leader="none" w:pos="7880" w:val="left"/>
        </w:tabs>
        <w:rPr>
          <w:sz w:val="20"/>
          <w:szCs w:val="20"/>
          <w:color w:val="auto"/>
        </w:rPr>
      </w:pPr>
      <w:r>
        <w:rPr>
          <w:rFonts w:ascii="Arial" w:cs="Arial" w:eastAsia="Arial" w:hAnsi="Arial"/>
          <w:sz w:val="17"/>
          <w:szCs w:val="17"/>
          <w:color w:val="auto"/>
        </w:rPr>
        <w:t>We intend to apply for the listing of our Class A common stock on the NYSE under the symbol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transfer agent and registrar for our Class A and Class B common stock is Computershare Trust Company, N.A. The transfer agent’s address is 250 Royall Street, Canton, Massachusetts 02021, and its telephone number is (800) 962-4284.</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the listing of our Class A common stock on the NYSE,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 the NYSE,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7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based on the number of shares of our capital stock outstanding as of April 30, 2020, we will have a total of 16,093,510 shares of our Class A common stock and 134,643,180 shares of our Class B common stock outstanding, assuming the automatic conversion of all outstanding shares of our preferred stock into 73,577,455 shares of our Class B common stock upon the effectiveness of the registration statement of which this prospectus forms a part.</w:t>
      </w:r>
    </w:p>
    <w:p>
      <w:pPr>
        <w:spacing w:after="0" w:line="17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Following the listing of our Class A common stock on the NYSE, shares of our Class A common stock may be sold either by the Registered Stockholders pursuant to this prospectus or by our other existing stockholders in accordance with Rule 144 of the Securities Act.</w:t>
      </w:r>
    </w:p>
    <w:p>
      <w:pPr>
        <w:spacing w:after="0" w:line="18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w:t>
      </w:r>
    </w:p>
    <w:p>
      <w:pPr>
        <w:ind w:left="120"/>
        <w:spacing w:after="0"/>
        <w:tabs>
          <w:tab w:leader="none" w:pos="2240" w:val="left"/>
        </w:tabs>
        <w:rPr>
          <w:sz w:val="20"/>
          <w:szCs w:val="20"/>
          <w:color w:val="auto"/>
        </w:rPr>
      </w:pPr>
      <w:r>
        <w:rPr>
          <w:rFonts w:ascii="Arial" w:cs="Arial" w:eastAsia="Arial" w:hAnsi="Arial"/>
          <w:sz w:val="18"/>
          <w:szCs w:val="18"/>
          <w:color w:val="auto"/>
        </w:rPr>
        <w:t>include approximately</w:t>
      </w:r>
      <w:r>
        <w:rPr>
          <w:sz w:val="20"/>
          <w:szCs w:val="20"/>
          <w:color w:val="auto"/>
        </w:rPr>
        <w:tab/>
      </w:r>
      <w:r>
        <w:rPr>
          <w:rFonts w:ascii="Arial" w:cs="Arial" w:eastAsia="Arial" w:hAnsi="Arial"/>
          <w:sz w:val="16"/>
          <w:szCs w:val="16"/>
          <w:color w:val="auto"/>
        </w:rPr>
        <w:t>shares of common stock immediately after our registration.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within any three-month period, a number of shares that does not exceed the greater of:</w:t>
      </w:r>
    </w:p>
    <w:p>
      <w:pPr>
        <w:sectPr>
          <w:pgSz w:w="11900" w:h="16838" w:orient="portrait"/>
          <w:cols w:equalWidth="0" w:num="1">
            <w:col w:w="11100"/>
          </w:cols>
          <w:pgMar w:left="320" w:top="459" w:right="479" w:bottom="1440" w:gutter="0" w:footer="0" w:header="0"/>
        </w:sectPr>
      </w:pP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Class A common stock then outstanding, which will equal approximately after the effectiveness of the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3">
            <w:col w:w="620" w:space="460"/>
            <w:col w:w="7780" w:space="540"/>
            <w:col w:w="1700"/>
          </w:cols>
          <w:pgMar w:left="320" w:top="459" w:right="479" w:bottom="1440" w:gutter="0" w:footer="0" w:header="0"/>
          <w:type w:val="continuous"/>
        </w:sectPr>
      </w:pPr>
    </w:p>
    <w:p>
      <w:pPr>
        <w:ind w:left="1080" w:right="1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7320" w:val="left"/>
        </w:tabs>
        <w:rPr>
          <w:sz w:val="20"/>
          <w:szCs w:val="20"/>
          <w:color w:val="auto"/>
        </w:rPr>
      </w:pPr>
      <w:r>
        <w:rPr>
          <w:rFonts w:ascii="Arial" w:cs="Arial" w:eastAsia="Arial" w:hAnsi="Arial"/>
          <w:sz w:val="18"/>
          <w:szCs w:val="18"/>
          <w:color w:val="auto"/>
        </w:rPr>
        <w:t>Pursuant to our amended and restated investors’ rights agreement, the holders of up to</w:t>
      </w:r>
      <w:r>
        <w:rPr>
          <w:sz w:val="20"/>
          <w:szCs w:val="20"/>
          <w:color w:val="auto"/>
        </w:rPr>
        <w:tab/>
      </w:r>
      <w:r>
        <w:rPr>
          <w:rFonts w:ascii="Arial" w:cs="Arial" w:eastAsia="Arial" w:hAnsi="Arial"/>
          <w:sz w:val="16"/>
          <w:szCs w:val="16"/>
          <w:color w:val="auto"/>
        </w:rPr>
        <w:t>shares of our Class B common stock (including</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shares 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Class A common stock and Class B common stock issuable or reserved for issuance under our 2009 Plan, 2012 Plan, our 2020 Plan, and our ESPP. Shares covered by such registration statement will be eligible for sale in the public market, subject to the Rule 144 limitations and vesting restrictions. As of April 30, 2020, options to purchase a total of 857,226 shares of our Class B common stock pursuant to our 2009 Plan, RSUs and options to purchase a total of 34,923,404 shares of our Class A common stock pursuant to our 2012 Plan were outstanding, and no options or other equity awards were outstanding or exercisable under our 2020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 PRICE HISTORY OF OUR CAPITAL STOCK</w:t>
      </w:r>
    </w:p>
    <w:p>
      <w:pPr>
        <w:spacing w:after="0" w:line="229"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We intend to apply to list our Class A common stock on the NYSE. Prior to the initial listing, no public market existed for our Class A common stock. However, our Class A and Class B common stock (on an as-converted to common stock basis) have a history of trading in private transactions, although such history is limited, as we only recently lifted transfer restrictions on our capital stock in February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While the DMM, in consultation</w:t>
      </w:r>
    </w:p>
    <w:p>
      <w:pPr>
        <w:spacing w:after="0" w:line="2" w:lineRule="exact"/>
        <w:rPr>
          <w:sz w:val="20"/>
          <w:szCs w:val="20"/>
          <w:color w:val="auto"/>
        </w:rPr>
      </w:pPr>
    </w:p>
    <w:p>
      <w:pPr>
        <w:ind w:left="120" w:right="160"/>
        <w:spacing w:after="0" w:line="252" w:lineRule="auto"/>
        <w:rPr>
          <w:sz w:val="20"/>
          <w:szCs w:val="20"/>
          <w:color w:val="auto"/>
        </w:rPr>
      </w:pPr>
      <w:r>
        <w:rPr>
          <w:rFonts w:ascii="Arial" w:cs="Arial" w:eastAsia="Arial" w:hAnsi="Arial"/>
          <w:sz w:val="18"/>
          <w:szCs w:val="18"/>
          <w:color w:val="auto"/>
        </w:rPr>
        <w:t>with , , , and as our financial advisors, is expected to consider this information in connection with setting the opening public price of our Class A common stock, this information may, however, have little or no relation to the broader market demand for our Class A common stock and thus the opening trading price and subsequent trading price of our Class A common stock on the NYSE. As a result, you should not place reliance on these historical private sales prices as they may differ materially from the opening trading price and subsequent trading price of our Class A common stock on the NYSE. See the section titled “Risk Factors—Risks Related to Ownership of Our Class A Common Stock—The trading price of our Class A common stock, upon listing on the NYSE, may have little or no relationship to the historical sales prices of our capital stock in private transactions, and such private transactions have been limited.”</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Volume-</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Weighted</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Per Share Sale Price</w:t>
            </w:r>
          </w:p>
        </w:tc>
        <w:tc>
          <w:tcPr>
            <w:tcW w:w="5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8"/>
              </w:rPr>
              <w:t>Shares Sold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the Period</w:t>
            </w:r>
          </w:p>
        </w:tc>
        <w:tc>
          <w:tcPr>
            <w:tcW w:w="24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(VWAP)</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(Period End)</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1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(1)</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15.82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15.82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4,647,127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15.82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76,687,509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First Quarter Fiscal 2021</w:t>
            </w:r>
            <w:r>
              <w:rPr>
                <w:rFonts w:ascii="Arial" w:cs="Arial" w:eastAsia="Arial" w:hAnsi="Arial"/>
                <w:sz w:val="15"/>
                <w:szCs w:val="15"/>
                <w:color w:val="auto"/>
              </w:rPr>
              <w:t>(2)</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13.04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335,347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15.98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77,159,235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Fiscal 2021</w:t>
            </w:r>
            <w:r>
              <w:rPr>
                <w:rFonts w:ascii="Arial" w:cs="Arial" w:eastAsia="Arial" w:hAnsi="Arial"/>
                <w:sz w:val="15"/>
                <w:szCs w:val="15"/>
                <w:color w:val="auto"/>
              </w:rPr>
              <w:t>(2)(3)</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40" w:hanging="424"/>
        <w:spacing w:after="0" w:line="224"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 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3" w:lineRule="exact"/>
        <w:rPr>
          <w:rFonts w:ascii="Arial" w:cs="Arial" w:eastAsia="Arial" w:hAnsi="Arial"/>
          <w:sz w:val="14"/>
          <w:szCs w:val="14"/>
          <w:color w:val="auto"/>
        </w:rPr>
      </w:pPr>
    </w:p>
    <w:p>
      <w:pPr>
        <w:ind w:left="540" w:right="40" w:hanging="424"/>
        <w:spacing w:after="0" w:line="221"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From March 16, 2020 to June 14, 2020, as economic conditions worsened during the COVID-19 pandemic, we restricted the ability of our stockholders to transfer shares of our capital stock at a price per share below $13.04, which was the estimated fair value of our common stock determined by our board of directors.</w:t>
      </w:r>
    </w:p>
    <w:p>
      <w:pPr>
        <w:spacing w:after="0" w:line="1" w:lineRule="exact"/>
        <w:rPr>
          <w:sz w:val="20"/>
          <w:szCs w:val="20"/>
          <w:color w:val="auto"/>
        </w:rPr>
      </w:pPr>
    </w:p>
    <w:p>
      <w:pPr>
        <w:ind w:left="540" w:right="80" w:hanging="419"/>
        <w:spacing w:after="0" w:line="237" w:lineRule="auto"/>
        <w:tabs>
          <w:tab w:leader="none" w:pos="52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From June 15, 2020 to , 2020, we restricted the ability of our stockholders to transfer shares of our capital stock at a price per share below $14.24, which was the estimated fair value of our common stock determined by our board of directors.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7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80" w:right="30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9"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Registered Stockholders may sell their shares of Class A common stock covered hereby pursuant to brokerage transactions on the NYSE, or other public exchanges or registered alternative trading venues, at prevailing market prices at any time after the shares of Class A common stock are 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7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ectPr>
          <w:pgSz w:w="11900" w:h="16838" w:orient="portrait"/>
          <w:cols w:equalWidth="0" w:num="1">
            <w:col w:w="11120"/>
          </w:cols>
          <w:pgMar w:left="320" w:top="459" w:right="459" w:bottom="1440" w:gutter="0" w:footer="0" w:header="0"/>
        </w:sectPr>
      </w:pPr>
    </w:p>
    <w:p>
      <w:pPr>
        <w:spacing w:after="0" w:line="149" w:lineRule="exact"/>
        <w:rPr>
          <w:sz w:val="20"/>
          <w:szCs w:val="20"/>
          <w:color w:val="auto"/>
        </w:rPr>
      </w:pPr>
    </w:p>
    <w:p>
      <w:pPr>
        <w:ind w:left="560"/>
        <w:spacing w:after="0"/>
        <w:tabs>
          <w:tab w:leader="none" w:pos="2380" w:val="left"/>
          <w:tab w:leader="none" w:pos="3020" w:val="left"/>
          <w:tab w:leader="none" w:pos="3640" w:val="left"/>
          <w:tab w:leader="none" w:pos="4620" w:val="left"/>
        </w:tabs>
        <w:rPr>
          <w:sz w:val="20"/>
          <w:szCs w:val="20"/>
          <w:color w:val="auto"/>
        </w:rPr>
      </w:pPr>
      <w:r>
        <w:rPr>
          <w:rFonts w:ascii="Arial" w:cs="Arial" w:eastAsia="Arial" w:hAnsi="Arial"/>
          <w:sz w:val="18"/>
          <w:szCs w:val="18"/>
          <w:color w:val="auto"/>
        </w:rPr>
        <w:t>We have engaged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as our financial advisors to advise and assist us with respect to certain matters relating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listing, including defining our objectives with respect to the filing of the registration statement of which this prospectus forms a part and the listing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A common stock on the NYSE, the preparation of the registration statement of which this prospectus forms a part, and the preparation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communications and presentations in connection with investor education, and to be available to consult with the DMM who will be setting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opening public price of our Class A common stock on the NYSE. However, the financial advisors have not been engaged to participate in investor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meetings or to otherwise facilitate or coordinate price discovery activities or sales of our Class A common stock in consultation with us, except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described herein with respect to consultation with the DMM on the opening public price in accordance with NYSE rules. We have also engaged</w:t>
      </w:r>
    </w:p>
    <w:p>
      <w:pPr>
        <w:spacing w:after="0" w:line="21" w:lineRule="exact"/>
        <w:rPr>
          <w:sz w:val="20"/>
          <w:szCs w:val="20"/>
          <w:color w:val="auto"/>
        </w:rPr>
      </w:pPr>
    </w:p>
    <w:p>
      <w:pPr>
        <w:ind w:left="660"/>
        <w:spacing w:after="0"/>
        <w:tabs>
          <w:tab w:leader="none" w:pos="1260" w:val="left"/>
          <w:tab w:leader="none" w:pos="1900" w:val="left"/>
          <w:tab w:leader="none" w:pos="2520" w:val="left"/>
          <w:tab w:leader="none" w:pos="3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and as our associate financial advisors to advise and assist us with respect to certain matters relating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96" w:lineRule="exact"/>
        <w:rPr>
          <w:sz w:val="20"/>
          <w:szCs w:val="20"/>
          <w:color w:val="auto"/>
        </w:rPr>
      </w:pPr>
    </w:p>
    <w:p>
      <w:pPr>
        <w:sectPr>
          <w:pgSz w:w="11900" w:h="16838" w:orient="portrait"/>
          <w:cols w:equalWidth="0" w:num="2">
            <w:col w:w="11020" w:space="40"/>
            <w:col w:w="60"/>
          </w:cols>
          <w:pgMar w:left="320" w:top="459" w:right="459" w:bottom="1440" w:gutter="0" w:footer="0" w:header="0"/>
          <w:type w:val="continuous"/>
        </w:sectPr>
      </w:pPr>
    </w:p>
    <w:p>
      <w:pPr>
        <w:jc w:val="both"/>
        <w:ind w:left="120" w:right="60"/>
        <w:spacing w:after="0" w:line="302" w:lineRule="auto"/>
        <w:rPr>
          <w:sz w:val="20"/>
          <w:szCs w:val="20"/>
          <w:color w:val="auto"/>
        </w:rPr>
      </w:pPr>
      <w:r>
        <w:rPr>
          <w:rFonts w:ascii="Arial" w:cs="Arial" w:eastAsia="Arial" w:hAnsi="Arial"/>
          <w:sz w:val="16"/>
          <w:szCs w:val="16"/>
          <w:color w:val="auto"/>
        </w:rPr>
        <w:t>listing, including the preparation of the registration statement of which this prospectus forms a part and the preparation of investor communications and presentations in connection with investor education. However, the associate financial advisors have not been engaged to participate in investor meetings or to otherwise facilitate or coordinate price discovery activities or sales of our Class A common stock in consultation with us.</w:t>
      </w:r>
    </w:p>
    <w:p>
      <w:pPr>
        <w:spacing w:after="0" w:line="15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DMM, acting pursuant to its obligations under the rules of the NYSE, is responsible for facilitating an orderly market for our Class A common stock. Based on information provided to the NYSE, the opening public price of our Class A common stock on the NYSE will be determined by buy and sell orders collected by the NYSE from various broker-dealers and will be set based on the DMM’s determination of where buy orders can be matched with sell orders at a single price. On the NYSE, buy orders priced equal to or higher than the opening public price and sell orders priced lower than or equal to the opening public price will participate in that opening trade. In accordance with NYSE rules, because there has not been a recent</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sustained history of trading in our common stock in a private placement market prior to listing, the DMM will consult with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w:t>
      </w:r>
    </w:p>
    <w:p>
      <w:pPr>
        <w:jc w:val="both"/>
        <w:ind w:left="120" w:right="80"/>
        <w:spacing w:after="0" w:line="281" w:lineRule="auto"/>
        <w:rPr>
          <w:sz w:val="20"/>
          <w:szCs w:val="20"/>
          <w:color w:val="auto"/>
        </w:rPr>
      </w:pPr>
      <w:r>
        <w:rPr>
          <w:rFonts w:ascii="Arial" w:cs="Arial" w:eastAsia="Arial" w:hAnsi="Arial"/>
          <w:sz w:val="16"/>
          <w:szCs w:val="16"/>
          <w:color w:val="auto"/>
        </w:rPr>
        <w:t>with us, in connection with our direct listing. Pursuant to such NYSE rules, and based upon information known to it at that time,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coordination with us. and certain of our other financial advisors, in their capacity as financial advisors to the Company, and who are available to consult with the DMM in accordance with NYSE rules, 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expected to provide the DMM with our fair value per share, as determined by our most recently completed independent common stock valuation report,</w:t>
      </w:r>
    </w:p>
    <w:p>
      <w:pPr>
        <w:spacing w:after="0" w:line="46"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dated as of , 2020, which was $ per share of Class A common stock and Class B common stock. The common stock valuation report was prepared by an independent third party on behalf of the Company, and no financial advisor or associate financial advisor participated in the preparation</w:t>
      </w:r>
    </w:p>
    <w:p>
      <w:pPr>
        <w:spacing w:after="0" w:line="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of such report. The DMM, in consultation with and our other financial advisors, is also expected to consider the information in the section titled “Sale Price History of our Capital Stock.”</w:t>
      </w:r>
    </w:p>
    <w:p>
      <w:pPr>
        <w:spacing w:after="0" w:line="18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Similar to how a security being offered in an underwritten initial public offering would open on the first day of trading, before the opening public price of our Class A common stock is determined, the DMM may publish one or more pre-opening indications, which provides the market with a price range of where the DMM anticipates the opening public price will be, based on the buy and sell orders entered on the NYSE. The pre-opening indications will be available on the consolidated tape and NYSE market data feeds. As part of this opening process, the DMM will continue to update the pre-opening indication until the buy and sell orders reach equilibrium and can be priced by offsetting one another to determine the opening public price of our Class A common stock.</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process described above, a DMM in a direct listing may have less information available to it to determine the opening public price of our Class A common stock than a DMM would in an underwritten initial public offering. For example, because our financial advisors are not acting as underwriters, they will not have engaged in a book building process, and as a result, they will not be able to provide input to the DMM that is based on or informed by that process. Moreover, prior to the opening trade, there will not be a price at which underwriters initially sold shares of Class A common stock to the public as there would be in an underwritten initial public offering. This lack of an initial public offering price could impact the range of buy and sell orders collected by the NYSE from various broker-dealers. Consequently, the public price of our Class A common stock may be more volatile than in an underwritten initial public offering and could, upon listing on the NYSE, decline significantly and rapidly. See the section titled “Risk Factors—Risks Related to Ownership of Our Class A Common Stock.”</w:t>
      </w:r>
    </w:p>
    <w:p>
      <w:pPr>
        <w:spacing w:after="0" w:line="178"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 (which discounts, concessions, or commissions as to particular broker-dealers may be in excess of those customary in the types of transactions involved).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Cooley LLP, Palo Alto, California, and Orrick, Herrington &amp; Sutcliffe LLP, Menlo Park, California, are our legal advisors. Latham &amp; Watkins LLP is legal advisor to the financial advisors.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financial statements as of January 31, 2019 and 2020 and for each of the two years in the period ended January 31, 2020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vMerge w:val="restart"/>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Balance Sheet</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Statement of Operations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 of Comprehensive Loss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 of Redeemable Convertible Preferred Stock and Stockholders’ Deficit</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Consolidated Statement of Cash Flows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Notes to Consolidated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64"/>
        </w:trPr>
        <w:tc>
          <w:tcPr>
            <w:tcW w:w="10640" w:type="dxa"/>
            <w:vAlign w:val="bottom"/>
          </w:tcPr>
          <w:p>
            <w:pPr>
              <w:ind w:left="538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Asana,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Asana, Inc. and its subsidiaries (the “Company”) as of January 31, 2020 and 2019,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2020 and 2019, and the results of its operations and its cash flows for the years then ended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as of February 1, 2019.</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20,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As of January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52"/>
        </w:trPr>
        <w:tc>
          <w:tcPr>
            <w:tcW w:w="6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 2020</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572"/>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306,020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315,609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17,035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103,157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380,634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363,733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noncurrent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20,818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17,810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421,692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406,505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3"/>
              </w:rPr>
              <w:t>Liabilities, Redeemable Convertible Preferred Stock, and Stockholders’ (Deficit)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19,803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110,663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Convertible note, net—related party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203,097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210,088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316,426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331,535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180"/>
              <w:spacing w:after="0" w:line="201" w:lineRule="exact"/>
              <w:rPr>
                <w:sz w:val="20"/>
                <w:szCs w:val="20"/>
                <w:color w:val="auto"/>
              </w:rPr>
            </w:pPr>
            <w:r>
              <w:rPr>
                <w:rFonts w:ascii="Arial" w:cs="Arial" w:eastAsia="Arial" w:hAnsi="Arial"/>
                <w:sz w:val="18"/>
                <w:szCs w:val="18"/>
                <w:color w:val="auto"/>
                <w:w w:val="91"/>
              </w:rPr>
              <w:t>Redeemable convertible preferred stock, $0.00001 par value; 151,101, 151,101,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151,101 shares authorized as of January 31, 2019, January 31, 2020,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9"/>
              </w:rPr>
              <w:t>April 30, 2020 (unaudited), respectively; 73,547, 73,577, and 73,577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4"/>
              </w:rPr>
              <w:t>issued and outstanding as of January 31, 2019, January 31, 2020, and April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7"/>
              </w:rPr>
              <w:t>2020 (unaudited), respectively; liquidation preference of $250,916, $250,999,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9"/>
              </w:rPr>
              <w:t>and $250,999 as of January 31, 2019, January 31, 2020, and April 30,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3"/>
              </w:rPr>
              <w:t>(unaudited), respectively; no shares issued and outstanding as of April 30,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pro forma (unaudited)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250,370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250,581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250,581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$0.00001 par value; 540,000, 540,000, and 540,000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authorized as of January 31, 2019, January 31, 2020, and April 30,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(unaudited), respectively; 68,257, 76,688, and 77,159 shares issued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outstanding as of January 31, 2019, January 31, 2020, and April 30,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w w:val="94"/>
              </w:rPr>
              <w:t>(unaudited), respectively; 150,737 shares issued and outstanding as of April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2020, pro forma (unaudited)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184,522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190,112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440,692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(211,147)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(329,736)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(365,581)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(365,581)</w:t>
            </w:r>
          </w:p>
        </w:tc>
        <w:tc>
          <w:tcPr>
            <w:tcW w:w="0" w:type="dxa"/>
            <w:vAlign w:val="bottom"/>
          </w:tcPr>
          <w:p>
            <w:pPr>
              <w:spacing w:after="0"/>
              <w:rPr>
                <w:sz w:val="1"/>
                <w:szCs w:val="1"/>
                <w:color w:val="auto"/>
              </w:rPr>
            </w:pPr>
          </w:p>
        </w:tc>
      </w:tr>
      <w:tr>
        <w:trPr>
          <w:trHeight w:val="223"/>
        </w:trPr>
        <w:tc>
          <w:tcPr>
            <w:tcW w:w="6380" w:type="dxa"/>
            <w:vAlign w:val="bottom"/>
          </w:tcPr>
          <w:p>
            <w:pPr>
              <w:ind w:left="18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(181,011)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(145,315)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(175,611)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5"/>
              </w:rPr>
              <w:t>Total liabilities, redeemable convertible preferred stock, and stockholders’ (deficit)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113,749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421,692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406,505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380"/>
              <w:spacing w:after="0"/>
              <w:rPr>
                <w:sz w:val="20"/>
                <w:szCs w:val="20"/>
                <w:color w:val="auto"/>
              </w:rPr>
            </w:pPr>
            <w:r>
              <w:rPr>
                <w:rFonts w:ascii="Arial" w:cs="Arial" w:eastAsia="Arial" w:hAnsi="Arial"/>
                <w:sz w:val="18"/>
                <w:szCs w:val="18"/>
                <w:color w:val="auto"/>
              </w:rPr>
              <w:t>F-3</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auto"/>
                <w:w w:val="97"/>
              </w:rPr>
              <w:t>April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jc w:val="center"/>
              <w:ind w:left="334"/>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76,770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142,606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47,706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Cost of revenues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52,106</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105,836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18,859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36,091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20,260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114,951</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(119,631)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(15,364)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(29,085)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(118,344)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(14,892)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(35,722)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(118,589)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(35,845)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net loss per share:</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75,641</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loss per share (unaudited):</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w w:val="96"/>
              </w:rPr>
              <w:t>Weighted-average shares used in calculating pro forma net loss per share</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149,218</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5380"/>
              <w:spacing w:after="0"/>
              <w:rPr>
                <w:sz w:val="20"/>
                <w:szCs w:val="20"/>
                <w:color w:val="auto"/>
              </w:rPr>
            </w:pPr>
            <w:r>
              <w:rPr>
                <w:rFonts w:ascii="Arial" w:cs="Arial" w:eastAsia="Arial" w:hAnsi="Arial"/>
                <w:sz w:val="18"/>
                <w:szCs w:val="18"/>
                <w:color w:val="auto"/>
              </w:rPr>
              <w:t>F-4</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4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January 31,</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Ended April 30,</w:t>
            </w:r>
          </w:p>
        </w:tc>
      </w:tr>
      <w:tr>
        <w:trPr>
          <w:trHeight w:val="142"/>
        </w:trPr>
        <w:tc>
          <w:tcPr>
            <w:tcW w:w="4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7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(50,928)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(118,589)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(14,953)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(35,845)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 on marketable securities</w:t>
            </w:r>
          </w:p>
        </w:tc>
        <w:tc>
          <w:tcPr>
            <w:tcW w:w="3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adjustments</w:t>
            </w:r>
          </w:p>
        </w:tc>
        <w:tc>
          <w:tcPr>
            <w:tcW w:w="24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7"/>
        </w:trPr>
        <w:tc>
          <w:tcPr>
            <w:tcW w:w="4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 (50,923)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(118,611)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(14,949)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(35,886)</w:t>
            </w:r>
          </w:p>
        </w:tc>
      </w:tr>
      <w:tr>
        <w:trPr>
          <w:trHeight w:val="20"/>
        </w:trPr>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3300" w:type="dxa"/>
            <w:vAlign w:val="bottom"/>
            <w:gridSpan w:val="3"/>
          </w:tcPr>
          <w:p>
            <w:pPr>
              <w:jc w:val="right"/>
              <w:ind w:right="2300"/>
              <w:spacing w:after="0"/>
              <w:rPr>
                <w:sz w:val="20"/>
                <w:szCs w:val="20"/>
                <w:color w:val="auto"/>
              </w:rPr>
            </w:pPr>
            <w:r>
              <w:rPr>
                <w:rFonts w:ascii="Arial" w:cs="Arial" w:eastAsia="Arial" w:hAnsi="Arial"/>
                <w:sz w:val="18"/>
                <w:szCs w:val="18"/>
                <w:color w:val="auto"/>
              </w:rPr>
              <w:t>F-5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 —</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080"/>
          </w:cols>
          <w:pgMar w:left="320" w:top="459" w:right="499" w:bottom="1440" w:gutter="0" w:footer="0" w:header="0"/>
        </w:sectPr>
      </w:pPr>
    </w:p>
    <w:p>
      <w:pPr>
        <w:spacing w:after="0" w:line="310"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Redeemable Convertible</w:t>
      </w:r>
    </w:p>
    <w:p>
      <w:pPr>
        <w:spacing w:after="0" w:line="4"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Preferred Stock</w:t>
      </w: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Balances at January 31, 2019</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73,547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250,370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Issuance of common stock upon the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exercise of options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7"/>
              </w:rPr>
              <w:t>Vesting of early exercised stock options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unrealized gain on marketable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securities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4"/>
              </w:rPr>
              <w:t>Foreign currency translation adjustments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Net loss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2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 April 30, 2019 (unaudited)</w:t>
            </w:r>
          </w:p>
        </w:tc>
        <w:tc>
          <w:tcPr>
            <w:tcW w:w="800" w:type="dxa"/>
            <w:vAlign w:val="bottom"/>
            <w:tcBorders>
              <w:top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73,547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250,370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Balances at January 31, 2020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73,577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250,581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Issuance of common stock upon the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exercise of options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7"/>
              </w:rPr>
              <w:t>Vesting of early exercised stock options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Issuance of common stock upon the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vesting and settlement of restricted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w w:val="97"/>
              </w:rPr>
              <w:t>stock units, net of shares withheld for</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taxes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unrealized gain on marketable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securities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4"/>
              </w:rPr>
              <w:t>Foreign currency translation adjustments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Net loss (unaudited)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Balances at April 30, 2020 (unaudited)</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73,577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2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gridSpan w:val="7"/>
            <w:vMerge w:val="continue"/>
          </w:tcPr>
          <w:p>
            <w:pPr>
              <w:spacing w:after="0"/>
              <w:rPr>
                <w:sz w:val="9"/>
                <w:szCs w:val="9"/>
                <w:color w:val="auto"/>
              </w:rPr>
            </w:pPr>
          </w:p>
        </w:tc>
        <w:tc>
          <w:tcPr>
            <w:tcW w:w="980" w:type="dxa"/>
            <w:vAlign w:val="bottom"/>
            <w:gridSpan w:val="3"/>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Additional</w:t>
            </w:r>
          </w:p>
        </w:tc>
        <w:tc>
          <w:tcPr>
            <w:tcW w:w="11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9"/>
                <w:szCs w:val="9"/>
                <w:color w:val="auto"/>
              </w:rPr>
            </w:pPr>
          </w:p>
        </w:tc>
        <w:tc>
          <w:tcPr>
            <w:tcW w:w="110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5"/>
        </w:trPr>
        <w:tc>
          <w:tcPr>
            <w:tcW w:w="5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40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8"/>
              </w:rPr>
              <w:t>Shares    AmountPaid-In</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24"/>
        </w:trPr>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68,256</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30,215</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(211,147)</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(14,953)</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09"/>
        </w:trPr>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68,870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32,524</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(226,100)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(193,651)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76,688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184,522</w:t>
            </w:r>
          </w:p>
        </w:tc>
        <w:tc>
          <w:tcPr>
            <w:tcW w:w="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(329,736)</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(145,315)</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864"/>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432"/>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(35,845)</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(35,845)</w:t>
            </w:r>
          </w:p>
        </w:tc>
        <w:tc>
          <w:tcPr>
            <w:tcW w:w="0" w:type="dxa"/>
            <w:vAlign w:val="bottom"/>
          </w:tcPr>
          <w:p>
            <w:pPr>
              <w:spacing w:after="0"/>
              <w:rPr>
                <w:sz w:val="1"/>
                <w:szCs w:val="1"/>
                <w:color w:val="auto"/>
              </w:rPr>
            </w:pPr>
          </w:p>
        </w:tc>
      </w:tr>
      <w:tr>
        <w:trPr>
          <w:trHeight w:val="223"/>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77,159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190,112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(365,581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(175,611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gridSpan w:val="3"/>
          </w:tcPr>
          <w:p>
            <w:pPr>
              <w:jc w:val="right"/>
              <w:ind w:right="360"/>
              <w:spacing w:after="0"/>
              <w:rPr>
                <w:sz w:val="20"/>
                <w:szCs w:val="20"/>
                <w:color w:val="auto"/>
              </w:rPr>
            </w:pPr>
            <w:r>
              <w:rPr>
                <w:rFonts w:ascii="Arial" w:cs="Arial" w:eastAsia="Arial" w:hAnsi="Arial"/>
                <w:sz w:val="18"/>
                <w:szCs w:val="18"/>
                <w:color w:val="auto"/>
              </w:rPr>
              <w:t>F-6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-5074285</wp:posOffset>
            </wp:positionV>
            <wp:extent cx="6995160" cy="4843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4843145"/>
                    </a:xfrm>
                    <a:prstGeom prst="rect">
                      <a:avLst/>
                    </a:prstGeom>
                    <a:noFill/>
                  </pic:spPr>
                </pic:pic>
              </a:graphicData>
            </a:graphic>
          </wp:anchor>
        </w:drawing>
      </w:r>
    </w:p>
    <w:p>
      <w:pPr>
        <w:sectPr>
          <w:pgSz w:w="11900" w:h="16838" w:orient="portrait"/>
          <w:cols w:equalWidth="0" w:num="2">
            <w:col w:w="5120" w:space="300"/>
            <w:col w:w="5660"/>
          </w:cols>
          <w:pgMar w:left="320" w:top="459" w:right="49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January 31,</w:t>
            </w:r>
          </w:p>
        </w:tc>
        <w:tc>
          <w:tcPr>
            <w:tcW w:w="21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8"/>
              </w:rPr>
              <w:t>Three Months Ended April 30,</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(50,928)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(118,589)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(14,953)</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(35,845)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Net amortization (accretion) of premium (discount) on 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Change in fair value of redeemable convertible preferred stock warrant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8,228</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discount on convertible note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(3,427)</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(7,718)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(3,690)</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(1,791)</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4,023</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8,321</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32,189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(7,618)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(30,180)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(103,205)</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(77,759)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(27,407)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marketable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Maturities of 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61,950</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93,394</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Capitalized internal-use software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(44,662)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26,857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Proceeds from issuance of redeemable convertible preferred stock, net of issuance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51,006</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Proceeds from issuance of convertible note—related party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11,674</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55,293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311,597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w w:val="97"/>
              </w:rPr>
              <w:t>Effect of foreign exchange rates on cash and cash equivalents and restricted cash</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284,097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(13,749)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46,125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310,677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320,252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380"/>
              <w:spacing w:after="0"/>
              <w:rPr>
                <w:sz w:val="20"/>
                <w:szCs w:val="20"/>
                <w:color w:val="auto"/>
              </w:rPr>
            </w:pPr>
            <w:r>
              <w:rPr>
                <w:rFonts w:ascii="Arial" w:cs="Arial" w:eastAsia="Arial" w:hAnsi="Arial"/>
                <w:sz w:val="18"/>
                <w:szCs w:val="18"/>
                <w:color w:val="auto"/>
              </w:rPr>
              <w:t>F-7</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136"/>
        </w:trPr>
        <w:tc>
          <w:tcPr>
            <w:tcW w:w="6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5"/>
              <w:spacing w:after="0" w:line="13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3"/>
              <w:spacing w:after="0" w:line="13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3"/>
              <w:spacing w:after="0" w:line="13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8"/>
        </w:trPr>
        <w:tc>
          <w:tcPr>
            <w:tcW w:w="6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Reconciliation of cash, cash equivalents, and restricted cash to the consolidated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23,778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306,020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10,029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315,609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2,802</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4,643</w:t>
            </w: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310,677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320,252</w:t>
            </w: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data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3,262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w w:val="94"/>
              </w:rPr>
              <w:t>Conversion of redeemable convertible preferred stock warrant liability to redeemable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convertible preferred stock as a result of warrant exercise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365"/>
        </w:trPr>
        <w:tc>
          <w:tcPr>
            <w:tcW w:w="6360" w:type="dxa"/>
            <w:vAlign w:val="bottom"/>
          </w:tcPr>
          <w:p>
            <w:pPr>
              <w:ind w:left="5380"/>
              <w:spacing w:after="0"/>
              <w:rPr>
                <w:sz w:val="20"/>
                <w:szCs w:val="20"/>
                <w:color w:val="auto"/>
              </w:rPr>
            </w:pPr>
            <w:r>
              <w:rPr>
                <w:rFonts w:ascii="Arial" w:cs="Arial" w:eastAsia="Arial" w:hAnsi="Arial"/>
                <w:sz w:val="18"/>
                <w:szCs w:val="18"/>
                <w:color w:val="auto"/>
              </w:rPr>
              <w:t>F-8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Company’s fiscal year ends on January 31. For example, references to fiscal 2019 and 2020 refer to the fiscal year ended January 31, 2019 and January 31, 2020,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accompanying unaudited pro forma consolidated balance sheet assumes all shares of the Company’s redeemable convertible preferred stock had automatically converted into 73,577,455 shares of Class B common stock on a one-for-one basis as if such conversion had occurred on April 30,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 of Class A and Class B Common Stock</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 (as defined below), the fair value of common stock, stock-based compensation expense, the period of benefit for deferred contract acquisition costs, and income taxes. Actual results could differ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As a result of the COVID-19 pandemic, the Company has temporarily closed its headquarters and other offices, required its employees and contractors to work remotely, and implemented travel restrictions, all of which represent a significant disruption in how the Company operates its business. The operations of its partners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and customers have likewise been disrupted. The worldwide spread of the COVID-19 virus is expected to result in a global slowdown of economic activity.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includes the following steps:</w:t>
      </w:r>
    </w:p>
    <w:p>
      <w:pPr>
        <w:spacing w:after="0" w:line="9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22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majority of the Company’s contracts give a right to bill for additional usage, which is deemed variable consideration. The variable consideration is allocated as the services are completed. An estimate of variable consideration is included in the transaction price if it is probable that a significant reversal of cumulative revenue recognized will not occur.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Future revenues related to performance obligations that are unsatisfied or partially unsatisfied were $64.1 million and $70.1 million as of January 31, 2020 and April 30, 2020 (unaudited), respectively, of which $62.7 million and $68.6 million (unaudited), respectively, is presented as deferred revenue for which the Company expects to satisfy the performance obligations in the next respective 12 months, and $1.4 million and $1.6 million, respectively, is presented within other liabilities, a noncurrent liability, in the consolidated balance sheet, as of January 31, 2020 and April 30, 2020 (unaudited).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257"/>
              <w:spacing w:after="0"/>
              <w:rPr>
                <w:sz w:val="20"/>
                <w:szCs w:val="20"/>
                <w:color w:val="auto"/>
              </w:rPr>
            </w:pPr>
            <w:r>
              <w:rPr>
                <w:rFonts w:ascii="Arial" w:cs="Arial" w:eastAsia="Arial" w:hAnsi="Arial"/>
                <w:sz w:val="14"/>
                <w:szCs w:val="14"/>
                <w:b w:val="1"/>
                <w:bCs w:val="1"/>
                <w:color w:val="auto"/>
                <w:w w:val="97"/>
              </w:rPr>
              <w:t>April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3"/>
              </w:rPr>
              <w:t>2020</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ind w:left="277"/>
              <w:spacing w:after="0" w:line="142" w:lineRule="exact"/>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2,071</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5,643</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(1,607)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3,574</w:t>
            </w:r>
          </w:p>
        </w:tc>
      </w:tr>
      <w:tr>
        <w:trPr>
          <w:trHeight w:val="27"/>
        </w:trPr>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contract acquisition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2,071</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2,778</w:t>
            </w:r>
          </w:p>
        </w:tc>
        <w:tc>
          <w:tcPr>
            <w:tcW w:w="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6,647</w:t>
            </w:r>
          </w:p>
        </w:tc>
      </w:tr>
      <w:tr>
        <w:trPr>
          <w:trHeight w:val="20"/>
        </w:trPr>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Advertising expenses are charged to sales and marketing expense in the consolidated statements of operations as incurred. Advertising expenses were $19.9 million, $39.0 million, $6.3 million, and $14.8 million for the years ended January 31, 2019 and 2020 and the three months ended April 30, 2019 and 2020 (unaudited),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Company records stock-based compensation expense for all stock-based awards, including stock options and restricted stock units (“RSUs”), made to employees, non-employees, and directors based on estimated fair values recognized over the requisite service period. The fair value of stock options granted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84"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2019 and 2020 and the three months ended April 30, 2019 and 2020 (unaudited).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14, “Geographic Information.”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at the date of purchase of three months or less to be cash equivalents. Cash and cash equivalents are stated at cost, which approximates fair value.</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various facilities operating lease agreements, the Company is required to maintain a restricted cash deposit as collateral. The Company had $2.8 million, $4.7 million, and $4.6 million of restricted cash for use as security deposits for standby letters of credit issued to landlords as of January 31, 2019 and 2020 and April 30, 2020 (unaudited), respectively.</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Cash, cash equivalents, and restricted cash as reported in the Company’s consolidated statements of cash flows includes the aggregate amounts of cash, cash equivalents, and restricted cash as shown on the consolidated balance sheets. Cash, cash equivalents, and restricted cash as reported in the Company’s consolidated statements of cash flows consist of the following (in thousands):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20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As of January 31,</w:t>
            </w:r>
          </w:p>
        </w:tc>
        <w:tc>
          <w:tcPr>
            <w:tcW w:w="180" w:type="dxa"/>
            <w:vAlign w:val="bottom"/>
          </w:tcPr>
          <w:p>
            <w:pPr>
              <w:spacing w:after="0"/>
              <w:rPr>
                <w:sz w:val="14"/>
                <w:szCs w:val="14"/>
                <w:color w:val="auto"/>
              </w:rPr>
            </w:pPr>
          </w:p>
        </w:tc>
        <w:tc>
          <w:tcPr>
            <w:tcW w:w="186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As of April 30,</w:t>
            </w:r>
          </w:p>
        </w:tc>
        <w:tc>
          <w:tcPr>
            <w:tcW w:w="0" w:type="dxa"/>
            <w:vAlign w:val="bottom"/>
          </w:tcPr>
          <w:p>
            <w:pPr>
              <w:spacing w:after="0"/>
              <w:rPr>
                <w:sz w:val="1"/>
                <w:szCs w:val="1"/>
                <w:color w:val="auto"/>
              </w:rPr>
            </w:pPr>
          </w:p>
        </w:tc>
      </w:tr>
      <w:tr>
        <w:trPr>
          <w:trHeight w:val="77"/>
        </w:trPr>
        <w:tc>
          <w:tcPr>
            <w:tcW w:w="4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February 1,</w:t>
            </w:r>
          </w:p>
        </w:tc>
        <w:tc>
          <w:tcPr>
            <w:tcW w:w="180" w:type="dxa"/>
            <w:vAlign w:val="bottom"/>
          </w:tcPr>
          <w:p>
            <w:pPr>
              <w:spacing w:after="0"/>
              <w:rPr>
                <w:sz w:val="6"/>
                <w:szCs w:val="6"/>
                <w:color w:val="auto"/>
              </w:rPr>
            </w:pPr>
          </w:p>
        </w:tc>
        <w:tc>
          <w:tcPr>
            <w:tcW w:w="200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18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306,020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315,609</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cash</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4,657</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2,802</w:t>
            </w: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310,677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320,252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600" w:type="dxa"/>
            <w:vAlign w:val="bottom"/>
            <w:gridSpan w:val="2"/>
          </w:tcPr>
          <w:p>
            <w:pPr>
              <w:jc w:val="right"/>
              <w:ind w:right="119"/>
              <w:spacing w:after="0"/>
              <w:rPr>
                <w:sz w:val="20"/>
                <w:szCs w:val="20"/>
                <w:color w:val="auto"/>
              </w:rPr>
            </w:pPr>
            <w:r>
              <w:rPr>
                <w:rFonts w:ascii="Arial" w:cs="Arial" w:eastAsia="Arial" w:hAnsi="Arial"/>
                <w:sz w:val="18"/>
                <w:szCs w:val="18"/>
                <w:color w:val="auto"/>
              </w:rPr>
              <w:t>F-12</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Marketable securities are partially comprised of marketable securities, including U.S. government securities, commercial paper, and corporate bonds with an original contractual maturity or a remaining maturity at the time of purchase of greater than three months and no more than 12 months. These marketable securities are classified as available-for-sale securities and are carried at fair value with unrealized gains and losses reported in accumulated other comprehensive income (loss) as a separate component of stockholders’ deficit. Interest receivable on these securities is presented in prepaid expenses and other current assets on the consolidated balance sheets. Realized gains and losses and other-than-temporary impairments,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No impairment loss has been recorded on the Company’s marketable securities during the years ended January 31, 2019 and 2020 and the three months ended April 30, 2020 (unaudited).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$0.1 million, and $0.5 million as of January 31, 2019 and 2020 and April 30, 2020 (unaudited),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4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 large portion of the Company’s customers authorize the Company to bill their credit card accounts through the Company’s third-party payment processing partners, presenting additional credit risk. For the years ended January 31, 2019 and 2020 and the three months ended April 30, 2019 and 2020 (unaudited), there were no individual customers that accounted for 10% or more of the Company’s revenues. The Company had one customer that accounted for 12% of accounts receivable as of January 31, 2019, and no customer accounted for more than 10% of accounts receivable as of January 31, 2020. The Company had one customer that accounted for 10% of accounts receivable as of April 30, 2020 (unaudited)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88" w:lineRule="exact"/>
        <w:rPr>
          <w:sz w:val="20"/>
          <w:szCs w:val="20"/>
          <w:color w:val="auto"/>
        </w:rPr>
      </w:pPr>
    </w:p>
    <w:p>
      <w:pPr>
        <w:jc w:val="right"/>
        <w:ind w:right="5380"/>
        <w:spacing w:after="0"/>
        <w:tabs>
          <w:tab w:leader="none" w:pos="9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58"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252"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and that are significant to the fair value of the assets or liabilities.</w:t>
      </w:r>
    </w:p>
    <w:p>
      <w:pPr>
        <w:spacing w:after="0" w:line="225"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8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has lease agreements with lease and non-lease components. The Company has elected to combine lease and non-lease components as a single lease component for all classes of underlying assets. The Company has also elected to keep leases with an initial term of 12 months or less off the balance sheet and recognize the associated lease payments in the consolidated statements of operations on a straight-line basis over the lease term.</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Operating leases are included in operating lease ROU assets, operating lease liabilities, current, and operating lease liabilities, noncurrent on the consolidated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80" w:type="dxa"/>
            <w:vAlign w:val="bottom"/>
          </w:tcPr>
          <w:p>
            <w:pPr>
              <w:spacing w:after="0"/>
              <w:rPr>
                <w:sz w:val="20"/>
                <w:szCs w:val="20"/>
                <w:color w:val="auto"/>
              </w:rPr>
            </w:pPr>
            <w:r>
              <w:rPr>
                <w:rFonts w:ascii="Arial" w:cs="Arial" w:eastAsia="Arial" w:hAnsi="Arial"/>
                <w:sz w:val="14"/>
                <w:szCs w:val="14"/>
                <w:b w:val="1"/>
                <w:bCs w:val="1"/>
                <w:color w:val="auto"/>
              </w:rPr>
              <w:t>Asset Type</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gridSpan w:val="2"/>
          </w:tcPr>
          <w:p>
            <w:pPr>
              <w:ind w:left="1760"/>
              <w:spacing w:after="0"/>
              <w:rPr>
                <w:sz w:val="20"/>
                <w:szCs w:val="20"/>
                <w:color w:val="auto"/>
              </w:rPr>
            </w:pPr>
            <w:r>
              <w:rPr>
                <w:rFonts w:ascii="Arial" w:cs="Arial" w:eastAsia="Arial" w:hAnsi="Arial"/>
                <w:sz w:val="14"/>
                <w:szCs w:val="14"/>
                <w:b w:val="1"/>
                <w:bCs w:val="1"/>
                <w:color w:val="auto"/>
              </w:rPr>
              <w:t>Life (Years)</w:t>
            </w:r>
          </w:p>
        </w:tc>
      </w:tr>
      <w:tr>
        <w:trPr>
          <w:trHeight w:val="195"/>
        </w:trPr>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Desktop and other computer equipment</w:t>
            </w:r>
          </w:p>
        </w:tc>
        <w:tc>
          <w:tcPr>
            <w:tcW w:w="2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ind w:left="1020"/>
              <w:spacing w:after="0"/>
              <w:rPr>
                <w:sz w:val="20"/>
                <w:szCs w:val="20"/>
                <w:color w:val="auto"/>
              </w:rPr>
            </w:pPr>
            <w:r>
              <w:rPr>
                <w:rFonts w:ascii="Arial" w:cs="Arial" w:eastAsia="Arial" w:hAnsi="Arial"/>
                <w:sz w:val="18"/>
                <w:szCs w:val="18"/>
                <w:color w:val="auto"/>
                <w:w w:val="91"/>
              </w:rPr>
              <w:t>Shorter of lease term or estimated useful life</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r>
      <w:tr>
        <w:trPr>
          <w:trHeight w:val="364"/>
        </w:trPr>
        <w:tc>
          <w:tcPr>
            <w:tcW w:w="4080" w:type="dxa"/>
            <w:vAlign w:val="bottom"/>
          </w:tcPr>
          <w:p>
            <w:pPr>
              <w:spacing w:after="0"/>
              <w:rPr>
                <w:sz w:val="24"/>
                <w:szCs w:val="24"/>
                <w:color w:val="auto"/>
              </w:rPr>
            </w:pPr>
          </w:p>
        </w:tc>
        <w:tc>
          <w:tcPr>
            <w:tcW w:w="6880" w:type="dxa"/>
            <w:vAlign w:val="bottom"/>
            <w:gridSpan w:val="4"/>
          </w:tcPr>
          <w:p>
            <w:pPr>
              <w:ind w:left="1260"/>
              <w:spacing w:after="0"/>
              <w:rPr>
                <w:sz w:val="20"/>
                <w:szCs w:val="20"/>
                <w:color w:val="auto"/>
              </w:rPr>
            </w:pPr>
            <w:r>
              <w:rPr>
                <w:rFonts w:ascii="Arial" w:cs="Arial" w:eastAsia="Arial" w:hAnsi="Arial"/>
                <w:sz w:val="18"/>
                <w:szCs w:val="18"/>
                <w:color w:val="auto"/>
              </w:rPr>
              <w:t>F-14</w:t>
            </w:r>
          </w:p>
        </w:tc>
      </w:tr>
    </w:tbl>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2019 and 2020 and the three months ended April 30, 2020 (unaudited).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4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If there is significant negative evidence that the near 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7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policy is to include penalties and interest related to income tax matters within the Company’s benefit from (provision for)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Company had redeemable convertible preferred stock warrants exercisable for its Series B redeemable convertible preferred stock, which were classified as liabilities on the Company’s balance sheets. The redeemable convertible preferred stock warrants were subject to remeasurement at each balance sheet date, and any change in fair value was recognized as a component of other income (expense), net. In November 2019, all of the Company’s outstanding redeemable convertible preferred stock warrants were net exercised for 30,606 shares of Series B redeemable convertible preferred stock. See Note 10, “Series 1 Redeemable Convertible Preferred Stock and Series A - Series E Redeemable Convertible Preferred Stock,” for further discussion.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2019 and 2020 and the three months ended April 30, 2019 and 2020 (unaudited) were not allocated to these participating securities.</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7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requires the measurement and recognition of expected credit losses for financial assets held at amortized cost. It also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6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 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Under existing U.S. GAAP,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amendments in the updated guidance simplify the accounting for income taxes by removing certain exceptions and improving consistent application of other areas of the topic by clarifying the guidance. The amendments in this update are effective for the Company for fiscal years beginning after December 15, 2021 and interim periods within fiscal years beginning after December 15, 2022. Early adoption is permitted. The Company is currently evaluating the impact and timing of adopting ASU No. 2019-12.</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On February 1, 2019, the Company adopted ASU No. 2018-02</w:t>
      </w:r>
      <w:r>
        <w:rPr>
          <w:rFonts w:ascii="Arial" w:cs="Arial" w:eastAsia="Arial" w:hAnsi="Arial"/>
          <w:sz w:val="16"/>
          <w:szCs w:val="16"/>
          <w:i w:val="1"/>
          <w:iCs w:val="1"/>
          <w:color w:val="auto"/>
        </w:rPr>
        <w:t>, Reclassification of Certain Tax Effects from Accumulated Other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Under existing U.S. GAAP, the effects of changes in tax rates and laws on deferred tax balances are recorded as a component of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 the period in which the law was enacted. When deferred tax balances related to items originally recorded in accumulated other comprehensive income are adjusted, certain tax effects become stranded in accumulated other comprehensive income. The amendments in ASU</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No. 2018-02 allow a reclassification from accumulated other comprehensive income to retained earnings for stranded tax effects resulting from the 2017 Tax Cuts and Jobs Act. The amendments in ASU No. 2018-02 also require certain disclosures about stranded tax effects. The adoption of the guidance did not have a material impact on the Company’s consolidated financial statements.</w:t>
      </w:r>
    </w:p>
    <w:p>
      <w:pPr>
        <w:spacing w:after="0" w:line="19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On February 1, 2019, the Company adopted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or “ASC 842”) (ASU 2016-02) on a modified basis using the optional transition method, and accordingly, has not restated comparative periods. Balances and related disclosures for fiscal 2019 continue to be presented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Results and disclosures for fiscal 2020 are presented under ASC 842.</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elected the package of practical expedients permitted under the transition guidance, which allowed the Company to carryforward its historical lease classification, the assessment on whether a contract was or contains a lease, and the initial direct costs for any leases that existed prior to February 1, 2019, the adoption date. The Company elected the use of the hindsight practical expedient in determining the lease term and assessing the likelihood that the lease renewal or termination option will be exercised. The Company also elected to combine lease and non-lease components and to keep leases with an initial term of 12 months or less off the balance sheets and recognize the associated lease payments in the consolidated statements of operations on a straight-line basis over the lease term.</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Upon adoption, the Company recognized total ROU assets of $16.5 million, with corresponding operating lease liabilities of $18.3 million on the consolidated balance sheet. The ROU assets include adjustments for prepayments and accrued lease incentive liabilities. The adoption did not impact beginning accumulated deficit or the prior year consolidated statement of operations and statement of cash flows.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 (Unaudited)</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August 2018, the FASB issued ASU No. 2018-13</w:t>
      </w:r>
      <w:r>
        <w:rPr>
          <w:rFonts w:ascii="Arial" w:cs="Arial" w:eastAsia="Arial" w:hAnsi="Arial"/>
          <w:sz w:val="16"/>
          <w:szCs w:val="16"/>
          <w:i w:val="1"/>
          <w:iCs w:val="1"/>
          <w:color w:val="auto"/>
        </w:rPr>
        <w:t>, Fair Value Measurement (Topic 820)</w:t>
      </w:r>
      <w:r>
        <w:rPr>
          <w:rFonts w:ascii="Arial" w:cs="Arial" w:eastAsia="Arial" w:hAnsi="Arial"/>
          <w:sz w:val="16"/>
          <w:szCs w:val="16"/>
          <w:color w:val="auto"/>
        </w:rPr>
        <w:t>, which amends disclosure requirements for fair value measurements by requiring new disclosures, modifying existing requirements, and eliminating others. On February 1, 2020, the Company adopted ASU 2018-13. The adoption of the standard did not have a material impact on the Company’s unaudited interim consolidated financial statements.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Fair Value Measurements</w:t>
      </w:r>
    </w:p>
    <w:p>
      <w:pPr>
        <w:spacing w:after="0" w:line="35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4"/>
              </w:rPr>
              <w:t>As of April 30, 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equivalents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305,688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305,688</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1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305,688</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305,688</w:t>
            </w:r>
          </w:p>
        </w:tc>
        <w:tc>
          <w:tcPr>
            <w:tcW w:w="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9,601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9,601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2,193</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4,143</w:t>
            </w: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15,937</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315,289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321,625</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5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4"/>
              </w:rPr>
              <w:t>January 31, 2020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equivalents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1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17,590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17,590</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16,452</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11,246</w:t>
            </w: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45,288</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45,898</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4"/>
              </w:rPr>
              <w:t>January 31, 2019</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equivalents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22,787</w:t>
            </w: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1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22,787</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22,787</w:t>
            </w:r>
          </w:p>
        </w:tc>
        <w:tc>
          <w:tcPr>
            <w:tcW w:w="8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9,530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9,530</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38,498</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16,161</w:t>
            </w: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64,189</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86,976</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r>
      <w:tr>
        <w:trPr>
          <w:trHeight w:val="20"/>
        </w:trPr>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during the years ended January 31, 2019 and 2020 or the three months ended April 30, 2020 (unaudited).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 in the redeemable convertible preferred stock warrant liability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34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10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2018</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0340" w:type="dxa"/>
            <w:vAlign w:val="bottom"/>
          </w:tcPr>
          <w:p>
            <w:pPr>
              <w:spacing w:after="0"/>
              <w:rPr>
                <w:sz w:val="20"/>
                <w:szCs w:val="20"/>
                <w:color w:val="auto"/>
              </w:rPr>
            </w:pPr>
            <w:r>
              <w:rPr>
                <w:rFonts w:ascii="Arial" w:cs="Arial" w:eastAsia="Arial" w:hAnsi="Arial"/>
                <w:sz w:val="18"/>
                <w:szCs w:val="18"/>
                <w:color w:val="auto"/>
              </w:rPr>
              <w:t>Adjustment resulting from change in fair value recognized in the consolidated statement of operations</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Adjustment resulting from change in fair value recognized in the consolidated statement of operations</w:t>
            </w: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Exercise of redeemable convertible preferred stock warrants</w:t>
            </w: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r>
      <w:tr>
        <w:trPr>
          <w:trHeight w:val="223"/>
        </w:trPr>
        <w:tc>
          <w:tcPr>
            <w:tcW w:w="10340" w:type="dxa"/>
            <w:vAlign w:val="bottom"/>
          </w:tcPr>
          <w:p>
            <w:pPr>
              <w:spacing w:after="0"/>
              <w:rPr>
                <w:sz w:val="20"/>
                <w:szCs w:val="20"/>
                <w:color w:val="auto"/>
              </w:rPr>
            </w:pPr>
            <w:r>
              <w:rPr>
                <w:rFonts w:ascii="Arial" w:cs="Arial" w:eastAsia="Arial" w:hAnsi="Arial"/>
                <w:sz w:val="18"/>
                <w:szCs w:val="18"/>
                <w:color w:val="auto"/>
              </w:rPr>
              <w:t>Balance as of January 31, 2020</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investments in marketable securities on the consolidated balance sheets (in thousands):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As of April 30, 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U.S. treasury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23"/>
        </w:trPr>
        <w:tc>
          <w:tcPr>
            <w:tcW w:w="824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15,892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January 31, 2020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16,452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U.S. treasury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17,590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11,237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11,246</w:t>
            </w:r>
          </w:p>
        </w:tc>
        <w:tc>
          <w:tcPr>
            <w:tcW w:w="0" w:type="dxa"/>
            <w:vAlign w:val="bottom"/>
          </w:tcPr>
          <w:p>
            <w:pPr>
              <w:spacing w:after="0"/>
              <w:rPr>
                <w:sz w:val="1"/>
                <w:szCs w:val="1"/>
                <w:color w:val="auto"/>
              </w:rPr>
            </w:pPr>
          </w:p>
        </w:tc>
      </w:tr>
      <w:tr>
        <w:trPr>
          <w:trHeight w:val="223"/>
        </w:trPr>
        <w:tc>
          <w:tcPr>
            <w:tcW w:w="824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45,260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38,498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38,498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16,161</w:t>
            </w:r>
          </w:p>
        </w:tc>
        <w:tc>
          <w:tcPr>
            <w:tcW w:w="0" w:type="dxa"/>
            <w:vAlign w:val="bottom"/>
          </w:tcPr>
          <w:p>
            <w:pPr>
              <w:spacing w:after="0"/>
              <w:rPr>
                <w:sz w:val="1"/>
                <w:szCs w:val="1"/>
                <w:color w:val="auto"/>
              </w:rPr>
            </w:pPr>
          </w:p>
        </w:tc>
      </w:tr>
      <w:tr>
        <w:trPr>
          <w:trHeight w:val="223"/>
        </w:trPr>
        <w:tc>
          <w:tcPr>
            <w:tcW w:w="824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64,166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January 2020, the Company issued a convertible note to a trust affiliated with the Company’s CEO. The fair value of the convertible note at issuance on January 30, 2020 was $203.0 million. There were no significant changes in fair value between January 30, 2020 and January 31, 2020. The fair value of the convertible note was $223.5 million at April 30, 2020 (unaudited). The Company considers the fair value of the convertible note to be a Level 3 measurement as the fair value is estimated using significant unobservable inputs. The fair value of the convertible note was measured using a binomial lattice model. Inputs used to determine the estimated fair value of the convertible note include equity volatility of comparable companies, risk-free interest rate, and estimated fair value of the Company’s common stock. Certain unobservable inputs used in the fair value measurement of the convertible note include assumptions related to future liquidity events. See Note 5, “Convertible Note—Related Party,” for further discussion.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Balance Sheet Components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77"/>
        </w:trPr>
        <w:tc>
          <w:tcPr>
            <w:tcW w:w="7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52"/>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Desktop and other computer equipment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 gross property and equipment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(17,469)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(19,546)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(20,280)</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Depreciation and amortization expense for the years ended January 31, 2019 and 2020 and the three months ended April 30, 2019 and 2020 (unaudited) was $2.9 million, $2.2 million, $0.6 million, and $0.7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changes in the carrying value of capitalized internal-use software costs for the periods presented below are as follows (in thousands):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internal-use software costs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Capitalization of internal-use software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internal-use software costs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Balance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60" w:hanging="359"/>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1,801</w:t>
      </w:r>
    </w:p>
    <w:p>
      <w:pPr>
        <w:spacing w:after="0" w:line="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597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4889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1,041</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423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4889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500" w:hanging="499"/>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4889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4889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900"/>
          </w:cols>
          <w:pgMar w:left="320" w:top="459" w:right="439" w:bottom="1440" w:gutter="0" w:footer="0" w:header="0"/>
          <w:type w:val="continuous"/>
        </w:sectPr>
      </w:pP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77"/>
        </w:trPr>
        <w:tc>
          <w:tcPr>
            <w:tcW w:w="45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52"/>
        </w:trPr>
        <w:tc>
          <w:tcPr>
            <w:tcW w:w="45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7,460</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contract acquisition costs, current</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Total prepaid expenses and other current assets</w:t>
            </w:r>
          </w:p>
        </w:tc>
        <w:tc>
          <w:tcPr>
            <w:tcW w:w="3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3320" w:type="dxa"/>
            <w:vAlign w:val="bottom"/>
            <w:gridSpan w:val="2"/>
          </w:tcPr>
          <w:p>
            <w:pPr>
              <w:jc w:val="right"/>
              <w:ind w:right="2107"/>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77"/>
        </w:trPr>
        <w:tc>
          <w:tcPr>
            <w:tcW w:w="7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52"/>
        </w:trPr>
        <w:tc>
          <w:tcPr>
            <w:tcW w:w="77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8"/>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taxes for fringe benefits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Accrued property and equipment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19,803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Convertible Note—Related Party</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January 2020, the Company issued a 3.5% unsecured senior mandatory convertible promissory note due in 2025 (“Convertible Note”) in a private placement to an entity affiliated with the Company’s CEO. The Convertible Note with a principal amount of $300 million is a senior, unsecured obligation of the Company. The Convertible Note does not contain any financial covenants or place any dividend restrictions on the Company. The Convertible Note matures, and would be converted, on January 30, 2025 (“Maturity Date”) unless earlier converted as discussed below or redeemed in connection with the Company’s bankruptcy, insolvency, or other similar events. The Convertible Note bears interest at a fixed rate of 3.5% per annum that will be compounded annually and payable in-kind, resulting in an aggregate $356.3 million being due on settlement (the “Settlement Amount”).</w:t>
      </w:r>
    </w:p>
    <w:p>
      <w:pPr>
        <w:spacing w:after="0" w:line="16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initial conversion rate is 31.6649 shares of the Company’s Class B common stock per $1,000 of the Settlement Amount, which equates to a conversion price of $31.58 of the Settlement Amount per share. The initial conversion rate is subject to standard anti-dilution adjustments. The holder of the Convertible Note is not entitled to convert the Convertible Note at any time. The Convertible Note is convertible at the option of the Company at any time until the close of business on the second scheduled trading day prior to the Maturity Date during any calendar quarter beginning after the date of a public listing of the Company’s Class A common stock on any national securities exchange under the following circumstances:</w:t>
      </w:r>
    </w:p>
    <w:p>
      <w:pPr>
        <w:spacing w:after="0" w:line="67" w:lineRule="exact"/>
        <w:rPr>
          <w:sz w:val="20"/>
          <w:szCs w:val="20"/>
          <w:color w:val="auto"/>
        </w:rPr>
      </w:pPr>
    </w:p>
    <w:p>
      <w:pPr>
        <w:ind w:left="1080" w:right="200" w:hanging="532"/>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closing price of the Company’s Class A common stock for at least 20 trading days in the 30 consecutive trading days ending on the last trading day of the immediately preceding calendar quarter equals or exceeds the conversion price (initially $31.58); or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Convertible Note.</w:t>
      </w:r>
    </w:p>
    <w:p>
      <w:pPr>
        <w:spacing w:after="0" w:line="22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If the Convertible Note is outstanding as of the Maturity Date and a public listing of the Company’s common stock has occurred, the Convertible Note will automatically convert into an number of shares of Class A common stock of the Company at a conversion rate equal to the greater of (i) the initial conversion rate per $1,000 of the Settlement Amount of the Convertible Note, subject to standard anti-dilution adjustments, and (ii) the lesser of</w:t>
      </w:r>
    </w:p>
    <w:p>
      <w:pPr>
        <w:spacing w:after="0" w:line="2" w:lineRule="exact"/>
        <w:rPr>
          <w:sz w:val="20"/>
          <w:szCs w:val="20"/>
          <w:color w:val="auto"/>
        </w:rPr>
      </w:pPr>
    </w:p>
    <w:p>
      <w:pPr>
        <w:ind w:left="120" w:right="20" w:hanging="4"/>
        <w:spacing w:after="0" w:line="281" w:lineRule="auto"/>
        <w:tabs>
          <w:tab w:leader="none" w:pos="365" w:val="left"/>
        </w:tabs>
        <w:numPr>
          <w:ilvl w:val="0"/>
          <w:numId w:val="90"/>
        </w:numPr>
        <w:rPr>
          <w:rFonts w:ascii="Arial" w:cs="Arial" w:eastAsia="Arial" w:hAnsi="Arial"/>
          <w:sz w:val="16"/>
          <w:szCs w:val="16"/>
          <w:color w:val="auto"/>
        </w:rPr>
      </w:pPr>
      <w:r>
        <w:rPr>
          <w:rFonts w:ascii="Arial" w:cs="Arial" w:eastAsia="Arial" w:hAnsi="Arial"/>
          <w:sz w:val="16"/>
          <w:szCs w:val="16"/>
          <w:color w:val="auto"/>
        </w:rPr>
        <w:t>$1,000 divided by the volume-weighted average price of the Company’s Class A common stock for the 20 trading days ending on the last trading day immediately preceding the Maturity Date and (b) 50.6638 shares per each $1,000 of the Settlement Amount, subject to standard anti-dilution adjustments. In the event that a public listing of the Company’s common stock has not occurred by the close of business on the second day prior to the Maturity Date, the Convertible Note shall convert into shares of the capital stock of the Company’s most recent equity financing, at the lesser of (i)</w:t>
      </w:r>
    </w:p>
    <w:p>
      <w:pPr>
        <w:spacing w:after="0" w:line="2" w:lineRule="exact"/>
        <w:rPr>
          <w:rFonts w:ascii="Arial" w:cs="Arial" w:eastAsia="Arial" w:hAnsi="Arial"/>
          <w:sz w:val="16"/>
          <w:szCs w:val="16"/>
          <w:color w:val="auto"/>
        </w:rPr>
      </w:pPr>
    </w:p>
    <w:p>
      <w:pPr>
        <w:ind w:left="120" w:right="60"/>
        <w:spacing w:after="0" w:line="290" w:lineRule="auto"/>
        <w:rPr>
          <w:rFonts w:ascii="Arial" w:cs="Arial" w:eastAsia="Arial" w:hAnsi="Arial"/>
          <w:sz w:val="16"/>
          <w:szCs w:val="16"/>
          <w:color w:val="auto"/>
        </w:rPr>
      </w:pPr>
      <w:r>
        <w:rPr>
          <w:rFonts w:ascii="Arial" w:cs="Arial" w:eastAsia="Arial" w:hAnsi="Arial"/>
          <w:sz w:val="17"/>
          <w:szCs w:val="17"/>
          <w:color w:val="auto"/>
        </w:rPr>
        <w:t>50.6638 shares per each $1,000 of the Settlement Amount, subject to standard anti-dilution adjustments, and (ii) $1,000 divided by the price per share at which such capital stock was sold in the most recent equity financing per each $1,000 of the Settlement Amount of the Convertible Note.</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Convertible Note was initially measured and recorded at fair value based on a binomial lattice model, including assumptions associated with the probability of future liquidity events. The excess $97.0 million of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proceeds received from the issuance of the Convertible Note over the fair value of the Convertible Note was recorded as a capital contribution in additional paid-in capital. The difference between the par value of the Convertible Note and the carrying amount represents the debt discount that is amortized to interest expense at an effective interest rate over the term of the Convertible Note. Debt issuance costs for the Convertible Note were not material.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net carrying amount of the Convertible Note was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As of January 31,</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As of April 30,</w:t>
            </w:r>
          </w:p>
        </w:tc>
      </w:tr>
      <w:tr>
        <w:trPr>
          <w:trHeight w:val="171"/>
        </w:trPr>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r>
      <w:tr>
        <w:trPr>
          <w:trHeight w:val="142"/>
        </w:trPr>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8"/>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280" w:type="dxa"/>
            <w:vAlign w:val="bottom"/>
            <w:gridSpan w:val="2"/>
            <w:shd w:val="clear" w:color="auto" w:fill="CCEEFF"/>
          </w:tcPr>
          <w:p>
            <w:pPr>
              <w:jc w:val="right"/>
              <w:ind w:right="13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Unamortized discount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(96,932)</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(92,530)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2,618</w:t>
            </w:r>
          </w:p>
        </w:tc>
      </w:tr>
      <w:tr>
        <w:trPr>
          <w:trHeight w:val="223"/>
        </w:trPr>
        <w:tc>
          <w:tcPr>
            <w:tcW w:w="8140" w:type="dxa"/>
            <w:vAlign w:val="bottom"/>
          </w:tcPr>
          <w:p>
            <w:pPr>
              <w:ind w:left="180"/>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203,097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210,088</w:t>
            </w:r>
          </w:p>
        </w:tc>
        <w:tc>
          <w:tcPr>
            <w:tcW w:w="14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related to the Convertible Note was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4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January 31, 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April 30, 2020</w:t>
            </w:r>
          </w:p>
        </w:tc>
      </w:tr>
      <w:tr>
        <w:trPr>
          <w:trHeight w:val="142"/>
        </w:trPr>
        <w:tc>
          <w:tcPr>
            <w:tcW w:w="74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360" w:type="dxa"/>
            <w:vAlign w:val="bottom"/>
            <w:shd w:val="clear" w:color="auto" w:fill="CCEEFF"/>
          </w:tcPr>
          <w:p>
            <w:pPr>
              <w:jc w:val="right"/>
              <w:ind w:right="120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Contractual interest expense</w:t>
            </w:r>
          </w:p>
        </w:tc>
        <w:tc>
          <w:tcPr>
            <w:tcW w:w="1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2,589</w:t>
            </w:r>
          </w:p>
        </w:tc>
      </w:tr>
      <w:tr>
        <w:trPr>
          <w:trHeight w:val="27"/>
        </w:trPr>
        <w:tc>
          <w:tcPr>
            <w:tcW w:w="74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1360" w:type="dxa"/>
            <w:vAlign w:val="bottom"/>
            <w:shd w:val="clear" w:color="auto" w:fill="CCEEFF"/>
          </w:tcPr>
          <w:p>
            <w:pPr>
              <w:jc w:val="right"/>
              <w:ind w:right="120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6,991</w:t>
            </w:r>
          </w:p>
        </w:tc>
      </w:tr>
      <w:tr>
        <w:trPr>
          <w:trHeight w:val="20"/>
        </w:trPr>
        <w:tc>
          <w:tcPr>
            <w:tcW w:w="7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Credit Agreement contains certain customary affirmative and negative covenants, including maintaining Remaining Month Liquidity (“RML”) of at least six at all times, with an unrestricted cash bank of $60 million. RML is defined as the ratio of (i) unrestricted cash at Silicon Valley Bank, plus (ii) the aggregate amount of unrestricted cash held by the Company in deposit accounts in which Silicon Valley Bank obtains control, divided by (iii) the average monthly burn on a trailing six-month basis (unaudited). Other negative covenants include a limit on the Company’s ability to incur additional indebtedness, dispose of assets, engage in certain merger or acquisition transactions, pay dividends or make distributions, and certain other restrictions on the Company’s activities each defined specifically in the agreement (unaudited).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April 30, 2020 (unaudited), no amounts had been drawn on this term loan or were outstanding under this term loan.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of January 31, 2019 and 2020 and April 30, 2020 (unaudited), the Company had several letters of credit outstanding related to its operating leases totaling $2.8 million, $4.7 million, and $4.6 million (unaudited),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respectively. The letters of credit expire at various dates between 2021 to 2023 as of January 31, 2020 and April 30, 2020 (unaudited). All standby letters of credit are included in restricted cash, noncurrent as of January 31, 2019 and 2020 and April 30, 2020 (unaudited).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2020 and April 30, 2020 (unaudited), the Company had $9.2 million and $5.4 million, respectively, remaining on the commitment.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2019 and 2020 and the three months ended April 30, 2020 (unaudited),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As of January 31, 2019 and 2020 and April 30, 2020 (unaudited), the Company believes that none of its current legal proceedings would have a material adverse effect on its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leases real estate facilities under non-cancelable operating leases with various expiration dates through fiscal 2024. The Company has no lease agreements that are classified as finance leases.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costs, lease term, and discount rate for operating leases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4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January 31, 2020</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costs (in thousands)</w:t>
            </w:r>
          </w:p>
        </w:tc>
        <w:tc>
          <w:tcPr>
            <w:tcW w:w="5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Short-term lease costs (in thousands)</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costs (in thousands)</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Total lease costs</w:t>
            </w:r>
          </w:p>
        </w:tc>
        <w:tc>
          <w:tcPr>
            <w:tcW w:w="5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350"/>
        </w:trPr>
        <w:tc>
          <w:tcPr>
            <w:tcW w:w="4460" w:type="dxa"/>
            <w:vAlign w:val="bottom"/>
          </w:tcPr>
          <w:p>
            <w:pPr>
              <w:spacing w:after="0"/>
              <w:rPr>
                <w:sz w:val="24"/>
                <w:szCs w:val="24"/>
                <w:color w:val="auto"/>
              </w:rPr>
            </w:pPr>
          </w:p>
        </w:tc>
        <w:tc>
          <w:tcPr>
            <w:tcW w:w="5420" w:type="dxa"/>
            <w:vAlign w:val="bottom"/>
            <w:gridSpan w:val="2"/>
          </w:tcPr>
          <w:p>
            <w:pPr>
              <w:ind w:left="880"/>
              <w:spacing w:after="0"/>
              <w:rPr>
                <w:sz w:val="20"/>
                <w:szCs w:val="20"/>
                <w:color w:val="auto"/>
              </w:rPr>
            </w:pPr>
            <w:r>
              <w:rPr>
                <w:rFonts w:ascii="Arial" w:cs="Arial" w:eastAsia="Arial" w:hAnsi="Arial"/>
                <w:sz w:val="18"/>
                <w:szCs w:val="18"/>
                <w:color w:val="auto"/>
              </w:rPr>
              <w:t>F-23</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operating leases are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January 31, 2020</w:t>
            </w: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11,739</w:t>
            </w:r>
          </w:p>
        </w:tc>
      </w:tr>
    </w:tbl>
    <w:p>
      <w:pPr>
        <w:spacing w:after="0" w:line="187"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As of January 31, 2020, the total remaining operating lease payments included in the measurement of operating lease liabilities was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Year Ending January 31,</w:t>
            </w:r>
          </w:p>
        </w:tc>
        <w:tc>
          <w:tcPr>
            <w:tcW w:w="140" w:type="dxa"/>
            <w:vAlign w:val="bottom"/>
          </w:tcPr>
          <w:p>
            <w:pPr>
              <w:spacing w:after="0"/>
              <w:rPr>
                <w:sz w:val="16"/>
                <w:szCs w:val="16"/>
                <w:color w:val="auto"/>
              </w:rPr>
            </w:pPr>
          </w:p>
        </w:tc>
        <w:tc>
          <w:tcPr>
            <w:tcW w:w="1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Operating Lease Payments</w:t>
            </w:r>
          </w:p>
        </w:tc>
      </w:tr>
      <w:tr>
        <w:trPr>
          <w:trHeight w:val="203"/>
        </w:trPr>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7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12,156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2022</w:t>
            </w: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7,924</w:t>
            </w:r>
          </w:p>
        </w:tc>
        <w:tc>
          <w:tcPr>
            <w:tcW w:w="12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2024</w:t>
            </w: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Total undiscounted operating lease payments</w:t>
            </w: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r>
      <w:tr>
        <w:trPr>
          <w:trHeight w:val="22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Company has an additional operating lease arrangement for office space in San Francisco, for which the lease commencement had not yet occurred as of January 31, 2020 and April 30, 2020 (unaudited). As part of the agreement, the Company is required to issue a $17.0 million letter of credit upon access to the office space, which is expected to occur in the second quarter of fiscal 2021. This lease is expected to commence in the second quarter of fiscal 2021, with a lease expiration date of October 2033. The Company expects to start making recurring rental payments under the lease in the fourth quarter of fiscal 2021. The Company will participate in the construction of the office space and will incur construction costs to prepare the office space for its use, which will be partially reimbursed by the landlord. The future minimum payments and capital commitments related to this lease, which include tenant improvement allowances of $26.6 million, totaled $466.0 million as of January 31, 2020. Subsequent to January 31, 2020, the Company incurred a delay associated with the construction of the office space and as a result, expects to incur a total of $457.4 million of future minimum payments and capital commitments as of April 30, 2020 (unaudited), with recurring rental payments under the lease to commence in the second quarter of fiscal 2022. Additionally, in April 2020, the Company amended the lease arrangement to include additional space, for which future minimum payments total $3.9 million (unaudited).</w:t>
      </w:r>
    </w:p>
    <w:p>
      <w:pPr>
        <w:spacing w:after="0" w:line="182"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In March 2020, the Company entered into an agreement with a construction company related to the build-out of the Company’s new corporate headquarters. The contract value is $57.7 million, and as of April 30, 2020 (unaudited), $53.9 million remain outstanding under this agreement.</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Additionally, as of April 30, 2020 (unaudited), the Company has additional operating leases for facilities that have not yet commenced with total future minimum payments of $3.7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Disclosures for Fiscal 2019 (Prior to Adoption of ASC 842)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was $5.8 million for the year ended January 31, 2019.</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is a schedule of the future minimum lease payments required under non-cancelable operating leases as of January 31, 2019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3"/>
              </w:rPr>
              <w:t>Year Ending January 31,</w:t>
            </w: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2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8,708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2023</w:t>
            </w:r>
          </w:p>
        </w:tc>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ind w:left="180"/>
              <w:spacing w:after="0"/>
              <w:rPr>
                <w:sz w:val="20"/>
                <w:szCs w:val="20"/>
                <w:color w:val="auto"/>
              </w:rPr>
            </w:pPr>
            <w:r>
              <w:rPr>
                <w:rFonts w:ascii="Arial" w:cs="Arial" w:eastAsia="Arial" w:hAnsi="Arial"/>
                <w:sz w:val="18"/>
                <w:szCs w:val="18"/>
                <w:color w:val="auto"/>
              </w:rPr>
              <w:t>Total</w:t>
            </w:r>
          </w:p>
        </w:tc>
        <w:tc>
          <w:tcPr>
            <w:tcW w:w="8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January 31,</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400"/>
              <w:spacing w:after="0"/>
              <w:rPr>
                <w:sz w:val="20"/>
                <w:szCs w:val="20"/>
                <w:color w:val="auto"/>
              </w:rPr>
            </w:pPr>
            <w:r>
              <w:rPr>
                <w:rFonts w:ascii="Arial" w:cs="Arial" w:eastAsia="Arial" w:hAnsi="Arial"/>
                <w:sz w:val="14"/>
                <w:szCs w:val="14"/>
                <w:b w:val="1"/>
                <w:bCs w:val="1"/>
                <w:color w:val="auto"/>
                <w:w w:val="97"/>
              </w:rPr>
              <w:t>April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tcPr>
          <w:p>
            <w:pPr>
              <w:jc w:val="center"/>
              <w:ind w:left="380"/>
              <w:spacing w:after="0" w:line="142" w:lineRule="exact"/>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(50,928)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(118,589)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(14,953)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(35,845)</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calculating net loss per share, basic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65,214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70,335</w:t>
            </w:r>
          </w:p>
        </w:tc>
        <w:tc>
          <w:tcPr>
            <w:tcW w:w="1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67,782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75,641</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54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Year Ended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260" w:type="dxa"/>
            <w:vAlign w:val="bottom"/>
          </w:tcPr>
          <w:p>
            <w:pPr>
              <w:spacing w:after="0"/>
              <w:rPr>
                <w:sz w:val="14"/>
                <w:szCs w:val="14"/>
                <w:color w:val="auto"/>
              </w:rPr>
            </w:pPr>
          </w:p>
        </w:tc>
        <w:tc>
          <w:tcPr>
            <w:tcW w:w="15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w w:val="98"/>
              </w:rPr>
              <w:t>January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7"/>
              </w:rPr>
              <w:t>April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0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657"/>
              <w:spacing w:after="0" w:line="142"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73,547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73,577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73,547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73,577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33,878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34,517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37,121</w:t>
            </w:r>
          </w:p>
        </w:tc>
        <w:tc>
          <w:tcPr>
            <w:tcW w:w="3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33,796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5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1,393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1,149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109,578</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111,409</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110,506</w:t>
            </w:r>
          </w:p>
        </w:tc>
        <w:tc>
          <w:tcPr>
            <w:tcW w:w="8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Additionally, zero, 18,051,810, zero, and 18,051,810 shares of the Company’s Class B common stock underlying the conversion option in the Convertible Note are not considered in the calculation of diluted net loss per share as the effect would be anti-dilutive for the years ended January 31, 2019 and 2020 and the three months ended April 30, 2019 and 2020 (unaudited).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Unaudited pro forma net loss per share for the year ended January 31, 2020 and the three months ended April 30, 2020 have been computed assuming the conversion of all redeemable convertible preferred stock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exercise of redeemable convertible preferred stock warrants as of the beginning of the period or the original date of issuance or exercise, if later.</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pro forma basic and diluted net loss per share (in thousands, except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7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January 31, 2020</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April 30, 2020</w:t>
            </w:r>
          </w:p>
        </w:tc>
      </w:tr>
      <w:tr>
        <w:trPr>
          <w:trHeight w:val="142"/>
        </w:trPr>
        <w:tc>
          <w:tcPr>
            <w:tcW w:w="7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(118,589)</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(35,845)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(118,472)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70,335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75,641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73,552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73,577</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w w:val="95"/>
              </w:rPr>
              <w:t>Weighted-average shares used in computing pro forma net loss per share, basic and diluted</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149,218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r>
      <w:tr>
        <w:trPr>
          <w:trHeight w:val="20"/>
        </w:trPr>
        <w:tc>
          <w:tcPr>
            <w:tcW w:w="7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Series 1 Redeemable Convertible Preferred Stock and Series A–Series E Redeemable Convertible Preferred Stock</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There are eight authorized series of redeemable convertible preferred stock that total 151,101,040 shares. There have been no shares issued of Series A-1, Series B-1, Series C-1, Series D-1, or Series E-1 redeemable convertible preferred stock.</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fiscal 2010, one of the Company’s founders exchanged 1,560,000 shares of vested common stock and cash of less than $0.1 million into 1,560,000 shares of Series 1 redeemable convertible preferred stock.</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as of January 31, 2020 and April 30, 2020 (unaudited) (in thousands, except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Shares Issued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A</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20,771</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20,771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28,375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Series 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250,581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as of January 31, 2019 (in thousands, except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Authorized</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A</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20,771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20,771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B</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28,292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C</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21,000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D</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15,000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Series 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above redeemable convertible preferred stock are as follows: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Redeemable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share of Series 1 redeemable convertible preferred stock is convertible, at the option of the holder, at any time, into shares of Class B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9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Each share of Series 1 redeemable convertible preferred stock will automatically convert into shares of Class B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w:t>
      </w:r>
    </w:p>
    <w:p>
      <w:pPr>
        <w:spacing w:after="0" w:line="2" w:lineRule="exact"/>
        <w:rPr>
          <w:sz w:val="20"/>
          <w:szCs w:val="20"/>
          <w:color w:val="auto"/>
        </w:rPr>
      </w:pPr>
    </w:p>
    <w:p>
      <w:pPr>
        <w:ind w:left="120" w:right="200" w:hanging="4"/>
        <w:spacing w:after="0" w:line="273" w:lineRule="auto"/>
        <w:tabs>
          <w:tab w:leader="none" w:pos="43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Subject to the dividends that the holders of the outstanding shares of redeemable convertible preferred stock are entitled to receive, the holders of Series 1 redeemable convertible preferred stock shall be entitled to receive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and 2020 and April 30, 2020 (unaudited), no dividends have been declared.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holder of each share of Series 1 redeemable convertible preferred stock has the right to 100 votes for each share of Class B common stock into which such preferred stock could then be converted. Such holder has voting rights and powers equal to those of the holders of common stock and the holders of Series 1 redeemable 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While Series 1 redeemable convertible preferred stock does not have mandatory redemption provisions, it is contingently redeemable upon a deemed liquidation event.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Series 1 Redeemable Convertible Preferred Stock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A–Series E Redeemable Convertible Preferred Stock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 conversion price is subject to adjustments such as stock splits, common stock dividends, combinations, subdivisions, recapitalizations, or the like.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Each share of Series A, Series B, Series C, Series D, and Series E redeemable convertible preferred stock and each share of Series A-1, Series B-1, Series C-1, Series D-1, and Series E-1 will automatically convert into one share of Class B common stock or Class A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 distributed among holders of Series A - E redeemable convertible preferred stock, Series 1 redeemable convertible preferred stock, and common stock pro rata based on the number of shares held by each holder (assuming conversion of all such stock into common stock). No dividends have been declared as of January 31, 2019 and 2020.</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 - 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holders of each share of Series A, Series B, Series C or Series D redeemable convertible preferred stock have the right to one hundred</w:t>
      </w:r>
    </w:p>
    <w:p>
      <w:pPr>
        <w:spacing w:after="0" w:line="35" w:lineRule="exact"/>
        <w:rPr>
          <w:sz w:val="20"/>
          <w:szCs w:val="20"/>
          <w:color w:val="auto"/>
        </w:rPr>
      </w:pPr>
    </w:p>
    <w:p>
      <w:pPr>
        <w:ind w:left="120" w:hanging="4"/>
        <w:spacing w:after="0" w:line="269" w:lineRule="auto"/>
        <w:tabs>
          <w:tab w:leader="none" w:pos="5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votes for each share of Class B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A common stock into which such Series could then be converted. Such holder has voting rights and powers equal to those of the holders of common stock. The holders of a majority of the outstanding shares of Series A redeemable convertible preferred 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outstanding shares of common stock and Series 1 redeemable convertible preferred stock, voting together as a single class, are entitled to elect two members to the Board of Directors. The holders of a majority of the voting power of the then outstanding shares of common stock, Series 1 redeemable convertible preferred stock, and Series A-E redeemable convertible preferred stock, voting together as a single class, are entitled to elect the remaining members to the Board of Directors.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While Series A, Series B, Series C, Series D, and Series E redeemable convertible preferred stock do not have mandatory redemption provisions, they are contingently redeemable upon a deemed liquidation event.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Series A-E Redeemable Convertible Preferred Stock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Redeemable Convertible Preferred Stock Warrants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change in fair value of the redeemable convertible preferred stock warrant liability was less than $0.1 million for both years ended January 31, 2019 and 2020.</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November 2019, the redeemable convertible preferred stock warrants were net exercised, under which the number of issuable shares was reduced by the number of shares with an aggregate fair value equal to the exercise price of the warrant, resulting in 6,322 shares surrendered and 30,606 shares of Series B redeemable convertible preferred stock issued. There were no redeemable convertible preferred stock warrants outstanding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Stockholders’ Deficit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100 votes per share and is convertible into one share of Class A common stock. There are 15,498,109 shares of Class A common stock and 61,189,400 shares of Class B common stock issued and outstanding as of January 31, 2020. There are 16,093,510 shares of Class A common stock and 61,065,725 shares of Class B common stock issued and outstanding as of April 30, 2020 (unaudited).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reserved the following shares of common stock for future issuance for the periods below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96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As of January 31,</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77"/>
        </w:trPr>
        <w:tc>
          <w:tcPr>
            <w:tcW w:w="8140" w:type="dxa"/>
            <w:vAlign w:val="bottom"/>
          </w:tcPr>
          <w:p>
            <w:pPr>
              <w:spacing w:after="0"/>
              <w:rPr>
                <w:sz w:val="6"/>
                <w:szCs w:val="6"/>
                <w:color w:val="auto"/>
              </w:rPr>
            </w:pPr>
          </w:p>
        </w:tc>
        <w:tc>
          <w:tcPr>
            <w:tcW w:w="1960" w:type="dxa"/>
            <w:vAlign w:val="bottom"/>
            <w:gridSpan w:val="4"/>
            <w:vMerge w:val="continue"/>
          </w:tcPr>
          <w:p>
            <w:pPr>
              <w:spacing w:after="0"/>
              <w:rPr>
                <w:sz w:val="6"/>
                <w:szCs w:val="6"/>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52"/>
        </w:trPr>
        <w:tc>
          <w:tcPr>
            <w:tcW w:w="8140" w:type="dxa"/>
            <w:vAlign w:val="bottom"/>
          </w:tcPr>
          <w:p>
            <w:pPr>
              <w:spacing w:after="0"/>
              <w:rPr>
                <w:sz w:val="4"/>
                <w:szCs w:val="4"/>
                <w:color w:val="auto"/>
              </w:rPr>
            </w:pPr>
          </w:p>
        </w:tc>
        <w:tc>
          <w:tcPr>
            <w:tcW w:w="80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1 redeemable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Conversion of Series A redeemable convertible 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20,771</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20,771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10,478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14,353</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14,353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E redeemable convertible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6,230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Common stock options issued and outstanding</w:t>
            </w:r>
          </w:p>
        </w:tc>
        <w:tc>
          <w:tcPr>
            <w:tcW w:w="800" w:type="dxa"/>
            <w:vAlign w:val="bottom"/>
          </w:tcPr>
          <w:p>
            <w:pPr>
              <w:jc w:val="right"/>
              <w:spacing w:after="0"/>
              <w:rPr>
                <w:sz w:val="20"/>
                <w:szCs w:val="20"/>
                <w:color w:val="auto"/>
              </w:rPr>
            </w:pPr>
            <w:r>
              <w:rPr>
                <w:rFonts w:ascii="Arial" w:cs="Arial" w:eastAsia="Arial" w:hAnsi="Arial"/>
                <w:sz w:val="18"/>
                <w:szCs w:val="18"/>
                <w:color w:val="auto"/>
              </w:rPr>
              <w:t>33,878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34,517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33,796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RSUs issued and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Shares available for future grants</w:t>
            </w:r>
          </w:p>
        </w:tc>
        <w:tc>
          <w:tcPr>
            <w:tcW w:w="800" w:type="dxa"/>
            <w:vAlign w:val="bottom"/>
          </w:tcPr>
          <w:p>
            <w:pPr>
              <w:jc w:val="right"/>
              <w:spacing w:after="0"/>
              <w:rPr>
                <w:sz w:val="20"/>
                <w:szCs w:val="20"/>
                <w:color w:val="auto"/>
              </w:rPr>
            </w:pPr>
            <w:r>
              <w:rPr>
                <w:rFonts w:ascii="Arial" w:cs="Arial" w:eastAsia="Arial" w:hAnsi="Arial"/>
                <w:sz w:val="18"/>
                <w:szCs w:val="18"/>
                <w:color w:val="auto"/>
              </w:rPr>
              <w:t>2,748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4,787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110,210</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112,973</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Plans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 exercise price of an ISO and NSO shall not be less than 100% of the estimated fair value of the shares on the date of grant as determined by the Board of Directors. Options granted generally vest over four years and vest at a rate of 25% upon the first anniversary of the vesting commencement date and 1/48 per month thereafter.</w:t>
      </w:r>
    </w:p>
    <w:p>
      <w:pPr>
        <w:spacing w:after="0" w:line="192"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has also issued RSUs pursuant to the 2012 Plan. RSUs granted vest over four years, and vest at either a rate of 25% upon the first anniversary of the vesting commencement date and continued vesting quarterly thereafter, or vest quarterly over the service period.</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Shares of common stock purchased under both plans are subject to certain restrictions and repurchase rights, including the right of first refusal by the Company for sale or transfer of shares to outside parties.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Option activity under the Company’s combined stock plans is set forth below (in thousands, except years and per share data):</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January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canceled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362,046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Options granted (unaudited)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(unaudited)</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Options canceled (unaudited)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30, 2020 (unaudited)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394,920</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Vested and exercisable at January 31, 2020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1.34</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January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376,307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Vested and exercisable at April 30, 2020 (unaudited)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1.44</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17,212</w:t>
            </w: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April 30, 2020 (unaudited)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407,922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weighted-average grant-date fair value of options granted and the total intrinsic value of options exercised during the periods presented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40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106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rPr>
              <w:t>April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r>
      <w:tr>
        <w:trPr>
          <w:trHeight w:val="142"/>
        </w:trPr>
        <w:tc>
          <w:tcPr>
            <w:tcW w:w="7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Aggregate intrinsic value of options exercised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41,270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
              <w:spacing w:after="0"/>
              <w:rPr>
                <w:sz w:val="20"/>
                <w:szCs w:val="20"/>
                <w:color w:val="auto"/>
              </w:rPr>
            </w:pPr>
            <w:r>
              <w:rPr>
                <w:rFonts w:ascii="Arial" w:cs="Arial" w:eastAsia="Arial" w:hAnsi="Arial"/>
                <w:sz w:val="18"/>
                <w:szCs w:val="18"/>
                <w:color w:val="auto"/>
              </w:rPr>
              <w:t>1,480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5,089</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781,386, 1,393,024, and 1,148,628 as of January 31, 2019 and 2020 and April 30, 2020 (unaudited), respectively.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pricing model for stock-based compensation for the periods below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3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 - 3.1%</w:t>
            </w:r>
          </w:p>
        </w:tc>
        <w:tc>
          <w:tcPr>
            <w:tcW w:w="16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1.8% - 2.6%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2.4% - 2.6%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term</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8 years</w:t>
            </w:r>
          </w:p>
        </w:tc>
        <w:tc>
          <w:tcPr>
            <w:tcW w:w="380" w:type="dxa"/>
            <w:vAlign w:val="bottom"/>
          </w:tcPr>
          <w:p>
            <w:pPr>
              <w:spacing w:after="0"/>
              <w:rPr>
                <w:sz w:val="18"/>
                <w:szCs w:val="18"/>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color w:val="auto"/>
                <w:w w:val="91"/>
              </w:rPr>
              <w:t>8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39"/>
              <w:spacing w:after="0"/>
              <w:rPr>
                <w:sz w:val="20"/>
                <w:szCs w:val="20"/>
                <w:color w:val="auto"/>
              </w:rPr>
            </w:pPr>
            <w:r>
              <w:rPr>
                <w:rFonts w:ascii="Arial" w:cs="Arial" w:eastAsia="Arial" w:hAnsi="Arial"/>
                <w:sz w:val="18"/>
                <w:szCs w:val="18"/>
                <w:color w:val="auto"/>
              </w:rPr>
              <w:t>8 years</w:t>
            </w:r>
          </w:p>
        </w:tc>
        <w:tc>
          <w:tcPr>
            <w:tcW w:w="1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41.6% - 46.6%</w:t>
            </w: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44.8% - 46.3%</w:t>
            </w:r>
          </w:p>
        </w:tc>
        <w:tc>
          <w:tcPr>
            <w:tcW w:w="1660" w:type="dxa"/>
            <w:vAlign w:val="bottom"/>
            <w:gridSpan w:val="4"/>
          </w:tcPr>
          <w:p>
            <w:pPr>
              <w:jc w:val="right"/>
              <w:ind w:right="279"/>
              <w:spacing w:after="0"/>
              <w:rPr>
                <w:sz w:val="20"/>
                <w:szCs w:val="20"/>
                <w:color w:val="auto"/>
              </w:rPr>
            </w:pPr>
            <w:r>
              <w:rPr>
                <w:rFonts w:ascii="Arial" w:cs="Arial" w:eastAsia="Arial" w:hAnsi="Arial"/>
                <w:sz w:val="18"/>
                <w:szCs w:val="18"/>
                <w:color w:val="auto"/>
              </w:rPr>
              <w:t>45.7% - 46.3%</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0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Restricted Stock Units</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Arial" w:cs="Arial" w:eastAsia="Arial" w:hAnsi="Arial"/>
                <w:sz w:val="18"/>
                <w:szCs w:val="18"/>
                <w:color w:val="auto"/>
                <w:w w:val="92"/>
              </w:rPr>
              <w:t>The Company’s RSU activity is set forth below (in thousands, except per share data):</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679"/>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79"/>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679"/>
              <w:spacing w:after="0" w:line="149" w:lineRule="exact"/>
              <w:rPr>
                <w:sz w:val="20"/>
                <w:szCs w:val="20"/>
                <w:color w:val="auto"/>
              </w:rPr>
            </w:pPr>
            <w:r>
              <w:rPr>
                <w:rFonts w:ascii="Arial" w:cs="Arial" w:eastAsia="Arial" w:hAnsi="Arial"/>
                <w:sz w:val="14"/>
                <w:szCs w:val="14"/>
                <w:b w:val="1"/>
                <w:bCs w:val="1"/>
                <w:color w:val="auto"/>
                <w:w w:val="94"/>
              </w:rPr>
              <w:t>Grant Date</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480" w:type="dxa"/>
            <w:vAlign w:val="bottom"/>
            <w:gridSpan w:val="3"/>
          </w:tcPr>
          <w:p>
            <w:pPr>
              <w:jc w:val="center"/>
              <w:ind w:right="679"/>
              <w:spacing w:after="0"/>
              <w:rPr>
                <w:sz w:val="20"/>
                <w:szCs w:val="20"/>
                <w:color w:val="auto"/>
              </w:rPr>
            </w:pPr>
            <w:r>
              <w:rPr>
                <w:rFonts w:ascii="Arial" w:cs="Arial" w:eastAsia="Arial" w:hAnsi="Arial"/>
                <w:sz w:val="14"/>
                <w:szCs w:val="14"/>
                <w:b w:val="1"/>
                <w:bCs w:val="1"/>
                <w:color w:val="auto"/>
                <w:w w:val="95"/>
              </w:rPr>
              <w:t>Fair Value</w:t>
            </w: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January 31, 2019</w:t>
            </w:r>
          </w:p>
        </w:tc>
        <w:tc>
          <w:tcPr>
            <w:tcW w:w="1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RSUs granted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79"/>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31, 2020</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RSUs granted (unaudited)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1,916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79"/>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RSUs vested (unaudited)</w:t>
            </w: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RSUs cancelled/forfeited (unaudited)</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79"/>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Balances at April 30, 2020 (unaudited)</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28,259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statements of operations for the periods below were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w:t>
            </w:r>
          </w:p>
        </w:tc>
      </w:tr>
      <w:tr>
        <w:trPr>
          <w:trHeight w:val="171"/>
        </w:trPr>
        <w:tc>
          <w:tcPr>
            <w:tcW w:w="5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40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Ended April 30,</w:t>
            </w:r>
          </w:p>
        </w:tc>
      </w:tr>
      <w:tr>
        <w:trPr>
          <w:trHeight w:val="142"/>
        </w:trPr>
        <w:tc>
          <w:tcPr>
            <w:tcW w:w="51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2019</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5,160</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24,869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2,081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2,108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10,177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1,099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1,242</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13,237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756</w:t>
            </w:r>
          </w:p>
        </w:tc>
      </w:tr>
      <w:tr>
        <w:trPr>
          <w:trHeight w:val="27"/>
        </w:trPr>
        <w:tc>
          <w:tcPr>
            <w:tcW w:w="5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8,547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48,386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1,509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3,982</w:t>
            </w:r>
          </w:p>
        </w:tc>
      </w:tr>
      <w:tr>
        <w:trPr>
          <w:trHeight w:val="20"/>
        </w:trPr>
        <w:tc>
          <w:tcPr>
            <w:tcW w:w="5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stock-based compensation expense related to options granted to non-employees for the years ended January 31, 2019 and 2020 and the three months ended April 30, 2019 and 2020 (unaudited) was not material.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Total unrecognized compensation costs related to unvested awards not yet recognized under all equity compensation plans was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As of April 30, 2020 (unaudited)</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Unrecognized</w:t>
            </w: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Expense</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(unaudited)</w:t>
            </w:r>
          </w:p>
        </w:tc>
        <w:tc>
          <w:tcPr>
            <w:tcW w:w="1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RSUs (unaudited)</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25,508</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unrecognized stock-based compensation expense (unaudited)</w:t>
            </w:r>
          </w:p>
        </w:tc>
        <w:tc>
          <w:tcPr>
            <w:tcW w:w="1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Unrecognized</w:t>
            </w: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Expense</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39,945</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RSUs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unrecognized stock-based compensation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40,829</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2019 Tender Offer</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April 2018, the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for the year ended January 31, 2019. A total of 1,500,814 shares were tendered in the offer for an aggregate purchase price of $7.1 million.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2020 Tender Offer</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Employee Benefit Plans</w:t>
      </w:r>
    </w:p>
    <w:p>
      <w:pPr>
        <w:spacing w:after="0" w:line="121" w:lineRule="exact"/>
        <w:rPr>
          <w:sz w:val="20"/>
          <w:szCs w:val="20"/>
          <w:color w:val="auto"/>
        </w:rPr>
      </w:pPr>
    </w:p>
    <w:p>
      <w:pPr>
        <w:jc w:val="both"/>
        <w:ind w:left="120" w:right="180" w:firstLine="440"/>
        <w:spacing w:after="0" w:line="275" w:lineRule="auto"/>
        <w:rPr>
          <w:sz w:val="20"/>
          <w:szCs w:val="20"/>
          <w:color w:val="auto"/>
        </w:rPr>
      </w:pPr>
      <w:r>
        <w:rPr>
          <w:rFonts w:ascii="Arial" w:cs="Arial" w:eastAsia="Arial" w:hAnsi="Arial"/>
          <w:sz w:val="17"/>
          <w:szCs w:val="17"/>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2020 and April 30, 2020 (unaudited). Additionally, the Company engages in required pension plans of respective countries in which operations exist.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2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The components of income/(loss) before income taxes were as follows (in thousands):</w:t>
            </w:r>
          </w:p>
        </w:tc>
        <w:tc>
          <w:tcPr>
            <w:tcW w:w="10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(119,302)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(50,900)</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(118,344)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tax rate</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440"/>
              <w:spacing w:after="0"/>
              <w:rPr>
                <w:sz w:val="20"/>
                <w:szCs w:val="20"/>
                <w:color w:val="auto"/>
              </w:rPr>
            </w:pPr>
            <w:r>
              <w:rPr>
                <w:rFonts w:ascii="Arial" w:cs="Arial" w:eastAsia="Arial" w:hAnsi="Arial"/>
                <w:sz w:val="18"/>
                <w:szCs w:val="18"/>
                <w:color w:val="auto"/>
              </w:rPr>
              <w:t>The major components of deferred tax assets (liabilities) were as follows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As of January 31,</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45,503</w:t>
            </w: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78,498</w:t>
            </w: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15,112</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Reserves and accrued expenses</w:t>
            </w:r>
          </w:p>
        </w:tc>
        <w:tc>
          <w:tcPr>
            <w:tcW w:w="2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23"/>
        </w:trPr>
        <w:tc>
          <w:tcPr>
            <w:tcW w:w="85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99,993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7"/>
        </w:trPr>
        <w:tc>
          <w:tcPr>
            <w:tcW w:w="85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3"/>
        </w:trPr>
        <w:tc>
          <w:tcPr>
            <w:tcW w:w="85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(57,155)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(96,149)</w:t>
            </w:r>
          </w:p>
        </w:tc>
        <w:tc>
          <w:tcPr>
            <w:tcW w:w="0" w:type="dxa"/>
            <w:vAlign w:val="bottom"/>
          </w:tcPr>
          <w:p>
            <w:pPr>
              <w:spacing w:after="0"/>
              <w:rPr>
                <w:sz w:val="1"/>
                <w:szCs w:val="1"/>
                <w:color w:val="auto"/>
              </w:rPr>
            </w:pPr>
          </w:p>
        </w:tc>
      </w:tr>
      <w:tr>
        <w:trPr>
          <w:trHeight w:val="216"/>
        </w:trPr>
        <w:tc>
          <w:tcPr>
            <w:tcW w:w="85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valuation allowance increased by $13.7 million and $39.0 million during the years ended January 31, 2019 and 2020, respectively. The increase in the valuation allowance during the years ended January 31,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and 2020 was primarily driven by losses and tax credits generated in the United States. As of January 31, 2019 and 2020, the Company believes it is not more likely than not that the deferred tax assets will be fully realizable and continues to maintain a full valuation allowance against its net deferred tax assets.</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As of January 31, 2020, the Company had federal and state net operating loss carryforwards of $325.4 million and $151.3 million, respectively. The federal and state net operating losses, if not used, will begin to expire in 2029. Federal net operating losses generated after January 31, 2018 will carry forward indefinitely.</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of January 31, 2020, the Company has federal and California research and development tax credit carryforwards of $12.1 million and $9.6 million, respectively, to offset future taxable income. The federal research and development tax credits, if not used, will begin to expire in 2030, while the state tax credit carryforwards may be carried forward indefinitely.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2020 due to the Company’s intention to permanently reinvest such earnings.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liability related to uncertain tax positions is recorded in the financial statements due to the fact the liabilities have been netted against deferred attribute carryovers.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As of January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Increases—current period tax positions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884</w:t>
            </w:r>
          </w:p>
        </w:tc>
        <w:tc>
          <w:tcPr>
            <w:tcW w:w="4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2,177</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Increases—prior period tax positions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3,261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policy is to include interest and penalties related to unrecognized tax benefits within the Company’s benefit from (provision for) income taxes. The Company had no accrued interest and penalties related to unrecognized tax benefits as of January 31, 2019 or January 31, 2020. As of January 31, 2020, there are no unrecognized tax benefits that, if recognized, would affect the Company’s effective tax rate. The Company does not expect that its uncertain tax positions will materially change in the next 12 months.</w:t>
      </w:r>
    </w:p>
    <w:p>
      <w:pPr>
        <w:spacing w:after="0" w:line="18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Company files federal and state tax returns in the United States and in various foreign jurisdictions. The Company’s tax years since inception are open to examination by federal and state taxing authorities, and the tax years 2014 and forward remain open in various foreign jurisdictions.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the Three Months Ended April 30, 2020 (Unaudited)</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by the United States on March 27, 2020. The CARES Act did not have a material impact on the Company’s provision for income taxes for the three months ended April 30,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Geographic Information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tables set forth revenues and long-lived assets, including operating lease ROU assets, by geographic area for the periods presented below (in thousands):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4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2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28,973</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18,733</w:t>
            </w:r>
          </w:p>
        </w:tc>
        <w:tc>
          <w:tcPr>
            <w:tcW w:w="80" w:type="dxa"/>
            <w:vAlign w:val="bottom"/>
          </w:tcPr>
          <w:p>
            <w:pPr>
              <w:spacing w:after="0"/>
              <w:rPr>
                <w:sz w:val="18"/>
                <w:szCs w:val="18"/>
                <w:color w:val="auto"/>
              </w:rPr>
            </w:pPr>
          </w:p>
        </w:tc>
      </w:tr>
      <w:tr>
        <w:trPr>
          <w:trHeight w:val="27"/>
        </w:trPr>
        <w:tc>
          <w:tcPr>
            <w:tcW w:w="4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w:t>
            </w:r>
          </w:p>
        </w:tc>
        <w:tc>
          <w:tcPr>
            <w:tcW w:w="2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47,706</w:t>
            </w:r>
          </w:p>
        </w:tc>
        <w:tc>
          <w:tcPr>
            <w:tcW w:w="80" w:type="dxa"/>
            <w:vAlign w:val="bottom"/>
            <w:tcBorders>
              <w:left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6120" w:type="dxa"/>
            <w:vAlign w:val="bottom"/>
            <w:gridSpan w:val="4"/>
          </w:tcPr>
          <w:p>
            <w:pPr>
              <w:ind w:left="440"/>
              <w:spacing w:after="0"/>
              <w:rPr>
                <w:sz w:val="20"/>
                <w:szCs w:val="20"/>
                <w:color w:val="auto"/>
              </w:rPr>
            </w:pPr>
            <w:r>
              <w:rPr>
                <w:rFonts w:ascii="Arial" w:cs="Arial" w:eastAsia="Arial" w:hAnsi="Arial"/>
                <w:sz w:val="18"/>
                <w:szCs w:val="18"/>
                <w:color w:val="auto"/>
                <w:w w:val="96"/>
              </w:rPr>
              <w:t>Revenues by geography are based on the billing address of the customer.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46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Long-Lived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As of January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 of April 30,</w:t>
            </w:r>
          </w:p>
        </w:tc>
      </w:tr>
      <w:tr>
        <w:trPr>
          <w:trHeight w:val="142"/>
        </w:trPr>
        <w:tc>
          <w:tcPr>
            <w:tcW w:w="46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w:t>
            </w:r>
          </w:p>
        </w:tc>
        <w:tc>
          <w:tcPr>
            <w:tcW w:w="2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w:t>
            </w:r>
          </w:p>
        </w:tc>
        <w:tc>
          <w:tcPr>
            <w:tcW w:w="80" w:type="dxa"/>
            <w:vAlign w:val="bottom"/>
            <w:tcBorders>
              <w:left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6,108</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4,099</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32,119</w:t>
            </w:r>
          </w:p>
        </w:tc>
      </w:tr>
      <w:tr>
        <w:trPr>
          <w:trHeight w:val="20"/>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January 2018, the Company entered into a convertible note purchase agreement with an entity affiliated with its CEO. Pursuant to the original terms of this convertible note purchase agreement, the Company had the right to sell convertible promissory notes of the Company having an aggregate principal amount of up to $75 million from time to time until January 19, 2023. In May 2019, the Company amended the convertible note purchase agreement by increasing the available aggregate principal amount to $125 million. The Company has not issued any convertible promissory notes pursuant to this convertible note purchase agreement. Subsequently, in connection with the issuance of the Convertible Note described in Note 5, “Convertible Note—Related Party,” this note agreement was terminated.</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January 2020, the Company issued the Convertible Note to a trust affiliated with the Company’s CEO. See Note 5, “Convertible Note—Related Party” for further details.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During the year ended January 31, 2020, the Company began leasing certain office facilities from a company affiliated with a Board member of the Company. Rent payments made under these leases totaled $0.7 million, zero, and $0.5 million for the year ended January 31, 2020 and the three months ended April 30, 2019 and 2020 (unaudited), respectively.</w:t>
      </w:r>
    </w:p>
    <w:p>
      <w:pPr>
        <w:spacing w:after="0" w:line="184"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The Company has entered into recurring subscription agreements with a total contract value of $0.3 million and $1.2 million for the years ended January 31, 2019 and 2020, respectively, with a company affiliated with a Board member of the Company. The Company recognized revenues of</w:t>
      </w:r>
    </w:p>
    <w:p>
      <w:pPr>
        <w:ind w:left="120" w:right="20"/>
        <w:spacing w:after="0" w:line="255" w:lineRule="auto"/>
        <w:rPr>
          <w:sz w:val="20"/>
          <w:szCs w:val="20"/>
          <w:color w:val="auto"/>
        </w:rPr>
      </w:pPr>
      <w:r>
        <w:rPr>
          <w:rFonts w:ascii="Arial" w:cs="Arial" w:eastAsia="Arial" w:hAnsi="Arial"/>
          <w:sz w:val="18"/>
          <w:szCs w:val="18"/>
          <w:color w:val="auto"/>
        </w:rPr>
        <w:t>$0.2 million, $0.4 million, and $0.1 million under these subscription agreements during the years ended January 31, 2019 and 2020 and the three months ended April 30, 2019 (unaudited), respectively. Subsequent to January 31, 2020, the Board member of the Company was no longer affiliated with this company.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Subsequent Events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Subsequent events have been evaluated through April 20, 2020, which is the date the consolidated financial statements were available for issuance. Other than the effect of the reclassification of Class A and Class B</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common stock described in Note 2 and the items noted below, the Company is not aware of any subsequent events that would require recognition or disclosure in the consolidated financial statements.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March 2020, the Company entered into an agreement with a construction company related to the build-out of the Company’s new corporate headquarters. The contract value is $57.7 million.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 No amounts are outstanding under this term loan as of the date of the issuance of these consolidated financial statements.</w:t>
      </w:r>
    </w:p>
    <w:p>
      <w:pPr>
        <w:spacing w:after="0" w:line="17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Subsequent to January 31, 2020, the Company granted options for 16,713 shares of common stock with an exercise price of $13.04 per share and 1,916,161 shares underlying RSUs to certain employees, which generally vest over four years subject to continued service.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Subsequent Events (Unaudited)</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Subsequent events have been evaluated through July 2, 2020, which is the date the unaudited interim consolidated financial statements were available for issuance. Other than the items noted below, the Company is not aware of any subsequent events that would require recognition or disclosure in the unaudited interim consolidated financial statements.</w:t>
      </w:r>
    </w:p>
    <w:p>
      <w:pPr>
        <w:spacing w:after="0" w:line="18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February 2019, the Company entered into a new lease agreement for its corporate headquarters in San Francisco. The first phase of this lease commenced in May 2020, and as a result, the Company estimates approximately $83.0 million to $89.0 million will be recognized as an operating lease ROU asset, with a corresponding operating lease liability of approximately $81.0 million to $87.0 million on the consolidated balance sheet.</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June 2020, the Company issued to an entity affiliated with the Company’s CEO an unsecured senior mandatory convertible promissory note in the aggregate principal amount of $150.0 million, or the June 2020 Note. The June 2020 Note accrues interest at a rate of 3.5% per annum, which will compound annually and (other than in connection with our bankruptcy, insolvency, or other similar events) will mandatorily convert into shares of the Company’s Class B common stock. The 2020 Note matures on June 26, 2025, and on that date, depending on the trading price of the Class A common stock, the Company will issue between 5,730,432 and 9,168,694 shares of Class B common stock upon mandatory conversion of the June 2020 Note, subject to customary anti-dilution and other adjustments. However, the Company may convert the June 2020 Note in advance of the maturity date, at the Company’s option, and issue the lesser number of shares described above prior to the maturity date if the trading price of Class A common stock exceeds $31.09 per share (subject to customary anti-dilution and other adjustments in connection with certain extraordinary transactions) for 20 or more trading days in the 30 consecutive trading day period ending on the last trading day of the immediately preceding calendar quarter. The June 2020 Note is not transferable except to affiliates, contains no financial or restrictive covenants, and is expressly subordinated in right of payment to any of the Company’s existing or future secured indebtedness. Additionally, the June 2020 Note contains limited events of default, including bankruptcy or insolvency, upon which the principal amount outstanding under the June 2020 Note, together with all accrued unpaid interest, become immediately due and payable. As of the date of the issuance of these consolidated financial statements, $150.0 million was outstanding under this agreement.</w:t>
      </w:r>
    </w:p>
    <w:p>
      <w:pPr>
        <w:spacing w:after="0" w:line="17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Subsequent to April 30, 2020, the Company granted 1,588,000 shares underlying RSUs to certain employees, which generally vest over four years subject to continued service.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3392170</wp:posOffset>
            </wp:positionV>
            <wp:extent cx="4123055" cy="8229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123055" cy="8229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following table sets forth the costs and expenses to be paid by the Registrant in connection with this registration statement and the listing of our Class A common stock. All amounts are estimates except for the Securities and Exchange Commission, or the SEC, registration fee and the listing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120" w:type="dxa"/>
            <w:vAlign w:val="bottom"/>
          </w:tcPr>
          <w:p>
            <w:pPr>
              <w:ind w:left="580"/>
              <w:spacing w:after="0"/>
              <w:rPr>
                <w:sz w:val="20"/>
                <w:szCs w:val="20"/>
                <w:color w:val="auto"/>
              </w:rPr>
            </w:pPr>
            <w:r>
              <w:rPr>
                <w:rFonts w:ascii="Arial" w:cs="Arial" w:eastAsia="Arial" w:hAnsi="Arial"/>
                <w:sz w:val="18"/>
                <w:szCs w:val="18"/>
                <w:color w:val="auto"/>
              </w:rPr>
              <w:t>listing fee</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Custodian, transfer agent, and registrar fees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advisors’ fees</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4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10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0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following the effectiveness of this registration statement, permits indemnification of our directors, officers, employees and other agents to the maximum extent permitted by the Delaware General Corporation Law, and our amended and restated bylaws that will be in effect following the effectiveness of this registration statement provide that we will indemnify our directors and officers and permit us to indemnify our employees and other agents, in each case to the maximum extent permitted by the Delaware General Corporation Law.</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Asana, Inc., provided that such director or officer acted in good faith and in a manner that the director or officer reasonably believed to be in, or not opposed to, the best interest of Asana, Inc. At present, there is no pending litigation or proceeding involving a director or officer of Asana, Inc. regarding which indemnification is sought, nor is the registrant aware of any threatened litigation that may result in claims for indemnification.</w:t>
      </w:r>
    </w:p>
    <w:p>
      <w:pPr>
        <w:spacing w:after="0" w:line="16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July 1, 2017 through June 30, 2020, the Registrant has issued and sold the following unregistered securities:</w:t>
      </w:r>
    </w:p>
    <w:p>
      <w:pPr>
        <w:spacing w:after="0" w:line="131" w:lineRule="exact"/>
        <w:rPr>
          <w:sz w:val="20"/>
          <w:szCs w:val="20"/>
          <w:color w:val="auto"/>
        </w:rPr>
      </w:pPr>
    </w:p>
    <w:p>
      <w:pPr>
        <w:ind w:left="1080" w:right="180" w:hanging="343"/>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Options to employees, directors, and consultants to purchase an aggregate of 26,069,805 shares of common stock under its Amended and Restated 2012 Stock Plan, or the 2012 Plan, with per share exercise prices ranging from $1.60 to $13.04.</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343"/>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 aggregate of 3,595,097 RSUs to employees, directors, and consultants to be settled in shares of common stock under its 2012 Plan.</w:t>
      </w:r>
    </w:p>
    <w:p>
      <w:pPr>
        <w:spacing w:after="0" w:line="153" w:lineRule="exact"/>
        <w:rPr>
          <w:rFonts w:ascii="Arial" w:cs="Arial" w:eastAsia="Arial" w:hAnsi="Arial"/>
          <w:sz w:val="16"/>
          <w:szCs w:val="16"/>
          <w:color w:val="auto"/>
        </w:rPr>
      </w:pPr>
    </w:p>
    <w:p>
      <w:pPr>
        <w:ind w:left="1080" w:right="160" w:hanging="343"/>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14,285,351 shares of common stock to its employees, directors, consultants, and other service providers upon exercise of options granted under its 2012 Plan, with purchase prices ranging from $0.001 to $7.50, for an aggregate purchase price of $17.8 million.</w:t>
      </w:r>
    </w:p>
    <w:p>
      <w:pPr>
        <w:spacing w:after="0" w:line="51" w:lineRule="exact"/>
        <w:rPr>
          <w:rFonts w:ascii="Arial" w:cs="Arial" w:eastAsia="Arial" w:hAnsi="Arial"/>
          <w:sz w:val="17"/>
          <w:szCs w:val="17"/>
          <w:color w:val="auto"/>
        </w:rPr>
      </w:pPr>
    </w:p>
    <w:p>
      <w:pPr>
        <w:ind w:left="1080" w:right="140" w:hanging="343"/>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August 2017, a convertible promissory note in the principal amount of $15.0 million, or the 2017 Note, to the Dustin Moskovitz Trust. The aggregate principal amount and accrued interest on the 2017 Note converted into 2,923,425 shares of the Registrant’s Series D preferred stock at a conversion price of $5.23 per share upon the closing of the Registrant’s Series D preferred stock financing in January 2018.</w:t>
      </w:r>
    </w:p>
    <w:p>
      <w:pPr>
        <w:spacing w:after="0" w:line="92" w:lineRule="exact"/>
        <w:rPr>
          <w:rFonts w:ascii="Arial" w:cs="Arial" w:eastAsia="Arial" w:hAnsi="Arial"/>
          <w:sz w:val="18"/>
          <w:szCs w:val="18"/>
          <w:color w:val="auto"/>
        </w:rPr>
      </w:pPr>
    </w:p>
    <w:p>
      <w:pPr>
        <w:ind w:left="1080" w:hanging="343"/>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two closings in January 2018, 11,429,642 shares of the Registrant’s Series D preferred stock at a purchase price of $5.23 per share for an aggregate purchase price of $59.7 million.</w:t>
      </w:r>
    </w:p>
    <w:p>
      <w:pPr>
        <w:spacing w:after="0" w:line="75" w:lineRule="exact"/>
        <w:rPr>
          <w:rFonts w:ascii="Arial" w:cs="Arial" w:eastAsia="Arial" w:hAnsi="Arial"/>
          <w:sz w:val="18"/>
          <w:szCs w:val="18"/>
          <w:color w:val="auto"/>
        </w:rPr>
      </w:pPr>
    </w:p>
    <w:p>
      <w:pPr>
        <w:ind w:left="1080" w:right="100" w:hanging="343"/>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November 2018, an aggregate of 6,229,843 shares of the Registrant’s Series E preferred stock at a purchase price of $8.19 per share for an aggregate purchase price of $51.0 million.</w:t>
      </w:r>
    </w:p>
    <w:p>
      <w:pPr>
        <w:spacing w:after="0" w:line="75" w:lineRule="exact"/>
        <w:rPr>
          <w:rFonts w:ascii="Arial" w:cs="Arial" w:eastAsia="Arial" w:hAnsi="Arial"/>
          <w:sz w:val="18"/>
          <w:szCs w:val="18"/>
          <w:color w:val="auto"/>
        </w:rPr>
      </w:pPr>
    </w:p>
    <w:p>
      <w:pPr>
        <w:ind w:left="1080" w:right="140" w:hanging="343"/>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January 2020, a 3.5% senior mandatory convertible promissory note due January 30, 2025 in the principal amount of $300.0 million to the Dustin Moskovitz Trust.</w:t>
      </w:r>
    </w:p>
    <w:p>
      <w:pPr>
        <w:spacing w:after="0" w:line="75" w:lineRule="exact"/>
        <w:rPr>
          <w:rFonts w:ascii="Arial" w:cs="Arial" w:eastAsia="Arial" w:hAnsi="Arial"/>
          <w:sz w:val="18"/>
          <w:szCs w:val="18"/>
          <w:color w:val="auto"/>
        </w:rPr>
      </w:pPr>
    </w:p>
    <w:p>
      <w:pPr>
        <w:ind w:left="1080" w:right="320" w:hanging="343"/>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June 2020, a 3.5% senior mandatory convertible promissory note due June 26, 2025 in the principal amount of $150.0 million to the Dustin Moskovitz Trust.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stated, the sales of the above securities were deemed to be exempt from registration under the Securities Act in reliance upon Section 4(a)(2)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Securities Act (or Regulation D or Regulation S promulgated thereunder) or Rule 701 promulgated under Section 3(b) of the Securities Act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transactions by an issuer not involving any public offering or pursuant to benefit plans and contracts relating to compensation as provided under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701. The recipients of the securities in each of these transactions represented their intentions to acquire the securities for investment only and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 view to or for sale in connection with any distribution thereof, and appropriate legends were placed upon the stock certificates issued in these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1080" w:hanging="418"/>
        <w:spacing w:after="0"/>
        <w:tabs>
          <w:tab w:leader="none" w:pos="1080"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988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9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3"/>
              </w:rPr>
              <w:t>Form of Restated Certificate of Incorporation of the Registrant, to be in effect following the effectiveness of the registration statement</w:t>
            </w:r>
          </w:p>
        </w:tc>
        <w:tc>
          <w:tcPr>
            <w:tcW w:w="0" w:type="dxa"/>
            <w:vAlign w:val="bottom"/>
          </w:tcPr>
          <w:p>
            <w:pPr>
              <w:spacing w:after="0"/>
              <w:rPr>
                <w:sz w:val="1"/>
                <w:szCs w:val="1"/>
                <w:color w:val="auto"/>
              </w:rPr>
            </w:pPr>
          </w:p>
        </w:tc>
      </w:tr>
      <w:tr>
        <w:trPr>
          <w:trHeight w:val="297"/>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Restated Bylaws of the Registrant, to be in effect following the effectiveness of the registration statement</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Registrant’s Common Stock Certificate</w:t>
            </w: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0"/>
              </w:rPr>
              <w:t>Amended and Restated Investors’ Rights Agreement, dated as of November 15, 2018, by and among the Registrant and certain investors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of the Registrant</w:t>
            </w:r>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1"/>
              </w:rPr>
              <w:t>Unsecured Senior Mandatory Convertible Promissory Note, dated as of January 30, 2020, by and among the Registrant and the Dustin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Moskovitz Trust</w:t>
            </w: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4"/>
              </w:rPr>
              <w:t>Unsecured Senior Mandatory Convertible Promissory Note, dated as of June 26, 2020, by and among the Registrant and the Dustin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Moskovitz Trust</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Opinion of Orrick, Herrington &amp; Sutcliffe LLP</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Indemnification Agreement entered into between the Registrant and each of its directors and executive officers</w:t>
            </w:r>
          </w:p>
        </w:tc>
        <w:tc>
          <w:tcPr>
            <w:tcW w:w="0" w:type="dxa"/>
            <w:vAlign w:val="bottom"/>
          </w:tcPr>
          <w:p>
            <w:pPr>
              <w:spacing w:after="0"/>
              <w:rPr>
                <w:sz w:val="1"/>
                <w:szCs w:val="1"/>
                <w:color w:val="auto"/>
              </w:rPr>
            </w:pPr>
          </w:p>
        </w:tc>
      </w:tr>
      <w:tr>
        <w:trPr>
          <w:trHeight w:val="297"/>
        </w:trPr>
        <w:tc>
          <w:tcPr>
            <w:tcW w:w="500" w:type="dxa"/>
            <w:vAlign w:val="bottom"/>
          </w:tcPr>
          <w:p>
            <w:pPr>
              <w:jc w:val="right"/>
              <w:spacing w:after="0"/>
              <w:rPr>
                <w:sz w:val="20"/>
                <w:szCs w:val="20"/>
                <w:color w:val="auto"/>
              </w:rPr>
            </w:pPr>
            <w:r>
              <w:rPr>
                <w:rFonts w:ascii="Arial" w:cs="Arial" w:eastAsia="Arial" w:hAnsi="Arial"/>
                <w:sz w:val="18"/>
                <w:szCs w:val="18"/>
                <w:color w:val="auto"/>
                <w:w w:val="97"/>
              </w:rPr>
              <w:t>10.2**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2009 Stock Plan, as amended, and forms of agreement thereunder</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Amended and Restated 2012 Stock Plan, and forms of agreement thereunder</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10.4*</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2020 Equity Incentive Plan, and forms of agreement thereunder</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10.5*</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2020 Employee Stock Purchase Plan</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10.6*</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Executive Severance and Change in Control Benefit Plan</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10.7*</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Offer Letter between Dustin Moskovitz and the Registrant, dated February 4, 2009</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10.8*</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Offer Letter between Eleanor Lacey and the Registrant, dated May 30, 2019</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10.9*</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Offer Letter between Tim Wan and the Registrant, dated November 20, 2016</w:t>
            </w:r>
          </w:p>
        </w:tc>
        <w:tc>
          <w:tcPr>
            <w:tcW w:w="0" w:type="dxa"/>
            <w:vAlign w:val="bottom"/>
          </w:tcPr>
          <w:p>
            <w:pPr>
              <w:spacing w:after="0"/>
              <w:rPr>
                <w:sz w:val="1"/>
                <w:szCs w:val="1"/>
                <w:color w:val="auto"/>
              </w:rPr>
            </w:pPr>
          </w:p>
        </w:tc>
      </w:tr>
      <w:tr>
        <w:trPr>
          <w:trHeight w:val="297"/>
        </w:trPr>
        <w:tc>
          <w:tcPr>
            <w:tcW w:w="5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Lease between Swig 631 Folsom, LLC, SIC Holdings, LLC. and the Registrant, dated as of February 22, 2019</w:t>
            </w:r>
          </w:p>
        </w:tc>
        <w:tc>
          <w:tcPr>
            <w:tcW w:w="0" w:type="dxa"/>
            <w:vAlign w:val="bottom"/>
          </w:tcPr>
          <w:p>
            <w:pPr>
              <w:spacing w:after="0"/>
              <w:rPr>
                <w:sz w:val="1"/>
                <w:szCs w:val="1"/>
                <w:color w:val="auto"/>
              </w:rPr>
            </w:pPr>
          </w:p>
        </w:tc>
      </w:tr>
      <w:tr>
        <w:trPr>
          <w:trHeight w:val="297"/>
        </w:trPr>
        <w:tc>
          <w:tcPr>
            <w:tcW w:w="50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Lease between AE-Hamm’s Property Owner, LLC and the Registrant, dated as of May 27, 2011, as amended</w:t>
            </w:r>
          </w:p>
        </w:tc>
        <w:tc>
          <w:tcPr>
            <w:tcW w:w="0" w:type="dxa"/>
            <w:vAlign w:val="bottom"/>
          </w:tcPr>
          <w:p>
            <w:pPr>
              <w:spacing w:after="0"/>
              <w:rPr>
                <w:sz w:val="1"/>
                <w:szCs w:val="1"/>
                <w:color w:val="auto"/>
              </w:rPr>
            </w:pPr>
          </w:p>
        </w:tc>
      </w:tr>
      <w:tr>
        <w:trPr>
          <w:trHeight w:val="297"/>
        </w:trPr>
        <w:tc>
          <w:tcPr>
            <w:tcW w:w="500" w:type="dxa"/>
            <w:vAlign w:val="bottom"/>
          </w:tcPr>
          <w:p>
            <w:pPr>
              <w:jc w:val="right"/>
              <w:spacing w:after="0"/>
              <w:rPr>
                <w:sz w:val="20"/>
                <w:szCs w:val="20"/>
                <w:color w:val="auto"/>
              </w:rPr>
            </w:pPr>
            <w:r>
              <w:rPr>
                <w:rFonts w:ascii="Arial" w:cs="Arial" w:eastAsia="Arial" w:hAnsi="Arial"/>
                <w:sz w:val="18"/>
                <w:szCs w:val="18"/>
                <w:color w:val="auto"/>
                <w:w w:val="97"/>
              </w:rPr>
              <w:t>21.1**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Orrick, Herrington &amp; Sutcliffe LLP (included in Exhibit 5.1)</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97"/>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right="9040" w:hanging="4"/>
        <w:spacing w:after="0" w:line="253" w:lineRule="auto"/>
        <w:tabs>
          <w:tab w:leader="none" w:pos="552"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be filed by amendment. ** Previously filed.</w:t>
      </w:r>
    </w:p>
    <w:p>
      <w:pPr>
        <w:spacing w:after="0" w:line="205" w:lineRule="exact"/>
        <w:rPr>
          <w:sz w:val="20"/>
          <w:szCs w:val="20"/>
          <w:color w:val="auto"/>
        </w:rPr>
      </w:pPr>
    </w:p>
    <w:p>
      <w:pPr>
        <w:ind w:left="1080" w:hanging="418"/>
        <w:spacing w:after="0"/>
        <w:tabs>
          <w:tab w:leader="none" w:pos="108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All other financial statement schedules are omitted because they are not applicable or the information is included in the Registrant’s consolidated financial statements or related notes.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hanging="418"/>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as amended, or the Securities Act.</w:t>
      </w:r>
    </w:p>
    <w:p>
      <w:pPr>
        <w:spacing w:after="0" w:line="130" w:lineRule="exact"/>
        <w:rPr>
          <w:rFonts w:ascii="Arial" w:cs="Arial" w:eastAsia="Arial" w:hAnsi="Arial"/>
          <w:sz w:val="18"/>
          <w:szCs w:val="18"/>
          <w:color w:val="auto"/>
        </w:rPr>
      </w:pPr>
    </w:p>
    <w:p>
      <w:pPr>
        <w:ind w:left="1540" w:right="80" w:hanging="439"/>
        <w:spacing w:after="0" w:line="263"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hanging="418"/>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418"/>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right="60" w:hanging="418"/>
        <w:spacing w:after="0" w:line="31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40" w:hanging="418"/>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w w:val="90"/>
              </w:rPr>
              <w:t>undersigned, thereunto duly authorized, in the City of San Francisco, State of California, on</w:t>
            </w:r>
          </w:p>
        </w:tc>
        <w:tc>
          <w:tcPr>
            <w:tcW w:w="4420" w:type="dxa"/>
            <w:vAlign w:val="bottom"/>
            <w:gridSpan w:val="2"/>
          </w:tcPr>
          <w:p>
            <w:pPr>
              <w:jc w:val="right"/>
              <w:ind w:right="3070"/>
              <w:spacing w:after="0"/>
              <w:rPr>
                <w:sz w:val="20"/>
                <w:szCs w:val="20"/>
                <w:color w:val="auto"/>
              </w:rPr>
            </w:pPr>
            <w:r>
              <w:rPr>
                <w:rFonts w:ascii="Arial" w:cs="Arial" w:eastAsia="Arial" w:hAnsi="Arial"/>
                <w:sz w:val="18"/>
                <w:szCs w:val="18"/>
                <w:color w:val="auto"/>
              </w:rPr>
              <w:t>, 2020.</w:t>
            </w:r>
          </w:p>
        </w:tc>
      </w:tr>
      <w:tr>
        <w:trPr>
          <w:trHeight w:val="445"/>
        </w:trPr>
        <w:tc>
          <w:tcPr>
            <w:tcW w:w="66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ASANA, INC.</w:t>
            </w:r>
          </w:p>
        </w:tc>
      </w:tr>
      <w:tr>
        <w:trPr>
          <w:trHeight w:val="432"/>
        </w:trPr>
        <w:tc>
          <w:tcPr>
            <w:tcW w:w="660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By:</w:t>
            </w:r>
          </w:p>
        </w:tc>
      </w:tr>
      <w:tr>
        <w:trPr>
          <w:trHeight w:val="209"/>
        </w:trPr>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Dustin Moskovitz</w:t>
            </w:r>
          </w:p>
        </w:tc>
      </w:tr>
      <w:tr>
        <w:trPr>
          <w:trHeight w:val="230"/>
        </w:trPr>
        <w:tc>
          <w:tcPr>
            <w:tcW w:w="6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President, Chief Executive Officer, and Chair</w:t>
            </w:r>
          </w:p>
        </w:tc>
      </w:tr>
      <w:tr>
        <w:trPr>
          <w:trHeight w:val="648"/>
        </w:trPr>
        <w:tc>
          <w:tcPr>
            <w:tcW w:w="6600" w:type="dxa"/>
            <w:vAlign w:val="bottom"/>
          </w:tcPr>
          <w:p>
            <w:pPr>
              <w:ind w:left="4500"/>
              <w:spacing w:after="0"/>
              <w:rPr>
                <w:sz w:val="20"/>
                <w:szCs w:val="20"/>
                <w:color w:val="auto"/>
              </w:rPr>
            </w:pPr>
            <w:r>
              <w:rPr>
                <w:rFonts w:ascii="Arial" w:cs="Arial" w:eastAsia="Arial" w:hAnsi="Arial"/>
                <w:sz w:val="18"/>
                <w:szCs w:val="18"/>
                <w:b w:val="1"/>
                <w:bCs w:val="1"/>
                <w:color w:val="auto"/>
              </w:rPr>
              <w:t>POWER OF ATTORNEY</w:t>
            </w:r>
          </w:p>
        </w:tc>
        <w:tc>
          <w:tcPr>
            <w:tcW w:w="38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attorneys-in-fact and agents, with full power of substitution and resubstitution, for him or her and in his or her name, place and stead, in any and all capacities, to sign the Registration Statement on Form S-1 of Asana,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2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4"/>
              </w:rPr>
              <w:t>Name</w:t>
            </w:r>
          </w:p>
        </w:tc>
        <w:tc>
          <w:tcPr>
            <w:tcW w:w="2360" w:type="dxa"/>
            <w:vAlign w:val="bottom"/>
          </w:tcPr>
          <w:p>
            <w:pPr>
              <w:spacing w:after="0"/>
              <w:rPr>
                <w:sz w:val="14"/>
                <w:szCs w:val="14"/>
                <w:color w:val="auto"/>
              </w:rPr>
            </w:pPr>
          </w:p>
        </w:tc>
        <w:tc>
          <w:tcPr>
            <w:tcW w:w="3460" w:type="dxa"/>
            <w:vAlign w:val="bottom"/>
            <w:gridSpan w:val="2"/>
          </w:tcPr>
          <w:p>
            <w:pPr>
              <w:jc w:val="center"/>
              <w:ind w:right="3160"/>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President, Chief Executive Officer, and Chair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5"/>
              </w:rPr>
              <w:t>Dustin Moskovitz</w:t>
            </w: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i w:val="1"/>
                <w:iCs w:val="1"/>
                <w:color w:val="auto"/>
                <w:w w:val="94"/>
              </w:rPr>
              <w:t>(Principal Executive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Chief Financial Officer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1"/>
              </w:rPr>
              <w:t>Tim Wan</w:t>
            </w:r>
          </w:p>
        </w:tc>
        <w:tc>
          <w:tcPr>
            <w:tcW w:w="5820" w:type="dxa"/>
            <w:vAlign w:val="bottom"/>
            <w:gridSpan w:val="3"/>
          </w:tcPr>
          <w:p>
            <w:pPr>
              <w:jc w:val="center"/>
              <w:ind w:right="80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0"/>
              </w:rPr>
              <w:t>Sydney Carey</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3"/>
              </w:rPr>
              <w:t>Matthew Cohler</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Adam D’Angelo</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6"/>
              </w:rPr>
              <w:t>Lorrie Norrington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2"/>
              </w:rPr>
              <w:t>Anne Raimondi</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2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8"/>
              </w:rPr>
              <w:t>Justin Rosenstein</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Dustin Moskovitz, hereby certifies that:</w:t>
      </w:r>
    </w:p>
    <w:p>
      <w:pPr>
        <w:spacing w:after="0" w:line="117" w:lineRule="exact"/>
        <w:rPr>
          <w:sz w:val="20"/>
          <w:szCs w:val="20"/>
          <w:color w:val="auto"/>
        </w:rPr>
      </w:pPr>
    </w:p>
    <w:p>
      <w:pPr>
        <w:ind w:left="620" w:hanging="184"/>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He is the duly elected and acting Chief Executive Officer of Asana, Inc., a Delaware corporation.</w:t>
      </w:r>
    </w:p>
    <w:p>
      <w:pPr>
        <w:spacing w:after="0" w:line="117" w:lineRule="exact"/>
        <w:rPr>
          <w:rFonts w:ascii="Arial" w:cs="Arial" w:eastAsia="Arial" w:hAnsi="Arial"/>
          <w:sz w:val="18"/>
          <w:szCs w:val="18"/>
          <w:color w:val="auto"/>
        </w:rPr>
      </w:pPr>
    </w:p>
    <w:p>
      <w:pPr>
        <w:ind w:right="220" w:firstLine="436"/>
        <w:spacing w:after="0" w:line="277" w:lineRule="auto"/>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Certificate of Incorporation of this corporation was originally filed with the Secretary of State of Delaware on December 16, 2008, under the name Smiley Abstractions, Inc.</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this corporation shall be amended and restated to read in full as follows:</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Asana,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in the City of Wilmington, County of New Castle, 19801. The name of its registered agent at such address is National Registered Agents, Inc.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Effective immediately upon the acceptance of this Amended and Restated Certificate of Incorporation (this “</w:t>
      </w:r>
      <w:r>
        <w:rPr>
          <w:rFonts w:ascii="Arial" w:cs="Arial" w:eastAsia="Arial" w:hAnsi="Arial"/>
          <w:sz w:val="17"/>
          <w:szCs w:val="17"/>
          <w:u w:val="single" w:color="auto"/>
          <w:color w:val="auto"/>
        </w:rPr>
        <w:t>Restated Certificate</w:t>
      </w:r>
      <w:r>
        <w:rPr>
          <w:rFonts w:ascii="Arial" w:cs="Arial" w:eastAsia="Arial" w:hAnsi="Arial"/>
          <w:sz w:val="17"/>
          <w:szCs w:val="17"/>
          <w:color w:val="auto"/>
        </w:rPr>
        <w:t>”) for filing with the Delaware Secretary of State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automatically and without further action on the part of the Corporation, the holders of the Corporation’s Class A Common Stock, par value of $0.00001 per share, outstanding immediately prior to the Effective Time (the “</w:t>
      </w:r>
      <w:r>
        <w:rPr>
          <w:rFonts w:ascii="Arial" w:cs="Arial" w:eastAsia="Arial" w:hAnsi="Arial"/>
          <w:sz w:val="17"/>
          <w:szCs w:val="17"/>
          <w:u w:val="single" w:color="auto"/>
          <w:color w:val="auto"/>
        </w:rPr>
        <w:t>Prior Class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or the holders of the Corporation’s Class B Common Stock, par value of $0.00001 per share, outstanding immediately prior to the Effective Time (the “</w:t>
      </w:r>
      <w:r>
        <w:rPr>
          <w:rFonts w:ascii="Arial" w:cs="Arial" w:eastAsia="Arial" w:hAnsi="Arial"/>
          <w:sz w:val="17"/>
          <w:szCs w:val="17"/>
          <w:u w:val="single" w:color="auto"/>
          <w:color w:val="auto"/>
        </w:rPr>
        <w:t>Prior Class B Common Stock</w:t>
      </w:r>
      <w:r>
        <w:rPr>
          <w:rFonts w:ascii="Arial" w:cs="Arial" w:eastAsia="Arial" w:hAnsi="Arial"/>
          <w:sz w:val="17"/>
          <w:szCs w:val="17"/>
          <w:color w:val="auto"/>
        </w:rPr>
        <w:t>”), (i) each then outstanding share of the Prior Class A Common Stock shall be reclassified as and become one (1) share of Class B Common Stock (as defined below) and (ii) each then outstanding share of the Prior Class B Common Stock shall be reclassified as and become one (1) share of Class A Common Stock (as defined below) (collectively, the “</w:t>
      </w:r>
      <w:r>
        <w:rPr>
          <w:rFonts w:ascii="Arial" w:cs="Arial" w:eastAsia="Arial" w:hAnsi="Arial"/>
          <w:sz w:val="17"/>
          <w:szCs w:val="17"/>
          <w:u w:val="single" w:color="auto"/>
          <w:color w:val="auto"/>
        </w:rPr>
        <w:t>Reclassification</w:t>
      </w:r>
      <w:r>
        <w:rPr>
          <w:rFonts w:ascii="Arial" w:cs="Arial" w:eastAsia="Arial" w:hAnsi="Arial"/>
          <w:sz w:val="17"/>
          <w:szCs w:val="17"/>
          <w:color w:val="auto"/>
        </w:rPr>
        <w:t>”). All of the shares of such classes of stock shall be uncertificated shares and the stockholder</w:t>
      </w:r>
    </w:p>
    <w:p>
      <w:pPr>
        <w:sectPr>
          <w:pgSz w:w="11900" w:h="16838" w:orient="portrait"/>
          <w:cols w:equalWidth="0" w:num="1">
            <w:col w:w="11020"/>
          </w:cols>
          <w:pgMar w:left="440" w:top="121" w:right="439" w:bottom="1440" w:gutter="0" w:footer="0" w:header="0"/>
        </w:sectPr>
      </w:pPr>
    </w:p>
    <w:bookmarkStart w:id="206" w:name="page207"/>
    <w:bookmarkEnd w:id="206"/>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registered on the Corporation’s books as the owner of the share so reclassified immediately prior to the Effective Time shall be registered on the Corporation’s books as the owner of the share of Class A Common Stock and Class B Common Stock issued upon Reclassification thereof, without the need for surrender or exchange thereof.</w:t>
      </w:r>
    </w:p>
    <w:p>
      <w:pPr>
        <w:spacing w:after="0" w:line="7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Classes of Stock</w:t>
      </w:r>
      <w:r>
        <w:rPr>
          <w:rFonts w:ascii="Arial" w:cs="Arial" w:eastAsia="Arial" w:hAnsi="Arial"/>
          <w:sz w:val="17"/>
          <w:szCs w:val="17"/>
          <w:b w:val="1"/>
          <w:bCs w:val="1"/>
          <w:color w:val="auto"/>
        </w:rPr>
        <w:t>.</w:t>
      </w:r>
      <w:r>
        <w:rPr>
          <w:rFonts w:ascii="Arial" w:cs="Arial" w:eastAsia="Arial" w:hAnsi="Arial"/>
          <w:sz w:val="17"/>
          <w:szCs w:val="17"/>
          <w:color w:val="auto"/>
        </w:rPr>
        <w:t xml:space="preserve"> The Corporation is authorized to issue four classes of stock to be designated, respectively,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w:t>
      </w:r>
    </w:p>
    <w:p>
      <w:pPr>
        <w:spacing w:after="0" w:line="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w:t>
      </w:r>
      <w:r>
        <w:rPr>
          <w:rFonts w:ascii="Arial" w:cs="Arial" w:eastAsia="Arial" w:hAnsi="Arial"/>
          <w:sz w:val="17"/>
          <w:szCs w:val="17"/>
          <w:u w:val="single" w:color="auto"/>
          <w:color w:val="auto"/>
        </w:rPr>
        <w:t>Series 1 Preferred Stock</w:t>
      </w:r>
      <w:r>
        <w:rPr>
          <w:rFonts w:ascii="Arial" w:cs="Arial" w:eastAsia="Arial" w:hAnsi="Arial"/>
          <w:sz w:val="17"/>
          <w:szCs w:val="17"/>
          <w:color w:val="auto"/>
        </w:rPr>
        <w:t>” and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total number of shares which the Corporation is authorized to issue is 691,101,040 shares, each with a par value of $0.00001 per share. 270,000,000 shares shall be Class A Common Stock, 270,000,000 shares shall be Class B Common Stock, 1,560,000 shares shall be Series 1 Preferred Stock and 149,541,040 shares shall be Preferred Stock. The Class A Common Stock and Class B Common Stock shall collectively be referred to herein as the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64" w:lineRule="exact"/>
        <w:rPr>
          <w:sz w:val="20"/>
          <w:szCs w:val="20"/>
          <w:color w:val="auto"/>
        </w:rPr>
      </w:pPr>
    </w:p>
    <w:p>
      <w:pPr>
        <w:ind w:firstLine="436"/>
        <w:spacing w:after="0" w:line="289" w:lineRule="auto"/>
        <w:tabs>
          <w:tab w:leader="none" w:pos="725"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Rights, Preferences and Restrictions of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series of Preferred Stock shall be designated “</w:t>
      </w:r>
      <w:r>
        <w:rPr>
          <w:rFonts w:ascii="Arial" w:cs="Arial" w:eastAsia="Arial" w:hAnsi="Arial"/>
          <w:sz w:val="16"/>
          <w:szCs w:val="16"/>
          <w:u w:val="single" w:color="auto"/>
          <w:color w:val="auto"/>
        </w:rPr>
        <w:t>Series A Preferred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shall consist of 20,770,520 shares. The second series of Preferred Stock shall be designated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and shall consist of 20,770,520 shares. The third series of Preferred Stock shall be designated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and shall consist of 11,000,000 shares. The fourth series of Preferred Stock shall be designated “</w:t>
      </w:r>
      <w:r>
        <w:rPr>
          <w:rFonts w:ascii="Arial" w:cs="Arial" w:eastAsia="Arial" w:hAnsi="Arial"/>
          <w:sz w:val="16"/>
          <w:szCs w:val="16"/>
          <w:u w:val="single" w:color="auto"/>
          <w:color w:val="auto"/>
        </w:rPr>
        <w:t>Series B-1 Preferred Stock</w:t>
      </w:r>
      <w:r>
        <w:rPr>
          <w:rFonts w:ascii="Arial" w:cs="Arial" w:eastAsia="Arial" w:hAnsi="Arial"/>
          <w:sz w:val="16"/>
          <w:szCs w:val="16"/>
          <w:color w:val="auto"/>
        </w:rPr>
        <w:t>” and shall consist of 11,000,000 shares. The fifth series of Preferred Stock shall be designated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shall consist of 21,000,000 shares. The sixth series of Preferred Stock shall be designated “</w:t>
      </w:r>
      <w:r>
        <w:rPr>
          <w:rFonts w:ascii="Arial" w:cs="Arial" w:eastAsia="Arial" w:hAnsi="Arial"/>
          <w:sz w:val="16"/>
          <w:szCs w:val="16"/>
          <w:u w:val="single" w:color="auto"/>
          <w:color w:val="auto"/>
        </w:rPr>
        <w:t>Series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shall consist of 21,000,000 shares. The seventh series of Preferred Stock shall be designated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 and shall consist of 15,000,000 shares. The eighth series of Preferred Stock shall be designated “</w:t>
      </w:r>
      <w:r>
        <w:rPr>
          <w:rFonts w:ascii="Arial" w:cs="Arial" w:eastAsia="Arial" w:hAnsi="Arial"/>
          <w:sz w:val="16"/>
          <w:szCs w:val="16"/>
          <w:u w:val="single" w:color="auto"/>
          <w:color w:val="auto"/>
        </w:rPr>
        <w:t>Series D-1 Preferred Stock</w:t>
      </w:r>
      <w:r>
        <w:rPr>
          <w:rFonts w:ascii="Arial" w:cs="Arial" w:eastAsia="Arial" w:hAnsi="Arial"/>
          <w:sz w:val="16"/>
          <w:szCs w:val="16"/>
          <w:color w:val="auto"/>
        </w:rPr>
        <w:t>” and shall consist of 15,000,000 shares. The ninth series of Preferred Stock shall be designated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 and shall consist of 7,000,000 shares. The tenth series of Preferred Stock shall be designated “</w:t>
      </w:r>
      <w:r>
        <w:rPr>
          <w:rFonts w:ascii="Arial" w:cs="Arial" w:eastAsia="Arial" w:hAnsi="Arial"/>
          <w:sz w:val="16"/>
          <w:szCs w:val="16"/>
          <w:u w:val="single" w:color="auto"/>
          <w:color w:val="auto"/>
        </w:rPr>
        <w:t>Series E-1 Preferred Stock</w:t>
      </w:r>
      <w:r>
        <w:rPr>
          <w:rFonts w:ascii="Arial" w:cs="Arial" w:eastAsia="Arial" w:hAnsi="Arial"/>
          <w:sz w:val="16"/>
          <w:szCs w:val="16"/>
          <w:color w:val="auto"/>
        </w:rPr>
        <w:t>” and shall consist of 7,000,000 shares. The rights, preferences, privileges, and restrictions granted to and imposed on the Preferred Stock are as set forth below in this Article IV(B).</w:t>
      </w:r>
    </w:p>
    <w:p>
      <w:pPr>
        <w:spacing w:after="0" w:line="52" w:lineRule="exact"/>
        <w:rPr>
          <w:rFonts w:ascii="Arial" w:cs="Arial" w:eastAsia="Arial" w:hAnsi="Arial"/>
          <w:sz w:val="16"/>
          <w:szCs w:val="16"/>
          <w:color w:val="auto"/>
        </w:rPr>
      </w:pPr>
    </w:p>
    <w:p>
      <w:pPr>
        <w:ind w:right="20" w:firstLine="987"/>
        <w:spacing w:after="0" w:line="269" w:lineRule="auto"/>
        <w:tabs>
          <w:tab w:leader="none" w:pos="1171" w:val="left"/>
        </w:tabs>
        <w:numPr>
          <w:ilvl w:val="1"/>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shares of Preferred Stock shall be entitled to receive dividends, on a pari passu basis, out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the Corporation) on the Series 1 Preferred Stock or the Common Stock of the Corporation, at the rate of (i) $0.0404896 per share (as adjusted for stock splits, stock dividends, reclassification and the like) per annum on each outstanding share of Series A Preferred Stock then held by them, (ii) $0.0404896 per share (as adjusted for stock splits, stock dividends, reclassification and the like) per annum on each outstanding share of Series A-1 Preferred Stock then held by them, (iii) $0.2166346 per share (as adjusted for stock splits, stock dividends, reclassification and the like) per annum on each outstanding share of Series B Preferred Stock then held by them, (iv) $0.2166346 per share (as adjusted for stock splits, stock dividends, reclassification and the like) per annum on each outstanding share of Series B-1 Preferred Stock then held by them, (v) $0.3412834 per share (as adjusted for stock splits, stock dividends, reclassification and the like) per annum on each outstanding share of Series C Preferred Stock then held by them, (vi) $0.3412834 per share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07" w:name="page208"/>
    <w:bookmarkEnd w:id="20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adjusted for stock splits, stock dividends, reclassification and the like) per annum on each outstanding share of Series C-1 Preferred Stock then held by them, (vii) $0.418029 per share (as adjusted for stock splits, stock dividends, reclassification and the like) per annum on each outstanding share of Series D Preferred Stock then held by them, (viii) $0.418029 per share (as adjusted for stock splits, stock dividends, reclassification and the like) per annum on each outstanding share of Series D-1 Preferred Stock then held by them, (ix) $0.6549121 per share (as adjusted for stock splits, stock dividends, reclassification and the like) per annum on each outstanding share of Series E Preferred Stock then held by them, and (x) $0.6549121 per share (as adjusted for stock splits, stock dividends, reclassification and the like) per annum on each outstanding share of Series E-1 Preferred Stock then held by them, in each applicable case payable when, as and if declared by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Such dividends shall not be cumulative. After payment of such dividends, any additional dividends shall be distributed among the holders of Preferred Stock, Series 1 Preferred Stock, and Common Stock pro rata based on the number of shares of Common Stock then held by each holder (assuming conversion of all such Preferred Stock and Series 1 Preferred Stock into Common Stock).</w:t>
      </w:r>
    </w:p>
    <w:p>
      <w:pPr>
        <w:spacing w:after="0" w:line="73" w:lineRule="exact"/>
        <w:rPr>
          <w:sz w:val="20"/>
          <w:szCs w:val="20"/>
          <w:color w:val="auto"/>
        </w:rPr>
      </w:pPr>
    </w:p>
    <w:p>
      <w:pPr>
        <w:ind w:left="1600" w:hanging="172"/>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firstLine="1979"/>
        <w:spacing w:after="0" w:line="285" w:lineRule="auto"/>
        <w:tabs>
          <w:tab w:leader="none" w:pos="2227"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Preference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liquidation, dissolution or winding up of the Corporation, either voluntary or involuntary,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Preferred Stock, on a pari passu basis, shall be entitled to receive, prior and in preference to any distribution of any of the assets of the Corporation to the holders of Common Stock or Series 1 Preferred Stock by reason of their ownership thereof, an amount equal to (i) $0.50612 per share (as adjusted for stock splits, stock dividends, reclassification and the like) for each outstanding share of Series A Preferred Stock then held by them, (ii) $0.50612 per share (as adjusted for stock splits, stock dividends, reclassification and the like) for each outstanding share of Series A-1 Preferred Stock then held by them, (iii) $2.707932 per share (as adjusted for stock splits, stock dividends, reclassification and the like) for each outstanding share of Series B Preferred Stock then held by them, (iv) $2.707932 per share (as adjusted for stock splits, stock dividends, reclassification and the like) for each outstanding share of Series B-1 Preferred Stock then held by them, (v) $4.266042 per share (as adjusted for stock splits, stock dividends, reclassification and the like) for each outstanding share of Series C Preferred Stock then held by them, (vi) $4.266042 per share (as adjusted for stock splits, stock dividends, reclassification and the like) for each outstanding share of Series C-1 Preferred Stock then held by them, (vii) $5.225363 per share (as adjusted for stock splits, stock dividends, reclassification and the like) for each outstanding share of Series D Preferred Stock then held by them, (viii) $5.225363 per share (as adjusted for stock splits, stock dividends, reclassification and the like) for each outstanding share of Series D-1 Preferred Stock then held by them, (ix) $8.186401 per share (as adjusted for stock splits, stock dividends, reclassification and the like) for each outstanding share of Series E Preferred Stock then held by them, and (x) $8.186401 per share (as adjusted for stock splits, stock dividends, reclassification and the like) for each outstanding share of Series E-1 Preferred Stock then held by them, plus any declared but unpaid dividends on such shares of Preferred Stock. If, upon the occurrence of such event, the assets and funds thus distributed among the holders of Preferred Stock shall be insufficient to permit the payment to such holders of the full aforesaid preferential amounts, then the entire assets and funds of the Corporation legally available for distribution shall be distributed ratably among the holders of Preferred Stock in proportion to the preferential amount each such holder is otherwise entitled to receive.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08" w:name="page209"/>
    <w:bookmarkEnd w:id="208"/>
    <w:p>
      <w:pPr>
        <w:ind w:left="4" w:right="20" w:firstLine="1979"/>
        <w:spacing w:after="0" w:line="269" w:lineRule="auto"/>
        <w:tabs>
          <w:tab w:leader="none" w:pos="2241" w:val="left"/>
        </w:tabs>
        <w:numPr>
          <w:ilvl w:val="1"/>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Remaining Assets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completion of the distribution required by Section 2(a) above, if assets remain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holders of the Series 1 Preferred Stock and the Common Stock of the Corporation shall receive all of the remaining assets of the Corporation on a pro rata basis based on the number of shares of Common Stock held by each (assuming full conversion of all such Series 1 Preferred Stock into Common Stock). Notwithstanding the above, for purposes of determining the amount each holder of shares of Preferred Stock is entitled to receive with respect to a Liquidation Transaction, as defined below, each such holder of shares of Preferred Stock shall be deemed to have converted (regardless of whether such holder actually converted) such holder’s shares of such series into shares of Class A Common Stock or Class B Common Stock, as applicable, immediately prior to the Liquidation Transaction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73" w:lineRule="exact"/>
        <w:rPr>
          <w:rFonts w:ascii="Arial" w:cs="Arial" w:eastAsia="Arial" w:hAnsi="Arial"/>
          <w:sz w:val="17"/>
          <w:szCs w:val="17"/>
          <w:color w:val="auto"/>
        </w:rPr>
      </w:pPr>
    </w:p>
    <w:p>
      <w:pPr>
        <w:ind w:left="2224" w:hanging="241"/>
        <w:spacing w:after="0"/>
        <w:tabs>
          <w:tab w:leader="none" w:pos="2224" w:val="left"/>
        </w:tabs>
        <w:numPr>
          <w:ilvl w:val="1"/>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Acquisitions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4" w:right="200" w:firstLine="2419"/>
        <w:spacing w:after="0" w:line="293" w:lineRule="auto"/>
        <w:tabs>
          <w:tab w:leader="none" w:pos="2642" w:val="left"/>
        </w:tabs>
        <w:numPr>
          <w:ilvl w:val="2"/>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Deemed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Section 2, a liquidation, dissolution, or winding up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occur if (A) the Corporation shall sell, convey, or otherwise dispose of all or substantially all of its property, assets or business or</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Corporation shall merge with or into or consolidate with any other corporation, limited liability company or other entity (other than a wholly-</w:t>
      </w:r>
    </w:p>
    <w:p>
      <w:pPr>
        <w:spacing w:after="0" w:line="20" w:lineRule="exact"/>
        <w:rPr>
          <w:rFonts w:ascii="Arial" w:cs="Arial" w:eastAsia="Arial" w:hAnsi="Arial"/>
          <w:sz w:val="17"/>
          <w:szCs w:val="17"/>
          <w:color w:val="auto"/>
        </w:rPr>
      </w:pPr>
    </w:p>
    <w:p>
      <w:pPr>
        <w:ind w:left="4"/>
        <w:spacing w:after="0" w:line="285" w:lineRule="auto"/>
        <w:rPr>
          <w:rFonts w:ascii="Arial" w:cs="Arial" w:eastAsia="Arial" w:hAnsi="Arial"/>
          <w:sz w:val="17"/>
          <w:szCs w:val="17"/>
          <w:color w:val="auto"/>
        </w:rPr>
      </w:pPr>
      <w:r>
        <w:rPr>
          <w:rFonts w:ascii="Arial" w:cs="Arial" w:eastAsia="Arial" w:hAnsi="Arial"/>
          <w:sz w:val="16"/>
          <w:szCs w:val="16"/>
          <w:color w:val="auto"/>
        </w:rPr>
        <w:t>owned subsidiary of the Corporation) or (C) there shall be a closing of the transfer (whether by merger, consolidation or otherwise), in one transaction or a series of related transactions, to a person or group of affiliated persons (other than an underwriter of the Corporation’s securities), of the Corporation’s securities if, after such closing, such person or group of affiliated persons would hold 50% or more of the outstanding voting stock of the Corporation (or the surviving or acquiring entity) (any such transaction, a “</w:t>
      </w:r>
      <w:r>
        <w:rPr>
          <w:rFonts w:ascii="Arial" w:cs="Arial" w:eastAsia="Arial" w:hAnsi="Arial"/>
          <w:sz w:val="16"/>
          <w:szCs w:val="16"/>
          <w:u w:val="single" w:color="auto"/>
          <w:color w:val="auto"/>
        </w:rPr>
        <w:t>Liquidation Transaction</w:t>
      </w:r>
      <w:r>
        <w:rPr>
          <w:rFonts w:ascii="Arial" w:cs="Arial" w:eastAsia="Arial" w:hAnsi="Arial"/>
          <w:sz w:val="16"/>
          <w:szCs w:val="16"/>
          <w:color w:val="auto"/>
        </w:rPr>
        <w:t>”), provided that none of the following shall be considered a Liquidation Transaction: (i) a merger effected exclusively for the purpose of changing the domicile of the Corporation, (ii) an equity financing in which the Corporation is the surviving corporation, or (iii) a transaction in which the stockholders of the Corporation immediately prior to the transaction own 50% or more of the voting power of the surviving corporation following the transaction as a result of their ownership in the Corporation immediately prior to such transaction. In the event of a merger or consolidation of the Corporation that is deemed pursuant to this section to be a Liquidation Transaction, all references in this Section 2 to “assets of the Corporation” shall be deemed instead to refer to the aggregate consideration to be paid to the holders of the Corporation’s capital stock in such merger or consolidation. Nothing in this subsection 2(c)(i) shall require the distribution to stockholders of anything other than proceeds of such transaction in the event of a merger or consolidation of the Corporation. Notwithstanding the foregoing, the treatment of any transaction as a Liquidation Transaction may be waived by the vote or written consent of the holders of a majority of the voting power of the then-outstanding shares of Preferred Stock, voting together as a single class.</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09" w:name="page210"/>
    <w:bookmarkEnd w:id="209"/>
    <w:p>
      <w:pPr>
        <w:ind w:right="280" w:firstLine="2419"/>
        <w:spacing w:after="0" w:line="347" w:lineRule="auto"/>
        <w:tabs>
          <w:tab w:leader="none" w:pos="2688" w:val="left"/>
        </w:tabs>
        <w:numPr>
          <w:ilvl w:val="3"/>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Valuation of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deemed liquidation as described in Section 2(c)(i) above,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received by the Corporation is other than cash, its value will be deemed its fair market value. Any securities shall be valued as follows:</w:t>
      </w:r>
    </w:p>
    <w:p>
      <w:pPr>
        <w:spacing w:after="0" w:line="11" w:lineRule="exact"/>
        <w:rPr>
          <w:rFonts w:ascii="Arial" w:cs="Arial" w:eastAsia="Arial" w:hAnsi="Arial"/>
          <w:sz w:val="16"/>
          <w:szCs w:val="16"/>
          <w:color w:val="auto"/>
        </w:rPr>
      </w:pPr>
    </w:p>
    <w:p>
      <w:pPr>
        <w:ind w:left="3160" w:hanging="300"/>
        <w:spacing w:after="0"/>
        <w:tabs>
          <w:tab w:leader="none" w:pos="3160" w:val="left"/>
        </w:tabs>
        <w:numPr>
          <w:ilvl w:val="4"/>
          <w:numId w:val="106"/>
        </w:numPr>
        <w:rPr>
          <w:rFonts w:ascii="Arial" w:cs="Arial" w:eastAsia="Arial" w:hAnsi="Arial"/>
          <w:sz w:val="18"/>
          <w:szCs w:val="18"/>
          <w:color w:val="auto"/>
        </w:rPr>
      </w:pPr>
      <w:r>
        <w:rPr>
          <w:rFonts w:ascii="Arial" w:cs="Arial" w:eastAsia="Arial" w:hAnsi="Arial"/>
          <w:sz w:val="18"/>
          <w:szCs w:val="18"/>
          <w:color w:val="auto"/>
        </w:rPr>
        <w:t>Securities not subject to investment letter or other similar restrictions on free marketability:</w:t>
      </w:r>
    </w:p>
    <w:p>
      <w:pPr>
        <w:spacing w:after="0" w:line="117" w:lineRule="exact"/>
        <w:rPr>
          <w:rFonts w:ascii="Arial" w:cs="Arial" w:eastAsia="Arial" w:hAnsi="Arial"/>
          <w:sz w:val="18"/>
          <w:szCs w:val="18"/>
          <w:color w:val="auto"/>
        </w:rPr>
      </w:pPr>
    </w:p>
    <w:p>
      <w:pPr>
        <w:ind w:right="60" w:firstLine="3411"/>
        <w:spacing w:after="0" w:line="263" w:lineRule="auto"/>
        <w:tabs>
          <w:tab w:leader="none" w:pos="3670" w:val="left"/>
        </w:tabs>
        <w:numPr>
          <w:ilvl w:val="5"/>
          <w:numId w:val="106"/>
        </w:numPr>
        <w:rPr>
          <w:rFonts w:ascii="Arial" w:cs="Arial" w:eastAsia="Arial" w:hAnsi="Arial"/>
          <w:sz w:val="18"/>
          <w:szCs w:val="18"/>
          <w:color w:val="auto"/>
        </w:rPr>
      </w:pPr>
      <w:r>
        <w:rPr>
          <w:rFonts w:ascii="Arial" w:cs="Arial" w:eastAsia="Arial" w:hAnsi="Arial"/>
          <w:sz w:val="18"/>
          <w:szCs w:val="18"/>
          <w:color w:val="auto"/>
        </w:rPr>
        <w:t>If traded on a securities exchange or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the value shall be based on a formula approved by the Board of Directors and derived from the closing prices of the securities on such exchange or Nasdaq over a specified time period;</w:t>
      </w:r>
    </w:p>
    <w:p>
      <w:pPr>
        <w:spacing w:after="0" w:line="75" w:lineRule="exact"/>
        <w:rPr>
          <w:rFonts w:ascii="Arial" w:cs="Arial" w:eastAsia="Arial" w:hAnsi="Arial"/>
          <w:sz w:val="18"/>
          <w:szCs w:val="18"/>
          <w:color w:val="auto"/>
        </w:rPr>
      </w:pPr>
    </w:p>
    <w:p>
      <w:pPr>
        <w:ind w:left="3660" w:hanging="249"/>
        <w:spacing w:after="0"/>
        <w:tabs>
          <w:tab w:leader="none" w:pos="3660" w:val="left"/>
        </w:tabs>
        <w:numPr>
          <w:ilvl w:val="5"/>
          <w:numId w:val="106"/>
        </w:numPr>
        <w:rPr>
          <w:rFonts w:ascii="Arial" w:cs="Arial" w:eastAsia="Arial" w:hAnsi="Arial"/>
          <w:sz w:val="16"/>
          <w:szCs w:val="16"/>
          <w:color w:val="auto"/>
        </w:rPr>
      </w:pPr>
      <w:r>
        <w:rPr>
          <w:rFonts w:ascii="Arial" w:cs="Arial" w:eastAsia="Arial" w:hAnsi="Arial"/>
          <w:sz w:val="16"/>
          <w:szCs w:val="16"/>
          <w:color w:val="auto"/>
        </w:rPr>
        <w:t>If actively traded over-the-counter, the value shall be based on a formula approved by the Board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Directors and derived from the closing bid or sales prices (whichever is applicable) of such securities over a specified time period; and</w:t>
      </w:r>
    </w:p>
    <w:p>
      <w:pPr>
        <w:spacing w:after="0" w:line="102" w:lineRule="exact"/>
        <w:rPr>
          <w:rFonts w:ascii="Arial" w:cs="Arial" w:eastAsia="Arial" w:hAnsi="Arial"/>
          <w:sz w:val="16"/>
          <w:szCs w:val="16"/>
          <w:color w:val="auto"/>
        </w:rPr>
      </w:pPr>
    </w:p>
    <w:p>
      <w:pPr>
        <w:ind w:left="3660" w:hanging="249"/>
        <w:spacing w:after="0"/>
        <w:tabs>
          <w:tab w:leader="none" w:pos="3660" w:val="left"/>
        </w:tabs>
        <w:numPr>
          <w:ilvl w:val="5"/>
          <w:numId w:val="106"/>
        </w:numPr>
        <w:rPr>
          <w:rFonts w:ascii="Arial" w:cs="Arial" w:eastAsia="Arial" w:hAnsi="Arial"/>
          <w:sz w:val="16"/>
          <w:szCs w:val="16"/>
          <w:color w:val="auto"/>
        </w:rPr>
      </w:pPr>
      <w:r>
        <w:rPr>
          <w:rFonts w:ascii="Arial" w:cs="Arial" w:eastAsia="Arial" w:hAnsi="Arial"/>
          <w:sz w:val="16"/>
          <w:szCs w:val="16"/>
          <w:color w:val="auto"/>
        </w:rPr>
        <w:t>If there is no active public market, the value shall be the fair market value thereof, as determined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 faith by the Board of Directors.</w:t>
      </w:r>
    </w:p>
    <w:p>
      <w:pPr>
        <w:spacing w:after="0" w:line="102" w:lineRule="exact"/>
        <w:rPr>
          <w:rFonts w:ascii="Arial" w:cs="Arial" w:eastAsia="Arial" w:hAnsi="Arial"/>
          <w:sz w:val="16"/>
          <w:szCs w:val="16"/>
          <w:color w:val="auto"/>
        </w:rPr>
      </w:pPr>
    </w:p>
    <w:p>
      <w:pPr>
        <w:jc w:val="both"/>
        <w:ind w:firstLine="2860"/>
        <w:spacing w:after="0" w:line="259" w:lineRule="auto"/>
        <w:tabs>
          <w:tab w:leader="none" w:pos="3149" w:val="left"/>
        </w:tabs>
        <w:numPr>
          <w:ilvl w:val="4"/>
          <w:numId w:val="106"/>
        </w:numPr>
        <w:rPr>
          <w:rFonts w:ascii="Arial" w:cs="Arial" w:eastAsia="Arial" w:hAnsi="Arial"/>
          <w:sz w:val="18"/>
          <w:szCs w:val="18"/>
          <w:color w:val="auto"/>
        </w:rPr>
      </w:pPr>
      <w:r>
        <w:rPr>
          <w:rFonts w:ascii="Arial" w:cs="Arial" w:eastAsia="Arial" w:hAnsi="Arial"/>
          <w:sz w:val="18"/>
          <w:szCs w:val="18"/>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specified above in Section 2(c)(ii)(A) to reflect the approximate fair market value thereof, as determined in good faith by the Board of Directors.</w:t>
      </w:r>
    </w:p>
    <w:p>
      <w:pPr>
        <w:spacing w:after="0" w:line="78" w:lineRule="exact"/>
        <w:rPr>
          <w:rFonts w:ascii="Arial" w:cs="Arial" w:eastAsia="Arial" w:hAnsi="Arial"/>
          <w:sz w:val="18"/>
          <w:szCs w:val="18"/>
          <w:color w:val="auto"/>
        </w:rPr>
      </w:pPr>
    </w:p>
    <w:p>
      <w:pPr>
        <w:ind w:right="20" w:firstLine="2860"/>
        <w:spacing w:after="0" w:line="259" w:lineRule="auto"/>
        <w:tabs>
          <w:tab w:leader="none" w:pos="3149" w:val="left"/>
        </w:tabs>
        <w:numPr>
          <w:ilvl w:val="4"/>
          <w:numId w:val="106"/>
        </w:numPr>
        <w:rPr>
          <w:rFonts w:ascii="Arial" w:cs="Arial" w:eastAsia="Arial" w:hAnsi="Arial"/>
          <w:sz w:val="18"/>
          <w:szCs w:val="18"/>
          <w:color w:val="auto"/>
        </w:rPr>
      </w:pPr>
      <w:r>
        <w:rPr>
          <w:rFonts w:ascii="Arial" w:cs="Arial" w:eastAsia="Arial" w:hAnsi="Arial"/>
          <w:sz w:val="18"/>
          <w:szCs w:val="18"/>
          <w:color w:val="auto"/>
        </w:rPr>
        <w:t>The foregoing methods for valuing non-cash consideration to be distributed in connection with a Liquidation Transaction shall, with the appropriate approval of the definitive agreements governing such Liquidation Transaction by the stockholders under the General Corporation Law and Section 6 of this Article IV(B), be superseded by the determination of such value set forth in the definitive agreements governing such Liquidation Transaction.</w:t>
      </w:r>
    </w:p>
    <w:p>
      <w:pPr>
        <w:spacing w:after="0" w:line="74" w:lineRule="exact"/>
        <w:rPr>
          <w:rFonts w:ascii="Arial" w:cs="Arial" w:eastAsia="Arial" w:hAnsi="Arial"/>
          <w:sz w:val="18"/>
          <w:szCs w:val="18"/>
          <w:color w:val="auto"/>
        </w:rPr>
      </w:pPr>
    </w:p>
    <w:p>
      <w:pPr>
        <w:ind w:left="1160" w:hanging="173"/>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is not redeemable.</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shares of Preferred Stock shall be entitled to conversion rights as follows (the “</w:t>
      </w:r>
      <w:r>
        <w:rPr>
          <w:rFonts w:ascii="Arial" w:cs="Arial" w:eastAsia="Arial" w:hAnsi="Arial"/>
          <w:sz w:val="16"/>
          <w:szCs w:val="16"/>
          <w:u w:val="single" w:color="auto"/>
          <w:color w:val="auto"/>
        </w:rPr>
        <w:t>Preferred Stock Conversion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98" w:lineRule="exact"/>
        <w:rPr>
          <w:rFonts w:ascii="Arial" w:cs="Arial" w:eastAsia="Arial" w:hAnsi="Arial"/>
          <w:sz w:val="16"/>
          <w:szCs w:val="16"/>
          <w:color w:val="auto"/>
        </w:rPr>
      </w:pPr>
    </w:p>
    <w:p>
      <w:pPr>
        <w:ind w:left="1680" w:hanging="252"/>
        <w:spacing w:after="0"/>
        <w:tabs>
          <w:tab w:leader="none" w:pos="1680" w:val="left"/>
        </w:tabs>
        <w:numPr>
          <w:ilvl w:val="1"/>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Convert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right="120" w:firstLine="1979"/>
        <w:spacing w:after="0" w:line="263" w:lineRule="auto"/>
        <w:tabs>
          <w:tab w:leader="none" w:pos="2198" w:val="left"/>
        </w:tabs>
        <w:numPr>
          <w:ilvl w:val="2"/>
          <w:numId w:val="107"/>
        </w:numPr>
        <w:rPr>
          <w:rFonts w:ascii="Arial" w:cs="Arial" w:eastAsia="Arial" w:hAnsi="Arial"/>
          <w:sz w:val="18"/>
          <w:szCs w:val="18"/>
          <w:color w:val="auto"/>
        </w:rPr>
      </w:pPr>
      <w:r>
        <w:rPr>
          <w:rFonts w:ascii="Arial" w:cs="Arial" w:eastAsia="Arial" w:hAnsi="Arial"/>
          <w:sz w:val="18"/>
          <w:szCs w:val="18"/>
          <w:color w:val="auto"/>
        </w:rPr>
        <w:t>Subject to Section 4(c), each share of Series A, Series B, Series C, Series D or Series E Preferred Stock shall be convertible, at the option of the holder thereof, at any time after the date of issuance of such share, at the office of the Corporation or any transfer agent for such stock, into such number of fully paid and nonassessable shares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10" w:name="page211"/>
    <w:bookmarkEnd w:id="210"/>
    <w:p>
      <w:pPr>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Class B Common Stock as is determined by dividing (i) $0.50612 (as adjusted for any stock splits, stock dividends, combinations, subdivisions, recapitalizations or the like), in the case of the Series A Preferred Stock, (ii) $2.707932 (as adjusted for any stock splits, stock dividends, combinations, subdivisions, recapitalizations or the like), in the case of the Series B Preferred Stock, (iii) $4.266042 (as adjusted for any stock splits, stock dividends, combinations, subdivisions, recapitalizations or the like), in the case of the Series C Preferred Stock, (iv) $5.225363 (as adjusted for any stock splits, stock dividends, combinations, subdivisions, recapitalizations or the like), in the case of the Series D Preferred Stock, or (v) $8.186401 (as adjusted for any stock splits, stock dividends, combinations, subdivisions, recapitalizations or the like), in the case of the Series E Preferred Stock, by the Preferred Stock Conversion Price applicable to such share, determined as hereafter provided, in effect on the date the certificate is surrendered for conversion. The initial Preferred Stock Conversion Price per share shall be (i) $0.50612 (as adjusted for any stock splits, stock dividends, combinations, subdivisions, recapitalizations or the like), in the case of the Series A Preferred Stock, (ii) $2.707932 (as adjusted for any stock splits, stock dividends, combinations, subdivisions, recapitalizations or the like), in the case of the Series B Preferred Stock, (iii) $4.266042 (as adjusted for any stock splits, stock dividends, combinations, subdivisions, recapitalizations or the like), in the case of the Series C Preferred Stock, (iv) $5.225363 (as adjusted for any stock splits, stock dividends, combinations, subdivisions, recapitalizations or the like), in the case of the Series D Preferred Stock, and (v) $8.186401 (as adjusted for any stock splits, stock dividends, combinations, subdivisions, recapitalizations or the like), in the case of the Series E Preferred Stock. Each such initial Preferred Stock Conversion Price shall be subject to adjustment as set forth in Section 4(d).</w:t>
      </w:r>
    </w:p>
    <w:p>
      <w:pPr>
        <w:spacing w:after="0" w:line="63" w:lineRule="exact"/>
        <w:rPr>
          <w:sz w:val="20"/>
          <w:szCs w:val="20"/>
          <w:color w:val="auto"/>
        </w:rPr>
      </w:pPr>
    </w:p>
    <w:p>
      <w:pPr>
        <w:ind w:left="4" w:firstLine="1979"/>
        <w:spacing w:after="0" w:line="283" w:lineRule="auto"/>
        <w:tabs>
          <w:tab w:leader="none" w:pos="225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Subject to Section 4(c), each share of Series A-1, Series B-1, Series C-1, Series D-1 or Series E-1 Preferred Stock shall be convertible, at the option of the holder thereof, at any time after the date of issuance of such share, at the office of the Corporation or any transfer agent for such stock, into such number of fully paid and nonassessable shares of Class A Common Stock as is determined by dividing (i) $0.50612 (as adjusted for any stock splits, stock dividends, combinations, subdivisions, recapitalizations or the like), in the case of the Series A-1 Preferred Stock, (ii) $2.707932 (as adjusted for any stock splits, stock dividends, combinations, subdivisions, recapitalizations or the like), in the case of the Series B-1 Preferred Stock, (iii) $4.266042 (as adjusted for any stock splits, stock dividends, combinations, subdivisions, recapitalizations or the like), in the case of the Series C-1 Preferred Stock, (iv) $5.225363 (as adjusted for any stock splits, stock dividends, combinations, subdivisions, recapitalizations or the like), in the case of the Series D-1 Preferred Stock, or (v) $8.186401 (as adjusted for any stock splits, stock dividends, combinations, subdivisions, recapitalizations or the like), in the case of the Series E-1 Preferred Stock, by the Preferred Stock Conversion Price applicable to such share, determined as hereafter provided, in effect on the date the certificate is surrendered for conversion. The initial Preferred Stock Conversion Price per share shall be</w:t>
      </w:r>
    </w:p>
    <w:p>
      <w:pPr>
        <w:spacing w:after="0" w:line="4"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$0.50612 (as adjusted for any stock splits, stock dividends, combinations, subdivisions, recapitalizations or the like), in the case of the Series A-1 Preferred Stock, (ii) $2.707932 (as adjusted for any stock splits, stock dividends, combinations, subdivisions, recapitalizations or the like), in the case of the Series B-1 Preferred Stock, (iii) $4.266042 (as adjusted for any stock splits, stock dividends, combinations, subdivisions, recapitalizations or the like), in the case of the Series C-1 Preferred Stock, (iv) $5.225363 (as adjusted for any stock splits, stock dividends, combinations, subdivisions, recapitalizations or the like), in the case of the Series D-1 Preferred Stock, and (v) $8.186401 (as adjusted for any stock splits, stock dividends, combinations, subdivisions, recapitalizations or the like), in the case of the Series E-1 Preferred Stock. Each such initial Preferred Stock Conversion Price shall be subject to adjustment as set forth in Section 4(d).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11" w:name="page212"/>
    <w:bookmarkEnd w:id="211"/>
    <w:p>
      <w:pPr>
        <w:ind w:left="2244" w:hanging="261"/>
        <w:spacing w:after="0"/>
        <w:tabs>
          <w:tab w:leader="none" w:pos="2244" w:val="left"/>
        </w:tabs>
        <w:numPr>
          <w:ilvl w:val="1"/>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Automatic Conversion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 w:right="160" w:firstLine="2860"/>
        <w:spacing w:after="0" w:line="285" w:lineRule="auto"/>
        <w:tabs>
          <w:tab w:leader="none" w:pos="3083" w:val="left"/>
        </w:tabs>
        <w:numPr>
          <w:ilvl w:val="2"/>
          <w:numId w:val="110"/>
        </w:numPr>
        <w:rPr>
          <w:rFonts w:ascii="Arial" w:cs="Arial" w:eastAsia="Arial" w:hAnsi="Arial"/>
          <w:sz w:val="16"/>
          <w:szCs w:val="16"/>
          <w:color w:val="auto"/>
        </w:rPr>
      </w:pPr>
      <w:r>
        <w:rPr>
          <w:rFonts w:ascii="Arial" w:cs="Arial" w:eastAsia="Arial" w:hAnsi="Arial"/>
          <w:sz w:val="16"/>
          <w:szCs w:val="16"/>
          <w:color w:val="auto"/>
        </w:rPr>
        <w:t>(A) Each share of Series A, Series B, Series C, Series D and Series E Preferred Stock shall automatically be converted into shares of Class B Common Stock and (B) each share of Series A-1, Series B-1, Series C-1, Series D-1 and Series E-1 Preferred Stock shall automatically be converted into shares of Class A Common Stock, each at the respective Conversion Price then in effect for such share, immediately upon the earlier of (1) except as provided below in Section 4(c), the Corporation’s sale of its Common Stock in a firm commitment underwritten public offering pursuant to a registration statement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results in</w:t>
      </w:r>
    </w:p>
    <w:p>
      <w:pPr>
        <w:spacing w:after="0" w:line="1" w:lineRule="exact"/>
        <w:rPr>
          <w:rFonts w:ascii="Arial" w:cs="Arial" w:eastAsia="Arial" w:hAnsi="Arial"/>
          <w:sz w:val="16"/>
          <w:szCs w:val="16"/>
          <w:color w:val="auto"/>
        </w:rPr>
      </w:pPr>
    </w:p>
    <w:p>
      <w:pPr>
        <w:ind w:left="4" w:hanging="4"/>
        <w:spacing w:after="0" w:line="281" w:lineRule="auto"/>
        <w:tabs>
          <w:tab w:leader="none" w:pos="25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aggregate cash proceeds to the Corporation of not less than $100,000,000 (net of underwriting discounts and commissions) and (y) a price per share of Common Stock at least equal to $8.186401 per share (as adjusted for stock splits, stock dividends, reclassification and the like) (a “</w:t>
      </w:r>
      <w:r>
        <w:rPr>
          <w:rFonts w:ascii="Arial" w:cs="Arial" w:eastAsia="Arial" w:hAnsi="Arial"/>
          <w:sz w:val="16"/>
          <w:szCs w:val="16"/>
          <w:u w:val="single" w:color="auto"/>
          <w:color w:val="auto"/>
        </w:rPr>
        <w:t>Qualifying IPO</w:t>
      </w:r>
      <w:r>
        <w:rPr>
          <w:rFonts w:ascii="Arial" w:cs="Arial" w:eastAsia="Arial" w:hAnsi="Arial"/>
          <w:sz w:val="16"/>
          <w:szCs w:val="16"/>
          <w:color w:val="auto"/>
        </w:rPr>
        <w:t>”) or (2) the date or the occurrence of an event specified by vote or written consent of the holders of a majority of the voting power of the then-outstanding shares of Preferred Stock, voting together as a single class; provided, however, that: (I) the Series D Preferred Stock shall not be automatically converted pursuant to the foregoing clause (2) in connection with a Liquidation Transaction unless either: (x) the holders of the Series D Preferred Stock receive proceeds from such Liquidation Transaction with respect to their shares of Series D Preferred Stock in an amount equal to at least the lesser of</w:t>
      </w:r>
    </w:p>
    <w:p>
      <w:pPr>
        <w:spacing w:after="0" w:line="3" w:lineRule="exact"/>
        <w:rPr>
          <w:rFonts w:ascii="Arial" w:cs="Arial" w:eastAsia="Arial" w:hAnsi="Arial"/>
          <w:sz w:val="16"/>
          <w:szCs w:val="16"/>
          <w:color w:val="auto"/>
        </w:rPr>
      </w:pPr>
    </w:p>
    <w:p>
      <w:pPr>
        <w:ind w:left="4" w:right="20" w:hanging="4"/>
        <w:spacing w:after="0" w:line="286" w:lineRule="auto"/>
        <w:tabs>
          <w:tab w:leader="none" w:pos="21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$5.225363 per share (as adjusted for any stock splits, stock dividends, combinations, subdivisions, recapitalizations or the like) and (ii) the amount they would have otherwise received pursuant to the terms hereof if such shares of Series D Preferred Stock had remained outstanding and not converted into shares of Class B Common Stock; or (y) the holders of at least 55% of the then-outstanding shares of Series D Preferred Stock consent to such conversion; and (II) that the Series E Preferred Stock shall not be automatically converted pursuant to the foregoing clause (2) in connection with a Liquidation Transaction unless either: (x) the holders of the Series E Preferred Stock receive proceeds from such Liquidation Transaction with respect to their shares of Series E Preferred Stock in an amount equal to at least the lesser of (i) $8.186401 per share (as adjusted for any stock splits, stock dividends, combinations, subdivisions, recapitalizations or the like) and (ii) the amount they would have otherwise received pursuant to the terms hereof if such shares of Series E Preferred Stock had remained outstanding and not converted into shares of Class B Common Stock; or (y) the holders of at least 57% of the then-outstanding shares of Series E Preferred Stock consent to such conversion.</w:t>
      </w:r>
    </w:p>
    <w:p>
      <w:pPr>
        <w:spacing w:after="0" w:line="64" w:lineRule="exact"/>
        <w:rPr>
          <w:rFonts w:ascii="Arial" w:cs="Arial" w:eastAsia="Arial" w:hAnsi="Arial"/>
          <w:sz w:val="16"/>
          <w:szCs w:val="16"/>
          <w:color w:val="auto"/>
        </w:rPr>
      </w:pPr>
    </w:p>
    <w:p>
      <w:pPr>
        <w:ind w:left="4" w:right="20" w:firstLine="2860"/>
        <w:spacing w:after="0" w:line="286" w:lineRule="auto"/>
        <w:tabs>
          <w:tab w:leader="none" w:pos="3133" w:val="left"/>
        </w:tabs>
        <w:numPr>
          <w:ilvl w:val="2"/>
          <w:numId w:val="112"/>
        </w:numPr>
        <w:rPr>
          <w:rFonts w:ascii="Arial" w:cs="Arial" w:eastAsia="Arial" w:hAnsi="Arial"/>
          <w:sz w:val="16"/>
          <w:szCs w:val="16"/>
          <w:color w:val="auto"/>
        </w:rPr>
      </w:pPr>
      <w:r>
        <w:rPr>
          <w:rFonts w:ascii="Arial" w:cs="Arial" w:eastAsia="Arial" w:hAnsi="Arial"/>
          <w:sz w:val="16"/>
          <w:szCs w:val="16"/>
          <w:color w:val="auto"/>
        </w:rPr>
        <w:t>Each share of Series A, Series B, Series C, Series D or Series E Preferred Stock, as applicable, shall automatically, without any further action by the holder or the Corporation, convert into one (1) share of Series A-1 Preferred Stock (in the case of the Series A Preferred Stock), one (1) share of Series B-1 Preferred Stock (in the case of the Series B Preferred Stock), one (1) share of Series C-1 Preferred Stock (in the case of the Series C Preferred Stock), one (1) share of Series D-1 Preferred Stock (in the case of the Series D Preferred Stock), or one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share of Series E-1 Preferred Stock (in the case of the Series 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212" w:name="page213"/>
    <w:bookmarkEnd w:id="212"/>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Preferred Stock), as applicable, (in each case, as adjusted for any stock splits, stock dividends, combinations, subdivisions, recapitalizations or the like) upon the Transfer (as defined in Section (F) of Article IV) of such share; provided, however, that a Transfer of Series A, Series B, Series C, Series D or Series E Preferred Stock by an Existing Preferred Stockholder (as defined in Section (F) of Article IV) or such Existing Preferred Stockholder’s Preferred Stock Permitted Entities (as defined in Section (F) of Article IV) to another Existing Preferred Stockholder or such Existing Preferred Stockholder’s Preferred Stock Permitted Entities shall not trigger such automatic conversion; provided further, however, that a Transfer by an Existing Preferred Stockholder to any of the following Preferred Stock Permitted Entities, or from any of the following Preferred Stock Permitted Entities to such Existing Preferred Stockholder or any other Preferred Stock Permitted Entity by or for such Existing Preferred Stockholder shall not trigger such automatic conversion:</w:t>
      </w:r>
    </w:p>
    <w:p>
      <w:pPr>
        <w:spacing w:after="0" w:line="84" w:lineRule="exact"/>
        <w:rPr>
          <w:sz w:val="20"/>
          <w:szCs w:val="20"/>
          <w:color w:val="auto"/>
        </w:rPr>
      </w:pPr>
    </w:p>
    <w:p>
      <w:pPr>
        <w:ind w:left="4" w:right="40" w:firstLine="2860"/>
        <w:spacing w:after="0" w:line="284" w:lineRule="auto"/>
        <w:tabs>
          <w:tab w:leader="none" w:pos="316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 trust for the benefit of such Existing Preferred Stockholder and for the benefit of no other person, provided such Transfer does not involve any payment of cash, securities, property or other consideration (other than an interest in such trust) to the Existing Preferred Stockholder (a “</w:t>
      </w:r>
      <w:r>
        <w:rPr>
          <w:rFonts w:ascii="Arial" w:cs="Arial" w:eastAsia="Arial" w:hAnsi="Arial"/>
          <w:sz w:val="16"/>
          <w:szCs w:val="16"/>
          <w:u w:val="single" w:color="auto"/>
          <w:color w:val="auto"/>
        </w:rPr>
        <w:t>Clause (A) Preferred Stock Permitted Trust</w:t>
      </w:r>
      <w:r>
        <w:rPr>
          <w:rFonts w:ascii="Arial" w:cs="Arial" w:eastAsia="Arial" w:hAnsi="Arial"/>
          <w:sz w:val="16"/>
          <w:szCs w:val="16"/>
          <w:color w:val="auto"/>
        </w:rPr>
        <w:t>”), and, provided, further, that in the event and at such time as such Existing Preferred Stockholder is no longer the exclusive beneficiary of such trust, each share of Series A, Series B, Series C, Series D or Series E Preferred Stock then held by such trust shall automatically convert into (i) one (1) fully paid and nonassessable share of Series A-1 Preferred Stock (in the case of the Series A Preferred Stock), (ii) one (1) fully paid and nonassessable share of Series B-1 Preferred Stock (in the case of the Series B Preferred Stock),</w:t>
      </w:r>
    </w:p>
    <w:p>
      <w:pPr>
        <w:spacing w:after="0" w:line="4" w:lineRule="exact"/>
        <w:rPr>
          <w:rFonts w:ascii="Arial" w:cs="Arial" w:eastAsia="Arial" w:hAnsi="Arial"/>
          <w:sz w:val="16"/>
          <w:szCs w:val="16"/>
          <w:color w:val="auto"/>
        </w:rPr>
      </w:pPr>
    </w:p>
    <w:p>
      <w:pPr>
        <w:ind w:left="4" w:right="320" w:hanging="4"/>
        <w:spacing w:after="0" w:line="253" w:lineRule="auto"/>
        <w:tabs>
          <w:tab w:leader="none" w:pos="31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(1) 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84" w:lineRule="exact"/>
        <w:rPr>
          <w:rFonts w:ascii="Arial" w:cs="Arial" w:eastAsia="Arial" w:hAnsi="Arial"/>
          <w:sz w:val="18"/>
          <w:szCs w:val="18"/>
          <w:color w:val="auto"/>
        </w:rPr>
      </w:pPr>
    </w:p>
    <w:p>
      <w:pPr>
        <w:ind w:left="4" w:firstLine="2860"/>
        <w:spacing w:after="0" w:line="283" w:lineRule="auto"/>
        <w:tabs>
          <w:tab w:leader="none" w:pos="315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 trust for the benefit of persons other than the Existing Preferred Stockholder so long as the Existing Preferred Stockholder has sole dispositive power and exclusive Voting Control (as defined below) with respect to the shares of Series A, Series B, Series C, Series D or Series E Preferred Stock held by such trust, provided such Transfer does not involve any payment of cash, securities, property or other consideration (other than an interest in such trust) to the Existing Preferred Stockholder (“</w:t>
      </w:r>
      <w:r>
        <w:rPr>
          <w:rFonts w:ascii="Arial" w:cs="Arial" w:eastAsia="Arial" w:hAnsi="Arial"/>
          <w:sz w:val="16"/>
          <w:szCs w:val="16"/>
          <w:u w:val="single" w:color="auto"/>
          <w:color w:val="auto"/>
        </w:rPr>
        <w:t>Clause (B) Preferred Stock Permitted Trust</w:t>
      </w:r>
      <w:r>
        <w:rPr>
          <w:rFonts w:ascii="Arial" w:cs="Arial" w:eastAsia="Arial" w:hAnsi="Arial"/>
          <w:sz w:val="16"/>
          <w:szCs w:val="16"/>
          <w:color w:val="auto"/>
        </w:rPr>
        <w:t>”), and, provided, further, that in the event and at such time as the Existing Preferred Stockholder no longer has sole dispositive power and exclusive Voting Control with respect to the shares of Series A, Series B, Series C, Series D or Series E Preferred Stock held by such trust, each share of Series A, Series B, Series C, Series D or Series E Preferred Stock then held by such trust shall automatically 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w:t>
      </w:r>
    </w:p>
    <w:p>
      <w:pPr>
        <w:spacing w:after="0" w:line="5" w:lineRule="exact"/>
        <w:rPr>
          <w:rFonts w:ascii="Arial" w:cs="Arial" w:eastAsia="Arial" w:hAnsi="Arial"/>
          <w:sz w:val="16"/>
          <w:szCs w:val="16"/>
          <w:color w:val="auto"/>
        </w:rPr>
      </w:pPr>
    </w:p>
    <w:p>
      <w:pPr>
        <w:ind w:left="4" w:right="220" w:hanging="4"/>
        <w:spacing w:after="0" w:line="255" w:lineRule="auto"/>
        <w:tabs>
          <w:tab w:leader="none" w:pos="30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13" w:name="page214"/>
    <w:bookmarkEnd w:id="213"/>
    <w:p>
      <w:pPr>
        <w:ind w:left="-40" w:right="40" w:firstLine="2860"/>
        <w:spacing w:after="0" w:line="269" w:lineRule="auto"/>
        <w:tabs>
          <w:tab w:leader="none" w:pos="3109"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trust under the terms of which such Existing Preferred Stockholder has retained a “qualified interest” within the meaning of §2702(b)(1)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or a reversionary interest so long as the Existing Preferred Stockholder has sole dispositive power and exclusive Voting Control with respect to the shares of Series A, Series B, Series C, Series D or Series E Preferred Stock held by such trust (a “</w:t>
      </w:r>
      <w:r>
        <w:rPr>
          <w:rFonts w:ascii="Arial" w:cs="Arial" w:eastAsia="Arial" w:hAnsi="Arial"/>
          <w:sz w:val="17"/>
          <w:szCs w:val="17"/>
          <w:u w:val="single" w:color="auto"/>
          <w:color w:val="auto"/>
        </w:rPr>
        <w:t>Clause (C) Preferred Stock Permitted Trust</w:t>
      </w:r>
      <w:r>
        <w:rPr>
          <w:rFonts w:ascii="Arial" w:cs="Arial" w:eastAsia="Arial" w:hAnsi="Arial"/>
          <w:sz w:val="17"/>
          <w:szCs w:val="17"/>
          <w:color w:val="auto"/>
        </w:rPr>
        <w:t>”) and provided, further, that in the event and at such time as the Existing Preferred Stockholder no longer has sole dispositive power and exclusive Voting Control with respect to the shares of Series A, Series B, Series C, Series D or Series E Preferred Stock held by such trust, each share of Series A, Series B, Series C, Series D or Series E Preferred Stock then held by such trust shall automatically 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70" w:lineRule="exact"/>
        <w:rPr>
          <w:rFonts w:ascii="Arial" w:cs="Arial" w:eastAsia="Arial" w:hAnsi="Arial"/>
          <w:sz w:val="17"/>
          <w:szCs w:val="17"/>
          <w:color w:val="auto"/>
        </w:rPr>
      </w:pPr>
    </w:p>
    <w:p>
      <w:pPr>
        <w:ind w:left="-40" w:firstLine="2860"/>
        <w:spacing w:after="0" w:line="286" w:lineRule="auto"/>
        <w:tabs>
          <w:tab w:leader="none" w:pos="311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Individual Retirement Account, as defined in Section 408(a) of the Code, or a pension, profit sharing, stock bonus or other type of plan or trust of which such Existing Preferred Stockholder is a participant or beneficiary and which satisfies the requirements for qualification under Section 401 of the Code; provided that in each case such Existing Preferred Stockholder has sole dispositive power and exclusive Voting Control with respect to the shares of Series A, Series B, Series C, Series D or Series E Preferred Stock held in such account, plan or trust (each, a “</w:t>
      </w:r>
      <w:r>
        <w:rPr>
          <w:rFonts w:ascii="Arial" w:cs="Arial" w:eastAsia="Arial" w:hAnsi="Arial"/>
          <w:sz w:val="16"/>
          <w:szCs w:val="16"/>
          <w:u w:val="single" w:color="auto"/>
          <w:color w:val="auto"/>
        </w:rPr>
        <w:t>Preferred Stock Permitted IRA</w:t>
      </w:r>
      <w:r>
        <w:rPr>
          <w:rFonts w:ascii="Arial" w:cs="Arial" w:eastAsia="Arial" w:hAnsi="Arial"/>
          <w:sz w:val="16"/>
          <w:szCs w:val="16"/>
          <w:color w:val="auto"/>
        </w:rPr>
        <w:t>”), and provided, further, that in the event and at such time as the Existing Preferred Stockholder no longer has sole dispositive power and exclusive Voting Control with respect to the shares of Series A, Series B, Series C, Series D or Series E Preferred Stock held by such account, plan or trust, each share of Series A, Series B, Series C, Series D or Series E Preferred Stock then held by or in such Individual Retirement Account, pension, profit sharing, stock bonus or other type of plan or trust shall automatically 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65" w:lineRule="exact"/>
        <w:rPr>
          <w:rFonts w:ascii="Arial" w:cs="Arial" w:eastAsia="Arial" w:hAnsi="Arial"/>
          <w:sz w:val="16"/>
          <w:szCs w:val="16"/>
          <w:color w:val="auto"/>
        </w:rPr>
      </w:pPr>
    </w:p>
    <w:p>
      <w:pPr>
        <w:ind w:left="-40" w:right="160" w:firstLine="2860"/>
        <w:spacing w:after="0" w:line="263" w:lineRule="auto"/>
        <w:tabs>
          <w:tab w:leader="none" w:pos="30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in which such Existing Preferred Stockholder directly, or indirectly through one or more Preferred Stock Permitted Entities, owns shares with sufficient Voting Control in the corporation, or otherwise has legally enforceable rights, such that the Existing Preferred Stockholder retains sole dispositive power and exclusive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80" w:top="274" w:right="479" w:bottom="1440" w:gutter="0" w:footer="0" w:header="0"/>
        </w:sectPr>
      </w:pPr>
    </w:p>
    <w:bookmarkStart w:id="214" w:name="page215"/>
    <w:bookmarkEnd w:id="214"/>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Voting Control with respect to the shares of Series A, Series B, Series C, Series D or Series E Preferred Stock held by such corporation (a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Permitted Corporation</w:t>
      </w:r>
      <w:r>
        <w:rPr>
          <w:rFonts w:ascii="Arial" w:cs="Arial" w:eastAsia="Arial" w:hAnsi="Arial"/>
          <w:sz w:val="16"/>
          <w:szCs w:val="16"/>
          <w:color w:val="auto"/>
        </w:rPr>
        <w:t>”); and provided further that in the event and at such time the Existing Preferred Stockholder no longer has sole dispositive power and exclusive Voting Control with respect to the shares of Series A, Series B, Series C, Series D or Series E Preferred Stock held by such corporation, each share of Series A, Series B, Series C, Series D or Series E Preferred Stock then held by such corporation shall automatically 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58" w:lineRule="exact"/>
        <w:rPr>
          <w:sz w:val="20"/>
          <w:szCs w:val="20"/>
          <w:color w:val="auto"/>
        </w:rPr>
      </w:pPr>
    </w:p>
    <w:p>
      <w:pPr>
        <w:ind w:left="4" w:firstLine="2860"/>
        <w:spacing w:after="0" w:line="283" w:lineRule="auto"/>
        <w:tabs>
          <w:tab w:leader="none" w:pos="313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partnership in which such Existing Preferred Stockholder directly, or indirectly through one or more Preferred Stock Permitted Entities, owns partnership interests with sufficient Voting Control in the partnership, or otherwise has legally enforceable rights, such that the Existing Preferred Stockholder retains sole dispositive power and exclusive Voting Control with respect to the shares of Series A, Series B, Series C, Series D or Series E Preferred Stock held by such partnership (a “</w:t>
      </w:r>
      <w:r>
        <w:rPr>
          <w:rFonts w:ascii="Arial" w:cs="Arial" w:eastAsia="Arial" w:hAnsi="Arial"/>
          <w:sz w:val="16"/>
          <w:szCs w:val="16"/>
          <w:u w:val="single" w:color="auto"/>
          <w:color w:val="auto"/>
        </w:rPr>
        <w:t>Preferred Stock Permitted Partnership</w:t>
      </w:r>
      <w:r>
        <w:rPr>
          <w:rFonts w:ascii="Arial" w:cs="Arial" w:eastAsia="Arial" w:hAnsi="Arial"/>
          <w:sz w:val="16"/>
          <w:szCs w:val="16"/>
          <w:color w:val="auto"/>
        </w:rPr>
        <w:t>”); and provided further that in the event and at such time as the Existing Preferred Stockholder no longer has sole dispositive power and exclusive Voting Control with respect to the shares of Series A, Series B, Series C, Series D or Series E Preferred Stock held by such partnership, each share of Series A, Series B, Series C, Series D or Series E Preferred Stock then held by such partnership shall automatically 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w:t>
      </w:r>
    </w:p>
    <w:p>
      <w:pPr>
        <w:spacing w:after="0" w:line="5" w:lineRule="exact"/>
        <w:rPr>
          <w:rFonts w:ascii="Arial" w:cs="Arial" w:eastAsia="Arial" w:hAnsi="Arial"/>
          <w:sz w:val="16"/>
          <w:szCs w:val="16"/>
          <w:color w:val="auto"/>
        </w:rPr>
      </w:pPr>
    </w:p>
    <w:p>
      <w:pPr>
        <w:ind w:left="4" w:right="220" w:hanging="4"/>
        <w:spacing w:after="0" w:line="255" w:lineRule="auto"/>
        <w:tabs>
          <w:tab w:leader="none" w:pos="30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 or</w:t>
      </w:r>
    </w:p>
    <w:p>
      <w:pPr>
        <w:spacing w:after="0" w:line="81" w:lineRule="exact"/>
        <w:rPr>
          <w:rFonts w:ascii="Arial" w:cs="Arial" w:eastAsia="Arial" w:hAnsi="Arial"/>
          <w:sz w:val="18"/>
          <w:szCs w:val="18"/>
          <w:color w:val="auto"/>
        </w:rPr>
      </w:pPr>
    </w:p>
    <w:p>
      <w:pPr>
        <w:ind w:left="4" w:right="40" w:firstLine="2860"/>
        <w:spacing w:after="0" w:line="291" w:lineRule="auto"/>
        <w:tabs>
          <w:tab w:leader="none" w:pos="316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limited liability company in which such Existing Preferred Stockholder directly, or indirectly through one or more Preferred Stock Permitted Entities, owns membership interests with sufficient Voting Control in the limited liability company, or otherwise has legally enforceable rights, such that the Existing Preferred Stockholder retains sole dispositive power and exclusive Voting Control with respect to the shares of Series A, Series B, Series C, Series D or Series E Preferred Stock held by such limited liability company (a “</w:t>
      </w:r>
      <w:r>
        <w:rPr>
          <w:rFonts w:ascii="Arial" w:cs="Arial" w:eastAsia="Arial" w:hAnsi="Arial"/>
          <w:sz w:val="16"/>
          <w:szCs w:val="16"/>
          <w:u w:val="single" w:color="auto"/>
          <w:color w:val="auto"/>
        </w:rPr>
        <w:t>Preferred Stock Permitted LLC</w:t>
      </w:r>
      <w:r>
        <w:rPr>
          <w:rFonts w:ascii="Arial" w:cs="Arial" w:eastAsia="Arial" w:hAnsi="Arial"/>
          <w:sz w:val="16"/>
          <w:szCs w:val="16"/>
          <w:color w:val="auto"/>
        </w:rPr>
        <w:t>”); and provided further that in the event the Existing Preferred Stockholder no longer has sole dispositive power and exclusive Voting Control with respect to the shares of Series A, Series B, Series C, Series D or Series E Preferred Stock held by such limited liability company, each share of Series A, Series B, Series C, Series D or Series E Preferred Stock then held by such limited liability company shall automatically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5" w:name="page216"/>
    <w:bookmarkEnd w:id="215"/>
    <w:p>
      <w:pPr>
        <w:ind w:left="4"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convert into (i) one (1) fully paid and nonassessable share of Series A-1 Preferred Stock (in the case of the Series A Preferred Stock), (ii) one (1) fully paid and nonassessable share of Series B-1 Preferred Stock (in the case of the Series B Preferred Stock), (iii) one (1) 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53" w:lineRule="exact"/>
        <w:rPr>
          <w:sz w:val="20"/>
          <w:szCs w:val="20"/>
          <w:color w:val="auto"/>
        </w:rPr>
      </w:pPr>
    </w:p>
    <w:p>
      <w:pPr>
        <w:ind w:left="4" w:firstLine="2864"/>
        <w:spacing w:after="0" w:line="283" w:lineRule="auto"/>
        <w:rPr>
          <w:sz w:val="20"/>
          <w:szCs w:val="20"/>
          <w:color w:val="auto"/>
        </w:rPr>
      </w:pPr>
      <w:r>
        <w:rPr>
          <w:rFonts w:ascii="Arial" w:cs="Arial" w:eastAsia="Arial" w:hAnsi="Arial"/>
          <w:sz w:val="16"/>
          <w:szCs w:val="16"/>
          <w:color w:val="auto"/>
        </w:rPr>
        <w:t>Notwithstanding the foregoing, if the shares of Series A, Series B, Series C, Series D or Series E Preferred Stock held by a Clause (B) Preferred Stock Permitted Trust or a Clause (C) Preferred Stock Permitted Trust would constitute stock of a “controlled corporation” (as defined in Section 2036(b)(2) of the Code), then such shares will not automatically convert to Series A-1 Preferred Stock (in the case of the Series A Preferred Stock), Series B-1 Preferred Stock (in the case of the Series B Preferred Stock), Series C-1 Preferred Stock (in the case of the Series C Preferred Stock), Series D-1 Preferred Stock (in the case of the Series D Preferred Stock) or Series E-1 Preferred Stock (in the case of the Series E Preferred Stock) if the Existing Preferred Stockholder does not directly or indirectly retain Voting Control over such shares until such time as the shares of Series A, Series B, Series C, Series D or Series E Preferred Stock would no longer constitute stock of a “controlled corporation” pursuant to the Code (such time is referred to in this Section as the “</w:t>
      </w:r>
      <w:r>
        <w:rPr>
          <w:rFonts w:ascii="Arial" w:cs="Arial" w:eastAsia="Arial" w:hAnsi="Arial"/>
          <w:sz w:val="16"/>
          <w:szCs w:val="16"/>
          <w:u w:val="single" w:color="auto"/>
          <w:color w:val="auto"/>
        </w:rPr>
        <w:t>Existing Preferred Stock Voting Shift</w:t>
      </w:r>
      <w:r>
        <w:rPr>
          <w:rFonts w:ascii="Arial" w:cs="Arial" w:eastAsia="Arial" w:hAnsi="Arial"/>
          <w:sz w:val="16"/>
          <w:szCs w:val="16"/>
          <w:color w:val="auto"/>
        </w:rPr>
        <w:t>”). If an Existing Preferred Stockholder does not, within thirty (30) business days following the Existing Preferred Stock Voting Shift, directly or indirectly assume sole exclusive Voting Control with respect to such shares of Series A, Series B, Series C, Series D or Series E Preferred Stock, each such share of Series A, Series B, Series C, Series D or Series E Preferred Stock shall automatically convert into (i) one (1) fully paid and nonassessable share of Series A-1 Preferred Stock (in the case of the Series A Preferred Stock), (ii) one (1) fully paid and nonassessable share of Series B-1 Preferred Stock (in the case of the Series B Preferred Stock), (iii) one</w:t>
      </w:r>
    </w:p>
    <w:p>
      <w:pPr>
        <w:spacing w:after="0" w:line="3" w:lineRule="exact"/>
        <w:rPr>
          <w:sz w:val="20"/>
          <w:szCs w:val="20"/>
          <w:color w:val="auto"/>
        </w:rPr>
      </w:pPr>
    </w:p>
    <w:p>
      <w:pPr>
        <w:ind w:left="4" w:right="300" w:hanging="4"/>
        <w:spacing w:after="0" w:line="253" w:lineRule="auto"/>
        <w:tabs>
          <w:tab w:leader="none" w:pos="2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fully paid and nonassessable share of Series C-1 Preferred Stock (in the case of the Series C Preferred Stock), (iv) one (1) fully paid and nonassessable share of Series D-1 Preferred Stock (in the case of the Series D Preferred Stock) or (v) one (1) fully paid and nonassessable share of Series E-1 Preferred Stock (in the case of the Series E Preferred Stock) (in each case, as adjusted for any stock splits, stock dividends, combinations, subdivisions, recapitalizations or the like).</w:t>
      </w:r>
    </w:p>
    <w:p>
      <w:pPr>
        <w:spacing w:after="0" w:line="84" w:lineRule="exact"/>
        <w:rPr>
          <w:rFonts w:ascii="Arial" w:cs="Arial" w:eastAsia="Arial" w:hAnsi="Arial"/>
          <w:sz w:val="18"/>
          <w:szCs w:val="18"/>
          <w:color w:val="auto"/>
        </w:rPr>
      </w:pPr>
    </w:p>
    <w:p>
      <w:pPr>
        <w:ind w:left="4" w:right="120" w:firstLine="1979"/>
        <w:spacing w:after="0" w:line="257" w:lineRule="auto"/>
        <w:tabs>
          <w:tab w:leader="none" w:pos="230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share of Series A-1, Series B-1, Series C-1, Series D-1 and Series E-1 Preferred Stock shall automatically be converted into shares of Class A Common Stock at the Conversion Price then in effect for such share immediately upon the earlier of (A) except as provided below in Section 4(c), the Corporation’s sale of its Common Stock in a Qualifying IPO or (B) the date or the occurrence of an event specified by vote or written consent of the holders of a majority of the then-outstanding shares of Series A-1, Series B-1, Series C-1, Series D-1 and Series E-1 Preferred Stock, voting together as a single class.</w:t>
      </w:r>
    </w:p>
    <w:p>
      <w:pPr>
        <w:spacing w:after="0" w:line="79" w:lineRule="exact"/>
        <w:rPr>
          <w:rFonts w:ascii="Arial" w:cs="Arial" w:eastAsia="Arial" w:hAnsi="Arial"/>
          <w:sz w:val="18"/>
          <w:szCs w:val="18"/>
          <w:color w:val="auto"/>
        </w:rPr>
      </w:pPr>
    </w:p>
    <w:p>
      <w:pPr>
        <w:ind w:left="4" w:right="40" w:firstLine="1979"/>
        <w:spacing w:after="0" w:line="296" w:lineRule="auto"/>
        <w:tabs>
          <w:tab w:leader="none" w:pos="229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Each share of Series A, Series B, Series C, Series D and Series E Preferred Stock shall automatically be converted into shares of Class B Common Stock and each share of Series A-1, Series B-1, Series C-1, Series D-1 and Series E-1 Preferred Stock shall automatically be converted into shares of Class A Common Stock, each at the respective Conversion Prices then in effect for such shares, immediately upon the date specified by vote or written consent of the holders of a majority of the voting power of the then-outstanding shares of Series A, Series A-1, Series B, Series B-1, Series C, Series C-1, Series D, Series D-1, Series E and Series E-1 Preferred Stock, voting together as a single class.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16" w:name="page217"/>
    <w:bookmarkEnd w:id="216"/>
    <w:p>
      <w:pPr>
        <w:ind w:left="4" w:firstLine="2419"/>
        <w:spacing w:after="0" w:line="286" w:lineRule="auto"/>
        <w:tabs>
          <w:tab w:leader="none" w:pos="2672" w:val="left"/>
        </w:tabs>
        <w:numPr>
          <w:ilvl w:val="0"/>
          <w:numId w:val="11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Mechanics of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holder of Preferred Stock shall be entitled to convert such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into shares of Common Stock or other series of Preferred Stock, the holder shall surrender the certificate or certificates representing such shares of Preferred Stock, duly endorsed, at the office of the Corporation or of any transfer agent for such series of Preferred Stock, and shall give written notice to the Corporation at its principal corporate office, of the election to convert the same and shall state therein the number of shares to be converted, the series and class of stock to be issued upon such conversion and the name or names in which the certificate or certificates for shares of Common Stock or Preferred Stock are to be issued. The Corporation shall, as soon as practicable thereafter, issue and deliver at such office to such holder of Preferred Stock, or to the nominee or nominees of such holder, a certificate or certificates for the number of shares of Preferred Stock or Common Stock, as applicable, to which such holder shall be entitled as aforesaid and if less than all of the holder’s shares of Preferred Stock have been converted, a certificate for the remainder of such holder’s shares. Such conversion shall be deemed to have been made immediately prior to the close of business on the date of such surrender of the shares of such series of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 firm commitment underwritten public offering of securities the conversion may, at the option of any holder tendering such Preferred Stock for conversion, be conditioned upon the closing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59" w:lineRule="exact"/>
        <w:rPr>
          <w:rFonts w:ascii="Arial" w:cs="Arial" w:eastAsia="Arial" w:hAnsi="Arial"/>
          <w:sz w:val="16"/>
          <w:szCs w:val="16"/>
          <w:color w:val="auto"/>
        </w:rPr>
      </w:pPr>
    </w:p>
    <w:p>
      <w:pPr>
        <w:ind w:left="4" w:firstLine="2419"/>
        <w:spacing w:after="0" w:line="282" w:lineRule="auto"/>
        <w:tabs>
          <w:tab w:leader="none" w:pos="2682"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Preferred Stock Conversion Price Adjustments for Certain Dilutive Issuances, Splits and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Conversion Price of the Preferred Stock shall be subject to adjustment from time to time as follows:</w:t>
      </w:r>
    </w:p>
    <w:p>
      <w:pPr>
        <w:spacing w:after="0" w:line="54" w:lineRule="exact"/>
        <w:rPr>
          <w:sz w:val="20"/>
          <w:szCs w:val="20"/>
          <w:color w:val="auto"/>
        </w:rPr>
      </w:pPr>
    </w:p>
    <w:p>
      <w:pPr>
        <w:ind w:left="4" w:firstLine="2419"/>
        <w:spacing w:after="0" w:line="256" w:lineRule="auto"/>
        <w:tabs>
          <w:tab w:leader="none" w:pos="2642" w:val="left"/>
        </w:tabs>
        <w:numPr>
          <w:ilvl w:val="1"/>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Additional Stock below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Corporation should issue, at any time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any shares of Series E Preferred Stock are first issued (the “</w:t>
      </w:r>
      <w:r>
        <w:rPr>
          <w:rFonts w:ascii="Arial" w:cs="Arial" w:eastAsia="Arial" w:hAnsi="Arial"/>
          <w:sz w:val="18"/>
          <w:szCs w:val="18"/>
          <w:u w:val="single" w:color="auto"/>
          <w:color w:val="auto"/>
        </w:rPr>
        <w:t>Purchase Date</w:t>
      </w:r>
      <w:r>
        <w:rPr>
          <w:rFonts w:ascii="Arial" w:cs="Arial" w:eastAsia="Arial" w:hAnsi="Arial"/>
          <w:sz w:val="18"/>
          <w:szCs w:val="18"/>
          <w:color w:val="auto"/>
        </w:rPr>
        <w:t>”), any Additional Stock (as defined below) without consideration or for a consideration per share less than the Preferred Stock Conversion Price for shares of such series of Preferred Stock in effect immediately prior to the issuance of such Additional Stock (as adjusted for stock splits, stock dividends, reclassification and the like), the Preferred Stock Conversion Price for such series in effect immediately prior to each such issuance shall automatically be adjusted as set forth in this Section 4(d)(i), unless otherwise provided in this Section 4(d)(i).</w:t>
      </w:r>
    </w:p>
    <w:p>
      <w:pPr>
        <w:spacing w:after="0" w:line="79" w:lineRule="exact"/>
        <w:rPr>
          <w:rFonts w:ascii="Arial" w:cs="Arial" w:eastAsia="Arial" w:hAnsi="Arial"/>
          <w:sz w:val="18"/>
          <w:szCs w:val="18"/>
          <w:color w:val="auto"/>
        </w:rPr>
      </w:pPr>
    </w:p>
    <w:p>
      <w:pPr>
        <w:ind w:left="3164" w:hanging="300"/>
        <w:spacing w:after="0"/>
        <w:tabs>
          <w:tab w:leader="none" w:pos="3164" w:val="left"/>
        </w:tabs>
        <w:numPr>
          <w:ilvl w:val="2"/>
          <w:numId w:val="12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Formula</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Preferred Stock Conversion Price is adjusted pursuant to this Section</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(4)(d)(i), the new Preferred Stock Conversion Price shall be determined by multiplying the Preferred Stock Conversion Price then in effect by a fraction,</w:t>
      </w:r>
    </w:p>
    <w:p>
      <w:pPr>
        <w:spacing w:after="0" w:line="32" w:lineRule="exact"/>
        <w:rPr>
          <w:rFonts w:ascii="Arial" w:cs="Arial" w:eastAsia="Arial" w:hAnsi="Arial"/>
          <w:sz w:val="16"/>
          <w:szCs w:val="16"/>
          <w:color w:val="auto"/>
        </w:rPr>
      </w:pPr>
    </w:p>
    <w:p>
      <w:pPr>
        <w:ind w:left="4" w:right="760" w:hanging="4"/>
        <w:spacing w:after="0" w:line="260" w:lineRule="auto"/>
        <w:tabs>
          <w:tab w:leader="none" w:pos="25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numerator of which shall be the number of shares of Common Stock outstanding immediately prior to such issuance (the “</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w:t>
      </w:r>
      <w:r>
        <w:rPr>
          <w:rFonts w:ascii="Arial" w:cs="Arial" w:eastAsia="Arial" w:hAnsi="Arial"/>
          <w:sz w:val="18"/>
          <w:szCs w:val="18"/>
          <w:color w:val="auto"/>
        </w:rPr>
        <w:t>”) plus the</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217" w:name="page218"/>
    <w:bookmarkEnd w:id="217"/>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number of shares of Common Stock that the aggregate consideration received by the Corporation for such issuance would purchase at such Preferred Stock Conversion Price; and (y) the denominator of which shall be the number of shares of Outstanding Common plus the number of shares of such Additional Stock. For purposes of the foregoing calculation, the term “</w:t>
      </w:r>
      <w:r>
        <w:rPr>
          <w:rFonts w:ascii="Arial" w:cs="Arial" w:eastAsia="Arial" w:hAnsi="Arial"/>
          <w:sz w:val="18"/>
          <w:szCs w:val="18"/>
          <w:u w:val="single" w:color="auto"/>
          <w:color w:val="auto"/>
        </w:rPr>
        <w:t>Outstanding Common</w:t>
      </w:r>
      <w:r>
        <w:rPr>
          <w:rFonts w:ascii="Arial" w:cs="Arial" w:eastAsia="Arial" w:hAnsi="Arial"/>
          <w:sz w:val="18"/>
          <w:szCs w:val="18"/>
          <w:color w:val="auto"/>
        </w:rPr>
        <w:t>” shall include shares of Common Stock deemed issued pursuant to Section 4(d)(i)(E) below.</w:t>
      </w:r>
    </w:p>
    <w:p>
      <w:pPr>
        <w:spacing w:after="0" w:line="75" w:lineRule="exact"/>
        <w:rPr>
          <w:sz w:val="20"/>
          <w:szCs w:val="20"/>
          <w:color w:val="auto"/>
        </w:rPr>
      </w:pPr>
    </w:p>
    <w:p>
      <w:pPr>
        <w:jc w:val="both"/>
        <w:ind w:right="140" w:firstLine="2860"/>
        <w:spacing w:after="0" w:line="347" w:lineRule="auto"/>
        <w:tabs>
          <w:tab w:leader="none" w:pos="3149" w:val="left"/>
        </w:tabs>
        <w:numPr>
          <w:ilvl w:val="0"/>
          <w:numId w:val="122"/>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“Additional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Section 4(d)(i), “</w:t>
      </w:r>
      <w:r>
        <w:rPr>
          <w:rFonts w:ascii="Arial" w:cs="Arial" w:eastAsia="Arial" w:hAnsi="Arial"/>
          <w:sz w:val="16"/>
          <w:szCs w:val="16"/>
          <w:u w:val="single" w:color="auto"/>
          <w:color w:val="auto"/>
        </w:rPr>
        <w:t>Additional Stock</w:t>
      </w:r>
      <w:r>
        <w:rPr>
          <w:rFonts w:ascii="Arial" w:cs="Arial" w:eastAsia="Arial" w:hAnsi="Arial"/>
          <w:sz w:val="16"/>
          <w:szCs w:val="16"/>
          <w:color w:val="auto"/>
        </w:rPr>
        <w:t>” shall mean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issued (or deemed to have been issued pursuant to Section 4(d)(i)(E)) by the Corporation after the Purchase Date) other than</w:t>
      </w:r>
    </w:p>
    <w:p>
      <w:pPr>
        <w:spacing w:after="0" w:line="11" w:lineRule="exact"/>
        <w:rPr>
          <w:rFonts w:ascii="Arial" w:cs="Arial" w:eastAsia="Arial" w:hAnsi="Arial"/>
          <w:sz w:val="16"/>
          <w:szCs w:val="16"/>
          <w:color w:val="auto"/>
        </w:rPr>
      </w:pPr>
    </w:p>
    <w:p>
      <w:pPr>
        <w:ind w:left="3660" w:hanging="249"/>
        <w:spacing w:after="0"/>
        <w:tabs>
          <w:tab w:leader="none" w:pos="36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Common Stock issued pursuant to stock dividends, stock splits or similar transactions, as described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4(d)(ii) hereof;</w:t>
      </w:r>
    </w:p>
    <w:p>
      <w:pPr>
        <w:spacing w:after="0" w:line="102" w:lineRule="exact"/>
        <w:rPr>
          <w:rFonts w:ascii="Arial" w:cs="Arial" w:eastAsia="Arial" w:hAnsi="Arial"/>
          <w:sz w:val="16"/>
          <w:szCs w:val="16"/>
          <w:color w:val="auto"/>
        </w:rPr>
      </w:pPr>
    </w:p>
    <w:p>
      <w:pPr>
        <w:ind w:right="80" w:firstLine="3411"/>
        <w:spacing w:after="0" w:line="263" w:lineRule="auto"/>
        <w:tabs>
          <w:tab w:leader="none" w:pos="36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Shares of Common Stock, Series 1 Preferred Stock or Preferred Stock issuable upon conversion, exchange or exercise of convertible, exchangeable or exercisable securities outstanding as of the Purchase Date, including, without limitation, warrants, notes or options;</w:t>
      </w:r>
    </w:p>
    <w:p>
      <w:pPr>
        <w:spacing w:after="0" w:line="75" w:lineRule="exact"/>
        <w:rPr>
          <w:rFonts w:ascii="Arial" w:cs="Arial" w:eastAsia="Arial" w:hAnsi="Arial"/>
          <w:sz w:val="18"/>
          <w:szCs w:val="18"/>
          <w:color w:val="auto"/>
        </w:rPr>
      </w:pPr>
    </w:p>
    <w:p>
      <w:pPr>
        <w:ind w:left="3660" w:hanging="249"/>
        <w:spacing w:after="0"/>
        <w:tabs>
          <w:tab w:leader="none" w:pos="36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Shares of Common Stock issued or issuable to employees, consultants, officers or directors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 directly or pursuant to a stock option plan or restricted stock plan approved by the Board of Directors;</w:t>
      </w:r>
    </w:p>
    <w:p>
      <w:pPr>
        <w:spacing w:after="0" w:line="102" w:lineRule="exact"/>
        <w:rPr>
          <w:rFonts w:ascii="Arial" w:cs="Arial" w:eastAsia="Arial" w:hAnsi="Arial"/>
          <w:sz w:val="16"/>
          <w:szCs w:val="16"/>
          <w:color w:val="auto"/>
        </w:rPr>
      </w:pPr>
    </w:p>
    <w:p>
      <w:pPr>
        <w:ind w:left="3660" w:hanging="249"/>
        <w:spacing w:after="0"/>
        <w:tabs>
          <w:tab w:leader="none" w:pos="3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Shares of Common Stock issued or issuable in a Qualifying IPO;</w:t>
      </w:r>
    </w:p>
    <w:p>
      <w:pPr>
        <w:spacing w:after="0" w:line="117" w:lineRule="exact"/>
        <w:rPr>
          <w:rFonts w:ascii="Arial" w:cs="Arial" w:eastAsia="Arial" w:hAnsi="Arial"/>
          <w:sz w:val="18"/>
          <w:szCs w:val="18"/>
          <w:color w:val="auto"/>
        </w:rPr>
      </w:pPr>
    </w:p>
    <w:p>
      <w:pPr>
        <w:ind w:right="260" w:firstLine="3411"/>
        <w:spacing w:after="0" w:line="277" w:lineRule="auto"/>
        <w:tabs>
          <w:tab w:leader="none" w:pos="36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Capital stock, or warrants or options to purchase capital stock, issued in connection with bona fide acquisitions, mergers or similar transactions approved by the Board of Directors;</w:t>
      </w:r>
    </w:p>
    <w:p>
      <w:pPr>
        <w:spacing w:after="0" w:line="62" w:lineRule="exact"/>
        <w:rPr>
          <w:rFonts w:ascii="Arial" w:cs="Arial" w:eastAsia="Arial" w:hAnsi="Arial"/>
          <w:sz w:val="18"/>
          <w:szCs w:val="18"/>
          <w:color w:val="auto"/>
        </w:rPr>
      </w:pPr>
    </w:p>
    <w:p>
      <w:pPr>
        <w:ind w:right="360" w:firstLine="3411"/>
        <w:spacing w:after="0" w:line="263" w:lineRule="auto"/>
        <w:tabs>
          <w:tab w:leader="none" w:pos="36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Capital stock, or options or warrants to purchase capital stock, issued to financial institutions, equipment lessors, brokers or similar persons in connection with commercial credit arrangements, equipment financings, commercial property lease transactions or similar transactions;</w:t>
      </w:r>
    </w:p>
    <w:p>
      <w:pPr>
        <w:spacing w:after="0" w:line="75" w:lineRule="exact"/>
        <w:rPr>
          <w:rFonts w:ascii="Arial" w:cs="Arial" w:eastAsia="Arial" w:hAnsi="Arial"/>
          <w:sz w:val="18"/>
          <w:szCs w:val="18"/>
          <w:color w:val="auto"/>
        </w:rPr>
      </w:pPr>
    </w:p>
    <w:p>
      <w:pPr>
        <w:ind w:right="120" w:firstLine="3411"/>
        <w:spacing w:after="0" w:line="259" w:lineRule="auto"/>
        <w:tabs>
          <w:tab w:leader="none" w:pos="36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Capital stock issued or issuable to an entity as a component of any business relationship with such entity primarily for the purpose of (A) joint venture, technology licensing or development activities, (B) distribution, supply or manufacture of the Corporation’s products or services or (C) any other arrangements involving corporate partners that are primarily for purposes other than raising capital, the terms of which business relationship with such entity are approved by the Board of Directors;</w:t>
      </w:r>
    </w:p>
    <w:p>
      <w:pPr>
        <w:spacing w:after="0" w:line="78" w:lineRule="exact"/>
        <w:rPr>
          <w:rFonts w:ascii="Arial" w:cs="Arial" w:eastAsia="Arial" w:hAnsi="Arial"/>
          <w:sz w:val="18"/>
          <w:szCs w:val="18"/>
          <w:color w:val="auto"/>
        </w:rPr>
      </w:pPr>
    </w:p>
    <w:p>
      <w:pPr>
        <w:ind w:right="120" w:firstLine="3411"/>
        <w:spacing w:after="0" w:line="259" w:lineRule="auto"/>
        <w:tabs>
          <w:tab w:leader="none" w:pos="367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Shares of Common Stock issued or issuable upon conversion of the Series E Preferred Stock sold pursuant to that certain Series E Preferred Stock Purchase Agreement between the Corporation and the investors therein dated on or about the Purchase Date or the Series A Preferred Stock, Series B Preferred Stock, Series C Preferred Stock, Series D Preferred Stock or Series 1 Preferred Stock outstanding on the Purchase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18" w:name="page219"/>
    <w:bookmarkEnd w:id="218"/>
    <w:p>
      <w:pPr>
        <w:ind w:right="120" w:firstLine="3411"/>
        <w:spacing w:after="0" w:line="277" w:lineRule="auto"/>
        <w:tabs>
          <w:tab w:leader="none" w:pos="3670" w:val="left"/>
        </w:tabs>
        <w:numPr>
          <w:ilvl w:val="1"/>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of Series A-1, Series B-1, Series C-1, Series D-1 or Series E-1 Preferred Stock issuable upon conversion of the Series A, Series B, Series C, Series D or Series E Preferred Stock, respectively;</w:t>
      </w:r>
    </w:p>
    <w:p>
      <w:pPr>
        <w:spacing w:after="0" w:line="62" w:lineRule="exact"/>
        <w:rPr>
          <w:rFonts w:ascii="Arial" w:cs="Arial" w:eastAsia="Arial" w:hAnsi="Arial"/>
          <w:sz w:val="18"/>
          <w:szCs w:val="18"/>
          <w:color w:val="auto"/>
        </w:rPr>
      </w:pPr>
    </w:p>
    <w:p>
      <w:pPr>
        <w:ind w:left="3760" w:hanging="349"/>
        <w:spacing w:after="0"/>
        <w:tabs>
          <w:tab w:leader="none" w:pos="37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Shares of Class A Common Stock issued or issuable upon conversion of the Class B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102" w:lineRule="exact"/>
        <w:rPr>
          <w:rFonts w:ascii="Arial" w:cs="Arial" w:eastAsia="Arial" w:hAnsi="Arial"/>
          <w:sz w:val="17"/>
          <w:szCs w:val="17"/>
          <w:color w:val="auto"/>
        </w:rPr>
      </w:pPr>
    </w:p>
    <w:p>
      <w:pPr>
        <w:ind w:left="3740" w:hanging="329"/>
        <w:spacing w:after="0"/>
        <w:tabs>
          <w:tab w:leader="none" w:pos="37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Shares of Common Stock deemed to be issued as a result of the Reclassification; and</w:t>
      </w:r>
    </w:p>
    <w:p>
      <w:pPr>
        <w:spacing w:after="0" w:line="117" w:lineRule="exact"/>
        <w:rPr>
          <w:rFonts w:ascii="Arial" w:cs="Arial" w:eastAsia="Arial" w:hAnsi="Arial"/>
          <w:sz w:val="18"/>
          <w:szCs w:val="18"/>
          <w:color w:val="auto"/>
        </w:rPr>
      </w:pPr>
    </w:p>
    <w:p>
      <w:pPr>
        <w:ind w:left="3760" w:hanging="349"/>
        <w:spacing w:after="0"/>
        <w:tabs>
          <w:tab w:leader="none" w:pos="37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Shares of Common Stock issued or issuable with the affirmative vote of the holders of at least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majority of the voting power of the then-outstanding shares of Preferred Stock, voting together as a single class.</w:t>
      </w:r>
    </w:p>
    <w:p>
      <w:pPr>
        <w:spacing w:after="0" w:line="98" w:lineRule="exact"/>
        <w:rPr>
          <w:rFonts w:ascii="Arial" w:cs="Arial" w:eastAsia="Arial" w:hAnsi="Arial"/>
          <w:sz w:val="17"/>
          <w:szCs w:val="17"/>
          <w:color w:val="auto"/>
        </w:rPr>
      </w:pPr>
    </w:p>
    <w:p>
      <w:pPr>
        <w:ind w:firstLine="2860"/>
        <w:spacing w:after="0" w:line="298" w:lineRule="auto"/>
        <w:tabs>
          <w:tab w:leader="none" w:pos="3149" w:val="left"/>
        </w:tabs>
        <w:numPr>
          <w:ilvl w:val="0"/>
          <w:numId w:val="124"/>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No adjustment of the Preferred Stock Conversion Price for the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in an amount less than one cent per share (as adjusted for any stock splits, stock dividends, combinations, subdivisions, recapitalizations or the like), provided that any adjustments which are not required to be made by reason of this sentence shall be carried forward and shall be either taken into account in any subsequent adjustment made prior to three years from the date of the event giving rise to the adjustment being carried forward, or shall be made at the end of three years from the date of the event giving rise to the adjustment being carried forward.</w:t>
      </w:r>
    </w:p>
    <w:p>
      <w:pPr>
        <w:spacing w:after="0" w:line="45" w:lineRule="exact"/>
        <w:rPr>
          <w:rFonts w:ascii="Arial" w:cs="Arial" w:eastAsia="Arial" w:hAnsi="Arial"/>
          <w:sz w:val="16"/>
          <w:szCs w:val="16"/>
          <w:color w:val="auto"/>
        </w:rPr>
      </w:pPr>
    </w:p>
    <w:p>
      <w:pPr>
        <w:ind w:right="120" w:firstLine="2860"/>
        <w:spacing w:after="0" w:line="258" w:lineRule="auto"/>
        <w:tabs>
          <w:tab w:leader="none" w:pos="3159"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the issuance of Common Stock for cash,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the amount of cash paid therefor before deducting any reasonable discounts, commissions or other expenses allowed, paid or incurred by the Corporation for any underwriting or otherwise in connection with the issuance and sale thereof. In the case of the issuance of the Common Stock for a consideration in whole or in part other than cash, the consideration other than cash shall be deemed to be the fair value thereof as determined by the Board of Directors irrespective of any accounting treatment.</w:t>
      </w:r>
    </w:p>
    <w:p>
      <w:pPr>
        <w:spacing w:after="0" w:line="75" w:lineRule="exact"/>
        <w:rPr>
          <w:rFonts w:ascii="Arial" w:cs="Arial" w:eastAsia="Arial" w:hAnsi="Arial"/>
          <w:sz w:val="18"/>
          <w:szCs w:val="18"/>
          <w:color w:val="auto"/>
        </w:rPr>
      </w:pPr>
    </w:p>
    <w:p>
      <w:pPr>
        <w:ind w:right="80" w:firstLine="2860"/>
        <w:spacing w:after="0" w:line="266" w:lineRule="auto"/>
        <w:tabs>
          <w:tab w:leader="none" w:pos="3139"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Deemed Issuances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the issuance of securities or rights convertible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entitling the holder thereof to receive directly or indirectly, additional shares of Common Stock (the “</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the following provisions shall apply for all purposes of this Section 4(d)(i):</w:t>
      </w:r>
    </w:p>
    <w:p>
      <w:pPr>
        <w:spacing w:after="0" w:line="71" w:lineRule="exact"/>
        <w:rPr>
          <w:rFonts w:ascii="Arial" w:cs="Arial" w:eastAsia="Arial" w:hAnsi="Arial"/>
          <w:sz w:val="18"/>
          <w:szCs w:val="18"/>
          <w:color w:val="auto"/>
        </w:rPr>
      </w:pPr>
    </w:p>
    <w:p>
      <w:pPr>
        <w:ind w:right="40" w:firstLine="3411"/>
        <w:spacing w:after="0" w:line="290" w:lineRule="auto"/>
        <w:tabs>
          <w:tab w:leader="none" w:pos="367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aggregate maximum number of shares of Common Stock deliverable upon conversion, exchange or exercise (assuming the satisfaction of any conditions to convertibility, exchangeability or exercisability, including, without limitation, the passage of time, but without taking into account potential antidilution adjustments) of any Common Stock Equivalents and subsequent conversion, exchange or exercise thereof shall be deemed to have been issued at the time such securities were issued or such Common Stock Equivalents were issued and for a consideration equal to the consideration, if any, received by the Corporation for any such securities and related Common Stock Equivalents (excluding any cash received on account of accrued interest or accrued dividends), plus the minimum additional consideration, if any, to be received by the Corporation (without taking into account potential antidilution adjustments, and excluding cancellation of indebtedness) upon the conversion, exchange or exercise of any Common Stock Equivalents (the consideration in each case to be determined in the manner provided in Section 4(d)(i)(D)).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19" w:name="page220"/>
    <w:bookmarkEnd w:id="219"/>
    <w:p>
      <w:pPr>
        <w:ind w:right="100" w:firstLine="3411"/>
        <w:spacing w:after="0" w:line="296" w:lineRule="auto"/>
        <w:tabs>
          <w:tab w:leader="none" w:pos="3670" w:val="left"/>
        </w:tabs>
        <w:numPr>
          <w:ilvl w:val="2"/>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of any change in the number of shares of Common Stock deliverable or in the consideration payable to the Corporation upon conversion, exchange or exercise of any Common Stock Equivalents, other than a change resulting from the antidilution provisions thereof, the Preferred Stock Conversion Price of any series of Preferred Stock, to the extent in any way affected by or computed using such Common Stock Equivalents, shall be recomputed to reflect such change, but no further adjustment shall be made for the actual issuance of Common Stock or any payment of such consideration upon the conversion, exchange or exercise of such Common Stock Equivalents.</w:t>
      </w:r>
    </w:p>
    <w:p>
      <w:pPr>
        <w:spacing w:after="0" w:line="53" w:lineRule="exact"/>
        <w:rPr>
          <w:rFonts w:ascii="Arial" w:cs="Arial" w:eastAsia="Arial" w:hAnsi="Arial"/>
          <w:sz w:val="16"/>
          <w:szCs w:val="16"/>
          <w:color w:val="auto"/>
        </w:rPr>
      </w:pPr>
    </w:p>
    <w:p>
      <w:pPr>
        <w:ind w:left="3660" w:hanging="249"/>
        <w:spacing w:after="0"/>
        <w:tabs>
          <w:tab w:leader="none" w:pos="3660" w:val="left"/>
        </w:tabs>
        <w:numPr>
          <w:ilvl w:val="2"/>
          <w:numId w:val="125"/>
        </w:numPr>
        <w:rPr>
          <w:rFonts w:ascii="Arial" w:cs="Arial" w:eastAsia="Arial" w:hAnsi="Arial"/>
          <w:sz w:val="17"/>
          <w:szCs w:val="17"/>
          <w:color w:val="auto"/>
        </w:rPr>
      </w:pPr>
      <w:r>
        <w:rPr>
          <w:rFonts w:ascii="Arial" w:cs="Arial" w:eastAsia="Arial" w:hAnsi="Arial"/>
          <w:sz w:val="17"/>
          <w:szCs w:val="17"/>
          <w:color w:val="auto"/>
        </w:rPr>
        <w:t>Upon the termination or expiration of the convertibility, exchangeability or exercisability of any</w:t>
      </w:r>
    </w:p>
    <w:p>
      <w:pPr>
        <w:spacing w:after="0" w:line="34" w:lineRule="exact"/>
        <w:rPr>
          <w:rFonts w:ascii="Arial" w:cs="Arial" w:eastAsia="Arial" w:hAnsi="Arial"/>
          <w:sz w:val="17"/>
          <w:szCs w:val="17"/>
          <w:color w:val="auto"/>
        </w:rPr>
      </w:pPr>
    </w:p>
    <w:p>
      <w:pPr>
        <w:ind w:right="320"/>
        <w:spacing w:after="0" w:line="253" w:lineRule="auto"/>
        <w:rPr>
          <w:rFonts w:ascii="Arial" w:cs="Arial" w:eastAsia="Arial" w:hAnsi="Arial"/>
          <w:sz w:val="17"/>
          <w:szCs w:val="17"/>
          <w:color w:val="auto"/>
        </w:rPr>
      </w:pPr>
      <w:r>
        <w:rPr>
          <w:rFonts w:ascii="Arial" w:cs="Arial" w:eastAsia="Arial" w:hAnsi="Arial"/>
          <w:sz w:val="18"/>
          <w:szCs w:val="18"/>
          <w:color w:val="auto"/>
        </w:rPr>
        <w:t>Common Stock Equivalents, the Conversion Price of any series of Preferred Stock, to the extent in any way affected by or computed using such Common Stock Equivalents, shall be recomputed to reflect the issuance of only the number of shares of Common Stock (and Common Stock Equivalents that remain convertible, exchangeable or exercisable) actually issued upon the conversion, exchange or exercise of such Common Stock Equivalents.</w:t>
      </w:r>
    </w:p>
    <w:p>
      <w:pPr>
        <w:spacing w:after="0" w:line="84" w:lineRule="exact"/>
        <w:rPr>
          <w:rFonts w:ascii="Arial" w:cs="Arial" w:eastAsia="Arial" w:hAnsi="Arial"/>
          <w:sz w:val="17"/>
          <w:szCs w:val="17"/>
          <w:color w:val="auto"/>
        </w:rPr>
      </w:pPr>
    </w:p>
    <w:p>
      <w:pPr>
        <w:ind w:left="3660" w:hanging="249"/>
        <w:spacing w:after="0"/>
        <w:tabs>
          <w:tab w:leader="none" w:pos="366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The number of shares of Common Stock deemed issued and the consideration deemed paid therefor</w:t>
      </w:r>
    </w:p>
    <w:p>
      <w:pPr>
        <w:spacing w:after="0" w:line="46" w:lineRule="exact"/>
        <w:rPr>
          <w:rFonts w:ascii="Arial" w:cs="Arial" w:eastAsia="Arial" w:hAnsi="Arial"/>
          <w:sz w:val="16"/>
          <w:szCs w:val="16"/>
          <w:color w:val="auto"/>
        </w:rPr>
      </w:pPr>
    </w:p>
    <w:p>
      <w:pPr>
        <w:ind w:right="780"/>
        <w:spacing w:after="0" w:line="260" w:lineRule="auto"/>
        <w:rPr>
          <w:rFonts w:ascii="Arial" w:cs="Arial" w:eastAsia="Arial" w:hAnsi="Arial"/>
          <w:sz w:val="16"/>
          <w:szCs w:val="16"/>
          <w:color w:val="auto"/>
        </w:rPr>
      </w:pPr>
      <w:r>
        <w:rPr>
          <w:rFonts w:ascii="Arial" w:cs="Arial" w:eastAsia="Arial" w:hAnsi="Arial"/>
          <w:sz w:val="18"/>
          <w:szCs w:val="18"/>
          <w:color w:val="auto"/>
        </w:rPr>
        <w:t>pursuant to Section 4(d)(i)(E)(1) shall be appropriately adjusted to reflect any change, termination or expiration of the type described in either Section 4(d)(i)(E)(2) or 4(d)(i)(E)(3).</w:t>
      </w:r>
    </w:p>
    <w:p>
      <w:pPr>
        <w:spacing w:after="0" w:line="73" w:lineRule="exact"/>
        <w:rPr>
          <w:rFonts w:ascii="Arial" w:cs="Arial" w:eastAsia="Arial" w:hAnsi="Arial"/>
          <w:sz w:val="16"/>
          <w:szCs w:val="16"/>
          <w:color w:val="auto"/>
        </w:rPr>
      </w:pPr>
    </w:p>
    <w:p>
      <w:pPr>
        <w:ind w:firstLine="2860"/>
        <w:spacing w:after="0" w:line="261" w:lineRule="auto"/>
        <w:tabs>
          <w:tab w:leader="none" w:pos="3129" w:val="left"/>
        </w:tabs>
        <w:numPr>
          <w:ilvl w:val="1"/>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No Increased Preferred Stock Conversion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provisions of this Section 4(d)</w:t>
      </w:r>
      <w:r>
        <w:rPr>
          <w:rFonts w:ascii="Arial" w:cs="Arial" w:eastAsia="Arial" w:hAnsi="Arial"/>
          <w:sz w:val="18"/>
          <w:szCs w:val="18"/>
          <w:b w:val="1"/>
          <w:bCs w:val="1"/>
          <w:color w:val="auto"/>
        </w:rPr>
        <w:t xml:space="preserve"> </w:t>
      </w:r>
      <w:r>
        <w:rPr>
          <w:rFonts w:ascii="Arial" w:cs="Arial" w:eastAsia="Arial" w:hAnsi="Arial"/>
          <w:sz w:val="18"/>
          <w:szCs w:val="18"/>
          <w:color w:val="auto"/>
        </w:rPr>
        <w:t>(i), except to the limited extent provided for in Sections 4(d)(i)(E)(2) and 4(d)(i)(E)(3), no adjustment of the Preferred Stock Conversion Price pursuant to this Section 4(d)(i) shall have the effect of increasing the Preferred Stock Conversion Price above the Preferred Stock Conversion Price in effect immediately prior to such adjustment.</w:t>
      </w:r>
    </w:p>
    <w:p>
      <w:pPr>
        <w:spacing w:after="0" w:line="71" w:lineRule="exact"/>
        <w:rPr>
          <w:rFonts w:ascii="Arial" w:cs="Arial" w:eastAsia="Arial" w:hAnsi="Arial"/>
          <w:sz w:val="18"/>
          <w:szCs w:val="18"/>
          <w:color w:val="auto"/>
        </w:rPr>
      </w:pPr>
    </w:p>
    <w:p>
      <w:pPr>
        <w:ind w:right="40" w:firstLine="2419"/>
        <w:spacing w:after="0" w:line="270" w:lineRule="auto"/>
        <w:tabs>
          <w:tab w:leader="none" w:pos="2688" w:val="left"/>
        </w:tabs>
        <w:numPr>
          <w:ilvl w:val="0"/>
          <w:numId w:val="127"/>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the Corporation should at any time after the Purchase Date fix a record</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the effectuation of 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Preferred Stock Conversion Price of each series of Preferred Stock that is convertible into Common Stock shall be appropriately decreased so that the number of shares of Common Stock issuable on conversion of each share of such series shall be increased in proportion to such increase of the aggregate number of shares of Common Stock outstanding and those issuable with respect to such Common Stock Equivalents with the number of shares issuable with respect to Common Stock Equivalents determined from time to time in the manner provided for deemed issuances in Section 4(d)(i)(E).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0" w:name="page221"/>
    <w:bookmarkEnd w:id="220"/>
    <w:p>
      <w:pPr>
        <w:ind w:left="-20" w:right="20" w:firstLine="2419"/>
        <w:spacing w:after="0" w:line="258" w:lineRule="auto"/>
        <w:tabs>
          <w:tab w:leader="none" w:pos="2718" w:val="left"/>
        </w:tabs>
        <w:numPr>
          <w:ilvl w:val="2"/>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Stock Splits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number of shares of Common Stock outstanding at any time after the Purchase Date</w:t>
      </w:r>
      <w:r>
        <w:rPr>
          <w:rFonts w:ascii="Arial" w:cs="Arial" w:eastAsia="Arial" w:hAnsi="Arial"/>
          <w:sz w:val="18"/>
          <w:szCs w:val="18"/>
          <w:b w:val="1"/>
          <w:bCs w:val="1"/>
          <w:color w:val="auto"/>
        </w:rPr>
        <w:t xml:space="preserve"> </w:t>
      </w:r>
      <w:r>
        <w:rPr>
          <w:rFonts w:ascii="Arial" w:cs="Arial" w:eastAsia="Arial" w:hAnsi="Arial"/>
          <w:sz w:val="18"/>
          <w:szCs w:val="18"/>
          <w:color w:val="auto"/>
        </w:rPr>
        <w:t>is decreased by a combination of the outstanding shares of Common Stock, then, following the record date of such combination (or the date of such combination if no record date is fixed), the Preferred Stock Conversion Price for each series of Preferred Stock that is convertible into Common Stock shall be appropriately increased so that the number of shares of Common Stock issuable on conversion of each share of such series shall be decreased in proportion to such decrease in outstanding shares.</w:t>
      </w:r>
    </w:p>
    <w:p>
      <w:pPr>
        <w:spacing w:after="0" w:line="75" w:lineRule="exact"/>
        <w:rPr>
          <w:rFonts w:ascii="Arial" w:cs="Arial" w:eastAsia="Arial" w:hAnsi="Arial"/>
          <w:sz w:val="18"/>
          <w:szCs w:val="18"/>
          <w:color w:val="auto"/>
        </w:rPr>
      </w:pPr>
    </w:p>
    <w:p>
      <w:pPr>
        <w:ind w:left="-20" w:right="160" w:firstLine="1979"/>
        <w:spacing w:after="0" w:line="294" w:lineRule="auto"/>
        <w:tabs>
          <w:tab w:leader="none" w:pos="2207" w:val="left"/>
        </w:tabs>
        <w:numPr>
          <w:ilvl w:val="1"/>
          <w:numId w:val="129"/>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Corporation shall declare a distribution payable in securities of other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evidences of indebtedness issued by the Corporation or other persons, assets (excluding cash dividends) or options or rights not referred to in Section 4(d)(i) or 4(d)(ii) or Section 2, then, in each such case for the purpose of this Section 4(e), the holders of each series of Preferred Stock that is convertible into Common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 (or the date of such distribution if no record date is fixed).</w:t>
      </w:r>
    </w:p>
    <w:p>
      <w:pPr>
        <w:spacing w:after="0" w:line="51" w:lineRule="exact"/>
        <w:rPr>
          <w:rFonts w:ascii="Arial" w:cs="Arial" w:eastAsia="Arial" w:hAnsi="Arial"/>
          <w:sz w:val="16"/>
          <w:szCs w:val="16"/>
          <w:color w:val="auto"/>
        </w:rPr>
      </w:pPr>
    </w:p>
    <w:p>
      <w:pPr>
        <w:ind w:left="-20" w:firstLine="1979"/>
        <w:spacing w:after="0" w:line="291" w:lineRule="auto"/>
        <w:tabs>
          <w:tab w:leader="none" w:pos="2187" w:val="left"/>
        </w:tabs>
        <w:numPr>
          <w:ilvl w:val="1"/>
          <w:numId w:val="129"/>
        </w:numPr>
        <w:rPr>
          <w:rFonts w:ascii="Arial" w:cs="Arial" w:eastAsia="Arial" w:hAnsi="Arial"/>
          <w:sz w:val="16"/>
          <w:szCs w:val="16"/>
          <w:color w:val="auto"/>
        </w:rPr>
      </w:pPr>
      <w:r>
        <w:rPr>
          <w:rFonts w:ascii="Arial" w:cs="Arial" w:eastAsia="Arial" w:hAnsi="Arial"/>
          <w:sz w:val="16"/>
          <w:szCs w:val="16"/>
          <w:b w:val="1"/>
          <w:bCs w:val="1"/>
          <w:u w:val="single" w:color="auto"/>
          <w:color w:val="auto"/>
        </w:rPr>
        <w:t>Recapitalizations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or from time to time there shall be a recapitalization of the Common Stock (other than a</w:t>
      </w:r>
      <w:r>
        <w:rPr>
          <w:rFonts w:ascii="Arial" w:cs="Arial" w:eastAsia="Arial" w:hAnsi="Arial"/>
          <w:sz w:val="16"/>
          <w:szCs w:val="16"/>
          <w:b w:val="1"/>
          <w:bCs w:val="1"/>
          <w:color w:val="auto"/>
        </w:rPr>
        <w:t xml:space="preserve"> </w:t>
      </w:r>
      <w:r>
        <w:rPr>
          <w:rFonts w:ascii="Arial" w:cs="Arial" w:eastAsia="Arial" w:hAnsi="Arial"/>
          <w:sz w:val="16"/>
          <w:szCs w:val="16"/>
          <w:color w:val="auto"/>
        </w:rPr>
        <w:t>subdivision, combination or merger or sale of assets transaction provided for elsewhere in this Section 4 or in Section 2) provision shall be made so that the holders of each series of Preferred Stock that is convertible into Common Stock shall thereafter be entitled to receive upon conversion of such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Preferred Stock Conversion Price then in effect and the number of shares issuable upon conversion of such Preferred Stock) shall be applicable after that event and be as nearly equivalent as practicable.</w:t>
      </w:r>
    </w:p>
    <w:p>
      <w:pPr>
        <w:spacing w:after="0" w:line="51" w:lineRule="exact"/>
        <w:rPr>
          <w:rFonts w:ascii="Arial" w:cs="Arial" w:eastAsia="Arial" w:hAnsi="Arial"/>
          <w:sz w:val="16"/>
          <w:szCs w:val="16"/>
          <w:color w:val="auto"/>
        </w:rPr>
      </w:pPr>
    </w:p>
    <w:p>
      <w:pPr>
        <w:ind w:left="2220" w:hanging="261"/>
        <w:spacing w:after="0"/>
        <w:tabs>
          <w:tab w:leader="none" w:pos="2220"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 and Certificate as to Adjustments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 w:right="20" w:firstLine="1428"/>
        <w:spacing w:after="0" w:line="255" w:lineRule="auto"/>
        <w:tabs>
          <w:tab w:leader="none" w:pos="16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fractional shares shall be issued upon the conversion of any share or shares of Preferred Stock, and the number of shares of Common Stock to be issued shall be rounded down to the nearest whole share. The number of shares issuable upon such 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in cash equal to the fair market value of such fractional share on the date of conversion, as determined in good faith by the Board of Directors.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0" w:right="479" w:bottom="1440" w:gutter="0" w:footer="0" w:header="0"/>
        </w:sectPr>
      </w:pPr>
    </w:p>
    <w:bookmarkStart w:id="221" w:name="page222"/>
    <w:bookmarkEnd w:id="221"/>
    <w:p>
      <w:pPr>
        <w:ind w:right="20" w:firstLine="1979"/>
        <w:spacing w:after="0" w:line="291" w:lineRule="auto"/>
        <w:tabs>
          <w:tab w:leader="none" w:pos="2248" w:val="left"/>
        </w:tabs>
        <w:numPr>
          <w:ilvl w:val="2"/>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the occurrence of each adjustment or readjustment of the Preferred Stock Conversion Price of Preferred Stock pursuant to this Section 4, the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The Corporation shall, upon the written request at any time of any holder of such Preferred Stock, furnish or cause to be furnished to such holder a like certificate setting forth (A) such adjustment and readjustment, (B) the Preferred Stock Conversion Price for such series of Preferred Stock at the time in effect, and (C) the number of shares of Common Stock and the amount, if any, of other property which at the time would be received upon the conversion of a share of such series of Preferred Stock.</w:t>
      </w:r>
    </w:p>
    <w:p>
      <w:pPr>
        <w:spacing w:after="0" w:line="54" w:lineRule="exact"/>
        <w:rPr>
          <w:rFonts w:ascii="Arial" w:cs="Arial" w:eastAsia="Arial" w:hAnsi="Arial"/>
          <w:sz w:val="16"/>
          <w:szCs w:val="16"/>
          <w:color w:val="auto"/>
        </w:rPr>
      </w:pPr>
    </w:p>
    <w:p>
      <w:pPr>
        <w:ind w:right="20" w:firstLine="1428"/>
        <w:spacing w:after="0" w:line="298" w:lineRule="auto"/>
        <w:tabs>
          <w:tab w:leader="none" w:pos="1687" w:val="left"/>
        </w:tabs>
        <w:numPr>
          <w:ilvl w:val="1"/>
          <w:numId w:val="13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 of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taking by the Corporation of a record of the holders of any class of securities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the Corporation shall mail to each holder of Preferred Stock, at least 10 days prior to the date specified therein, a notice specifying the date on which any such record is to be taken for the purpose of such dividend, distribution or right, and the amount and character of such dividend, distribution or right.</w:t>
      </w:r>
    </w:p>
    <w:p>
      <w:pPr>
        <w:spacing w:after="0" w:line="45" w:lineRule="exact"/>
        <w:rPr>
          <w:rFonts w:ascii="Arial" w:cs="Arial" w:eastAsia="Arial" w:hAnsi="Arial"/>
          <w:sz w:val="16"/>
          <w:szCs w:val="16"/>
          <w:color w:val="auto"/>
        </w:rPr>
      </w:pPr>
    </w:p>
    <w:p>
      <w:pPr>
        <w:ind w:right="20" w:firstLine="1428"/>
        <w:spacing w:after="0" w:line="291" w:lineRule="auto"/>
        <w:tabs>
          <w:tab w:leader="none" w:pos="1647" w:val="left"/>
        </w:tabs>
        <w:numPr>
          <w:ilvl w:val="1"/>
          <w:numId w:val="132"/>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 Issuable Upon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at all times reserve and keep available out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but unissued shares of Common Stock, solely for the purpose of effecting the conversion of the shares of each series of Preferred Stock that is convertible into Common Stock, such number of its shares of Common Stock as shall from time to time be sufficient to effect the conversion of all outstanding shares of such series of Preferred Stock; and if at any time the number of authorized but unissued shares of Common Stock shall not be sufficient to effect the conversion of all then-outstanding shares of such series of Preferred Stock, in addition to such other remedies as shall be available to the holder of such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51" w:lineRule="exact"/>
        <w:rPr>
          <w:rFonts w:ascii="Arial" w:cs="Arial" w:eastAsia="Arial" w:hAnsi="Arial"/>
          <w:sz w:val="16"/>
          <w:szCs w:val="16"/>
          <w:color w:val="auto"/>
        </w:rPr>
      </w:pPr>
    </w:p>
    <w:p>
      <w:pPr>
        <w:ind w:firstLine="1428"/>
        <w:spacing w:after="0" w:line="266" w:lineRule="auto"/>
        <w:tabs>
          <w:tab w:leader="none" w:pos="1647"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by the provisions of this Section 4 to be given to the holders of shares of Preferred Stock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given if deposited in the United States mail, postage prepaid, and addressed to each holder of record at his address appearing on the books of the Corporation.</w:t>
      </w:r>
    </w:p>
    <w:p>
      <w:pPr>
        <w:spacing w:after="0" w:line="67" w:lineRule="exact"/>
        <w:rPr>
          <w:rFonts w:ascii="Arial" w:cs="Arial" w:eastAsia="Arial" w:hAnsi="Arial"/>
          <w:sz w:val="18"/>
          <w:szCs w:val="18"/>
          <w:color w:val="auto"/>
        </w:rPr>
      </w:pPr>
    </w:p>
    <w:p>
      <w:pPr>
        <w:ind w:left="1160" w:hanging="173"/>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Voting Rights and Powers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right="80" w:firstLine="1428"/>
        <w:spacing w:after="0" w:line="259" w:lineRule="auto"/>
        <w:tabs>
          <w:tab w:leader="none" w:pos="167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Except as expressly provided by this Restated Certificate or as provided by law, the holders of Series A, Series B, Series C, Series D or Series E Preferred Stock shall have the right to one hundred (100) votes for each share of Class B Common Stock into which such Series A, Series B, Series C, Series D or Series E Preferred Stock could then be converted, and with respect to such vote, such holder shall have full voting rights and powers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22" w:name="page223"/>
    <w:bookmarkEnd w:id="22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equivalent to those of the holders of Class B Common Stock. Except as expressly provided by this Restated Certificate or as provided by law, the holders of Series A-1, Series B-1, Series C-1, Series D-1 or Series E-1 Preferred Stock shall have the right to one (1) vote for each share of Class A Common Stock into which such Series A-1, Series B-1, Series C-1, Series D-1 or Series E-1 Preferred Stock could then be converted, and with respect to such vote, such holder shall have full voting rights and powers equivalent to those of the holders of Class A Common Stock. Except as expressly provided by this Restated Certificate or as provided by law, the holders of Preferred Stock shall have the same voting rights as the holders of Common Stock and shall be entitled to notice of any stockholders’ meeting in accordance with the Bylaws of the Corporation, and the holders of Common Stock, the holders of Series 1 Preferred Stock and the holders of Preferred Stock shall vote together as a single class on all matters. Fractional votes shall not, however, be permitted and any fractional voting rights available (after aggregating all shares of Series 1 Preferred Stock or Preferred Stock held by each holder) shall be rounded to the nearest whole number (with one-half being rounded upward).</w:t>
      </w:r>
    </w:p>
    <w:p>
      <w:pPr>
        <w:spacing w:after="0" w:line="73" w:lineRule="exact"/>
        <w:rPr>
          <w:sz w:val="20"/>
          <w:szCs w:val="20"/>
          <w:color w:val="auto"/>
        </w:rPr>
      </w:pPr>
    </w:p>
    <w:p>
      <w:pPr>
        <w:ind w:right="20" w:firstLine="1979"/>
        <w:spacing w:after="0" w:line="286" w:lineRule="auto"/>
        <w:tabs>
          <w:tab w:leader="none" w:pos="223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Board of Directors shall consist of eight (8) members. At each meeting of stockholders at which members of the Board of Directors are to be elected, or whenever members of the Board of Directors are to be elected by written consent of the stockholders, (i) the holders of a majority of the outstanding shares of Series A Preferred Stock, voting as a separate class, shall be entitled to elect one (1) member of the Board of Directors (the “</w:t>
      </w:r>
      <w:r>
        <w:rPr>
          <w:rFonts w:ascii="Arial" w:cs="Arial" w:eastAsia="Arial" w:hAnsi="Arial"/>
          <w:sz w:val="16"/>
          <w:szCs w:val="16"/>
          <w:u w:val="single" w:color="auto"/>
          <w:color w:val="auto"/>
        </w:rPr>
        <w:t>Series A Director</w:t>
      </w:r>
      <w:r>
        <w:rPr>
          <w:rFonts w:ascii="Arial" w:cs="Arial" w:eastAsia="Arial" w:hAnsi="Arial"/>
          <w:sz w:val="16"/>
          <w:szCs w:val="16"/>
          <w:color w:val="auto"/>
        </w:rPr>
        <w:t>”), (ii) the holders of a majority of the voting power of the then-outstanding shares of Common Stock, voting together as a separate class, shall be entitled to elect one (1) member of the Board of Directors (the “</w:t>
      </w:r>
      <w:r>
        <w:rPr>
          <w:rFonts w:ascii="Arial" w:cs="Arial" w:eastAsia="Arial" w:hAnsi="Arial"/>
          <w:sz w:val="16"/>
          <w:szCs w:val="16"/>
          <w:u w:val="single" w:color="auto"/>
          <w:color w:val="auto"/>
        </w:rPr>
        <w:t>Common Director</w:t>
      </w:r>
      <w:r>
        <w:rPr>
          <w:rFonts w:ascii="Arial" w:cs="Arial" w:eastAsia="Arial" w:hAnsi="Arial"/>
          <w:sz w:val="16"/>
          <w:szCs w:val="16"/>
          <w:color w:val="auto"/>
        </w:rPr>
        <w:t>”), (iii) the holders of a majority of the voting power of the then-outstanding shares of Common Stock and Series 1 Preferred Stock, voting together as a separate class, shall be entitled to elect two (2) members of the Board of Directors and (iv) the holders of a majority of the voting power of the then-outstanding shares of Common Stock, the Series 1 Preferred Stock and the Preferred Stock, voting together as a single class, shall be entitled to elect the remaining members of the Board of Directors. On all matters presented to the Board of Directors for approval at any meeting of the Board of Directors or action taken by written consent without a meeting, each director will be entitled to one (1) vote; provided, however, that, when at least one (1) Independent Director (as defined in that certain Amended and Restated Voting Agreement dated as of the Purchase Date by and among the Corporation and stockholders of the Corporation named therein, as may be amended or restated from time to time) is then in office, the Common Director (and no other directors) shall be entitled to three (3) votes on any Specified Matter (as defined below) at any meeting of the Board of Directors or action of the Board of Directors taken by written consent without a meeting. A “</w:t>
      </w:r>
      <w:r>
        <w:rPr>
          <w:rFonts w:ascii="Arial" w:cs="Arial" w:eastAsia="Arial" w:hAnsi="Arial"/>
          <w:sz w:val="16"/>
          <w:szCs w:val="16"/>
          <w:u w:val="single" w:color="auto"/>
          <w:color w:val="auto"/>
        </w:rPr>
        <w:t>Specified Matter</w:t>
      </w:r>
      <w:r>
        <w:rPr>
          <w:rFonts w:ascii="Arial" w:cs="Arial" w:eastAsia="Arial" w:hAnsi="Arial"/>
          <w:sz w:val="16"/>
          <w:szCs w:val="16"/>
          <w:color w:val="auto"/>
        </w:rPr>
        <w:t>” shall include each of the following:</w:t>
      </w:r>
    </w:p>
    <w:p>
      <w:pPr>
        <w:spacing w:after="0" w:line="63" w:lineRule="exact"/>
        <w:rPr>
          <w:sz w:val="20"/>
          <w:szCs w:val="20"/>
          <w:color w:val="auto"/>
        </w:rPr>
      </w:pPr>
    </w:p>
    <w:p>
      <w:pPr>
        <w:ind w:left="2200" w:hanging="221"/>
        <w:spacing w:after="0"/>
        <w:tabs>
          <w:tab w:leader="none" w:pos="2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Liquidation Transaction;</w:t>
      </w:r>
    </w:p>
    <w:p>
      <w:pPr>
        <w:spacing w:after="0" w:line="117" w:lineRule="exact"/>
        <w:rPr>
          <w:rFonts w:ascii="Arial" w:cs="Arial" w:eastAsia="Arial" w:hAnsi="Arial"/>
          <w:sz w:val="18"/>
          <w:szCs w:val="18"/>
          <w:color w:val="auto"/>
        </w:rPr>
      </w:pPr>
    </w:p>
    <w:p>
      <w:pPr>
        <w:ind w:right="340" w:firstLine="1979"/>
        <w:spacing w:after="0" w:line="342" w:lineRule="auto"/>
        <w:tabs>
          <w:tab w:leader="none" w:pos="224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acquisition by the Corporation of another company or business, or of the assets of another company or business, except for any such acquisition involving the payment of consideration by the Corporation with an aggregate value of more than $50,000,000;</w:t>
      </w:r>
    </w:p>
    <w:p>
      <w:pPr>
        <w:spacing w:after="0" w:line="15" w:lineRule="exact"/>
        <w:rPr>
          <w:rFonts w:ascii="Arial" w:cs="Arial" w:eastAsia="Arial" w:hAnsi="Arial"/>
          <w:sz w:val="16"/>
          <w:szCs w:val="16"/>
          <w:color w:val="auto"/>
        </w:rPr>
      </w:pPr>
    </w:p>
    <w:p>
      <w:pPr>
        <w:ind w:right="540" w:firstLine="1979"/>
        <w:spacing w:after="0" w:line="342" w:lineRule="auto"/>
        <w:tabs>
          <w:tab w:leader="none" w:pos="229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issuance, grant or transfer of any equity security (including any security convertible into, exchangeable for or exercisable for any equity security) of the Corporation, other than any such issuance or grant of equity securities to the Common Director;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23" w:name="page224"/>
    <w:bookmarkEnd w:id="223"/>
    <w:p>
      <w:pPr>
        <w:ind w:left="2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(iv) the Corporation’s initial sale of its Common Stock in a public offering pursuant to a registration statement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w:t>
      </w:r>
    </w:p>
    <w:p>
      <w:pPr>
        <w:spacing w:after="0" w:line="103" w:lineRule="exact"/>
        <w:rPr>
          <w:sz w:val="20"/>
          <w:szCs w:val="20"/>
          <w:color w:val="auto"/>
        </w:rPr>
      </w:pPr>
    </w:p>
    <w:p>
      <w:pPr>
        <w:jc w:val="both"/>
        <w:ind w:right="180" w:firstLine="2419"/>
        <w:spacing w:after="0" w:line="263" w:lineRule="auto"/>
        <w:tabs>
          <w:tab w:leader="none" w:pos="267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increase in the number of shares of Common Stock reserved for issuance under any stock option plan of the Corporation, provided that the aggregate amount of all such increases in a single fiscal year is no greater than 4,310,000 shares (as adjusted for stock splits, stock dividends, reclassification and the like);</w:t>
      </w:r>
    </w:p>
    <w:p>
      <w:pPr>
        <w:spacing w:after="0" w:line="75" w:lineRule="exact"/>
        <w:rPr>
          <w:rFonts w:ascii="Arial" w:cs="Arial" w:eastAsia="Arial" w:hAnsi="Arial"/>
          <w:sz w:val="18"/>
          <w:szCs w:val="18"/>
          <w:color w:val="auto"/>
        </w:rPr>
      </w:pPr>
    </w:p>
    <w:p>
      <w:pPr>
        <w:ind w:right="300" w:firstLine="2419"/>
        <w:spacing w:after="0" w:line="277" w:lineRule="auto"/>
        <w:tabs>
          <w:tab w:leader="none" w:pos="27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redeem, purchase or otherwise acquire any shares of capital stock of the Corporation, other than any shares of capital stock held by the Chief Executive Officer of the Corporation;</w:t>
      </w:r>
    </w:p>
    <w:p>
      <w:pPr>
        <w:spacing w:after="0" w:line="62" w:lineRule="exact"/>
        <w:rPr>
          <w:rFonts w:ascii="Arial" w:cs="Arial" w:eastAsia="Arial" w:hAnsi="Arial"/>
          <w:sz w:val="18"/>
          <w:szCs w:val="18"/>
          <w:color w:val="auto"/>
        </w:rPr>
      </w:pPr>
    </w:p>
    <w:p>
      <w:pPr>
        <w:ind w:firstLine="2419"/>
        <w:spacing w:after="0" w:line="277" w:lineRule="auto"/>
        <w:tabs>
          <w:tab w:leader="none" w:pos="277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hire, terminate or change the compensation of any executive officer (as such term is defined in Rule 501(f) of the Securities Act) of the Corporation, other than with respect to any executive officer role held by the Common Director;</w:t>
      </w:r>
    </w:p>
    <w:p>
      <w:pPr>
        <w:spacing w:after="0" w:line="62" w:lineRule="exact"/>
        <w:rPr>
          <w:rFonts w:ascii="Arial" w:cs="Arial" w:eastAsia="Arial" w:hAnsi="Arial"/>
          <w:sz w:val="18"/>
          <w:szCs w:val="18"/>
          <w:color w:val="auto"/>
        </w:rPr>
      </w:pPr>
    </w:p>
    <w:p>
      <w:pPr>
        <w:ind w:right="400" w:firstLine="2419"/>
        <w:spacing w:after="0" w:line="311" w:lineRule="auto"/>
        <w:tabs>
          <w:tab w:leader="none" w:pos="28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change of the principal business of the Corporation from collaboration work management or project management, the entry by the Corporation into any new line of business (other than any business or line of business relating to collaboration work management or project management), or the exit by the Corporation of the collaboration work management or project management business; or</w:t>
      </w:r>
    </w:p>
    <w:p>
      <w:pPr>
        <w:spacing w:after="0" w:line="40" w:lineRule="exact"/>
        <w:rPr>
          <w:rFonts w:ascii="Arial" w:cs="Arial" w:eastAsia="Arial" w:hAnsi="Arial"/>
          <w:sz w:val="16"/>
          <w:szCs w:val="16"/>
          <w:color w:val="auto"/>
        </w:rPr>
      </w:pPr>
    </w:p>
    <w:p>
      <w:pPr>
        <w:ind w:left="2720" w:hanging="301"/>
        <w:spacing w:after="0"/>
        <w:tabs>
          <w:tab w:leader="none" w:pos="27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amendment to this Restated Certificate or the Bylaws of the Corporation.</w:t>
      </w:r>
    </w:p>
    <w:p>
      <w:pPr>
        <w:spacing w:after="0" w:line="117" w:lineRule="exact"/>
        <w:rPr>
          <w:rFonts w:ascii="Arial" w:cs="Arial" w:eastAsia="Arial" w:hAnsi="Arial"/>
          <w:sz w:val="18"/>
          <w:szCs w:val="18"/>
          <w:color w:val="auto"/>
        </w:rPr>
      </w:pPr>
    </w:p>
    <w:p>
      <w:pPr>
        <w:ind w:firstLine="1979"/>
        <w:spacing w:after="0" w:line="287" w:lineRule="auto"/>
        <w:tabs>
          <w:tab w:leader="none" w:pos="22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Notwithstanding the provisions of Section 223(a)(1) and 223(a)(2) of the Delaware General Corporation Law, any vacancy, including newly created directorships resulting from any increase in the authorized number of directors or amendment of this Restated Certificate,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such stockholders, and any vacancy thereby created may be filled by the holders of that class or series of stock represented at the meeting or pursuant to written consent.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224" w:name="page225"/>
    <w:bookmarkEnd w:id="224"/>
    <w:p>
      <w:pPr>
        <w:ind w:left="1600" w:hanging="172"/>
        <w:spacing w:after="0"/>
        <w:tabs>
          <w:tab w:leader="none" w:pos="1600"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Protective Provisions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40" w:firstLine="1979"/>
        <w:spacing w:after="0" w:line="261" w:lineRule="auto"/>
        <w:tabs>
          <w:tab w:leader="none" w:pos="2227" w:val="left"/>
        </w:tabs>
        <w:numPr>
          <w:ilvl w:val="1"/>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Protective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at least 10,000,000 shares of Preferred Stock are outstanding (as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splits, stock dividends, reclassification and the like), the Corporation shall not (by amendment, merger, consolidation or otherwise) without first obtaining the approval (by vote or written consent, as provided by law) of the holders of at least a majority of the voting power of the then-outstanding shares of Preferred Stock, voting together as a single class:</w:t>
      </w:r>
    </w:p>
    <w:p>
      <w:pPr>
        <w:spacing w:after="0" w:line="76" w:lineRule="exact"/>
        <w:rPr>
          <w:sz w:val="20"/>
          <w:szCs w:val="20"/>
          <w:color w:val="auto"/>
        </w:rPr>
      </w:pPr>
    </w:p>
    <w:p>
      <w:pPr>
        <w:ind w:left="2200" w:hanging="221"/>
        <w:spacing w:after="0"/>
        <w:tabs>
          <w:tab w:leader="none" w:pos="2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alter or change the rights, preferences or privileges of the shares of any outstanding series of Preferred Stock so as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adversely affect such shares;</w:t>
      </w:r>
    </w:p>
    <w:p>
      <w:pPr>
        <w:spacing w:after="0" w:line="102" w:lineRule="exact"/>
        <w:rPr>
          <w:rFonts w:ascii="Arial" w:cs="Arial" w:eastAsia="Arial" w:hAnsi="Arial"/>
          <w:sz w:val="16"/>
          <w:szCs w:val="16"/>
          <w:color w:val="auto"/>
        </w:rPr>
      </w:pPr>
    </w:p>
    <w:p>
      <w:pPr>
        <w:ind w:right="580" w:firstLine="1979"/>
        <w:spacing w:after="0" w:line="277" w:lineRule="auto"/>
        <w:tabs>
          <w:tab w:leader="none" w:pos="22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increase or decrease (other than by conversion) the total number of authorized shares of Preferred Stock, Series 1 Preferred Stock or Common Stock;</w:t>
      </w:r>
    </w:p>
    <w:p>
      <w:pPr>
        <w:spacing w:after="0" w:line="62" w:lineRule="exact"/>
        <w:rPr>
          <w:rFonts w:ascii="Arial" w:cs="Arial" w:eastAsia="Arial" w:hAnsi="Arial"/>
          <w:sz w:val="18"/>
          <w:szCs w:val="18"/>
          <w:color w:val="auto"/>
        </w:rPr>
      </w:pPr>
    </w:p>
    <w:p>
      <w:pPr>
        <w:ind w:right="60" w:firstLine="1979"/>
        <w:spacing w:after="0" w:line="259" w:lineRule="auto"/>
        <w:tabs>
          <w:tab w:leader="none" w:pos="229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 or issue (other than in the case of Series A, Series B, Series C, Series D or Series E Preferred Stock), or obligate itself to issue, any other equity security, including any security convertible into, exchangeable for or exercisable for any equity security, having a preference over, or being on a parity with, any outstanding series of Preferred Stock with respect to voting (other than the pari passu voting rights of Common Stock), dividends, redemption, conversion or upon liquidation;</w:t>
      </w:r>
    </w:p>
    <w:p>
      <w:pPr>
        <w:spacing w:after="0" w:line="78" w:lineRule="exact"/>
        <w:rPr>
          <w:rFonts w:ascii="Arial" w:cs="Arial" w:eastAsia="Arial" w:hAnsi="Arial"/>
          <w:sz w:val="18"/>
          <w:szCs w:val="18"/>
          <w:color w:val="auto"/>
        </w:rPr>
      </w:pPr>
    </w:p>
    <w:p>
      <w:pPr>
        <w:ind w:firstLine="1979"/>
        <w:spacing w:after="0" w:line="255" w:lineRule="auto"/>
        <w:tabs>
          <w:tab w:leader="none" w:pos="22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redeem, purchase or otherwise acquire (or pay into or set funds aside for a sinking fund for such purpose) any share or shares of Preferred Stock, Series 1 Preferred Stock or Common Stock; provided, however, that this restriction shall not apply to the repurchase of shares of Common Stock or Series 1 Preferred Stock from employees, officers, directors, consultants or other persons or entities performing services for the Corporation or any subsidiary pursuant to agreements under which the Corporation has the option to repurchase such shares at no greater than cost upon the occurrence of certain events, such as the termination of employment, or through the exercise of any right of first refusal (provided such exercise is approved by the Corporation’s Board of Directors);</w:t>
      </w:r>
    </w:p>
    <w:p>
      <w:pPr>
        <w:spacing w:after="0" w:line="84" w:lineRule="exact"/>
        <w:rPr>
          <w:rFonts w:ascii="Arial" w:cs="Arial" w:eastAsia="Arial" w:hAnsi="Arial"/>
          <w:sz w:val="18"/>
          <w:szCs w:val="18"/>
          <w:color w:val="auto"/>
        </w:rPr>
      </w:pPr>
    </w:p>
    <w:p>
      <w:pPr>
        <w:ind w:left="2240" w:hanging="261"/>
        <w:spacing w:after="0"/>
        <w:tabs>
          <w:tab w:leader="none" w:pos="2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declare or pay a dividend or other distribution with respect to any shares of the Corporation’s capital stock;</w:t>
      </w:r>
    </w:p>
    <w:p>
      <w:pPr>
        <w:spacing w:after="0" w:line="117" w:lineRule="exact"/>
        <w:rPr>
          <w:rFonts w:ascii="Arial" w:cs="Arial" w:eastAsia="Arial" w:hAnsi="Arial"/>
          <w:sz w:val="18"/>
          <w:szCs w:val="18"/>
          <w:color w:val="auto"/>
        </w:rPr>
      </w:pPr>
    </w:p>
    <w:p>
      <w:pPr>
        <w:ind w:left="2280" w:hanging="301"/>
        <w:spacing w:after="0"/>
        <w:tabs>
          <w:tab w:leader="none" w:pos="2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 the number of directors of the Corporation;</w:t>
      </w:r>
    </w:p>
    <w:p>
      <w:pPr>
        <w:spacing w:after="0" w:line="117" w:lineRule="exact"/>
        <w:rPr>
          <w:rFonts w:ascii="Arial" w:cs="Arial" w:eastAsia="Arial" w:hAnsi="Arial"/>
          <w:sz w:val="18"/>
          <w:szCs w:val="18"/>
          <w:color w:val="auto"/>
        </w:rPr>
      </w:pPr>
    </w:p>
    <w:p>
      <w:pPr>
        <w:ind w:right="40" w:firstLine="1979"/>
        <w:spacing w:after="0" w:line="277" w:lineRule="auto"/>
        <w:tabs>
          <w:tab w:leader="none" w:pos="23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effect a Liquidation Transaction or other liquidation, dissolution or winding up of the Corporation, or the acquisition of another company or business by the Corporation;</w:t>
      </w:r>
    </w:p>
    <w:p>
      <w:pPr>
        <w:spacing w:after="0" w:line="62" w:lineRule="exact"/>
        <w:rPr>
          <w:rFonts w:ascii="Arial" w:cs="Arial" w:eastAsia="Arial" w:hAnsi="Arial"/>
          <w:sz w:val="18"/>
          <w:szCs w:val="18"/>
          <w:color w:val="auto"/>
        </w:rPr>
      </w:pPr>
    </w:p>
    <w:p>
      <w:pPr>
        <w:jc w:val="both"/>
        <w:ind w:right="120" w:firstLine="1979"/>
        <w:spacing w:after="0" w:line="263" w:lineRule="auto"/>
        <w:tabs>
          <w:tab w:leader="none" w:pos="23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 the principal business of the Corporation from collaboration work management or project management, enter into a new material line of business (other than any business or line of business relating to collaboration work management or project management), or exit the collaboration work management or project management business;</w:t>
      </w:r>
    </w:p>
    <w:p>
      <w:pPr>
        <w:spacing w:after="0" w:line="75" w:lineRule="exact"/>
        <w:rPr>
          <w:rFonts w:ascii="Arial" w:cs="Arial" w:eastAsia="Arial" w:hAnsi="Arial"/>
          <w:sz w:val="18"/>
          <w:szCs w:val="18"/>
          <w:color w:val="auto"/>
        </w:rPr>
      </w:pPr>
    </w:p>
    <w:p>
      <w:pPr>
        <w:ind w:right="160" w:firstLine="1979"/>
        <w:spacing w:after="0" w:line="263" w:lineRule="auto"/>
        <w:tabs>
          <w:tab w:leader="none" w:pos="22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engage in any transaction with any affiliate (including any loans to directors or officers of the Company), except for transactions (x) that are approved by the Board of Directors and entered into in the ordinary course of business on an arms’-length basis or (y) that are approved by a majority of the disinterested members of the Board of Directors;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225" w:name="page226"/>
    <w:bookmarkEnd w:id="225"/>
    <w:p>
      <w:pPr>
        <w:ind w:left="2240" w:hanging="261"/>
        <w:spacing w:after="0"/>
        <w:tabs>
          <w:tab w:leader="none" w:pos="2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 this Restated Certificate or the Bylaws of the Corporation.</w:t>
      </w:r>
    </w:p>
    <w:p>
      <w:pPr>
        <w:spacing w:after="0" w:line="113" w:lineRule="exact"/>
        <w:rPr>
          <w:rFonts w:ascii="Arial" w:cs="Arial" w:eastAsia="Arial" w:hAnsi="Arial"/>
          <w:sz w:val="18"/>
          <w:szCs w:val="18"/>
          <w:color w:val="auto"/>
        </w:rPr>
      </w:pPr>
    </w:p>
    <w:p>
      <w:pPr>
        <w:ind w:firstLine="2419"/>
        <w:spacing w:after="0" w:line="298" w:lineRule="auto"/>
        <w:tabs>
          <w:tab w:leader="none" w:pos="2678" w:val="left"/>
        </w:tabs>
        <w:numPr>
          <w:ilvl w:val="1"/>
          <w:numId w:val="140"/>
        </w:numPr>
        <w:rPr>
          <w:rFonts w:ascii="Arial" w:cs="Arial" w:eastAsia="Arial" w:hAnsi="Arial"/>
          <w:sz w:val="16"/>
          <w:szCs w:val="16"/>
          <w:color w:val="auto"/>
        </w:rPr>
      </w:pPr>
      <w:r>
        <w:rPr>
          <w:rFonts w:ascii="Arial" w:cs="Arial" w:eastAsia="Arial" w:hAnsi="Arial"/>
          <w:sz w:val="16"/>
          <w:szCs w:val="16"/>
          <w:b w:val="1"/>
          <w:bCs w:val="1"/>
          <w:u w:val="single" w:color="auto"/>
          <w:color w:val="auto"/>
        </w:rPr>
        <w:t>Series A Protective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at least 10,000,000 shares of Series A Preferred Stock are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(as adjusted for stock splits, stock dividends, reclassification and the like), the Corporation shall not (by amendment, merger, consolidation or otherwise) without first obtaining the approval (by vote or written consent, as provided by law) of the holders of at least a majority of the then-outstanding shares of Series A Preferred Stock, voting together as a single class, waive, alter or change the powers, preferences or special rights of the shares Series A Preferred Stock so as to affect such shares in a manner materially and adversely different from any other series of Preferred Stock.</w:t>
      </w:r>
    </w:p>
    <w:p>
      <w:pPr>
        <w:spacing w:after="0" w:line="46" w:lineRule="exact"/>
        <w:rPr>
          <w:sz w:val="20"/>
          <w:szCs w:val="20"/>
          <w:color w:val="auto"/>
        </w:rPr>
      </w:pPr>
    </w:p>
    <w:p>
      <w:pPr>
        <w:ind w:firstLine="1979"/>
        <w:spacing w:after="0" w:line="298" w:lineRule="auto"/>
        <w:tabs>
          <w:tab w:leader="none" w:pos="2227"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Series B Protective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at least 5,000,000 shares of Series B Preferred Stock are outstanding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stock splits, stock dividends, reclassification and the like), the Corporation shall not (by amendment, merger, consolidation or otherwise) without first obtaining the approval (by vote or written consent, as provided by law) of the holders of at least a majority of the then-outstanding shares of Series B Preferred Stock, voting together as a single class, waive, alter or change the powers, preferences or special rights of the shares Series B Preferred Stock so as to affect such shares in a manner materially and adversely different from any other series of Preferred Stock.</w:t>
      </w:r>
    </w:p>
    <w:p>
      <w:pPr>
        <w:spacing w:after="0" w:line="45" w:lineRule="exact"/>
        <w:rPr>
          <w:rFonts w:ascii="Arial" w:cs="Arial" w:eastAsia="Arial" w:hAnsi="Arial"/>
          <w:sz w:val="16"/>
          <w:szCs w:val="16"/>
          <w:color w:val="auto"/>
        </w:rPr>
      </w:pPr>
    </w:p>
    <w:p>
      <w:pPr>
        <w:ind w:firstLine="1979"/>
        <w:spacing w:after="0" w:line="298" w:lineRule="auto"/>
        <w:tabs>
          <w:tab w:leader="none" w:pos="2237"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Series C Protective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at least 10,000,000 shares of Series C Preferred Stock are outstanding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stock splits, stock dividends, reclassification and the like), the Corporation shall not (by amendment, merger, consolidation or otherwise) without first obtaining the approval (by vote or written consent, as provided by law) of the holders of at least a majority of the then-outstanding shares of Series C Preferred Stock, voting together as a single class, waive, alter or change the powers, preferences or special rights of the shares Series C Preferred Stock so as to affect such shares in a manner materially and adversely different from any other series of Preferred Stock.</w:t>
      </w:r>
    </w:p>
    <w:p>
      <w:pPr>
        <w:spacing w:after="0" w:line="45" w:lineRule="exact"/>
        <w:rPr>
          <w:rFonts w:ascii="Arial" w:cs="Arial" w:eastAsia="Arial" w:hAnsi="Arial"/>
          <w:sz w:val="16"/>
          <w:szCs w:val="16"/>
          <w:color w:val="auto"/>
        </w:rPr>
      </w:pPr>
    </w:p>
    <w:p>
      <w:pPr>
        <w:ind w:right="260" w:firstLine="1979"/>
        <w:spacing w:after="0" w:line="298" w:lineRule="auto"/>
        <w:tabs>
          <w:tab w:leader="none" w:pos="2227"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Series D Protective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at least 6,500,000 shares of Series D Preferred Stock are outstanding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stock splits, stock dividends, reclassification and the like), the Corporation shall not (by amendment, merger, consolidation or otherwise) without first obtaining the approval (by vote or written consent, as provided by law) of the holders of at least 55% of the then-outstanding shares of Series D Preferred Stock, voting together as a single class, waive, alter or change the powers, preferences, or special rights of the shares of Series D Preferred Stock so as to affect such shares in a manner materially and adversely different from any other series of Preferred Stock.</w:t>
      </w:r>
    </w:p>
    <w:p>
      <w:pPr>
        <w:spacing w:after="0" w:line="45" w:lineRule="exact"/>
        <w:rPr>
          <w:rFonts w:ascii="Arial" w:cs="Arial" w:eastAsia="Arial" w:hAnsi="Arial"/>
          <w:sz w:val="16"/>
          <w:szCs w:val="16"/>
          <w:color w:val="auto"/>
        </w:rPr>
      </w:pPr>
    </w:p>
    <w:p>
      <w:pPr>
        <w:ind w:right="260" w:firstLine="1979"/>
        <w:spacing w:after="0" w:line="298" w:lineRule="auto"/>
        <w:tabs>
          <w:tab w:leader="none" w:pos="2207"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Series E Protective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at least 3,000,000 shares of Series E Preferred Stock are outstanding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for stock splits, stock dividends, reclassification and the like), the Corporation shall not (by amendment, merger, consolidation or otherwise) without first obtaining the approval (by vote or written consent, as provided by law) of the holders of at least 57% of the then-outstanding shares of Series E Preferred Stock, voting together as a single class, waive, alter or change the powers, preferences, or special rights of the shares of Series E Preferred Stock so as to affect such shares in a manner materially and adversely different from any other series of Preferred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6" w:name="page227"/>
    <w:bookmarkEnd w:id="226"/>
    <w:p>
      <w:pPr>
        <w:ind w:left="4" w:right="60" w:firstLine="1428"/>
        <w:spacing w:after="0" w:line="289" w:lineRule="auto"/>
        <w:tabs>
          <w:tab w:leader="none" w:pos="1616" w:val="left"/>
        </w:tabs>
        <w:numPr>
          <w:ilvl w:val="2"/>
          <w:numId w:val="14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Status of Converted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of Preferred Stock shall be converted pursuant to Section 4 hereof,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so converted shall be cancelled and shall not be issuable by the Corporation. This Restated Certificate shall be appropriately amended to effect the corresponding reduction in the Corporation’s authorized capital stock and the authorized shares of Preferred Stock.</w:t>
      </w:r>
    </w:p>
    <w:p>
      <w:pPr>
        <w:spacing w:after="0" w:line="49" w:lineRule="exact"/>
        <w:rPr>
          <w:rFonts w:ascii="Arial" w:cs="Arial" w:eastAsia="Arial" w:hAnsi="Arial"/>
          <w:sz w:val="17"/>
          <w:szCs w:val="17"/>
          <w:color w:val="auto"/>
        </w:rPr>
      </w:pPr>
    </w:p>
    <w:p>
      <w:pPr>
        <w:ind w:left="4" w:right="220" w:firstLine="436"/>
        <w:spacing w:after="0" w:line="282" w:lineRule="auto"/>
        <w:tabs>
          <w:tab w:leader="none" w:pos="729"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Series 1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preferences, privileges, and restrictions granted to and imposed on the Series 1 Preferred Stock are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below in this Article IV(C).</w:t>
      </w:r>
    </w:p>
    <w:p>
      <w:pPr>
        <w:spacing w:after="0" w:line="53" w:lineRule="exact"/>
        <w:rPr>
          <w:rFonts w:ascii="Arial" w:cs="Arial" w:eastAsia="Arial" w:hAnsi="Arial"/>
          <w:sz w:val="18"/>
          <w:szCs w:val="18"/>
          <w:color w:val="auto"/>
        </w:rPr>
      </w:pPr>
    </w:p>
    <w:p>
      <w:pPr>
        <w:ind w:left="4" w:firstLine="987"/>
        <w:spacing w:after="0" w:line="258" w:lineRule="auto"/>
        <w:tabs>
          <w:tab w:leader="none" w:pos="1175" w:val="left"/>
        </w:tabs>
        <w:numPr>
          <w:ilvl w:val="1"/>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Rights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preference and participation accorded in Section 1 of Article IV(B) to holders of Preferred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of Series 1 Preferred Stock shall be entitled to receive, when and as declared by the Board of Directors, out of any assets of the Corporation legally available therefor, such dividends (other than payable solely in Common Stock) as may be declared from time to time by the Board of Directors on a pro rata basis with the holders of Common Stock, based on the number of shares of Common Stock held by each (assuming conversion of all the Series 1 Preferred Stock into Common Stock).</w:t>
      </w:r>
    </w:p>
    <w:p>
      <w:pPr>
        <w:spacing w:after="0" w:line="75" w:lineRule="exact"/>
        <w:rPr>
          <w:rFonts w:ascii="Arial" w:cs="Arial" w:eastAsia="Arial" w:hAnsi="Arial"/>
          <w:sz w:val="18"/>
          <w:szCs w:val="18"/>
          <w:color w:val="auto"/>
        </w:rPr>
      </w:pPr>
    </w:p>
    <w:p>
      <w:pPr>
        <w:ind w:left="4" w:right="300" w:firstLine="987"/>
        <w:spacing w:after="0" w:line="282" w:lineRule="auto"/>
        <w:tabs>
          <w:tab w:leader="none" w:pos="1175" w:val="left"/>
        </w:tabs>
        <w:numPr>
          <w:ilvl w:val="1"/>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liquidation, dissolution or winding up of the Corporation, or the occurrence of a Liquidation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Corporation shall be distributed as provided in Section 2 of Article IV(B).</w:t>
      </w:r>
    </w:p>
    <w:p>
      <w:pPr>
        <w:spacing w:after="0" w:line="53" w:lineRule="exact"/>
        <w:rPr>
          <w:rFonts w:ascii="Arial" w:cs="Arial" w:eastAsia="Arial" w:hAnsi="Arial"/>
          <w:sz w:val="18"/>
          <w:szCs w:val="18"/>
          <w:color w:val="auto"/>
        </w:rPr>
      </w:pPr>
    </w:p>
    <w:p>
      <w:pPr>
        <w:ind w:left="1164" w:hanging="173"/>
        <w:spacing w:after="0"/>
        <w:tabs>
          <w:tab w:leader="none" w:pos="1164" w:val="left"/>
        </w:tabs>
        <w:numPr>
          <w:ilvl w:val="1"/>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1 Preferred Stock is not redeemable.</w:t>
      </w:r>
    </w:p>
    <w:p>
      <w:pPr>
        <w:spacing w:after="0" w:line="117" w:lineRule="exact"/>
        <w:rPr>
          <w:rFonts w:ascii="Arial" w:cs="Arial" w:eastAsia="Arial" w:hAnsi="Arial"/>
          <w:sz w:val="18"/>
          <w:szCs w:val="18"/>
          <w:color w:val="auto"/>
        </w:rPr>
      </w:pPr>
    </w:p>
    <w:p>
      <w:pPr>
        <w:ind w:left="4" w:right="720" w:firstLine="987"/>
        <w:spacing w:after="0" w:line="282" w:lineRule="auto"/>
        <w:tabs>
          <w:tab w:leader="none" w:pos="1175" w:val="left"/>
        </w:tabs>
        <w:numPr>
          <w:ilvl w:val="1"/>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Series 1 Preferred Stock shall have conversion rights as follows (the “</w:t>
      </w:r>
      <w:r>
        <w:rPr>
          <w:rFonts w:ascii="Arial" w:cs="Arial" w:eastAsia="Arial" w:hAnsi="Arial"/>
          <w:sz w:val="18"/>
          <w:szCs w:val="18"/>
          <w:u w:val="single" w:color="auto"/>
          <w:color w:val="auto"/>
        </w:rPr>
        <w:t>Series 1 Preferred Stock</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54" w:lineRule="exact"/>
        <w:rPr>
          <w:sz w:val="20"/>
          <w:szCs w:val="20"/>
          <w:color w:val="auto"/>
        </w:rPr>
      </w:pPr>
    </w:p>
    <w:p>
      <w:pPr>
        <w:ind w:left="4" w:right="300" w:firstLine="1428"/>
        <w:spacing w:after="0" w:line="286" w:lineRule="auto"/>
        <w:tabs>
          <w:tab w:leader="none" w:pos="1681" w:val="left"/>
        </w:tabs>
        <w:numPr>
          <w:ilvl w:val="1"/>
          <w:numId w:val="14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Convert to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Each share of Series 1 Preferred Stock shall be convertible, at the option of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at any time after the date of issuance of such share, at the office of the Corporation or any transfer agent for such stock, into such number of fully paid and nonassessable shares of Class B Common Stock as is determined by dividing $1.00 (as adjusted for any stock splits, stock dividends, combinations, subdivisions, recapitalizations or the like) by the Series 1 Preferred Stock Conversion Price applicable to such share, determined as hereafter provided, in effect on the date the certificate is surrendered for conversion. Any transfer of shares of Series 1 Preferred Stock that is neither</w:t>
      </w:r>
    </w:p>
    <w:p>
      <w:pPr>
        <w:spacing w:after="0" w:line="2" w:lineRule="exact"/>
        <w:rPr>
          <w:rFonts w:ascii="Arial" w:cs="Arial" w:eastAsia="Arial" w:hAnsi="Arial"/>
          <w:sz w:val="16"/>
          <w:szCs w:val="16"/>
          <w:color w:val="auto"/>
        </w:rPr>
      </w:pPr>
    </w:p>
    <w:p>
      <w:pPr>
        <w:ind w:left="4" w:hanging="4"/>
        <w:spacing w:after="0" w:line="281" w:lineRule="auto"/>
        <w:tabs>
          <w:tab w:leader="none" w:pos="21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made in connection with an Equity Financing (as such term is defined in Section 4(b) below), nor (ii) authorized by a majority of the Board of Directors, shall be deemed an election of an option to convert such shares into Class B Common Stock and each such transferred share of Series 1 Preferred Stock shall automatically convert into such number of fully paid and nonassessable shares of Class B Common Stock as is determined by dividing $1.00 (as adjusted for any stock splits, stock dividends, combinations, subdivisions, recapitalizations or the like) by the Series 1 Preferred Stock Conversion Price applicable to such share, determined as hereafter provided, effective immediately prior to such transfer. The initial Series 1 Preferred Stock Conversion Price per share of Series 1 Preferred Stock shall be $1.00 (as adjusted for any stock splits, stock dividends, combinations, subdivisions, recapitalizations or the like). Such initial Series 1 Preferred Stock Conversion Price shall be subject to adjustment as set forth in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4(a)(iii).</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27" w:name="page228"/>
    <w:bookmarkEnd w:id="227"/>
    <w:p>
      <w:pPr>
        <w:ind w:firstLine="1979"/>
        <w:spacing w:after="0" w:line="274" w:lineRule="auto"/>
        <w:tabs>
          <w:tab w:leader="none" w:pos="2198" w:val="left"/>
        </w:tabs>
        <w:numPr>
          <w:ilvl w:val="0"/>
          <w:numId w:val="14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 of Series 1 Preferred Stock shall automatically be converted into shares of Class B</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at the Series 1 Preferred Stock Conversion Price at the time in effect for such share immediately upon the earliest of (A) except as provided below in Section 4(a)(ii), the Corporation’s sale of its Common Stock in a Qualifying IPO, (B) the date or the occurrence of an event specified by written consent or agreement of the holders of a majority of the then-outstanding shares of Series 1 Preferred Stock, (C) immediately following the approval of a Liquidation Transaction by a majority of the Corporation’s Common Stock, voting separately as a class, or (D) the date on which all shares of Preferred Stock convert into Common Stock pursuant to Article IV(B)(4)(b)(i).</w:t>
      </w:r>
    </w:p>
    <w:p>
      <w:pPr>
        <w:spacing w:after="0" w:line="65" w:lineRule="exact"/>
        <w:rPr>
          <w:rFonts w:ascii="Arial" w:cs="Arial" w:eastAsia="Arial" w:hAnsi="Arial"/>
          <w:sz w:val="17"/>
          <w:szCs w:val="17"/>
          <w:color w:val="auto"/>
        </w:rPr>
      </w:pPr>
    </w:p>
    <w:p>
      <w:pPr>
        <w:ind w:firstLine="1979"/>
        <w:spacing w:after="0" w:line="269" w:lineRule="auto"/>
        <w:tabs>
          <w:tab w:leader="none" w:pos="2248" w:val="left"/>
        </w:tabs>
        <w:numPr>
          <w:ilvl w:val="0"/>
          <w:numId w:val="146"/>
        </w:numPr>
        <w:rPr>
          <w:rFonts w:ascii="Arial" w:cs="Arial" w:eastAsia="Arial" w:hAnsi="Arial"/>
          <w:sz w:val="17"/>
          <w:szCs w:val="17"/>
          <w:color w:val="auto"/>
        </w:rPr>
      </w:pPr>
      <w:r>
        <w:rPr>
          <w:rFonts w:ascii="Arial" w:cs="Arial" w:eastAsia="Arial" w:hAnsi="Arial"/>
          <w:sz w:val="17"/>
          <w:szCs w:val="17"/>
          <w:b w:val="1"/>
          <w:bCs w:val="1"/>
          <w:u w:val="single" w:color="auto"/>
          <w:color w:val="auto"/>
        </w:rPr>
        <w:t>Mechanics of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holder of Series 1 Preferred Stock shall be entitled to convert the same into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Common Stock, he shall surrender the certificate or certificates therefor, duly endorsed, at the office of the Corporation or of any transfer agent for such Series 1 Preferred Stock, and shall give written notice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Series 1 Preferred Stock, or to the nominee or nominees of such holder, a certificate or certificates for the number of shares of Common Stock to which such holder shall be entitled as aforesaid. Such conversion shall be deemed to have been made immediately prior to the close of business on the date of such surrender of the shares of such Series 1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Securities Act the conversion may, at the option of any holder tendering such Series 1 Preferred Stock for conversion, be conditioned upon the closing with the underwriters of the sale of securities pursuant to such offering, in which event the person(s) entitled to receive Common Stock upon conversion of such Series 1 Preferred Stock shall not be deemed to have converted such Series 1 Preferred Stock until immediately prior to the closing of such sale of securities.</w:t>
      </w:r>
    </w:p>
    <w:p>
      <w:pPr>
        <w:spacing w:after="0" w:line="67" w:lineRule="exact"/>
        <w:rPr>
          <w:rFonts w:ascii="Arial" w:cs="Arial" w:eastAsia="Arial" w:hAnsi="Arial"/>
          <w:sz w:val="17"/>
          <w:szCs w:val="17"/>
          <w:color w:val="auto"/>
        </w:rPr>
      </w:pPr>
    </w:p>
    <w:p>
      <w:pPr>
        <w:ind w:right="620" w:firstLine="1979"/>
        <w:spacing w:after="0" w:line="282" w:lineRule="auto"/>
        <w:tabs>
          <w:tab w:leader="none" w:pos="2298"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Series 1 Preferred Stock Conversion Price Adjustments for Certain Splits and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1</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Conversion Price shall be subject to adjustment from time to time as follows:</w:t>
      </w:r>
    </w:p>
    <w:p>
      <w:pPr>
        <w:spacing w:after="0" w:line="53" w:lineRule="exact"/>
        <w:rPr>
          <w:rFonts w:ascii="Arial" w:cs="Arial" w:eastAsia="Arial" w:hAnsi="Arial"/>
          <w:sz w:val="18"/>
          <w:szCs w:val="18"/>
          <w:color w:val="auto"/>
        </w:rPr>
      </w:pPr>
    </w:p>
    <w:p>
      <w:pPr>
        <w:ind w:right="20" w:firstLine="2419"/>
        <w:spacing w:after="0" w:line="261" w:lineRule="auto"/>
        <w:tabs>
          <w:tab w:leader="none" w:pos="2718" w:val="left"/>
        </w:tabs>
        <w:numPr>
          <w:ilvl w:val="1"/>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 Corporation should at any time or from time to time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Date fix a record date for the effectuation of a split or subdivision of the outstanding shares of Common Stock without a commensurate split or subdivision of the Series 1 Preferred Stock or the determination of holders of Common Stock entitled to receive a dividend or other distribution payable in additional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28" w:name="page229"/>
    <w:bookmarkEnd w:id="22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Common Stock or other securities or rights convertible into, or entitling the holder thereof to receive directly or indirectly, additional shares of Common Stock (hereinafter referred to as “</w:t>
      </w:r>
      <w:r>
        <w:rPr>
          <w:rFonts w:ascii="Arial" w:cs="Arial" w:eastAsia="Arial" w:hAnsi="Arial"/>
          <w:sz w:val="16"/>
          <w:szCs w:val="16"/>
          <w:u w:val="single" w:color="auto"/>
          <w:color w:val="auto"/>
        </w:rPr>
        <w:t>Series 1 Preferred Common Stock Equivalents</w:t>
      </w:r>
      <w:r>
        <w:rPr>
          <w:rFonts w:ascii="Arial" w:cs="Arial" w:eastAsia="Arial" w:hAnsi="Arial"/>
          <w:sz w:val="16"/>
          <w:szCs w:val="16"/>
          <w:color w:val="auto"/>
        </w:rPr>
        <w:t>”) without payment of any consideration by such holder for the additional shares of Common Stock or the Series 1 Preferred Common Stock Equivalents (including the additional shares of Common Stock issuable upon conversion or exercise thereof), then, as of such record date (or the date of such dividend, distribution, split or subdivision if no record date is fixed), the Series 1 Preferred Stock Conversion Price shall be appropriately decreased so that the number of shares of Common Stock issuable on conversion of each share of Series 1 Preferred Stock shall be increased in proportion to such increase of the aggregate of shares of Common Stock outstanding and those issuable with respect to such Series 1 Preferred Common Stock Equivalents with the number of shares issuable with respect to Series 1 Preferred Common Stock Equivalents determined from time to time as provided in Section 4(a)(iii)(C) below.</w:t>
      </w:r>
    </w:p>
    <w:p>
      <w:pPr>
        <w:spacing w:after="0" w:line="53" w:lineRule="exact"/>
        <w:rPr>
          <w:sz w:val="20"/>
          <w:szCs w:val="20"/>
          <w:color w:val="auto"/>
        </w:rPr>
      </w:pPr>
    </w:p>
    <w:p>
      <w:pPr>
        <w:ind w:firstLine="2419"/>
        <w:spacing w:after="0" w:line="303" w:lineRule="auto"/>
        <w:tabs>
          <w:tab w:leader="none" w:pos="2708" w:val="left"/>
        </w:tabs>
        <w:numPr>
          <w:ilvl w:val="0"/>
          <w:numId w:val="147"/>
        </w:numPr>
        <w:rPr>
          <w:rFonts w:ascii="Arial" w:cs="Arial" w:eastAsia="Arial" w:hAnsi="Arial"/>
          <w:sz w:val="16"/>
          <w:szCs w:val="16"/>
          <w:color w:val="auto"/>
        </w:rPr>
      </w:pPr>
      <w:r>
        <w:rPr>
          <w:rFonts w:ascii="Arial" w:cs="Arial" w:eastAsia="Arial" w:hAnsi="Arial"/>
          <w:sz w:val="16"/>
          <w:szCs w:val="16"/>
          <w:b w:val="1"/>
          <w:bCs w:val="1"/>
          <w:u w:val="single" w:color="auto"/>
          <w:color w:val="auto"/>
        </w:rPr>
        <w:t>Reverse Stock Splits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number of shares of Common Stock outstanding at any time after the Purchase Date is</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decreased by a combination of the outstanding shares of Common Stock, then, following the record date of such combination (or the date of such combination if no record date is fixed), the Series 1 Preferred Stock Conversion Price shall be appropriately increased so that the number of shares of Common Stock issuable on conversion of each share of such series shall be decreased in proportion to such decrease in outstanding shares.</w:t>
      </w:r>
    </w:p>
    <w:p>
      <w:pPr>
        <w:spacing w:after="0" w:line="46" w:lineRule="exact"/>
        <w:rPr>
          <w:rFonts w:ascii="Arial" w:cs="Arial" w:eastAsia="Arial" w:hAnsi="Arial"/>
          <w:sz w:val="16"/>
          <w:szCs w:val="16"/>
          <w:color w:val="auto"/>
        </w:rPr>
      </w:pPr>
    </w:p>
    <w:p>
      <w:pPr>
        <w:ind w:left="2700" w:hanging="281"/>
        <w:spacing w:after="0"/>
        <w:tabs>
          <w:tab w:leader="none" w:pos="2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following provisions shall apply for purposes of this Section 4(a)(iii):</w:t>
      </w:r>
    </w:p>
    <w:p>
      <w:pPr>
        <w:spacing w:after="0" w:line="117" w:lineRule="exact"/>
        <w:rPr>
          <w:rFonts w:ascii="Arial" w:cs="Arial" w:eastAsia="Arial" w:hAnsi="Arial"/>
          <w:sz w:val="18"/>
          <w:szCs w:val="18"/>
          <w:color w:val="auto"/>
        </w:rPr>
      </w:pPr>
    </w:p>
    <w:p>
      <w:pPr>
        <w:ind w:right="140" w:firstLine="2860"/>
        <w:spacing w:after="0" w:line="259" w:lineRule="auto"/>
        <w:tabs>
          <w:tab w:leader="none" w:pos="311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aggregate maximum number of shares of Common Stock deliverable upon conversion or exercise of Series 1 Preferred Common Stock Equivalents (assuming the satisfaction of any conditions to convertibility or exercisability, including, without limitation, the passage of time, but without taking into account potential antidilution adjustments) shall be deemed to have been issued at the time such Series 1 Preferred Common Stock Equivalents were issued.</w:t>
      </w:r>
    </w:p>
    <w:p>
      <w:pPr>
        <w:spacing w:after="0" w:line="78" w:lineRule="exact"/>
        <w:rPr>
          <w:rFonts w:ascii="Arial" w:cs="Arial" w:eastAsia="Arial" w:hAnsi="Arial"/>
          <w:sz w:val="18"/>
          <w:szCs w:val="18"/>
          <w:color w:val="auto"/>
        </w:rPr>
      </w:pPr>
    </w:p>
    <w:p>
      <w:pPr>
        <w:ind w:right="180" w:firstLine="2860"/>
        <w:spacing w:after="0" w:line="296" w:lineRule="auto"/>
        <w:tabs>
          <w:tab w:leader="none" w:pos="311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In the event of any change in the number of shares of Common Stock deliverable or in the consideration payable to the Corporation upon conversion or exercise of such Series 1 Preferred Common Stock Equivalents other than a change resulting from the antidilution provisions thereof, the Series 1 Preferred Stock Conversion Price, to the extent in any way affected by or computed using such Series 1 Preferred Common Stock Equivalents,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53" w:lineRule="exact"/>
        <w:rPr>
          <w:rFonts w:ascii="Arial" w:cs="Arial" w:eastAsia="Arial" w:hAnsi="Arial"/>
          <w:sz w:val="16"/>
          <w:szCs w:val="16"/>
          <w:color w:val="auto"/>
        </w:rPr>
      </w:pPr>
    </w:p>
    <w:p>
      <w:pPr>
        <w:ind w:right="480" w:firstLine="2860"/>
        <w:spacing w:after="0" w:line="257" w:lineRule="auto"/>
        <w:tabs>
          <w:tab w:leader="none" w:pos="311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Upon the termination or expiration of the convertibility or exercisability of any such Series 1 Preferred Common Stock Equivalents, the Series 1 Preferred Stock Conversion Price, to the extent in any way affected by or computed using such Series 1 Preferred Common Stock Equivalents, shall be recomputed to reflect the issuance of only the number of shares of Common Stock (and Series 1 Preferred Common Stock Equivalents which remain convertible or exercisable) actually issued upon the conversion or exercise of such Series 1 Preferred Common Stock Equivalents.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29" w:name="page230"/>
    <w:bookmarkEnd w:id="229"/>
    <w:p>
      <w:pPr>
        <w:ind w:left="-20" w:right="40" w:firstLine="2419"/>
        <w:spacing w:after="0" w:line="255" w:lineRule="auto"/>
        <w:tabs>
          <w:tab w:leader="none" w:pos="2708"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Fractional Shares and Certificate as to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shall be issued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any share or shares of the Series 1 Preferred Stock, and the number of shares of Common Stock to be issued shall be rounded down to the nearest whole share. The number of shares issuable upon such conversion shall be determined on the basis of the total number of shares of Series 1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in cash equal to the fair market value of such fractional share on the date of conversion, as determined in good faith by the Board of Directors.</w:t>
      </w:r>
    </w:p>
    <w:p>
      <w:pPr>
        <w:spacing w:after="0" w:line="80" w:lineRule="exact"/>
        <w:rPr>
          <w:rFonts w:ascii="Arial" w:cs="Arial" w:eastAsia="Arial" w:hAnsi="Arial"/>
          <w:sz w:val="18"/>
          <w:szCs w:val="18"/>
          <w:color w:val="auto"/>
        </w:rPr>
      </w:pPr>
    </w:p>
    <w:p>
      <w:pPr>
        <w:ind w:left="-20" w:right="20" w:firstLine="2419"/>
        <w:spacing w:after="0" w:line="272" w:lineRule="auto"/>
        <w:tabs>
          <w:tab w:leader="none" w:pos="2658" w:val="left"/>
        </w:tabs>
        <w:numPr>
          <w:ilvl w:val="0"/>
          <w:numId w:val="148"/>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 Issuable Upon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at all times reserve and keep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out of its authorized but unissued shares of Common Stock, solely for the purpose of effecting the conversion of the shares of the Series 1 Preferred Stock, such number of its shares of Common Stock as shall from time to time be sufficient to effect the conversion of all outstanding shares of such Series 1 Preferred Stock; and if at any time the number of authorized but unissued shares of Common Stock shall not be sufficient to effect the conversion of all then-outstanding shares of such Series 1 Preferred Stock, in addition to such other remedies as shall be available to the holder of such Series 1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64" w:lineRule="exact"/>
        <w:rPr>
          <w:sz w:val="20"/>
          <w:szCs w:val="20"/>
          <w:color w:val="auto"/>
        </w:rPr>
      </w:pPr>
    </w:p>
    <w:p>
      <w:pPr>
        <w:ind w:left="-20" w:firstLine="2419"/>
        <w:spacing w:after="0" w:line="291" w:lineRule="auto"/>
        <w:tabs>
          <w:tab w:leader="none" w:pos="2658" w:val="left"/>
        </w:tabs>
        <w:numPr>
          <w:ilvl w:val="0"/>
          <w:numId w:val="149"/>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Convert to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immediately upon the purchase by an investor of Series 1</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in connection with the Next Equity Financing (as defined below), each share of Series 1 Preferred Stock shall automatically convert into shares of the series of preferred stock of the Corporation issued in the Next Equity Financing (“</w:t>
      </w:r>
      <w:r>
        <w:rPr>
          <w:rFonts w:ascii="Arial" w:cs="Arial" w:eastAsia="Arial" w:hAnsi="Arial"/>
          <w:sz w:val="16"/>
          <w:szCs w:val="16"/>
          <w:u w:val="single" w:color="auto"/>
          <w:color w:val="auto"/>
        </w:rPr>
        <w:t>Subsequent Preferred Stock</w:t>
      </w:r>
      <w:r>
        <w:rPr>
          <w:rFonts w:ascii="Arial" w:cs="Arial" w:eastAsia="Arial" w:hAnsi="Arial"/>
          <w:sz w:val="16"/>
          <w:szCs w:val="16"/>
          <w:color w:val="auto"/>
        </w:rPr>
        <w:t>”) at the Conversion Ratio. “</w:t>
      </w:r>
      <w:r>
        <w:rPr>
          <w:rFonts w:ascii="Arial" w:cs="Arial" w:eastAsia="Arial" w:hAnsi="Arial"/>
          <w:sz w:val="16"/>
          <w:szCs w:val="16"/>
          <w:u w:val="single" w:color="auto"/>
          <w:color w:val="auto"/>
        </w:rPr>
        <w:t>Conversion Ratio</w:t>
      </w:r>
      <w:r>
        <w:rPr>
          <w:rFonts w:ascii="Arial" w:cs="Arial" w:eastAsia="Arial" w:hAnsi="Arial"/>
          <w:sz w:val="16"/>
          <w:szCs w:val="16"/>
          <w:color w:val="auto"/>
        </w:rPr>
        <w:t>” shall mean, for the Next Equity Financing, the inverse of the ratio at which a share of Subsequent Preferred Stock issued in such Equity Financing is convertible into Common Stock of the Corporation (i.e. 1 divided by such conversion ratio), and “</w:t>
      </w:r>
      <w:r>
        <w:rPr>
          <w:rFonts w:ascii="Arial" w:cs="Arial" w:eastAsia="Arial" w:hAnsi="Arial"/>
          <w:sz w:val="16"/>
          <w:szCs w:val="16"/>
          <w:u w:val="single" w:color="auto"/>
          <w:color w:val="auto"/>
        </w:rPr>
        <w:t>Next Equity Financing</w:t>
      </w:r>
      <w:r>
        <w:rPr>
          <w:rFonts w:ascii="Arial" w:cs="Arial" w:eastAsia="Arial" w:hAnsi="Arial"/>
          <w:sz w:val="16"/>
          <w:szCs w:val="16"/>
          <w:color w:val="auto"/>
        </w:rPr>
        <w:t>” shall mean the next equity financing of the Corporation in which the Corporation sells its preferred stock pursuant to a purchase agreement and sells and issues at least $1,000,000 worth of Subsequent Preferred Stock. By way of example only, in the event that one share of Subsequent Preferred Stock issued in the Equity Financing is convertible into two shares of Common Stock, the Conversion Ratio shall be one-half (1/2).</w:t>
      </w:r>
    </w:p>
    <w:p>
      <w:pPr>
        <w:spacing w:after="0" w:line="51" w:lineRule="exact"/>
        <w:rPr>
          <w:rFonts w:ascii="Arial" w:cs="Arial" w:eastAsia="Arial" w:hAnsi="Arial"/>
          <w:sz w:val="16"/>
          <w:szCs w:val="16"/>
          <w:color w:val="auto"/>
        </w:rPr>
      </w:pPr>
    </w:p>
    <w:p>
      <w:pPr>
        <w:jc w:val="both"/>
        <w:ind w:left="-20" w:right="120" w:firstLine="2419"/>
        <w:spacing w:after="0" w:line="298" w:lineRule="auto"/>
        <w:tabs>
          <w:tab w:leader="none" w:pos="2648" w:val="left"/>
        </w:tabs>
        <w:numPr>
          <w:ilvl w:val="0"/>
          <w:numId w:val="149"/>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by the provisions of this Section 4 to be given to the holders of shares of Series 1</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shall be deemed given if (i) sent via electronic mail with confirmation of receipt or (ii) deposited in the United States mail, postage prepaid, and addressed to each holder of record at his address appearing on the books of the Corporation. Any notice required by the provisions of this Section 4 to be given to the Corporation shall be deemed given if (i) sent via electronic mail with confirmation of receipt or (ii) deposited in the United States mail, postage prepaid, and addressed to the Corporation’s Board of Directors at the principal business address of the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0" w:right="479" w:bottom="1440" w:gutter="0" w:footer="0" w:header="0"/>
        </w:sectPr>
      </w:pPr>
    </w:p>
    <w:bookmarkStart w:id="230" w:name="page231"/>
    <w:bookmarkEnd w:id="230"/>
    <w:p>
      <w:pPr>
        <w:ind w:firstLine="987"/>
        <w:spacing w:after="0" w:line="269" w:lineRule="auto"/>
        <w:tabs>
          <w:tab w:leader="none" w:pos="1171" w:val="left"/>
        </w:tabs>
        <w:numPr>
          <w:ilvl w:val="1"/>
          <w:numId w:val="15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 Rights and Powers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each share of Series 1 Preferred Stock shall have the right to one hundred (100) votes 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 of Class B Common Stock into which such Series 1 Preferred Stock could then be directly converted (without first being converted to another series of Preferred Stock), and with respect to such vote, such holder shall have full voting rights and powers equal to the voting rights and powers of the holders of Common Stock only, and shall be entitled, notwithstanding any provision hereof, to notice of any stockholders’ meeting in accordance with the Bylaws of the Corporation, and shall be entitled to vote, together with holders of Common Stock, with respect to any question upon which holders of Common Stock have the right to vote. The holders of Series 1 Preferred Stock and Common Stock shall vote together as a single class on all matters. For the avoidance of doubt, the holders of Series 1 Preferred Stock shall not be entitled to vote as Preferred Stock on any matters for which only the Series A Preferred Stock, Series B Preferred Stock, Series C Preferred Stock, Series D Preferred Stock or Series E Preferred Stock (but not the Common Stock) vote. Subject to compliance with Article IV(B)(6) above, the number of authorized shares of Series 1 Preferred Stock may be increased or decreased (but not below the number of shares thereof then-outstanding) by the affirmative vote of the holders of shares of stock of the Corporation representing a majority of the votes represented by all outstanding shares of stock of the Corporation entitled to vote, irrespective of the provisions of Section 242(b)(2) of the Delaware General Corporation Law.</w:t>
      </w:r>
    </w:p>
    <w:p>
      <w:pPr>
        <w:spacing w:after="0" w:line="70" w:lineRule="exact"/>
        <w:rPr>
          <w:rFonts w:ascii="Arial" w:cs="Arial" w:eastAsia="Arial" w:hAnsi="Arial"/>
          <w:sz w:val="17"/>
          <w:szCs w:val="17"/>
          <w:color w:val="auto"/>
        </w:rPr>
      </w:pPr>
    </w:p>
    <w:p>
      <w:pPr>
        <w:ind w:right="240" w:firstLine="987"/>
        <w:spacing w:after="0" w:line="266" w:lineRule="auto"/>
        <w:tabs>
          <w:tab w:leader="none" w:pos="1171" w:val="left"/>
        </w:tabs>
        <w:numPr>
          <w:ilvl w:val="1"/>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of Converted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shares of Series 1 Preferred Stock shall be converted pursuant to Section 4 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so converted shall be cancelled and shall not be issuable by the Corporation. This Restated Certificate shall be appropriately amended to effect the corresponding reduction in the Corporation’s authorized capital stock.</w:t>
      </w:r>
    </w:p>
    <w:p>
      <w:pPr>
        <w:spacing w:after="0" w:line="67" w:lineRule="exact"/>
        <w:rPr>
          <w:rFonts w:ascii="Arial" w:cs="Arial" w:eastAsia="Arial" w:hAnsi="Arial"/>
          <w:sz w:val="18"/>
          <w:szCs w:val="18"/>
          <w:color w:val="auto"/>
        </w:rPr>
      </w:pPr>
    </w:p>
    <w:p>
      <w:pPr>
        <w:ind w:left="740" w:hanging="304"/>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Class B Common Stock</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60" w:firstLine="987"/>
        <w:spacing w:after="0" w:line="289" w:lineRule="auto"/>
        <w:tabs>
          <w:tab w:leader="none" w:pos="1171" w:val="left"/>
        </w:tabs>
        <w:numPr>
          <w:ilvl w:val="1"/>
          <w:numId w:val="151"/>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prior rights of holders of all classes of stock at the time outstanding having prior rights as to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the Class B Common Stock shall be entitled to receive, when and as declared by the Board of Directors, such dividends as may be declared from time to time by the Board of Directors with respect to the Class A Common Stock out of any assets of the Corporation legally available therefor, and no dividend shall be declared or paid on shares of the Class A Common Stock unless the same dividend with the same record date and payment date shall be declared or paid on the shares of Class B Common Stock; provided, however, that dividends payable in shares of Class A Common Stock or rights to acquire Class A Common Stock may be declared and paid to the holders of the Class A Common Stock without the same dividend being declared and paid to the holders of the Class B Common Stock if and only if a dividend payable in shares of Class B Common Stock or rights to acquire Class B Common Stock (as the case may be) at the same rate and with the same record date and payment date as the dividend declared and paid to the holders of the Class A Common Stock shall be declared and paid to the holders of Class B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231" w:name="page232"/>
    <w:bookmarkEnd w:id="231"/>
    <w:p>
      <w:pPr>
        <w:ind w:firstLine="987"/>
        <w:spacing w:after="0" w:line="282" w:lineRule="auto"/>
        <w:tabs>
          <w:tab w:leader="none" w:pos="1171"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liquidation, dissolution or winding up of the Corporation, or the occurrence of a Liquidation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the Corporation shall be distributed as provided in Section 2 of Article IV(B).</w:t>
      </w:r>
    </w:p>
    <w:p>
      <w:pPr>
        <w:spacing w:after="0" w:line="53" w:lineRule="exact"/>
        <w:rPr>
          <w:rFonts w:ascii="Arial" w:cs="Arial" w:eastAsia="Arial" w:hAnsi="Arial"/>
          <w:sz w:val="18"/>
          <w:szCs w:val="18"/>
          <w:color w:val="auto"/>
        </w:rPr>
      </w:pPr>
    </w:p>
    <w:p>
      <w:pPr>
        <w:ind w:left="1160" w:hanging="173"/>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B Common Stock is not mandatorily redeemable.</w:t>
      </w:r>
    </w:p>
    <w:p>
      <w:pPr>
        <w:spacing w:after="0" w:line="117" w:lineRule="exact"/>
        <w:rPr>
          <w:rFonts w:ascii="Arial" w:cs="Arial" w:eastAsia="Arial" w:hAnsi="Arial"/>
          <w:sz w:val="18"/>
          <w:szCs w:val="18"/>
          <w:color w:val="auto"/>
        </w:rPr>
      </w:pPr>
    </w:p>
    <w:p>
      <w:pPr>
        <w:ind w:firstLine="987"/>
        <w:spacing w:after="0" w:line="284" w:lineRule="auto"/>
        <w:tabs>
          <w:tab w:leader="none" w:pos="1171" w:val="left"/>
        </w:tabs>
        <w:numPr>
          <w:ilvl w:val="0"/>
          <w:numId w:val="152"/>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 Rights and Powers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Class B Common Stock shall be entitled to one hundred (100) votes per share of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and to notice of any stockholders’ meeting in accordance with the Bylaws of the Corporation, and to vote upon such matters and in such manner as may be provided by law. Except as expressly provided by this Restated Certificate or as provided by law, the holders of shares of Class B Common Stock shall at all times vote together with the holders of Class A Common Stock as a single class on all matters (including the election of directors) submitted to vote or for the consent of the stockholders of the Corporation. Subject to compliance with Article IV(B)(6) above, the number of authorized shares of Class B Common Stock may be increased or decreased (but not below the number of shares thereof then-outstanding) by the affirmative vote of the holders of shares of stock of the Corporation representing a majority of the votes represented by all outstanding shares of stock of the Corporation entitled to vote, without a separate class vote of the holders of the Class B Common Stock as permitted by the provisions of</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242(b)(2) of the Delaware General Corporation Law.</w:t>
      </w:r>
    </w:p>
    <w:p>
      <w:pPr>
        <w:spacing w:after="0" w:line="98" w:lineRule="exact"/>
        <w:rPr>
          <w:rFonts w:ascii="Arial" w:cs="Arial" w:eastAsia="Arial" w:hAnsi="Arial"/>
          <w:sz w:val="16"/>
          <w:szCs w:val="16"/>
          <w:color w:val="auto"/>
        </w:rPr>
      </w:pPr>
    </w:p>
    <w:p>
      <w:pPr>
        <w:ind w:right="140" w:firstLine="987"/>
        <w:spacing w:after="0" w:line="312" w:lineRule="auto"/>
        <w:tabs>
          <w:tab w:leader="none" w:pos="1171" w:val="left"/>
        </w:tabs>
        <w:numPr>
          <w:ilvl w:val="0"/>
          <w:numId w:val="152"/>
        </w:numPr>
        <w:rPr>
          <w:rFonts w:ascii="Arial" w:cs="Arial" w:eastAsia="Arial" w:hAnsi="Arial"/>
          <w:sz w:val="17"/>
          <w:szCs w:val="17"/>
          <w:color w:val="auto"/>
        </w:rPr>
      </w:pPr>
      <w:r>
        <w:rPr>
          <w:rFonts w:ascii="Arial" w:cs="Arial" w:eastAsia="Arial" w:hAnsi="Arial"/>
          <w:sz w:val="17"/>
          <w:szCs w:val="17"/>
          <w:b w:val="1"/>
          <w:bCs w:val="1"/>
          <w:u w:val="single" w:color="auto"/>
          <w:color w:val="auto"/>
        </w:rPr>
        <w:t>Subdivisions or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Corporation in any manner subdivides or combines the outstanding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then the outstanding shares of Class B Common Stock will be subdivided or combined in the same proportion and manner.</w:t>
      </w:r>
    </w:p>
    <w:p>
      <w:pPr>
        <w:spacing w:after="0" w:line="31" w:lineRule="exact"/>
        <w:rPr>
          <w:rFonts w:ascii="Arial" w:cs="Arial" w:eastAsia="Arial" w:hAnsi="Arial"/>
          <w:sz w:val="17"/>
          <w:szCs w:val="17"/>
          <w:color w:val="auto"/>
        </w:rPr>
      </w:pPr>
    </w:p>
    <w:p>
      <w:pPr>
        <w:ind w:right="240" w:firstLine="987"/>
        <w:spacing w:after="0" w:line="282" w:lineRule="auto"/>
        <w:tabs>
          <w:tab w:leader="none" w:pos="1171"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Equal Status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set forth in this Article IV, Class B Common Stock shall have the same rights and powers of, rank</w:t>
      </w:r>
      <w:r>
        <w:rPr>
          <w:rFonts w:ascii="Arial" w:cs="Arial" w:eastAsia="Arial" w:hAnsi="Arial"/>
          <w:sz w:val="18"/>
          <w:szCs w:val="18"/>
          <w:b w:val="1"/>
          <w:bCs w:val="1"/>
          <w:color w:val="auto"/>
        </w:rPr>
        <w:t xml:space="preserve"> </w:t>
      </w:r>
      <w:r>
        <w:rPr>
          <w:rFonts w:ascii="Arial" w:cs="Arial" w:eastAsia="Arial" w:hAnsi="Arial"/>
          <w:sz w:val="18"/>
          <w:szCs w:val="18"/>
          <w:color w:val="auto"/>
        </w:rPr>
        <w:t>equally to, share ratably with, and be identical in all respects and as to all matters to Class A Common Stock.</w:t>
      </w:r>
    </w:p>
    <w:p>
      <w:pPr>
        <w:spacing w:after="0" w:line="53" w:lineRule="exact"/>
        <w:rPr>
          <w:rFonts w:ascii="Arial" w:cs="Arial" w:eastAsia="Arial" w:hAnsi="Arial"/>
          <w:sz w:val="18"/>
          <w:szCs w:val="18"/>
          <w:color w:val="auto"/>
        </w:rPr>
      </w:pPr>
    </w:p>
    <w:p>
      <w:pPr>
        <w:ind w:left="1160" w:hanging="173"/>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firstLine="1428"/>
        <w:spacing w:after="0" w:line="270" w:lineRule="auto"/>
        <w:tabs>
          <w:tab w:leader="none" w:pos="1677" w:val="left"/>
        </w:tabs>
        <w:numPr>
          <w:ilvl w:val="1"/>
          <w:numId w:val="152"/>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Convert</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 of Class B Common Stock shall be convertible into one (1) fully paid and nonassessable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Class A Common Stock (as adjusted for any stock splits, stock dividends, combinations, subdivisions, recapitalizations or the like) at the option of the holder thereof at any time upon written notice to the Corporation. To exercise such conversion rights, a holder of Class B Common Stock shall surrender the certificate or certificates representing such shares, duly endorsed, at the principal corporate office of the Corporation or of any transfer agent for the Class B Common Stock, and shall give written notice to the Corporation at its principal corporate office, of the election to convert the same and shall state therein the number of shares to be converted and the name or names in which the certificate or certificates for shares of Class A Common Stock are to be issued. The Corporation shall, as soon as practicable thereafter, issue and deliver at such office to such holder of Class B Common Stock, or to the nominee or nominees or such holder, a certificate or certificates for the number of shares of Class A Common Stock to which such holder shall be entitled as aforesaid and if less than all of the holders shares of Class B Common Stock have been converted, a certificate for the remainder of such holder’s shares of Class B Common Stock. Such conversion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232" w:name="page233"/>
    <w:bookmarkEnd w:id="232"/>
    <w:p>
      <w:pPr>
        <w:ind w:left="4"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deemed to have been made immediately prior the close of business on the date of the last to occur of the surrender of the shares of Class B Common Stock to be converted and the delivery of such notice. The person or persons entitled to receive the shares of Class A Common Stock issuable upon such conversion shall be treated for all purposes as the record holder or holders of such shares of Class A Common Stock as of such date and time.</w:t>
      </w:r>
    </w:p>
    <w:p>
      <w:pPr>
        <w:spacing w:after="0" w:line="37" w:lineRule="exact"/>
        <w:rPr>
          <w:sz w:val="20"/>
          <w:szCs w:val="20"/>
          <w:color w:val="auto"/>
        </w:rPr>
      </w:pPr>
    </w:p>
    <w:p>
      <w:pPr>
        <w:ind w:left="4" w:right="60" w:firstLine="1428"/>
        <w:spacing w:after="0" w:line="292" w:lineRule="auto"/>
        <w:tabs>
          <w:tab w:leader="none" w:pos="1691" w:val="left"/>
        </w:tabs>
        <w:numPr>
          <w:ilvl w:val="1"/>
          <w:numId w:val="153"/>
        </w:numPr>
        <w:rPr>
          <w:rFonts w:ascii="Arial" w:cs="Arial" w:eastAsia="Arial" w:hAnsi="Arial"/>
          <w:sz w:val="16"/>
          <w:szCs w:val="16"/>
          <w:color w:val="auto"/>
        </w:rPr>
      </w:pPr>
      <w:r>
        <w:rPr>
          <w:rFonts w:ascii="Arial" w:cs="Arial" w:eastAsia="Arial" w:hAnsi="Arial"/>
          <w:sz w:val="16"/>
          <w:szCs w:val="16"/>
          <w:b w:val="1"/>
          <w:bCs w:val="1"/>
          <w:u w:val="single" w:color="auto"/>
          <w:color w:val="auto"/>
        </w:rPr>
        <w:t>Automatic Conversion Upon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Each share of Class B Common Stock shall automatically, without any further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by the holder or the Corporation, convert into one (1) fully paid and nonassessable share of Class A Common Stock (as adjusted for any stock splits, stock dividends, combinations, subdivisions, recapitalizations or the like) upon the Transfer of such share; provided, however, that a Transfer of Class B Common Stock by a Class B Stockholder (as defined below) or such Class B Stockholder’s Class Permitted Entities (as defined below) to another Class B Stockholder or such Class B Stockholder’s Class B Permitted Entities shall not trigger such automatic conversion; provided further, however, that a Transfer by a Class B Stockholder to any of the following Class B Permitted Entities, or from any of the following Class B Permitted Entities to such Class B Stockholder or any other Class B Permitted Entity by or for such Class B Stockholder shall not trigger such automatic conversion:</w:t>
      </w:r>
    </w:p>
    <w:p>
      <w:pPr>
        <w:spacing w:after="0" w:line="57" w:lineRule="exact"/>
        <w:rPr>
          <w:rFonts w:ascii="Arial" w:cs="Arial" w:eastAsia="Arial" w:hAnsi="Arial"/>
          <w:sz w:val="16"/>
          <w:szCs w:val="16"/>
          <w:color w:val="auto"/>
        </w:rPr>
      </w:pPr>
    </w:p>
    <w:p>
      <w:pPr>
        <w:ind w:left="4" w:right="80" w:firstLine="1979"/>
        <w:spacing w:after="0" w:line="291" w:lineRule="auto"/>
        <w:tabs>
          <w:tab w:leader="none" w:pos="2202" w:val="left"/>
        </w:tabs>
        <w:numPr>
          <w:ilvl w:val="2"/>
          <w:numId w:val="153"/>
        </w:numPr>
        <w:rPr>
          <w:rFonts w:ascii="Arial" w:cs="Arial" w:eastAsia="Arial" w:hAnsi="Arial"/>
          <w:sz w:val="16"/>
          <w:szCs w:val="16"/>
          <w:color w:val="auto"/>
        </w:rPr>
      </w:pPr>
      <w:r>
        <w:rPr>
          <w:rFonts w:ascii="Arial" w:cs="Arial" w:eastAsia="Arial" w:hAnsi="Arial"/>
          <w:sz w:val="16"/>
          <w:szCs w:val="16"/>
          <w:color w:val="auto"/>
        </w:rPr>
        <w:t>a trust for the benefit of such Class B Stockholder and for the benefit of no other person, provided such Transfer does not involve any payment of cash, securities, property or other consideration (other than an interest in such trust) to the Class B Stockholder (a “</w:t>
      </w:r>
      <w:r>
        <w:rPr>
          <w:rFonts w:ascii="Arial" w:cs="Arial" w:eastAsia="Arial" w:hAnsi="Arial"/>
          <w:sz w:val="16"/>
          <w:szCs w:val="16"/>
          <w:u w:val="single" w:color="auto"/>
          <w:color w:val="auto"/>
        </w:rPr>
        <w:t>Clause</w:t>
      </w:r>
    </w:p>
    <w:p>
      <w:pPr>
        <w:jc w:val="both"/>
        <w:ind w:left="4" w:hanging="4"/>
        <w:spacing w:after="0" w:line="302" w:lineRule="auto"/>
        <w:tabs>
          <w:tab w:leader="none" w:pos="219" w:val="left"/>
        </w:tabs>
        <w:numPr>
          <w:ilvl w:val="0"/>
          <w:numId w:val="15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Class B Permitted Trust</w:t>
      </w:r>
      <w:r>
        <w:rPr>
          <w:rFonts w:ascii="Arial" w:cs="Arial" w:eastAsia="Arial" w:hAnsi="Arial"/>
          <w:sz w:val="16"/>
          <w:szCs w:val="16"/>
          <w:color w:val="auto"/>
        </w:rPr>
        <w:t>”), and, provided, further, that in the event and at such time as such Class B Stockholder is no longer the exclusive beneficiary of such trust, each share of Class B Common Stock then held by such trust shall automatically convert into one (1) fully paid and nonassessable share of Class A Common Stock (as adjusted for any stock splits, stock dividends, combinations, subdivisions, recapitalizations or the like);</w:t>
      </w:r>
    </w:p>
    <w:p>
      <w:pPr>
        <w:spacing w:after="0" w:line="47" w:lineRule="exact"/>
        <w:rPr>
          <w:rFonts w:ascii="Arial" w:cs="Arial" w:eastAsia="Arial" w:hAnsi="Arial"/>
          <w:sz w:val="16"/>
          <w:szCs w:val="16"/>
          <w:u w:val="single" w:color="auto"/>
          <w:color w:val="auto"/>
        </w:rPr>
      </w:pPr>
    </w:p>
    <w:p>
      <w:pPr>
        <w:ind w:left="4" w:right="180" w:firstLine="1979"/>
        <w:spacing w:after="0" w:line="272" w:lineRule="auto"/>
        <w:tabs>
          <w:tab w:leader="none" w:pos="2252" w:val="left"/>
        </w:tabs>
        <w:numPr>
          <w:ilvl w:val="2"/>
          <w:numId w:val="154"/>
        </w:numPr>
        <w:rPr>
          <w:rFonts w:ascii="Arial" w:cs="Arial" w:eastAsia="Arial" w:hAnsi="Arial"/>
          <w:sz w:val="17"/>
          <w:szCs w:val="17"/>
          <w:color w:val="auto"/>
        </w:rPr>
      </w:pPr>
      <w:r>
        <w:rPr>
          <w:rFonts w:ascii="Arial" w:cs="Arial" w:eastAsia="Arial" w:hAnsi="Arial"/>
          <w:sz w:val="17"/>
          <w:szCs w:val="17"/>
          <w:color w:val="auto"/>
        </w:rPr>
        <w:t>a trust for the benefit of persons other than the Class B Stockholder so long as the Class B Stockholder has sole dispositive power and exclusive Voting Control (as defined below) with respect to the shares of Class B Common Stock held by such trust, provided such Transfer does not involve any payment of cash, securities, property or other consideration (other than an interest in such trust) to the Class B Stockholder (“</w:t>
      </w:r>
      <w:r>
        <w:rPr>
          <w:rFonts w:ascii="Arial" w:cs="Arial" w:eastAsia="Arial" w:hAnsi="Arial"/>
          <w:sz w:val="17"/>
          <w:szCs w:val="17"/>
          <w:u w:val="single" w:color="auto"/>
          <w:color w:val="auto"/>
        </w:rPr>
        <w:t>Clause (ii) Class B Permitted Trust</w:t>
      </w:r>
      <w:r>
        <w:rPr>
          <w:rFonts w:ascii="Arial" w:cs="Arial" w:eastAsia="Arial" w:hAnsi="Arial"/>
          <w:sz w:val="17"/>
          <w:szCs w:val="17"/>
          <w:color w:val="auto"/>
        </w:rPr>
        <w:t>”), and, provided, further, that in the event and at such time as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 (as adjusted for any stock splits, stock dividends, combinations, subdivisions, recapitalizations or the like);</w:t>
      </w:r>
    </w:p>
    <w:p>
      <w:pPr>
        <w:spacing w:after="0" w:line="69" w:lineRule="exact"/>
        <w:rPr>
          <w:rFonts w:ascii="Arial" w:cs="Arial" w:eastAsia="Arial" w:hAnsi="Arial"/>
          <w:sz w:val="17"/>
          <w:szCs w:val="17"/>
          <w:color w:val="auto"/>
        </w:rPr>
      </w:pPr>
    </w:p>
    <w:p>
      <w:pPr>
        <w:ind w:left="4" w:right="140" w:firstLine="1979"/>
        <w:spacing w:after="0" w:line="254" w:lineRule="auto"/>
        <w:tabs>
          <w:tab w:leader="none" w:pos="230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 trust under the terms of which such Class B Stockholder has retained a “qualified interest” within the meaning of §2702(b)(1) of the Code or a reversionary interest so long as the Class B Stockholder has sole dispositive power and exclusive Voting Control with respect to the shares of Class B Common Stock held by such trust (a “</w:t>
      </w:r>
      <w:r>
        <w:rPr>
          <w:rFonts w:ascii="Arial" w:cs="Arial" w:eastAsia="Arial" w:hAnsi="Arial"/>
          <w:sz w:val="18"/>
          <w:szCs w:val="18"/>
          <w:u w:val="single" w:color="auto"/>
          <w:color w:val="auto"/>
        </w:rPr>
        <w:t>Clause (iii) Class B Permitted Trust</w:t>
      </w:r>
      <w:r>
        <w:rPr>
          <w:rFonts w:ascii="Arial" w:cs="Arial" w:eastAsia="Arial" w:hAnsi="Arial"/>
          <w:sz w:val="18"/>
          <w:szCs w:val="18"/>
          <w:color w:val="auto"/>
        </w:rPr>
        <w:t>”) and provided, further, that in the event and at such time as the Class B Stockholder no longer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 (as adjusted for any stock splits, stock dividends, combinations, subdivisions, recapitalizations or the like);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33" w:name="page234"/>
    <w:bookmarkEnd w:id="233"/>
    <w:p>
      <w:pPr>
        <w:ind w:right="20" w:firstLine="1979"/>
        <w:spacing w:after="0" w:line="290" w:lineRule="auto"/>
        <w:tabs>
          <w:tab w:leader="none" w:pos="2288"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Individual Retirement Account, as defined in Section 408(a) of the Code, or a pension, profit sharing, stock bonus or other type of plan or trust of which such Class B Stockholder is a participant or beneficiary and which satisfies the requirements for qualification under Section 401 of the Code; provided that in each case such Class B Stockholder has sole dispositive power and exclusive Voting Control with respect to the shares of Class B Common Stock held in such account, plan or trust (each, a “</w:t>
      </w:r>
      <w:r>
        <w:rPr>
          <w:rFonts w:ascii="Arial" w:cs="Arial" w:eastAsia="Arial" w:hAnsi="Arial"/>
          <w:sz w:val="16"/>
          <w:szCs w:val="16"/>
          <w:u w:val="single" w:color="auto"/>
          <w:color w:val="auto"/>
        </w:rPr>
        <w:t>Class B Permitted IRA</w:t>
      </w:r>
      <w:r>
        <w:rPr>
          <w:rFonts w:ascii="Arial" w:cs="Arial" w:eastAsia="Arial" w:hAnsi="Arial"/>
          <w:sz w:val="16"/>
          <w:szCs w:val="16"/>
          <w:color w:val="auto"/>
        </w:rPr>
        <w:t>”), and provided, further, that in the event and at such time as the Class B Stockholder no longer has sole dispositive power and exclusive Voting Control with respect to the shares of Class B Common Stock held by such account, plan or trust, each share of Class B Common Stock then held by or in such Individual Retirement Account, pension, profit sharing, stock bonus or other type of plan or trust shall automatically convert into one (1) fully paid and nonassessable share of Class A Common Stock (as adjusted for any stock splits, stock dividends, combinations, subdivisions, recapitalizations or the like);</w:t>
      </w:r>
    </w:p>
    <w:p>
      <w:pPr>
        <w:spacing w:after="0" w:line="57" w:lineRule="exact"/>
        <w:rPr>
          <w:rFonts w:ascii="Arial" w:cs="Arial" w:eastAsia="Arial" w:hAnsi="Arial"/>
          <w:sz w:val="16"/>
          <w:szCs w:val="16"/>
          <w:color w:val="auto"/>
        </w:rPr>
      </w:pPr>
    </w:p>
    <w:p>
      <w:pPr>
        <w:ind w:right="60" w:firstLine="1979"/>
        <w:spacing w:after="0" w:line="272" w:lineRule="auto"/>
        <w:tabs>
          <w:tab w:leader="none" w:pos="223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corporation in which such Class B Stockholder directly, or indirectly through one or more Class B Permitted Entities, owns shares with sufficient Voting Control in the corporation, or otherwise has legally enforceable rights, such that the Class B Stockholder retains sole dispositive power and exclusive Voting Control with respect to the shares of Class B Common Stock held by such corporation (a “</w:t>
      </w:r>
      <w:r>
        <w:rPr>
          <w:rFonts w:ascii="Arial" w:cs="Arial" w:eastAsia="Arial" w:hAnsi="Arial"/>
          <w:sz w:val="17"/>
          <w:szCs w:val="17"/>
          <w:u w:val="single" w:color="auto"/>
          <w:color w:val="auto"/>
        </w:rPr>
        <w:t>Class B Permitted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w:t>
      </w:r>
      <w:r>
        <w:rPr>
          <w:rFonts w:ascii="Arial" w:cs="Arial" w:eastAsia="Arial" w:hAnsi="Arial"/>
          <w:sz w:val="17"/>
          <w:szCs w:val="17"/>
          <w:color w:val="auto"/>
        </w:rPr>
        <w:t>”); and provided further that in the event and at such time as the Class B Stockholder no longer has sole dispositive power and exclusive Voting Control with respect to the shares of Class B Common Stock held by such corporation, each share of Class B Common Stock then held by such corporation shall automatically convert into one (1) fully paid and nonassessable share of Class A Common Stock (as adjusted for any stock splits, stock dividends, combinations, subdivisions, recapitalizations or the like);</w:t>
      </w:r>
    </w:p>
    <w:p>
      <w:pPr>
        <w:spacing w:after="0" w:line="69" w:lineRule="exact"/>
        <w:rPr>
          <w:rFonts w:ascii="Arial" w:cs="Arial" w:eastAsia="Arial" w:hAnsi="Arial"/>
          <w:sz w:val="17"/>
          <w:szCs w:val="17"/>
          <w:color w:val="auto"/>
        </w:rPr>
      </w:pPr>
    </w:p>
    <w:p>
      <w:pPr>
        <w:ind w:firstLine="1979"/>
        <w:spacing w:after="0" w:line="272" w:lineRule="auto"/>
        <w:tabs>
          <w:tab w:leader="none" w:pos="228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partnership in which such Class B Stockholder directly, or indirectly through one or more Class B Permitted Entities, owns partnership interests with sufficient Voting Control in the partnership, or otherwise has legally enforceable rights, such that the Class B Stockholder retains sole dispositive power and exclusive Voting Control with respect to the shares of Class B Common Stock held by such partnership (a “</w:t>
      </w:r>
      <w:r>
        <w:rPr>
          <w:rFonts w:ascii="Arial" w:cs="Arial" w:eastAsia="Arial" w:hAnsi="Arial"/>
          <w:sz w:val="17"/>
          <w:szCs w:val="17"/>
          <w:u w:val="single" w:color="auto"/>
          <w:color w:val="auto"/>
        </w:rPr>
        <w:t>Class B Permitted Partnership</w:t>
      </w:r>
      <w:r>
        <w:rPr>
          <w:rFonts w:ascii="Arial" w:cs="Arial" w:eastAsia="Arial" w:hAnsi="Arial"/>
          <w:sz w:val="17"/>
          <w:szCs w:val="17"/>
          <w:color w:val="auto"/>
        </w:rPr>
        <w:t>”); and provided further that in the event and at such time as the Class B Stockholder no longer has sole dispositive power and exclusive Voting Control with respect to the shares of Class B Common Stock held by such partnership, each share of Class B Common Stock then held by such partnership shall automatically convert into one (1) fully paid and nonassessable share of Class A Common Stock (as adjusted for any stock splits, stock dividends, combinations, subdivisions, recapitalizations or the like); or</w:t>
      </w:r>
    </w:p>
    <w:p>
      <w:pPr>
        <w:spacing w:after="0" w:line="69" w:lineRule="exact"/>
        <w:rPr>
          <w:rFonts w:ascii="Arial" w:cs="Arial" w:eastAsia="Arial" w:hAnsi="Arial"/>
          <w:sz w:val="17"/>
          <w:szCs w:val="17"/>
          <w:color w:val="auto"/>
        </w:rPr>
      </w:pPr>
    </w:p>
    <w:p>
      <w:pPr>
        <w:jc w:val="both"/>
        <w:ind w:right="400" w:firstLine="1979"/>
        <w:spacing w:after="0" w:line="259" w:lineRule="auto"/>
        <w:tabs>
          <w:tab w:leader="none" w:pos="233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limited liability company in which such Class B Stockholder directly, or indirectly through one or more Class B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 (a “</w:t>
      </w:r>
      <w:r>
        <w:rPr>
          <w:rFonts w:ascii="Arial" w:cs="Arial" w:eastAsia="Arial" w:hAnsi="Arial"/>
          <w:sz w:val="18"/>
          <w:szCs w:val="18"/>
          <w:u w:val="single" w:color="auto"/>
          <w:color w:val="auto"/>
        </w:rPr>
        <w:t>Class B Permitted LLC</w:t>
      </w:r>
      <w:r>
        <w:rPr>
          <w:rFonts w:ascii="Arial" w:cs="Arial" w:eastAsia="Arial" w:hAnsi="Arial"/>
          <w:sz w:val="18"/>
          <w:szCs w:val="18"/>
          <w:color w:val="auto"/>
        </w:rPr>
        <w:t>”) and provided further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234" w:name="page235"/>
    <w:bookmarkEnd w:id="23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in the event and at such time as the Class B Stockholder no longer has sole dispositive power and exclusive Voting Control with respect to the shares of Class B Common Stock held by such limited liability company, each share of Class B Common Stock then held by such limited liability company shall automatically convert into one (1) fully paid and nonassessable share of Class A Common Stock (as adjusted for any stock splits, stock dividends, combinations, subdivisions, recapitalizations or the like).</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Notwithstanding the foregoing, if the shares of Class B Common Stock held by a Clause (ii) Class B Permitted Trust or a Clause (iii) Class B Permitted Trust would constitute stock of a “controlled corporation” (as defined in Section 2036(b)(2) of the Code), then such shares will not automatically convert to Class A Common Stock if the Class B Stockholder does not directly or indirectly retain Voting Control over such shares until such time as the shares of Class B Common Stock would no longer constitute stock of a “controlled corporation” pursuant to the Code (such time is referred to in this Section as the “</w:t>
      </w:r>
      <w:r>
        <w:rPr>
          <w:rFonts w:ascii="Arial" w:cs="Arial" w:eastAsia="Arial" w:hAnsi="Arial"/>
          <w:sz w:val="17"/>
          <w:szCs w:val="17"/>
          <w:u w:val="single" w:color="auto"/>
          <w:color w:val="auto"/>
        </w:rPr>
        <w:t>Class B Voting Shift</w:t>
      </w:r>
      <w:r>
        <w:rPr>
          <w:rFonts w:ascii="Arial" w:cs="Arial" w:eastAsia="Arial" w:hAnsi="Arial"/>
          <w:sz w:val="17"/>
          <w:szCs w:val="17"/>
          <w:color w:val="auto"/>
        </w:rPr>
        <w:t>”). If a Class B Stockholder does not, within thirty (30) business days following the Class B Voting Shift, directly or indirectly assume sole exclusive Voting Control with respect to such shares of Class B Common Stock, each such share of Class B Common Stock shall automatically convert into one (1) fully paid and nonassessable share of Class A Common Stock (as adjusted for any stock splits, stock dividends, combinations, subdivisions, recapitalizations or the like).</w:t>
      </w:r>
    </w:p>
    <w:p>
      <w:pPr>
        <w:spacing w:after="0" w:line="66" w:lineRule="exact"/>
        <w:rPr>
          <w:sz w:val="20"/>
          <w:szCs w:val="20"/>
          <w:color w:val="auto"/>
        </w:rPr>
      </w:pPr>
    </w:p>
    <w:p>
      <w:pPr>
        <w:ind w:firstLine="1428"/>
        <w:spacing w:after="0" w:line="286" w:lineRule="auto"/>
        <w:tabs>
          <w:tab w:leader="none" w:pos="1677" w:val="left"/>
        </w:tabs>
        <w:numPr>
          <w:ilvl w:val="1"/>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from time to time, establish such policies and procedures, not in violation of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or the other provisions of this Restated Certificate, relating to the conversion of the Class B Common Stock into Class A Common Stock as provided in this Section 7 and the dual class common stock structure provided for in this Restated Certificate, including, without limitation, the issuance of stock certificates in connection with any such conversion, as it may deem necessary or advisable. If the Corporation has reason to believe that a Transfer giving rise to a conversion of shares of Class B Common Stock into Class A Common Stock has occurred but has not theretofore been made on the books of the Corporation, the Corporation may request that the holder of such shares furnish affidavits or other evidence to the Corporation as it reasonably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immediately and automatically convert into shares of Class A Common Stock and the same shall thereupon be registered on the books and records of the Corporation. In connection with any action of stockholders taken at a meeting or by written consent, the stock ledger of the Corporation shall be the exclusive evidence the stockholders entitled to vote in person or by proxy at any meeting of stockholders or in connection with any written consent and the classes and series of shares held by each such stockholder and the number of shares of each class held by such stockholder. Each share of Class B Common Stock that is converted pursuant to this Section 7 shall be retired by the Corporation and shall not be reissued.</w:t>
      </w:r>
    </w:p>
    <w:p>
      <w:pPr>
        <w:spacing w:after="0" w:line="62" w:lineRule="exact"/>
        <w:rPr>
          <w:rFonts w:ascii="Arial" w:cs="Arial" w:eastAsia="Arial" w:hAnsi="Arial"/>
          <w:sz w:val="16"/>
          <w:szCs w:val="16"/>
          <w:color w:val="auto"/>
        </w:rPr>
      </w:pPr>
    </w:p>
    <w:p>
      <w:pPr>
        <w:jc w:val="both"/>
        <w:ind w:right="60" w:firstLine="987"/>
        <w:spacing w:after="0" w:line="261" w:lineRule="auto"/>
        <w:tabs>
          <w:tab w:leader="none" w:pos="1171"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Reservation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at all times reserve and keep available out of its authorized but unissued shares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35" w:name="page236"/>
    <w:bookmarkEnd w:id="235"/>
    <w:p>
      <w:pPr>
        <w:jc w:val="both"/>
        <w:ind w:left="4" w:right="240" w:firstLine="987"/>
        <w:spacing w:after="0" w:line="289" w:lineRule="auto"/>
        <w:tabs>
          <w:tab w:leader="none" w:pos="1175" w:val="left"/>
        </w:tabs>
        <w:numPr>
          <w:ilvl w:val="2"/>
          <w:numId w:val="15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Protective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not, by amendment, merger, consolidation or otherwise, without first obtaining the vote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at a stockholders meeting or written consent, as provided by law) of the holders of at least a majority of the then-outstanding shares of Class B Common Stock, voting as a separate class, amend, alter, repeal or waive Sections (D), (E), or (F) of this Article IV.</w:t>
      </w:r>
    </w:p>
    <w:p>
      <w:pPr>
        <w:spacing w:after="0" w:line="49" w:lineRule="exact"/>
        <w:rPr>
          <w:rFonts w:ascii="Arial" w:cs="Arial" w:eastAsia="Arial" w:hAnsi="Arial"/>
          <w:sz w:val="17"/>
          <w:szCs w:val="17"/>
          <w:color w:val="auto"/>
        </w:rPr>
      </w:pPr>
    </w:p>
    <w:p>
      <w:pPr>
        <w:ind w:left="724" w:hanging="284"/>
        <w:spacing w:after="0"/>
        <w:tabs>
          <w:tab w:leader="none" w:pos="724" w:val="left"/>
        </w:tabs>
        <w:numPr>
          <w:ilvl w:val="1"/>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Class A Common Stock</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4" w:right="440" w:firstLine="987"/>
        <w:spacing w:after="0" w:line="266" w:lineRule="auto"/>
        <w:tabs>
          <w:tab w:leader="none" w:pos="1175" w:val="left"/>
        </w:tabs>
        <w:numPr>
          <w:ilvl w:val="2"/>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Rights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prior rights of holders of all classes and series of stock at the time outstanding,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shall be entitled to receive, when, as and if declared by the Board of Directors, out of any assets of the Corporation legally available therefor, such dividends as may be declared from time to time by the Board of Directors.</w:t>
      </w:r>
    </w:p>
    <w:p>
      <w:pPr>
        <w:spacing w:after="0" w:line="67" w:lineRule="exact"/>
        <w:rPr>
          <w:rFonts w:ascii="Arial" w:cs="Arial" w:eastAsia="Arial" w:hAnsi="Arial"/>
          <w:sz w:val="18"/>
          <w:szCs w:val="18"/>
          <w:color w:val="auto"/>
        </w:rPr>
      </w:pPr>
    </w:p>
    <w:p>
      <w:pPr>
        <w:ind w:left="4" w:right="20" w:firstLine="987"/>
        <w:spacing w:after="0" w:line="282" w:lineRule="auto"/>
        <w:tabs>
          <w:tab w:leader="none" w:pos="1175" w:val="left"/>
        </w:tabs>
        <w:numPr>
          <w:ilvl w:val="2"/>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Liquidation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liquidation, dissolution or winding up of the Corporation, or the occurrence of a Liquidation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the Corporation shall be distributed as provided in Section 2 of Article IV(B).</w:t>
      </w:r>
    </w:p>
    <w:p>
      <w:pPr>
        <w:spacing w:after="0" w:line="53" w:lineRule="exact"/>
        <w:rPr>
          <w:rFonts w:ascii="Arial" w:cs="Arial" w:eastAsia="Arial" w:hAnsi="Arial"/>
          <w:sz w:val="18"/>
          <w:szCs w:val="18"/>
          <w:color w:val="auto"/>
        </w:rPr>
      </w:pPr>
    </w:p>
    <w:p>
      <w:pPr>
        <w:ind w:left="1164" w:hanging="173"/>
        <w:spacing w:after="0"/>
        <w:tabs>
          <w:tab w:leader="none" w:pos="1164" w:val="left"/>
        </w:tabs>
        <w:numPr>
          <w:ilvl w:val="2"/>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A Common Stock is not mandatorily redeemable.</w:t>
      </w:r>
    </w:p>
    <w:p>
      <w:pPr>
        <w:spacing w:after="0" w:line="117" w:lineRule="exact"/>
        <w:rPr>
          <w:rFonts w:ascii="Arial" w:cs="Arial" w:eastAsia="Arial" w:hAnsi="Arial"/>
          <w:sz w:val="18"/>
          <w:szCs w:val="18"/>
          <w:color w:val="auto"/>
        </w:rPr>
      </w:pPr>
    </w:p>
    <w:p>
      <w:pPr>
        <w:ind w:left="4" w:firstLine="987"/>
        <w:spacing w:after="0" w:line="294" w:lineRule="auto"/>
        <w:tabs>
          <w:tab w:leader="none" w:pos="1175" w:val="left"/>
        </w:tabs>
        <w:numPr>
          <w:ilvl w:val="2"/>
          <w:numId w:val="159"/>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 Rights and Powers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Class A Common Stock shall be entitled to one vote per share of Class A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stockholders’ meeting in accordance with the Bylaws of the Corporation, and to vote upon such matters and in such manner as may be provided by law. Subject to compliance with Article IV(B)(6) above, the number of authorized shares of Class A Common Stock may be increased or decreased (but not below the number of shares thereof then-outstanding) by the affirmative vote of the holders of shares of stock of the Corporation representing a majority of the votes represented by all outstanding shares of stock of the Corporation entitled to vote without the separate class vote of the holders of the Class A Common Stock as permitted by the provisions of Section 242(b)(2) of the Delaware General Corporation Law.</w:t>
      </w:r>
    </w:p>
    <w:p>
      <w:pPr>
        <w:spacing w:after="0" w:line="51" w:lineRule="exact"/>
        <w:rPr>
          <w:rFonts w:ascii="Arial" w:cs="Arial" w:eastAsia="Arial" w:hAnsi="Arial"/>
          <w:sz w:val="16"/>
          <w:szCs w:val="16"/>
          <w:color w:val="auto"/>
        </w:rPr>
      </w:pPr>
    </w:p>
    <w:p>
      <w:pPr>
        <w:ind w:left="704" w:hanging="264"/>
        <w:spacing w:after="0"/>
        <w:tabs>
          <w:tab w:leader="none" w:pos="704" w:val="left"/>
        </w:tabs>
        <w:numPr>
          <w:ilvl w:val="1"/>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Article IV:</w:t>
      </w:r>
    </w:p>
    <w:p>
      <w:pPr>
        <w:spacing w:after="0" w:line="121" w:lineRule="exact"/>
        <w:rPr>
          <w:rFonts w:ascii="Arial" w:cs="Arial" w:eastAsia="Arial" w:hAnsi="Arial"/>
          <w:sz w:val="18"/>
          <w:szCs w:val="18"/>
          <w:color w:val="auto"/>
        </w:rPr>
      </w:pPr>
    </w:p>
    <w:p>
      <w:pPr>
        <w:ind w:left="4" w:right="380" w:firstLine="987"/>
        <w:spacing w:after="0" w:line="291" w:lineRule="auto"/>
        <w:tabs>
          <w:tab w:leader="none" w:pos="1175" w:val="left"/>
        </w:tabs>
        <w:numPr>
          <w:ilvl w:val="2"/>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Permitted Entity</w:t>
      </w:r>
      <w:r>
        <w:rPr>
          <w:rFonts w:ascii="Arial" w:cs="Arial" w:eastAsia="Arial" w:hAnsi="Arial"/>
          <w:sz w:val="16"/>
          <w:szCs w:val="16"/>
          <w:color w:val="auto"/>
        </w:rPr>
        <w:t>” shall mean, with respect to any Class B Stockholder, any Designated Permitted Entity as defined in the Corporation’s Amended and Restated Investors’ Rights Agreement, as may be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or any Clause</w:t>
      </w:r>
    </w:p>
    <w:p>
      <w:pPr>
        <w:ind w:left="4" w:right="420" w:hanging="4"/>
        <w:spacing w:after="0" w:line="290" w:lineRule="auto"/>
        <w:tabs>
          <w:tab w:leader="none" w:pos="21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Class B Permitted Trust, Clause (ii) Class B Permitted Trust, Clause (iii) Class B Permitted Trust, a Class B Permitted IRA, a Class B Permitted Corporation, a Class B Permitted Partnership or a Class B Permitted LLC described in Section (D)7(b) of this Article IV.</w:t>
      </w:r>
    </w:p>
    <w:p>
      <w:pPr>
        <w:spacing w:after="0" w:line="53" w:lineRule="exact"/>
        <w:rPr>
          <w:rFonts w:ascii="Arial" w:cs="Arial" w:eastAsia="Arial" w:hAnsi="Arial"/>
          <w:sz w:val="17"/>
          <w:szCs w:val="17"/>
          <w:color w:val="auto"/>
        </w:rPr>
      </w:pPr>
    </w:p>
    <w:p>
      <w:pPr>
        <w:ind w:left="4" w:right="180" w:firstLine="987"/>
        <w:spacing w:after="0" w:line="277" w:lineRule="auto"/>
        <w:tabs>
          <w:tab w:leader="none" w:pos="1175" w:val="left"/>
        </w:tabs>
        <w:numPr>
          <w:ilvl w:val="2"/>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Stockholder</w:t>
      </w:r>
      <w:r>
        <w:rPr>
          <w:rFonts w:ascii="Arial" w:cs="Arial" w:eastAsia="Arial" w:hAnsi="Arial"/>
          <w:sz w:val="18"/>
          <w:szCs w:val="18"/>
          <w:color w:val="auto"/>
        </w:rPr>
        <w:t>” shall mean any stockholder that is issued Class B Common Stock (or Prior Class A Common Stock prior to the Effective Time) by the Corporation or any Class B Permitted Entity.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0" w:right="459" w:bottom="1440" w:gutter="0" w:footer="0" w:header="0"/>
        </w:sectPr>
      </w:pPr>
    </w:p>
    <w:bookmarkStart w:id="236" w:name="page237"/>
    <w:bookmarkEnd w:id="236"/>
    <w:p>
      <w:pPr>
        <w:ind w:left="-20" w:right="80" w:firstLine="987"/>
        <w:spacing w:after="0" w:line="277" w:lineRule="auto"/>
        <w:tabs>
          <w:tab w:leader="none" w:pos="11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Existing Preferred Stockholder</w:t>
      </w:r>
      <w:r>
        <w:rPr>
          <w:rFonts w:ascii="Arial" w:cs="Arial" w:eastAsia="Arial" w:hAnsi="Arial"/>
          <w:sz w:val="18"/>
          <w:szCs w:val="18"/>
          <w:color w:val="auto"/>
        </w:rPr>
        <w:t>” shall mean any stockholder that is issued Series A Preferred Stock, Series B Preferred Stock, Series C Preferred Stock, Series D Preferred Stock or Series E Preferred Stock by the Corporation.</w:t>
      </w:r>
    </w:p>
    <w:p>
      <w:pPr>
        <w:spacing w:after="0" w:line="62" w:lineRule="exact"/>
        <w:rPr>
          <w:rFonts w:ascii="Arial" w:cs="Arial" w:eastAsia="Arial" w:hAnsi="Arial"/>
          <w:sz w:val="18"/>
          <w:szCs w:val="18"/>
          <w:color w:val="auto"/>
        </w:rPr>
      </w:pPr>
    </w:p>
    <w:p>
      <w:pPr>
        <w:jc w:val="both"/>
        <w:ind w:left="-20" w:right="60" w:firstLine="987"/>
        <w:spacing w:after="0" w:line="259" w:lineRule="auto"/>
        <w:tabs>
          <w:tab w:leader="none" w:pos="11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Permitted Entity</w:t>
      </w:r>
      <w:r>
        <w:rPr>
          <w:rFonts w:ascii="Arial" w:cs="Arial" w:eastAsia="Arial" w:hAnsi="Arial"/>
          <w:sz w:val="18"/>
          <w:szCs w:val="18"/>
          <w:color w:val="auto"/>
        </w:rPr>
        <w:t>” shall mean, with respect to any Existing Preferred Stockholder, any Designated Permitted Entity as defined in the Rights Agreement, or any Clause (A) Preferred Stock Permitted Trust, Clause (B) Preferred Stock Permitted Trust, Clause (C) Preferred Stock Permitted Trust, a Preferred Stock Permitted IRA, a Preferred Stock Permitted Corporation, a Series A Permitted Partnership or a Preferred Stock Permitted LLC described in Section (B)4(b) of this Article IV.</w:t>
      </w:r>
    </w:p>
    <w:p>
      <w:pPr>
        <w:spacing w:after="0" w:line="78" w:lineRule="exact"/>
        <w:rPr>
          <w:rFonts w:ascii="Arial" w:cs="Arial" w:eastAsia="Arial" w:hAnsi="Arial"/>
          <w:sz w:val="18"/>
          <w:szCs w:val="18"/>
          <w:color w:val="auto"/>
        </w:rPr>
      </w:pPr>
    </w:p>
    <w:p>
      <w:pPr>
        <w:ind w:left="-20" w:firstLine="987"/>
        <w:spacing w:after="0" w:line="285" w:lineRule="auto"/>
        <w:tabs>
          <w:tab w:leader="none" w:pos="115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shall mean, with respect to a share of Series A, Series B, Series C, Series D or Series E Preferred Stock or Class B Common Stock, any sale, assignment, transfer, conveyance, hypothecation, grant of a security interest, gift or other transfer or disposition of such share or any legal or beneficial interest in such share, whether or not for value and whether voluntary or involuntary or by operation of law, unless the Board of Directors, in its sole and absolute discretion and prior to the occurrence of such sale, assignment, conveyance, hypothecation, grant, gift, disposition or transfer, in a valid board action referring to this subsection of this Restated Certificate, decides that a waiver of the conversion provisions should take place for a particular transaction and that, as a result, such sale, assignment, transfer, conveyance, hypothecation, grant of a security interest, gift or other transfer or disposition of such share or any legal or beneficial interest in such share shall not constitute a “Transfer”; provided, however, that the following shall not be considered a “Transfer”: (a) the grant of a proxy to officers or directors of the Corporation at the request of the Board of Directors of the Corporation in connection with actions to be taken at an annual or special meeting of stockholders; (b) the pledge of shares of Series A, Series B, Series C, Series D or Series E Preferred Stock or Class B Common Stock, as applicable, by an Existing Preferred Stockholder or a Class B Stockholder, as applicable, that creates a mere security interest in such shares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loan or indebtedness transaction so long as the Existing Preferred Stockholder or Class B Stockholder, as applicable, continues to exercise Voting Control over such pledged shares; provided, however, that a foreclosure on such shares of Series A, Series B, Series C, Series D or Series E Preferred Stock or Class B Common Stock or other similar action by the pledge shall constitute a “Transfer”; or (c) the fact that, as of the Purchase Date or at any time after the Purchase Date, the spouse of any holder of Series A, Series B, Series C, Series D or Series E Preferred Stock or Class B Common Stock, as applicable, possesses or obtains an interest in such holder’s shares of Series A, Series B, Series C, Series D or Series E Preferred Stock or Class B Common Stock, as applicable, arising solely by reason of the application of the community property laws of any jurisdiction, so long as no other event or circumstance shall exist or have occurred that constitutes a “Transfer” of such shares of Series A, Series B, Series C, Series D or Series E Preferred Stock or Class B Common Stock, as applicable.</w:t>
      </w:r>
    </w:p>
    <w:p>
      <w:pPr>
        <w:spacing w:after="0" w:line="63" w:lineRule="exact"/>
        <w:rPr>
          <w:rFonts w:ascii="Arial" w:cs="Arial" w:eastAsia="Arial" w:hAnsi="Arial"/>
          <w:sz w:val="16"/>
          <w:szCs w:val="16"/>
          <w:color w:val="auto"/>
        </w:rPr>
      </w:pPr>
    </w:p>
    <w:p>
      <w:pPr>
        <w:ind w:left="-20" w:right="340" w:firstLine="987"/>
        <w:spacing w:after="0" w:line="277" w:lineRule="auto"/>
        <w:tabs>
          <w:tab w:leader="none" w:pos="11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Control</w:t>
      </w:r>
      <w:r>
        <w:rPr>
          <w:rFonts w:ascii="Arial" w:cs="Arial" w:eastAsia="Arial" w:hAnsi="Arial"/>
          <w:sz w:val="18"/>
          <w:szCs w:val="18"/>
          <w:color w:val="auto"/>
        </w:rPr>
        <w:t>” shall mean, with respect to a share of Series A, Series B, Series C, Series D or Series E Preferred Stock or Class B Common Stock, the power to vote or direct the voting of such share by proxy, voting agreement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60" w:top="274" w:right="45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29"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Except as otherwise set forth herein, the Board of Directors of the Corporation is expressly authorized to make, alter or repeal Bylaws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otherwise provided in the Bylaws of the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60" w:firstLine="436"/>
        <w:spacing w:after="0" w:line="342" w:lineRule="auto"/>
        <w:tabs>
          <w:tab w:leader="none" w:pos="73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5" w:lineRule="exact"/>
        <w:rPr>
          <w:rFonts w:ascii="Arial" w:cs="Arial" w:eastAsia="Arial" w:hAnsi="Arial"/>
          <w:sz w:val="16"/>
          <w:szCs w:val="16"/>
          <w:color w:val="auto"/>
        </w:rPr>
      </w:pPr>
    </w:p>
    <w:p>
      <w:pPr>
        <w:ind w:firstLine="436"/>
        <w:spacing w:after="0" w:line="259" w:lineRule="auto"/>
        <w:tabs>
          <w:tab w:leader="none" w:pos="72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Corporation shall indemnify to the fullest extent permitted by law any person made or threatened to be made a party to an action or proceeding, whether criminal, civil, administrative or investigative, by reason of the fact that he, his testator or intestate is or was a director or officer of the Corporation or any predecessor of the Corporation, or serves or served at any other enterprise as a director or officer at the request of the Corporation or any predecessor to the Corporation.</w:t>
      </w:r>
    </w:p>
    <w:p>
      <w:pPr>
        <w:spacing w:after="0" w:line="78" w:lineRule="exact"/>
        <w:rPr>
          <w:rFonts w:ascii="Arial" w:cs="Arial" w:eastAsia="Arial" w:hAnsi="Arial"/>
          <w:sz w:val="18"/>
          <w:szCs w:val="18"/>
          <w:color w:val="auto"/>
        </w:rPr>
      </w:pPr>
    </w:p>
    <w:p>
      <w:pPr>
        <w:ind w:right="160" w:firstLine="436"/>
        <w:spacing w:after="0" w:line="286" w:lineRule="auto"/>
        <w:tabs>
          <w:tab w:leader="none" w:pos="72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Neither any amendment nor repeal of this Article VII, nor the adoption of any provision of this Restated Certificate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36"/>
        <w:spacing w:after="0" w:line="268" w:lineRule="auto"/>
        <w:tabs>
          <w:tab w:leader="none" w:pos="73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Unless the Corporation consents in writing to the selection of an alternative forum, the Court of Chancery of the State of Delaware shall be the sole and exclusive forum for the following types of actions or proceedings under Delaware statutory or common law: (i) any derivative action or proceeding brought on behalf of the Corporation; (ii) any action or proceeding asserting a claim of breach of a fiduciary duty owed by any current or former director, officer or other employee of the Corporation or any stockholder to the Corporation or the Corporation’s stockholders; (iii) any action or proceeding asserting a claim against the Corporation or any current or former director, officer or other employee of the Corporation or any stockholder arising pursuant to any provision of the Delaware General Corporation Law, this Restated Certificate or the Bylaws of the Corporation (as each may be amended from time to time); (iv) any action or proceeding to interpret, apply, enforce or determine the validity of this Restated Certificate or the Bylaws of the Corporation (including any right, obligation or remedy thereunder); (v) any action or proceeding as to which the Delaware General Corporation Law confers jurisdiction to the Court of Chancery of the State of Delaware; and (vi) any action asserting a claim against the Corporation or any director, officer or other employee of the Corporation or any stockholder, governed by the internal affairs doctrine, in all cases to the fullest extent permitted by law and subject to the court’s having personal jurisdiction over the indispensable parties named as defendants. This Article VIII shall not apply to suits brought to enforce a duty or liability created by the Securities Exchange Act of 1934, as amended, or any other claim for which the federal courts have exclusive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238" w:name="page239"/>
    <w:bookmarkEnd w:id="238"/>
    <w:p>
      <w:pPr>
        <w:ind w:left="-60" w:right="100" w:firstLine="436"/>
        <w:spacing w:after="0" w:line="286" w:lineRule="auto"/>
        <w:tabs>
          <w:tab w:leader="none" w:pos="665"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Corporation consents in writing to the selection of an alternative forum, the federal district courts of the United States of America shall be the exclusive forum for the resolution of any complaint asserting a cause of action arising under the Securities Act, subject to and contingent upon a final adjudication in the State of Delaware of the enforceability of such exclusive forum provision.</w:t>
      </w:r>
    </w:p>
    <w:p>
      <w:pPr>
        <w:spacing w:after="0" w:line="57" w:lineRule="exact"/>
        <w:rPr>
          <w:rFonts w:ascii="Arial" w:cs="Arial" w:eastAsia="Arial" w:hAnsi="Arial"/>
          <w:sz w:val="17"/>
          <w:szCs w:val="17"/>
          <w:color w:val="auto"/>
        </w:rPr>
      </w:pPr>
    </w:p>
    <w:p>
      <w:pPr>
        <w:ind w:left="-60" w:firstLine="436"/>
        <w:spacing w:after="0" w:line="277" w:lineRule="auto"/>
        <w:tabs>
          <w:tab w:leader="none" w:pos="6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or entity holding, owning or otherwise acquiring any interest in shares of capital stock of the Corporation shall be deemed to have notice of and to have consented to the provisions of this Article VIII.”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500" w:top="274" w:right="519" w:bottom="1440" w:gutter="0" w:footer="0" w:header="0"/>
        </w:sectPr>
      </w:pPr>
    </w:p>
    <w:bookmarkStart w:id="239" w:name="page240"/>
    <w:bookmarkEnd w:id="239"/>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Amended and Restated Certificate of Incorporation has been duly adopted by this corporation’s Board of Directors and stockholders in accordance with the applicable provisions of Sections 228, 242 and 245 of the Delaware General Corporation Law.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Executed at San Francisco, California, March 23,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48895</wp:posOffset>
            </wp:positionV>
            <wp:extent cx="27946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Dustin Moskovitz, Chief Executive Officer</w:t>
      </w:r>
    </w:p>
    <w:p>
      <w:pPr>
        <w:sectPr>
          <w:pgSz w:w="11900" w:h="16838" w:orient="portrait"/>
          <w:cols w:equalWidth="0" w:num="1">
            <w:col w:w="10060"/>
          </w:cols>
          <w:pgMar w:left="440" w:top="274" w:right="1399" w:bottom="1440" w:gutter="0" w:footer="0" w:header="0"/>
        </w:sectPr>
      </w:pPr>
    </w:p>
    <w:bookmarkStart w:id="240" w:name="page241"/>
    <w:bookmarkEnd w:id="240"/>
    <w:p>
      <w:pPr>
        <w:ind w:left="1018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AS THE SECURITIES REPRESENTED BY THIS CERTIFICATE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60" w:type="dxa"/>
            <w:vAlign w:val="bottom"/>
            <w:gridSpan w:val="3"/>
          </w:tcPr>
          <w:p>
            <w:pPr>
              <w:jc w:val="right"/>
              <w:ind w:right="3890"/>
              <w:spacing w:after="0"/>
              <w:rPr>
                <w:sz w:val="20"/>
                <w:szCs w:val="20"/>
                <w:color w:val="auto"/>
              </w:rPr>
            </w:pPr>
            <w:r>
              <w:rPr>
                <w:rFonts w:ascii="Arial" w:cs="Arial" w:eastAsia="Arial" w:hAnsi="Arial"/>
                <w:sz w:val="18"/>
                <w:szCs w:val="18"/>
                <w:b w:val="1"/>
                <w:bCs w:val="1"/>
                <w:color w:val="auto"/>
                <w:w w:val="98"/>
              </w:rPr>
              <w:t>UNSECURED SENIOR MANDATORY</w:t>
            </w:r>
          </w:p>
        </w:tc>
      </w:tr>
      <w:tr>
        <w:trPr>
          <w:trHeight w:val="20"/>
        </w:trPr>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8860" w:type="dxa"/>
            <w:vAlign w:val="bottom"/>
            <w:gridSpan w:val="5"/>
          </w:tcPr>
          <w:p>
            <w:pPr>
              <w:jc w:val="right"/>
              <w:ind w:right="3050"/>
              <w:spacing w:after="0" w:line="196" w:lineRule="exact"/>
              <w:rPr>
                <w:sz w:val="20"/>
                <w:szCs w:val="20"/>
                <w:color w:val="auto"/>
              </w:rPr>
            </w:pPr>
            <w:r>
              <w:rPr>
                <w:rFonts w:ascii="Arial" w:cs="Arial" w:eastAsia="Arial" w:hAnsi="Arial"/>
                <w:sz w:val="18"/>
                <w:szCs w:val="18"/>
                <w:b w:val="1"/>
                <w:bCs w:val="1"/>
                <w:color w:val="auto"/>
              </w:rPr>
              <w:t>CONVERTIBLE PROMISSORY NOTE DUE JUNE 26, 2025</w:t>
            </w:r>
          </w:p>
        </w:tc>
      </w:tr>
      <w:tr>
        <w:trPr>
          <w:trHeight w:val="461"/>
        </w:trPr>
        <w:tc>
          <w:tcPr>
            <w:tcW w:w="2160" w:type="dxa"/>
            <w:vAlign w:val="bottom"/>
          </w:tcPr>
          <w:p>
            <w:pPr>
              <w:jc w:val="right"/>
              <w:ind w:right="850"/>
              <w:spacing w:after="0"/>
              <w:rPr>
                <w:sz w:val="20"/>
                <w:szCs w:val="20"/>
                <w:color w:val="auto"/>
              </w:rPr>
            </w:pPr>
            <w:r>
              <w:rPr>
                <w:rFonts w:ascii="Arial" w:cs="Arial" w:eastAsia="Arial" w:hAnsi="Arial"/>
                <w:sz w:val="18"/>
                <w:szCs w:val="18"/>
                <w:b w:val="1"/>
                <w:bCs w:val="1"/>
                <w:color w:val="auto"/>
                <w:w w:val="88"/>
              </w:rPr>
              <w:t>$150,000,000.00</w:t>
            </w:r>
          </w:p>
        </w:tc>
        <w:tc>
          <w:tcPr>
            <w:tcW w:w="9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June 26, 2020</w:t>
            </w:r>
          </w:p>
        </w:tc>
      </w:tr>
      <w:tr>
        <w:trPr>
          <w:trHeight w:val="234"/>
        </w:trPr>
        <w:tc>
          <w:tcPr>
            <w:tcW w:w="2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San Francisco, California</w:t>
            </w:r>
          </w:p>
        </w:tc>
      </w:tr>
    </w:tbl>
    <w:p>
      <w:pPr>
        <w:spacing w:after="0" w:line="198"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For value received, Asana,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promises to pay to </w:t>
      </w:r>
      <w:r>
        <w:rPr>
          <w:rFonts w:ascii="Arial" w:cs="Arial" w:eastAsia="Arial" w:hAnsi="Arial"/>
          <w:sz w:val="17"/>
          <w:szCs w:val="17"/>
          <w:b w:val="1"/>
          <w:bCs w:val="1"/>
          <w:color w:val="auto"/>
        </w:rPr>
        <w:t>Dustin A. Moskovitz TTEE Dustin A. Moskovitz</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Trust DTD 12/27/05 </w:t>
      </w:r>
      <w:r>
        <w:rPr>
          <w:rFonts w:ascii="Arial" w:cs="Arial" w:eastAsia="Arial" w:hAnsi="Arial"/>
          <w:sz w:val="17"/>
          <w:szCs w:val="17"/>
          <w:color w:val="auto"/>
        </w:rPr>
        <w:t>(the “</w:t>
      </w:r>
      <w:r>
        <w:rPr>
          <w:rFonts w:ascii="Arial" w:cs="Arial" w:eastAsia="Arial" w:hAnsi="Arial"/>
          <w:sz w:val="17"/>
          <w:szCs w:val="17"/>
          <w:u w:val="single" w:color="auto"/>
          <w:color w:val="auto"/>
        </w:rPr>
        <w:t>Holder</w:t>
      </w:r>
      <w:r>
        <w:rPr>
          <w:rFonts w:ascii="Arial" w:cs="Arial" w:eastAsia="Arial" w:hAnsi="Arial"/>
          <w:sz w:val="17"/>
          <w:szCs w:val="17"/>
          <w:color w:val="auto"/>
        </w:rPr>
        <w:t>”), the principal sum of</w:t>
      </w:r>
      <w:r>
        <w:rPr>
          <w:rFonts w:ascii="Arial" w:cs="Arial" w:eastAsia="Arial" w:hAnsi="Arial"/>
          <w:sz w:val="17"/>
          <w:szCs w:val="17"/>
          <w:b w:val="1"/>
          <w:bCs w:val="1"/>
          <w:color w:val="auto"/>
        </w:rPr>
        <w:t xml:space="preserve"> $150,000,000.00</w:t>
      </w:r>
      <w:r>
        <w:rPr>
          <w:rFonts w:ascii="Arial" w:cs="Arial" w:eastAsia="Arial" w:hAnsi="Arial"/>
          <w:sz w:val="17"/>
          <w:szCs w:val="17"/>
          <w:color w:val="auto"/>
        </w:rPr>
        <w:t>. Interest shall accrue from the date of this Unsecured Senior Mandatory</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Promissory Note due June 26, 2025 (this “</w:t>
      </w:r>
      <w:r>
        <w:rPr>
          <w:rFonts w:ascii="Arial" w:cs="Arial" w:eastAsia="Arial" w:hAnsi="Arial"/>
          <w:sz w:val="17"/>
          <w:szCs w:val="17"/>
          <w:u w:val="single" w:color="auto"/>
          <w:color w:val="auto"/>
        </w:rPr>
        <w:t>Note</w:t>
      </w:r>
      <w:r>
        <w:rPr>
          <w:rFonts w:ascii="Arial" w:cs="Arial" w:eastAsia="Arial" w:hAnsi="Arial"/>
          <w:sz w:val="17"/>
          <w:szCs w:val="17"/>
          <w:color w:val="auto"/>
        </w:rPr>
        <w:t>”) on the unpaid principal amount at a rate equal to 3.5% per annum, which shall compound annually and, subject to the provisions of Section 3, only be paid in shares of the Company’s capital stock upon conversion of this Note pursuant to Section 2. This Note is issued pursuant to that certain Unsecured Senior Mandatory Convertible Note Purchase Agreement dated as June 26, 2020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This Note is subject to the following terms and conditions.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 terms used in this Note have the meanings specified in this Section 1:</w:t>
      </w:r>
    </w:p>
    <w:p>
      <w:pPr>
        <w:spacing w:after="0" w:line="229"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the Federal Reserve Bank of New York is authorized or required by law or executive order to close or be closed.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117" w:lineRule="exact"/>
        <w:rPr>
          <w:sz w:val="20"/>
          <w:szCs w:val="20"/>
          <w:color w:val="auto"/>
        </w:rPr>
      </w:pPr>
    </w:p>
    <w:p>
      <w:pPr>
        <w:ind w:right="120" w:firstLine="1428"/>
        <w:spacing w:after="0" w:line="259" w:lineRule="auto"/>
        <w:tabs>
          <w:tab w:leader="none" w:pos="16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sale of all or substantially all of the Company’s assets other than to a corporation or other entity of which the holders of voting capital stock of the Company outstanding immediately prior to the applicable transaction are the direct or indirect holders of voting securities representing at least a majority of the votes entitled to be cast by all of such corporation’s or other entity’s voting securities outstanding immediately after such transaction (such other corporation or other entity, an “</w:t>
      </w:r>
      <w:r>
        <w:rPr>
          <w:rFonts w:ascii="Arial" w:cs="Arial" w:eastAsia="Arial" w:hAnsi="Arial"/>
          <w:sz w:val="18"/>
          <w:szCs w:val="18"/>
          <w:u w:val="single" w:color="auto"/>
          <w:color w:val="auto"/>
        </w:rPr>
        <w:t>Excluded Entity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40" w:firstLine="1428"/>
        <w:spacing w:after="0" w:line="277" w:lineRule="auto"/>
        <w:tabs>
          <w:tab w:leader="none" w:pos="168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merger, consolidation or other capital reorganization or business combination transaction of the Company with or into another corporation or other entity other than an Excluded Entity;</w:t>
      </w:r>
    </w:p>
    <w:p>
      <w:pPr>
        <w:spacing w:after="0" w:line="62" w:lineRule="exact"/>
        <w:rPr>
          <w:rFonts w:ascii="Arial" w:cs="Arial" w:eastAsia="Arial" w:hAnsi="Arial"/>
          <w:sz w:val="18"/>
          <w:szCs w:val="18"/>
          <w:color w:val="auto"/>
        </w:rPr>
      </w:pPr>
    </w:p>
    <w:p>
      <w:pPr>
        <w:jc w:val="both"/>
        <w:ind w:right="20" w:firstLine="1428"/>
        <w:spacing w:after="0" w:line="263" w:lineRule="auto"/>
        <w:tabs>
          <w:tab w:leader="none" w:pos="16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consummation of a transaction, or series of related transactions, in which any “person” (as such term is used in Sections 13(d) and 14(d) of the Exchange Act (as defined below) becomes the “beneficial owner” (as defined in Rule 13d-3 of the Exchange Act), directly or indirectly, of more than 50% of the Company’s then outstanding voting securities; or</w:t>
      </w:r>
    </w:p>
    <w:p>
      <w:pPr>
        <w:sectPr>
          <w:pgSz w:w="11900" w:h="16838" w:orient="portrait"/>
          <w:cols w:equalWidth="0" w:num="1">
            <w:col w:w="11020"/>
          </w:cols>
          <w:pgMar w:left="440" w:top="121" w:right="439" w:bottom="1440" w:gutter="0" w:footer="0" w:header="0"/>
        </w:sectPr>
      </w:pPr>
    </w:p>
    <w:bookmarkStart w:id="241" w:name="page242"/>
    <w:bookmarkEnd w:id="241"/>
    <w:p>
      <w:pPr>
        <w:ind w:right="340" w:firstLine="1428"/>
        <w:spacing w:after="0" w:line="263" w:lineRule="auto"/>
        <w:tabs>
          <w:tab w:leader="none" w:pos="1687"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reclassification of the Class B Common Stock (other than a change as a result of a subdivision or combination of Common Stock to which Sections 1 and 2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applies or as a result of any recapitalization of the Company’s capital stock in connection with the Public Listing (as defined below));</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provided, however, that a transaction, or series of related transactions, shall not constitute a Change of Control if its purpose is to (i) change the jurisdiction of the Company’s incorporation, (ii) create a holding company that will be owned in substantially the same proportions by the persons who hold the Company’s securities immediately before such transaction, or (iii) obtain funding for the Company in a financing that is approved by the Company’s Board of Directors.</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or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Class B Common Stock, par value $0.00001 per share (as such stock may be renamed or reclassified from time to time after the date hereof, including as a result of any recapitalization of the Company’s capital stock in connection with the Public Listing).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Sale Price</w:t>
      </w:r>
      <w:r>
        <w:rPr>
          <w:rFonts w:ascii="Arial" w:cs="Arial" w:eastAsia="Arial" w:hAnsi="Arial"/>
          <w:sz w:val="17"/>
          <w:szCs w:val="17"/>
          <w:color w:val="auto"/>
        </w:rPr>
        <w:t>” on any date means the per share price of the Listed Stock on such date, determined (i) on the basis of the closing sale price per share (or if no closing sale price per share is reported, the average of the bid and ask prices or, if more than one in either case, the average of the average bid and the average ask prices) on that date as reported in the composite transactions for the principal U.S. national securities exchange or market on which the Listed Stock is then listed; or (ii) if the Listed Stock is not listed on a U.S. national securities exchange on the relevant date, the last quoted bid price for the Listed Stock on the relevant date, as reported by OTC Markets Group, Inc. or a similar organization; provided, however, that in the absence of any such report or quotation, the “Closing Sale Price” shall be the price determined by a nationally recognized independent investment banking firm retained by the Company for such purpose as most accurately reflecting the per share price that a fully informed buyer, acting on his own accord, would pay to a fully informed seller, acting on his own accord in an arms-length transaction, for one share of Listed Stock. The Closing Sale Price shall be determined without reference to after-hours or extended market trading.</w:t>
      </w:r>
    </w:p>
    <w:p>
      <w:pPr>
        <w:spacing w:after="0" w:line="181"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Amount</w:t>
      </w:r>
      <w:r>
        <w:rPr>
          <w:rFonts w:ascii="Arial" w:cs="Arial" w:eastAsia="Arial" w:hAnsi="Arial"/>
          <w:sz w:val="17"/>
          <w:szCs w:val="17"/>
          <w:color w:val="auto"/>
        </w:rPr>
        <w:t>” means the entire unpaid principal sum of this Note, together with the amount of interest that would have accrued thereon from the date of this Note until the Maturity Date (regardless of whether this Note is converted prior to the Maturity Date).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as of any date, $1,000 divided by the Conversion Rate as of such date.</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xml:space="preserve">” shall initially be 32.1658, subject to adjustment for any stock splits, stock dividends, reclassifications or the like prior to the Public Listing and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after the Public Listing.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42" w:name="page243"/>
    <w:bookmarkEnd w:id="242"/>
    <w:p>
      <w:pPr>
        <w:ind w:right="16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Daily VWAP</w:t>
      </w:r>
      <w:r>
        <w:rPr>
          <w:rFonts w:ascii="Arial" w:cs="Arial" w:eastAsia="Arial" w:hAnsi="Arial"/>
          <w:sz w:val="17"/>
          <w:szCs w:val="17"/>
          <w:color w:val="auto"/>
        </w:rPr>
        <w:t>” means, for each Trading Day during the relevant Observation Period, the per share volume-weighted average price as displayed under the heading “Bloomberg VWAP” on Bloomberg page for the Listed Stock (e.g., “[The ticker symbol for the Company]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Listed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spacing w:after="0" w:line="177"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 Date</w:t>
      </w:r>
      <w:r>
        <w:rPr>
          <w:rFonts w:ascii="Arial" w:cs="Arial" w:eastAsia="Arial" w:hAnsi="Arial"/>
          <w:sz w:val="16"/>
          <w:szCs w:val="16"/>
          <w:color w:val="auto"/>
        </w:rPr>
        <w:t>” means the first date on which the Listed Stock trades on the principal U.S. national securities exchange or market on which the Listed Stock is then listed, regular way, without the right to receive the issuance, dividend or distribution in question from the Company or, if applicable, from the seller of Listed Stock on such exchange or market (in the form of due bills or otherwise) as determined by such exchange or market.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Disruption Event</w:t>
      </w:r>
      <w:r>
        <w:rPr>
          <w:rFonts w:ascii="Arial" w:cs="Arial" w:eastAsia="Arial" w:hAnsi="Arial"/>
          <w:sz w:val="17"/>
          <w:szCs w:val="17"/>
          <w:color w:val="auto"/>
        </w:rPr>
        <w:t>” means, with respect to the Listed Stock or any other security, (i) a failure by the principal U.S. national securities exchange or market on which the Listed Stock is then listed to open for trading during its regular trading session or (ii) the occurrence or existence for more than one-half hour period in the aggregate on any Scheduled Trading Day for Listed Stock or such other security of any suspension or limitation imposed on trading (by reason of movements in price exceeding limits permitted by such exchange or market (or otherwise)) of the Listed Stock or such other security or in any options contracts or future contracts relating to the Listed Stock or such other security, and such suspension or limitation occurs or exists at any time before 1:00 p.m., New York City time, on such day.</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fifth (5th) anniversary of the date of this Note.</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Observation Period</w:t>
      </w:r>
      <w:r>
        <w:rPr>
          <w:rFonts w:ascii="Arial" w:cs="Arial" w:eastAsia="Arial" w:hAnsi="Arial"/>
          <w:sz w:val="18"/>
          <w:szCs w:val="18"/>
          <w:color w:val="auto"/>
        </w:rPr>
        <w:t>” means the twenty (20) consecutive Trading Days beginning on, and including, the 21st Scheduled Trading Day immediately preceding the Maturity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Company Conversion Rate Limit</w:t>
      </w:r>
      <w:r>
        <w:rPr>
          <w:rFonts w:ascii="Arial" w:cs="Arial" w:eastAsia="Arial" w:hAnsi="Arial"/>
          <w:sz w:val="18"/>
          <w:szCs w:val="18"/>
          <w:color w:val="auto"/>
        </w:rPr>
        <w:t>” shall initially be 51.4653, subject to adjustment for any stock splits, stock dividends, reclassifications or the like.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Company Equity Financing</w:t>
      </w:r>
      <w:r>
        <w:rPr>
          <w:rFonts w:ascii="Arial" w:cs="Arial" w:eastAsia="Arial" w:hAnsi="Arial"/>
          <w:sz w:val="16"/>
          <w:szCs w:val="16"/>
          <w:color w:val="auto"/>
        </w:rPr>
        <w:t xml:space="preserve">” means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equity financing by the Company prior to the consummation of a Public Listing.</w:t>
      </w:r>
    </w:p>
    <w:p>
      <w:pPr>
        <w:spacing w:after="0" w:line="248" w:lineRule="exact"/>
        <w:rPr>
          <w:sz w:val="20"/>
          <w:szCs w:val="20"/>
          <w:color w:val="auto"/>
        </w:rPr>
      </w:pPr>
    </w:p>
    <w:p>
      <w:pPr>
        <w:ind w:right="8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Conversion Rate Limit</w:t>
      </w:r>
      <w:r>
        <w:rPr>
          <w:rFonts w:ascii="Arial" w:cs="Arial" w:eastAsia="Arial" w:hAnsi="Arial"/>
          <w:sz w:val="18"/>
          <w:szCs w:val="18"/>
          <w:color w:val="auto"/>
        </w:rPr>
        <w:t xml:space="preserve">” shall initially be 51.4653, subject to adjustment for any stock splits, stock dividends, reclassifications or the like prior to the Public Listing and as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after the Public Listing.</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Listing</w:t>
      </w:r>
      <w:r>
        <w:rPr>
          <w:rFonts w:ascii="Arial" w:cs="Arial" w:eastAsia="Arial" w:hAnsi="Arial"/>
          <w:sz w:val="18"/>
          <w:szCs w:val="18"/>
          <w:color w:val="auto"/>
        </w:rPr>
        <w:t>” means the listing of a class of the Company’s equity securities on any U.S. national securities exchange or market, including in connection with (i) the first sale of such securities to the general public pursuant to a registration statement filed with and declared effective by the Securities and Exchange Commission under the Securities Act of 1933, as amended (other than a registration statement relating solely to the issuance of Company equity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43" w:name="page244"/>
    <w:bookmarkEnd w:id="24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pursuant to a business combination or an employee incentive or benefit plan), (ii) the Company first becoming subject to the periodic reporting requirements of Section 12(g) or 15(d) of the Exchange Act, or (iii) a “direct listing” of such securities after which such securities are listed on a such exchange or market.</w:t>
      </w:r>
    </w:p>
    <w:p>
      <w:pPr>
        <w:spacing w:after="0" w:line="18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Trading Day</w:t>
      </w:r>
      <w:r>
        <w:rPr>
          <w:rFonts w:ascii="Arial" w:cs="Arial" w:eastAsia="Arial" w:hAnsi="Arial"/>
          <w:sz w:val="18"/>
          <w:szCs w:val="18"/>
          <w:color w:val="auto"/>
        </w:rPr>
        <w:t>” means a day that is scheduled to be a Trading Day on the principal U.S. national securities exchange or market on which the Listed Stock is then listed. If the Listed Stock is not listed on any U.S. national securities exchange, “Scheduled Trading Day” means a Business Day.</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secured indebtedness in favor of a bank or other financial institution to the extent of the value of the assets securing such indebtedness.</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(i) there is no Market Disruption Event, (ii) trading in the Listed Stock generally occurs on the principal U.S. national securities exchange or market on which the Listed Stock is then listed or, if the Listed Stock is not then listed on a U.S. national securities exchange, on the principal other market on which the Listed Stock is then traded, and (iii) a Closing Sale Price for the Listed Stock is available on such securities exchange or market; provided that if the Listed Stock (or other security for which a Closing Sale Price must be determined) is not so listed or traded, “Trading Day” means a Business Day.</w:t>
      </w:r>
    </w:p>
    <w:p>
      <w:pPr>
        <w:spacing w:after="0" w:line="188"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Price Condition</w:t>
      </w:r>
      <w:r>
        <w:rPr>
          <w:rFonts w:ascii="Arial" w:cs="Arial" w:eastAsia="Arial" w:hAnsi="Arial"/>
          <w:sz w:val="17"/>
          <w:szCs w:val="17"/>
          <w:color w:val="auto"/>
        </w:rPr>
        <w:t>” means the period during any calendar quarter beginning after the date of the Public Listing (and only during such calendar quarter) when the Closing Sales Price of the Listed Stock for at least twenty (20) Trading Days in the thirty (30) consecutive Trading Days ending on the last Trading Day of the immediately preceding calendar quarter equals or exceeds the Conversion Price.</w:t>
      </w:r>
    </w:p>
    <w:p>
      <w:pPr>
        <w:spacing w:after="0" w:line="161" w:lineRule="exact"/>
        <w:rPr>
          <w:sz w:val="20"/>
          <w:szCs w:val="20"/>
          <w:color w:val="auto"/>
        </w:rPr>
      </w:pPr>
    </w:p>
    <w:p>
      <w:pPr>
        <w:ind w:left="620" w:hanging="184"/>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Methods of Conversion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220" w:firstLine="1428"/>
        <w:spacing w:after="0" w:line="261" w:lineRule="auto"/>
        <w:tabs>
          <w:tab w:leader="none" w:pos="1647" w:val="left"/>
        </w:tabs>
        <w:numPr>
          <w:ilvl w:val="2"/>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into Class B Common Stock at Company’s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Company’s option, at any time prior to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on the second (2</w:t>
      </w:r>
      <w:r>
        <w:rPr>
          <w:rFonts w:ascii="Arial" w:cs="Arial" w:eastAsia="Arial" w:hAnsi="Arial"/>
          <w:sz w:val="15"/>
          <w:szCs w:val="15"/>
          <w:color w:val="auto"/>
        </w:rPr>
        <w:t>nd</w:t>
      </w:r>
      <w:r>
        <w:rPr>
          <w:rFonts w:ascii="Arial" w:cs="Arial" w:eastAsia="Arial" w:hAnsi="Arial"/>
          <w:sz w:val="18"/>
          <w:szCs w:val="18"/>
          <w:color w:val="auto"/>
        </w:rPr>
        <w:t>) Scheduled Trading Day prior to the Maturity Date and during which the Trading Price Condition is met, this Note (including all of the Conversion Amount) may be converted by the Company into shares of Class B Common Stock at the then applicable Conversion Rate per each $1,000 of the Conversion Amount.</w:t>
      </w:r>
    </w:p>
    <w:p>
      <w:pPr>
        <w:spacing w:after="0" w:line="71" w:lineRule="exact"/>
        <w:rPr>
          <w:rFonts w:ascii="Arial" w:cs="Arial" w:eastAsia="Arial" w:hAnsi="Arial"/>
          <w:sz w:val="18"/>
          <w:szCs w:val="18"/>
          <w:color w:val="auto"/>
        </w:rPr>
      </w:pPr>
    </w:p>
    <w:p>
      <w:pPr>
        <w:ind w:right="100" w:firstLine="1428"/>
        <w:spacing w:after="0" w:line="292" w:lineRule="auto"/>
        <w:tabs>
          <w:tab w:leader="none" w:pos="1697" w:val="left"/>
        </w:tabs>
        <w:numPr>
          <w:ilvl w:val="2"/>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Conversion into Class B Common Stock at Maturity Date</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Note is outstanding as of the Maturity Date, this Note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all of the Conversion Amount) shall be converted into shares of Class B Common Stock at the </w:t>
      </w:r>
      <w:r>
        <w:rPr>
          <w:rFonts w:ascii="Arial" w:cs="Arial" w:eastAsia="Arial" w:hAnsi="Arial"/>
          <w:sz w:val="16"/>
          <w:szCs w:val="16"/>
          <w:i w:val="1"/>
          <w:iCs w:val="1"/>
          <w:color w:val="auto"/>
        </w:rPr>
        <w:t>greater</w:t>
      </w:r>
      <w:r>
        <w:rPr>
          <w:rFonts w:ascii="Arial" w:cs="Arial" w:eastAsia="Arial" w:hAnsi="Arial"/>
          <w:sz w:val="16"/>
          <w:szCs w:val="16"/>
          <w:color w:val="auto"/>
        </w:rPr>
        <w:t xml:space="preserve"> of (A) the then applicable Conversion Rate per each $1,000 of the Conversion Amount and (B) the </w:t>
      </w:r>
      <w:r>
        <w:rPr>
          <w:rFonts w:ascii="Arial" w:cs="Arial" w:eastAsia="Arial" w:hAnsi="Arial"/>
          <w:sz w:val="16"/>
          <w:szCs w:val="16"/>
          <w:i w:val="1"/>
          <w:iCs w:val="1"/>
          <w:color w:val="auto"/>
        </w:rPr>
        <w:t>lesser</w:t>
      </w:r>
      <w:r>
        <w:rPr>
          <w:rFonts w:ascii="Arial" w:cs="Arial" w:eastAsia="Arial" w:hAnsi="Arial"/>
          <w:sz w:val="16"/>
          <w:szCs w:val="16"/>
          <w:color w:val="auto"/>
        </w:rPr>
        <w:t xml:space="preserve"> of (1) $1,000 divided by the volume weighted average (rounded to the nearest 1/10,000, or if there shall not be a nearest 1/10,000, to the next highest 1/10,000) of the Daily VWAP for each of the Trading Days within the Observation Period per each $1,000 of the Conversion Amount and (2) the then applicable Public Company Conversion Rate Limit per each $1,000 of the Conversion Amount; provided, however, that in the event that the Public Listing has not occurred by the Close of Business on the second (2</w:t>
      </w:r>
      <w:r>
        <w:rPr>
          <w:rFonts w:ascii="Arial" w:cs="Arial" w:eastAsia="Arial" w:hAnsi="Arial"/>
          <w:sz w:val="13"/>
          <w:szCs w:val="13"/>
          <w:color w:val="auto"/>
        </w:rPr>
        <w:t>nd</w:t>
      </w:r>
      <w:r>
        <w:rPr>
          <w:rFonts w:ascii="Arial" w:cs="Arial" w:eastAsia="Arial" w:hAnsi="Arial"/>
          <w:sz w:val="16"/>
          <w:szCs w:val="16"/>
          <w:color w:val="auto"/>
        </w:rPr>
        <w:t>) Scheduled Trading Day prior to the Maturity Date, this Note (including all of the Conversion Amount) shall convert into shares of the capital stock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4" w:name="page245"/>
    <w:bookmarkEnd w:id="24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sold in the Company’s then most recent Private Company Equity Financing (which, for avoidance of doubt, may be the Company’s Series E Preferred Stock if no additional Private Company Equity Financing occurs thereafter) at the </w:t>
      </w:r>
      <w:r>
        <w:rPr>
          <w:rFonts w:ascii="Arial" w:cs="Arial" w:eastAsia="Arial" w:hAnsi="Arial"/>
          <w:sz w:val="16"/>
          <w:szCs w:val="16"/>
          <w:i w:val="1"/>
          <w:iCs w:val="1"/>
          <w:color w:val="auto"/>
        </w:rPr>
        <w:t>lesser</w:t>
      </w:r>
      <w:r>
        <w:rPr>
          <w:rFonts w:ascii="Arial" w:cs="Arial" w:eastAsia="Arial" w:hAnsi="Arial"/>
          <w:sz w:val="16"/>
          <w:szCs w:val="16"/>
          <w:color w:val="auto"/>
        </w:rPr>
        <w:t xml:space="preserve"> of (A) the then applicable Private Company Conversion Rate Limit per each $1,000 of the Conversion Amount and (B) $1,000 divided by the price per share at which such capital stock was sold in such Private Company Equity Financing (as appropriately adjusted for stock splits, stock dividends, reclassifications or the like to provide comparability with the then applicable Private Company Conversion Rate Limit) per each $1,000 of the Conversion Amount. Upon such conversion, the Holder (if not already a party thereto) shall execute and deliver to the Company any transaction documents related to such most recent Private Company Equity Financing as may be requested by the Company, which may include a purchase agreement and other ancillary agreements, with customary representations and warranties and transfer restrictions (including without limitation a lock-up agreement in connection with an initial public offering).</w:t>
      </w:r>
    </w:p>
    <w:p>
      <w:pPr>
        <w:spacing w:after="0" w:line="53" w:lineRule="exact"/>
        <w:rPr>
          <w:sz w:val="20"/>
          <w:szCs w:val="20"/>
          <w:color w:val="auto"/>
        </w:rPr>
      </w:pPr>
    </w:p>
    <w:p>
      <w:pPr>
        <w:ind w:right="20" w:firstLine="1428"/>
        <w:spacing w:after="0" w:line="289" w:lineRule="auto"/>
        <w:tabs>
          <w:tab w:leader="none" w:pos="1747" w:val="left"/>
        </w:tabs>
        <w:numPr>
          <w:ilvl w:val="1"/>
          <w:numId w:val="168"/>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Optional Conversion in a Private Company Financing Prior to Maturity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Private Company Equity</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prior to the Close of Business on the second (2</w:t>
      </w:r>
      <w:r>
        <w:rPr>
          <w:rFonts w:ascii="Arial" w:cs="Arial" w:eastAsia="Arial" w:hAnsi="Arial"/>
          <w:sz w:val="13"/>
          <w:szCs w:val="13"/>
          <w:color w:val="auto"/>
        </w:rPr>
        <w:t>nd</w:t>
      </w:r>
      <w:r>
        <w:rPr>
          <w:rFonts w:ascii="Arial" w:cs="Arial" w:eastAsia="Arial" w:hAnsi="Arial"/>
          <w:sz w:val="16"/>
          <w:szCs w:val="16"/>
          <w:color w:val="auto"/>
        </w:rPr>
        <w:t xml:space="preserve">) Scheduled Trading Day prior to the Maturity Date, at the Company’s option, this Note (including all of the Conversion Amount) may be converted by the Company into shares of the capital stock of the Company sold in such Private Company Equity Financing at the </w:t>
      </w:r>
      <w:r>
        <w:rPr>
          <w:rFonts w:ascii="Arial" w:cs="Arial" w:eastAsia="Arial" w:hAnsi="Arial"/>
          <w:sz w:val="16"/>
          <w:szCs w:val="16"/>
          <w:i w:val="1"/>
          <w:iCs w:val="1"/>
          <w:color w:val="auto"/>
        </w:rPr>
        <w:t>lesser</w:t>
      </w:r>
      <w:r>
        <w:rPr>
          <w:rFonts w:ascii="Arial" w:cs="Arial" w:eastAsia="Arial" w:hAnsi="Arial"/>
          <w:sz w:val="16"/>
          <w:szCs w:val="16"/>
          <w:color w:val="auto"/>
        </w:rPr>
        <w:t xml:space="preserve"> of (A) the Private Company Conversion Rate Limit per each $1,000 of the Conversion Amount and (B) $1,000 divided by the price per share at which such capital stock was sold in such Private Company Equity Financing (as appropriately adjusted for stock splits, stock dividends, reclassifications or the like to provide comparability with the then applicable Private Company Conversion Rate Limit) per each $1,000 of the Conversion Amount. Upon such conversion, the Holder shall execute and deliver to the Company all transaction documents related to such Private Company Equity Financing, including a purchase agreement and other ancillary agreements, with customary representations and warranties and transfer restrictions (including without limitation a lock-up agreement in connection with an initial public offering).</w:t>
      </w:r>
    </w:p>
    <w:p>
      <w:pPr>
        <w:spacing w:after="0" w:line="58" w:lineRule="exact"/>
        <w:rPr>
          <w:rFonts w:ascii="Arial" w:cs="Arial" w:eastAsia="Arial" w:hAnsi="Arial"/>
          <w:sz w:val="16"/>
          <w:szCs w:val="16"/>
          <w:color w:val="auto"/>
        </w:rPr>
      </w:pPr>
    </w:p>
    <w:p>
      <w:pPr>
        <w:ind w:right="120" w:firstLine="1428"/>
        <w:spacing w:after="0" w:line="281" w:lineRule="auto"/>
        <w:tabs>
          <w:tab w:leader="none" w:pos="1737" w:val="left"/>
        </w:tabs>
        <w:numPr>
          <w:ilvl w:val="1"/>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Note is outstanding as of immediately prior to the consummation of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this Note (including all of the Conversion Amount) shall, subject to Section 2(c) of this Note if applicable, be converted into shares of Class B Common Stock immediately prior to consummation of the Change of Control at the then applicable Private Company Conversion Rate Limit or Public Company Conversion Rate Limit, as applicable, per each $1,000 of the Conversion Amount.</w:t>
      </w:r>
    </w:p>
    <w:p>
      <w:pPr>
        <w:spacing w:after="0" w:line="56" w:lineRule="exact"/>
        <w:rPr>
          <w:rFonts w:ascii="Arial" w:cs="Arial" w:eastAsia="Arial" w:hAnsi="Arial"/>
          <w:sz w:val="17"/>
          <w:szCs w:val="17"/>
          <w:color w:val="auto"/>
        </w:rPr>
      </w:pPr>
    </w:p>
    <w:p>
      <w:pPr>
        <w:ind w:firstLine="987"/>
        <w:spacing w:after="0" w:line="292" w:lineRule="auto"/>
        <w:tabs>
          <w:tab w:leader="none" w:pos="1246" w:val="left"/>
        </w:tabs>
        <w:numPr>
          <w:ilvl w:val="0"/>
          <w:numId w:val="169"/>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and Effect of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Note is converted pursuant to Section 2 and any portion of the Conversion Amount is not</w:t>
      </w:r>
      <w:r>
        <w:rPr>
          <w:rFonts w:ascii="Arial" w:cs="Arial" w:eastAsia="Arial" w:hAnsi="Arial"/>
          <w:sz w:val="16"/>
          <w:szCs w:val="16"/>
          <w:b w:val="1"/>
          <w:bCs w:val="1"/>
          <w:color w:val="auto"/>
        </w:rPr>
        <w:t xml:space="preserve"> </w:t>
      </w:r>
      <w:r>
        <w:rPr>
          <w:rFonts w:ascii="Arial" w:cs="Arial" w:eastAsia="Arial" w:hAnsi="Arial"/>
          <w:sz w:val="16"/>
          <w:szCs w:val="16"/>
          <w:color w:val="auto"/>
        </w:rPr>
        <w:t>a multiple of $1,000, then such portion of the Conversion Amount shall convert into a number of shares of the Company’s capital stock equal to such portion divided by the quotient of $1,000 divided by the applicable Conversion Rate, Private Company Conversion Rate Limit or Public Company Conversion Rate Limit, as applicable. No fractional shares of the Company’s capital stock will be issued upon conversion of this Note. In lieu of any fractional share to which the Holder would otherwise be entitled, the Company will pay to the Holder in cash the amount of the unconverted Conversion Amount that would otherwise be converted into such fractional share. Upon conversion in full of this Note pursuant to this Section 2, the Holder shall surrender this Note, duly endorsed, at the principal offices of the Company or any transfer agent of the Company. At its expense,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5" w:name="page246"/>
    <w:bookmarkEnd w:id="245"/>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will, as soon as practicable thereafter, issue and deliver to the Holder, at such principal office, a certificate or certificates for the number of shares to which the Holder is entitled upon such conversion (or, if such shares are declared to be uncertificated, a notice to evidence such issuance of shares), together with any other securities and property to which the Holder is entitled upon such conversion under the terms of this Note, including a check payable to the Holder for any cash amounts payable as described herein. Upon conversion of this Note in accordance this Section 2, the Company will be forever released from all of its obligations and liabilities under this Note, including without limitation the obligation to pay or convert the Conversion Amount.</w:t>
      </w:r>
    </w:p>
    <w:p>
      <w:pPr>
        <w:spacing w:after="0" w:line="80" w:lineRule="exact"/>
        <w:rPr>
          <w:sz w:val="20"/>
          <w:szCs w:val="20"/>
          <w:color w:val="auto"/>
        </w:rPr>
      </w:pPr>
    </w:p>
    <w:p>
      <w:pPr>
        <w:ind w:left="4" w:firstLine="987"/>
        <w:spacing w:after="0" w:line="283" w:lineRule="auto"/>
        <w:tabs>
          <w:tab w:leader="none" w:pos="1240" w:val="left"/>
        </w:tabs>
        <w:numPr>
          <w:ilvl w:val="2"/>
          <w:numId w:val="170"/>
        </w:numPr>
        <w:rPr>
          <w:rFonts w:ascii="Arial" w:cs="Arial" w:eastAsia="Arial" w:hAnsi="Arial"/>
          <w:sz w:val="16"/>
          <w:szCs w:val="16"/>
          <w:color w:val="auto"/>
        </w:rPr>
      </w:pPr>
      <w:r>
        <w:rPr>
          <w:rFonts w:ascii="Arial" w:cs="Arial" w:eastAsia="Arial" w:hAnsi="Arial"/>
          <w:sz w:val="16"/>
          <w:szCs w:val="16"/>
          <w:b w:val="1"/>
          <w:bCs w:val="1"/>
          <w:u w:val="single" w:color="auto"/>
          <w:color w:val="auto"/>
        </w:rPr>
        <w:t>Alternate Settlement in Connection with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At the Holder’s sole discretion, the Holder may elect (the “</w:t>
      </w:r>
      <w:r>
        <w:rPr>
          <w:rFonts w:ascii="Arial" w:cs="Arial" w:eastAsia="Arial" w:hAnsi="Arial"/>
          <w:sz w:val="16"/>
          <w:szCs w:val="16"/>
          <w:u w:val="single" w:color="auto"/>
          <w:color w:val="auto"/>
        </w:rPr>
        <w:t>Alternate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Settlement Election</w:t>
      </w:r>
      <w:r>
        <w:rPr>
          <w:rFonts w:ascii="Arial" w:cs="Arial" w:eastAsia="Arial" w:hAnsi="Arial"/>
          <w:sz w:val="16"/>
          <w:szCs w:val="16"/>
          <w:color w:val="auto"/>
        </w:rPr>
        <w:t>”) to convert this Note as follows in this Section 2(c) in the event that the Company is subject to a Change of Control pursuant to which the Common Stock would be converted into or exchanged for, or would constitute solely the right to receive, securities or other non-cash property (any such event, a “</w:t>
      </w:r>
      <w:r>
        <w:rPr>
          <w:rFonts w:ascii="Arial" w:cs="Arial" w:eastAsia="Arial" w:hAnsi="Arial"/>
          <w:sz w:val="16"/>
          <w:szCs w:val="16"/>
          <w:u w:val="single" w:color="auto"/>
          <w:color w:val="auto"/>
        </w:rPr>
        <w:t>Merger Event</w:t>
      </w:r>
      <w:r>
        <w:rPr>
          <w:rFonts w:ascii="Arial" w:cs="Arial" w:eastAsia="Arial" w:hAnsi="Arial"/>
          <w:sz w:val="16"/>
          <w:szCs w:val="16"/>
          <w:color w:val="auto"/>
        </w:rPr>
        <w:t>”). For the avoidance of doubt, a “Merger Event” shall not include a Change of Control pursuant to which the Common Stock, in whole or in part, would be converted into or exchanged for, or would constitute the right to receive, cash. If and only if the Holder provides notice of the Alternate Settlement Election to the Company at least ten (10) Business Days prior to the anticipated effective date of the Merger Event, then this Note (including all of the Conversion Amount) will, at the effective time of such Merger Event, convert into the same kind, type and proportions of non-cash consideration that a holder of a number of shares of Common Stock equal to the Private Company Conversion Rate Limit or Public Company Conversion Rate Limit, as applicable, per each $1,000 of the Conversion Amount in effect immediately prior to such Merger Event would have received in such Merger Event (“</w:t>
      </w:r>
      <w:r>
        <w:rPr>
          <w:rFonts w:ascii="Arial" w:cs="Arial" w:eastAsia="Arial" w:hAnsi="Arial"/>
          <w:sz w:val="16"/>
          <w:szCs w:val="16"/>
          <w:u w:val="single" w:color="auto"/>
          <w:color w:val="auto"/>
        </w:rPr>
        <w:t>Reference Property</w:t>
      </w:r>
      <w:r>
        <w:rPr>
          <w:rFonts w:ascii="Arial" w:cs="Arial" w:eastAsia="Arial" w:hAnsi="Arial"/>
          <w:sz w:val="16"/>
          <w:szCs w:val="16"/>
          <w:color w:val="auto"/>
        </w:rPr>
        <w:t>”) and, prior to or at the effective time of such Merger Event, the Company or the successor or purchasing person, as the case may be, shall execute such additional agreements with the Holder as the Holder may request providing for such change in the settlement of the Note and appropriate adjustment to the Conversion Rate as a result thereof. For the avoidance of doubt, as a result of the Alternate Settlement Election and subject to the following terms of this Section 2(c), the shares of Common Stock that the Company would have been required to deliver upon conversion of this Note in accordance with Section 2(a)(iv) shall instead be deliverable in the amount and type of Reference Property that a holder of that number of shares of Common Stock would have received in such Merger Event. If the Merger Event causes the Common Stock to be converted into, or exchanged for, the right to receive more than a single type of non-cash consideration determined based in whole or in part upon any form of stockholder election, then (A) the Reference Property into which this Note will be convertible shall be deemed to be the weighted average of the types and amounts of non-cash consideration received by the holders of Common Stock that affirmatively make such an election and (B) the unit of Reference Property for purposes of this Section 2(c) shall refer to the non-cash consideration referred to in clause</w:t>
      </w:r>
    </w:p>
    <w:p>
      <w:pPr>
        <w:ind w:left="4" w:right="140" w:hanging="4"/>
        <w:spacing w:after="0" w:line="260" w:lineRule="auto"/>
        <w:tabs>
          <w:tab w:leader="none" w:pos="29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attributable to one share of Common Stock. Notwithstanding the foregoing, the Company shall not consummate any Merger Event unless its terms are consistent with this Section 2(c).</w:t>
      </w:r>
    </w:p>
    <w:p>
      <w:pPr>
        <w:spacing w:after="0" w:line="73" w:lineRule="exact"/>
        <w:rPr>
          <w:rFonts w:ascii="Arial" w:cs="Arial" w:eastAsia="Arial" w:hAnsi="Arial"/>
          <w:sz w:val="18"/>
          <w:szCs w:val="18"/>
          <w:color w:val="auto"/>
        </w:rPr>
      </w:pPr>
    </w:p>
    <w:p>
      <w:pPr>
        <w:ind w:left="4" w:right="100" w:firstLine="436"/>
        <w:spacing w:after="0" w:line="258" w:lineRule="auto"/>
        <w:tabs>
          <w:tab w:leader="none" w:pos="624" w:val="left"/>
        </w:tabs>
        <w:numPr>
          <w:ilvl w:val="1"/>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unpaid principal sum of this Note, together with accrued and unpaid interest thereon, shall become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payable upon the commission of any act of bankruptcy or insolvency by the Company, the execution by the Company of a general assignment for the benefit of creditors, the filing by or against the Company of a petition in bankruptcy or any petition for relief under the federal bankruptcy act or the continuation of such petition without dismissal for a period of 90 days or more, or the appointment of a receiver or trustee to take possession of the property or assets of the Company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46" w:name="page247"/>
    <w:bookmarkEnd w:id="246"/>
    <w:p>
      <w:pPr>
        <w:jc w:val="both"/>
        <w:ind w:right="200" w:firstLine="436"/>
        <w:spacing w:after="0" w:line="258" w:lineRule="auto"/>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connection with an Event of Default as provided for in Section 3, no portion of this Note, including the interest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hereon, may be repaid by the Company without the written agreement of the Company and the Holder. In the event this Note is repaid in accordance with the foregoing sentence, all such payments shall be made in lawful money of the United States of America at such place as the Holder hereof may from time to time designate in writing to the Company. Payment shall be credited first to the accrued interest then due and payable and the remainder applied to principal.</w:t>
      </w:r>
    </w:p>
    <w:p>
      <w:pPr>
        <w:spacing w:after="0" w:line="75" w:lineRule="exact"/>
        <w:rPr>
          <w:rFonts w:ascii="Arial" w:cs="Arial" w:eastAsia="Arial" w:hAnsi="Arial"/>
          <w:sz w:val="18"/>
          <w:szCs w:val="18"/>
          <w:color w:val="auto"/>
        </w:rPr>
      </w:pPr>
    </w:p>
    <w:p>
      <w:pPr>
        <w:ind w:right="60" w:firstLine="436"/>
        <w:spacing w:after="0" w:line="256" w:lineRule="auto"/>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indebtedness evidenced by this Note is expressly subordinated in right of payment to any now existing or</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arising Secured Indebtedness. The Holder agrees to enter into any subordination agreement, intercreditor or other similar agreement, in form and substance reasonably satisfactory to any holder or prospective holder of any Secured Indebtedness, and take such additional action as may be necessary to perfect such subordination. This Note represents a senior unsecured obligation of the Company and will rank equal in right of payment to all senior unsecured indebtedness of the Company, and will rank senior in right of payment to any indebtedness that is contractually subordinated to this Note.</w:t>
      </w:r>
    </w:p>
    <w:p>
      <w:pPr>
        <w:spacing w:after="0" w:line="79" w:lineRule="exact"/>
        <w:rPr>
          <w:rFonts w:ascii="Arial" w:cs="Arial" w:eastAsia="Arial" w:hAnsi="Arial"/>
          <w:sz w:val="18"/>
          <w:szCs w:val="18"/>
          <w:color w:val="auto"/>
        </w:rPr>
      </w:pPr>
    </w:p>
    <w:p>
      <w:pPr>
        <w:ind w:right="20" w:firstLine="436"/>
        <w:spacing w:after="0" w:line="271" w:lineRule="auto"/>
        <w:tabs>
          <w:tab w:leader="none" w:pos="620" w:val="left"/>
        </w:tabs>
        <w:numPr>
          <w:ilvl w:val="0"/>
          <w:numId w:val="172"/>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and conditions of this Note shall inure to the benefit of and be binding upon the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assigns of the parties. Notwithstanding the foregoing, the Holder may not assign, pledge, or otherwise transfer this Note without the prior written consent of the Company, except for transfers to affiliates of Holder or an entity under common control by, beneficially owned by, or common management with, Holder, in each case that agree in writing to be bound by the provisions of the Purchase Agreement and this Note, including without limitation the “Lock-up Agreement” set forth in Section 4(i) of the Purchase Agreement. Subject to the preceding sentence, this Note may be transferred only upon surrender of the original Note for registration of transfer, duly endorsed, or accompanied by a duly executed written instrument of transfer in form satisfactory to the Company. Thereupon, a new note for the same principal amount and interest will be issued to, and registered in the name of, the transferee. Interest and principal are payable only to the registered holder of this Note. The Company shall not assign this Note (whether by operation of law or otherwise) without consent of the Holder.</w:t>
      </w:r>
    </w:p>
    <w:p>
      <w:pPr>
        <w:spacing w:after="0" w:line="65" w:lineRule="exact"/>
        <w:rPr>
          <w:rFonts w:ascii="Arial" w:cs="Arial" w:eastAsia="Arial" w:hAnsi="Arial"/>
          <w:sz w:val="17"/>
          <w:szCs w:val="17"/>
          <w:color w:val="auto"/>
        </w:rPr>
      </w:pPr>
    </w:p>
    <w:p>
      <w:pPr>
        <w:ind w:right="140" w:firstLine="436"/>
        <w:spacing w:after="0" w:line="312" w:lineRule="auto"/>
        <w:tabs>
          <w:tab w:leader="none" w:pos="620" w:val="left"/>
        </w:tabs>
        <w:numPr>
          <w:ilvl w:val="0"/>
          <w:numId w:val="17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and all acts and transactions pursuant hereto and the rights and obligations of the parties hereto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the laws of the State of California, without giving effect to principles of conflicts of law.</w:t>
      </w:r>
    </w:p>
    <w:p>
      <w:pPr>
        <w:spacing w:after="0" w:line="31" w:lineRule="exact"/>
        <w:rPr>
          <w:rFonts w:ascii="Arial" w:cs="Arial" w:eastAsia="Arial" w:hAnsi="Arial"/>
          <w:sz w:val="17"/>
          <w:szCs w:val="17"/>
          <w:color w:val="auto"/>
        </w:rPr>
      </w:pPr>
    </w:p>
    <w:p>
      <w:pPr>
        <w:ind w:firstLine="436"/>
        <w:spacing w:after="0" w:line="256" w:lineRule="auto"/>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Agreement shall be in writing and shall be deemed sufficient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electronic mail, or facsimile, or 48 hours after being deposited in the U.S. mail as certified or registered mail with postage prepaid, if such notice is addressed to the party to be notified at such party’s address, e-mail address, or facsimile number as set forth below, used in customary communications with the Company, or as subsequently modified by written notice. If notice is given to the Company, a required copy (which copy shall not constitute notice) shall also be sent to Stephen J. Venuto, Orrick, Herrington &amp; Sutcliffe LLP, 1000 Marsh Road, Menlo Park, California 94025.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47" w:name="page248"/>
    <w:bookmarkEnd w:id="247"/>
    <w:p>
      <w:pPr>
        <w:ind w:left="-80" w:firstLine="436"/>
        <w:spacing w:after="0" w:line="266"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Note may be amended or waived only with the written consent of (i) the Company and (ii)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Any amendment or waiver effected in accordance with this Section 9 shall be binding upon the Company, the Holder and each transferee of this Note.</w:t>
      </w:r>
    </w:p>
    <w:p>
      <w:pPr>
        <w:spacing w:after="0" w:line="67" w:lineRule="exact"/>
        <w:rPr>
          <w:rFonts w:ascii="Arial" w:cs="Arial" w:eastAsia="Arial" w:hAnsi="Arial"/>
          <w:sz w:val="18"/>
          <w:szCs w:val="18"/>
          <w:color w:val="auto"/>
        </w:rPr>
      </w:pPr>
    </w:p>
    <w:p>
      <w:pPr>
        <w:ind w:left="-80" w:right="180" w:firstLine="436"/>
        <w:spacing w:after="0" w:line="282" w:lineRule="auto"/>
        <w:tabs>
          <w:tab w:leader="none" w:pos="63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Stockholders, Officers and Directors Not Liable</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shall any stockholder, officer, director, agent, or advisor of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liable for any amounts due and/or payable pursuant to this Note.</w:t>
      </w:r>
    </w:p>
    <w:p>
      <w:pPr>
        <w:spacing w:after="0" w:line="53" w:lineRule="exact"/>
        <w:rPr>
          <w:rFonts w:ascii="Arial" w:cs="Arial" w:eastAsia="Arial" w:hAnsi="Arial"/>
          <w:sz w:val="18"/>
          <w:szCs w:val="18"/>
          <w:color w:val="auto"/>
        </w:rPr>
      </w:pPr>
    </w:p>
    <w:p>
      <w:pPr>
        <w:ind w:left="-80" w:right="260" w:firstLine="436"/>
        <w:spacing w:after="0" w:line="282" w:lineRule="auto"/>
        <w:tabs>
          <w:tab w:leader="none" w:pos="623"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may be executed in any number of counterparts, each of which will be deemed to be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a single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520" w:top="270" w:right="519" w:bottom="1440" w:gutter="0" w:footer="0" w:header="0"/>
        </w:sectPr>
      </w:pPr>
    </w:p>
    <w:bookmarkStart w:id="248" w:name="page249"/>
    <w:bookmarkEnd w:id="24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executed this Unsecured Senior Mandatory Convertible Promissory Note due June 26, 2025 as of the date first set forth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ASANA,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Tim Wan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1550 Bryant Street, Suite 200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AGREED TO AND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HOLDER</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DUSTIN A. MOSKOVITZ TTEE DUSTIN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MOSKOVITZ TRUST DTD 12/27/05</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Dustin Moskovitz</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 – UNSECURED SENIOR MANDATORY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PROMISSORY NOTE DUE JUNE 26, 2025</w:t>
      </w:r>
    </w:p>
    <w:p>
      <w:pPr>
        <w:sectPr>
          <w:pgSz w:w="11900" w:h="16838" w:orient="portrait"/>
          <w:cols w:equalWidth="0" w:num="1">
            <w:col w:w="11000"/>
          </w:cols>
          <w:pgMar w:left="440" w:top="274" w:right="45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 OF CONVERSION RATE</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Conversion Rate and the Public Company Conversion Rate Limit shall be subject to adjustment from time to time, without duplication, as set forth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References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the “Conversion Rate” shall apply to the “Public Company Conversion Rate Limit”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76" w:lineRule="exact"/>
        <w:rPr>
          <w:sz w:val="20"/>
          <w:szCs w:val="20"/>
          <w:color w:val="auto"/>
        </w:rPr>
      </w:pPr>
    </w:p>
    <w:p>
      <w:pPr>
        <w:ind w:right="120" w:firstLine="436"/>
        <w:spacing w:after="0" w:line="279" w:lineRule="auto"/>
        <w:tabs>
          <w:tab w:leader="none" w:pos="6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 case the Company shall pay or make a dividend or other distribution on its Common Stock consisting exclusively of Common Stock, the Conversion Rate shall be increased by multiplying such Conversion Rate by a fraction of which the denominator shall be the number of shares of Common Stock outstanding immediately prior to the Open of Business on the Ex Date for such dividend or distribution, and the numerator shall be the number of shares of Common Stock outstanding immediately after such dividend or distribution, in the following formula: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(OS2 ÷ OS1)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Ex Date of such dividend or distribution;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dividend or distribution;</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OS1 = the number of shares of Common Stock outstanding immediately prior to the Open of Business on the Ex Date for such dividend or distribution;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OS2 = the number of shares of Common Stock outstanding immediately after such dividend or distribution.</w:t>
      </w:r>
    </w:p>
    <w:p>
      <w:pPr>
        <w:spacing w:after="0" w:line="117" w:lineRule="exact"/>
        <w:rPr>
          <w:sz w:val="20"/>
          <w:szCs w:val="20"/>
          <w:color w:val="auto"/>
        </w:rPr>
      </w:pPr>
    </w:p>
    <w:p>
      <w:pPr>
        <w:ind w:firstLine="436"/>
        <w:spacing w:after="0" w:line="277"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case the Company shall effect a share split or share combination, the Conversion Rate shall be proportionally increased, in the case of a share split, and proportionally reduced, in the case of a share combination, as expressed in the following formula: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(OS2 ÷ OS1)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effective date of such share split or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CR2 = the Conversion Rate in effect immediately after the Open of Business on the effective date of such share split or share combination;</w:t>
      </w:r>
    </w:p>
    <w:p>
      <w:pPr>
        <w:sectPr>
          <w:pgSz w:w="11900" w:h="16838" w:orient="portrait"/>
          <w:cols w:equalWidth="0" w:num="1">
            <w:col w:w="10980"/>
          </w:cols>
          <w:pgMar w:left="440" w:top="270" w:right="479" w:bottom="1440" w:gutter="0" w:footer="0" w:header="0"/>
        </w:sectPr>
      </w:pPr>
    </w:p>
    <w:bookmarkStart w:id="250" w:name="page251"/>
    <w:bookmarkEnd w:id="250"/>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OS1 = the number of shares of Common Stock outstanding immediately prior to the Open of Business on the effective date of such share split or share combination; and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OS2 = the number of shares of Common Stock outstanding immediately after such share split or share combination.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Any adjustment made under Section 1 or this Section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become effective immediately after the Open of Business on the Ex Date for such dividend or distribution, or immediately after the Open of Business on the effective date for such share split or share combination, as the case may be. If any dividend or distribution of the type described in Sections 1 or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is declared but not so paid or made, or any share split or share combination of the type described in Section 1 or this Section 2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is announced but the shares of Common Stock are not split or combined, as the case may be, then the Conversion Rate shall be immediately readjusted, effective as of the date the Company’s Board of Directors determines not to pay such dividend or distribution, or not to split or combine the shares of Common Stock, as the case may be, to the Conversion Rate that would then be in effect if such dividend or distribution had not been declared or such share split or combination had not been announced.</w:t>
      </w:r>
    </w:p>
    <w:p>
      <w:pPr>
        <w:spacing w:after="0" w:line="84" w:lineRule="exact"/>
        <w:rPr>
          <w:sz w:val="20"/>
          <w:szCs w:val="20"/>
          <w:color w:val="auto"/>
        </w:rPr>
      </w:pPr>
    </w:p>
    <w:p>
      <w:pPr>
        <w:ind w:firstLine="436"/>
        <w:spacing w:after="0" w:line="301" w:lineRule="auto"/>
        <w:tabs>
          <w:tab w:leader="none" w:pos="6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the Company distributes to all or substantially all holders of the Common Stock any rights, options or warrants entitling them, for a period expiring not more than forty-five (45) days immediately following the date of such distribution, to purchase or subscribe for Common Stock, at a price per share less than the average of the Closing Sale Prices of the Common Stock over the ten (10) consecutive Trading Day period ending on the Trading Day immediately preceding the date of announcement for such distribution, the Conversion Rate shall be increased based on the following formula:</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CR2 = CR1* [(OS1 + X) ÷ (OS1 + 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such distribution;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such Ex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OS1 = the number of shares of Common Stock outstanding immediately prior to the Open of Business on such Ex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 = the total number of shares of Common Stock issuable pursuant to such rights, options or warrants; and</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Y = the number of shares of Common Stock equal to the aggregate price payable to exercise such rights, options or warrants, divided by the average of the Closing Sale Prices of the Common Stock over the ten (10) consecutive Trading Day period ending on the Trading Day immediately preceding the date of announcement for such distribution.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4" w:right="519" w:bottom="1440" w:gutter="0" w:footer="0" w:header="0"/>
        </w:sectPr>
      </w:pPr>
    </w:p>
    <w:bookmarkStart w:id="251" w:name="page252"/>
    <w:bookmarkEnd w:id="251"/>
    <w:p>
      <w:pPr>
        <w:ind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increase made under this Section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be made successively whenever any such rights, options or warrants are distributed and shall become effective immediately after the Open of Business on the Ex Date for such distribution. To the extent that Common Stock is not delivered after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Company’s Board of Directors determines not to make such distribution, to the Conversion Rate that would then be in effect if such Ex Date for such distribution had not occurred.</w:t>
      </w:r>
    </w:p>
    <w:p>
      <w:pPr>
        <w:spacing w:after="0" w:line="17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In determining whether any rights, options or warrants entitle the holders to subscribe for or purchase Common Stock at less than such average of the Closing Sale Prices for the ten (10) consecutive Trading Day period ending on the Trading Day immediately preceding the date of announcement for such distribution, and in determining the aggregate offering price of such Common Stock, there shall be taken into account any consideration received by the Company for such rights, options or warrants and any amount payable on exercise or conversion thereof, the value of such consideration, if other than cash, to be determined by the Company’s Board of Directors. Except in the case of a readjustment of the Conversion Rate pursuant to the immediately preceding paragraph, the Conversion Rate shall not be decreased pursuant to this Section 3 of this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56" w:lineRule="exact"/>
        <w:rPr>
          <w:sz w:val="20"/>
          <w:szCs w:val="20"/>
          <w:color w:val="auto"/>
        </w:rPr>
      </w:pPr>
    </w:p>
    <w:p>
      <w:pPr>
        <w:ind w:firstLine="436"/>
        <w:spacing w:after="0" w:line="269" w:lineRule="auto"/>
        <w:tabs>
          <w:tab w:leader="none" w:pos="6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If the Company distributes shares of its capital stock, evidences of its indebtedness or other of its assets, securities or property or rights, options or warrants to acquire its capital stock or other securities, to all or substantially all holders of Common Stock, but excluding: (i) dividends or distributions as to which an adjustment was effected pursuant to Sections 1, 2 or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(ii) dividends or distributions paid exclusively in cash as to which an adjustment was effected pursuant to Section 5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or that is excluded from the scope of Section 5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by the parenthetical language preceding the formula therein; (iii) distributions of Reference Property (as defined in Section 2(c) of this Note) received by the holders of Common Stock in a Merger Event (as defined Section 2(c) of this Note); (iv) rights issued pursuant to a rights plan of the Company (i.e., a poison pill), except to the extent provided for in the last paragraph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(v) Spin-Offs (as defined below) to which the provisions set forth in the latter portion of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apply (any of such shares of capital stock, indebtedness or other assets, securities or property or rights, options or warrants to acquire its capital Stock or other securities,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in each such case the Conversion Rate shall be increased based on the following formula: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CR2 = CR1* [SP1 ÷ (SP1 – FMV)]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such distribution;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distribution;</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252" w:name="page253"/>
    <w:bookmarkEnd w:id="252"/>
    <w:p>
      <w:pPr>
        <w:ind w:right="5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SP1 = the average of the Closing Sale Prices of the Common Stock over the ten (10) consecutive Trading Day period ending on the Trading Day immediately preceding the Ex Date for such distribution; and</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FMV = the fair market value (as determined by the Company’s Board of Directors) of the Distributed Property distributable with respect to each outstanding share of Common Stock as of the Open of Business on the Ex Date for such distribution.</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If the Company’s Board of Directors determines “FMV” for purposes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by reference to the actual or when issued trading market for any securities, it must in doing so consider the prices in such market over the same period used in computing the Closing Sale Prices of the Common Stock over the ten (10) consecutive Trading Day period ending on the Trading Day immediately preceding the Ex Date for such distribution.</w:t>
      </w:r>
    </w:p>
    <w:p>
      <w:pPr>
        <w:spacing w:after="0" w:line="18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Notwithstanding the foregoing, if “FMV” (as defined above) is equal to or greater than the “SP1” (as defined above), in lieu of the foregoing increase, provision shall be made for the Holder to receive, for each $1,000 of the Conversion Amount, at the same time and upon the same terms as the holders of the Common Stock, the amount and kind of Distributed Property that such Holder would have received if such Holder had owned a number of shares of Common Stock equal to the Conversion Rate in effect on the Ex Date for such distribution.</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Any increase made under the portion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above shall become effective immediately after the Open of Business on the Ex Date for such distribution. If such distribution is not so paid or made, the Conversion Rate shall be decreased, effective as of the date the Company’s Board of Directors determines not to make such distribution, to the Conversion Rate that would then be in effect if such dividend or distribution had not been declared.</w:t>
      </w:r>
    </w:p>
    <w:p>
      <w:pPr>
        <w:spacing w:after="0" w:line="187" w:lineRule="exact"/>
        <w:rPr>
          <w:sz w:val="20"/>
          <w:szCs w:val="20"/>
          <w:color w:val="auto"/>
        </w:rPr>
      </w:pPr>
    </w:p>
    <w:p>
      <w:pPr>
        <w:jc w:val="both"/>
        <w:ind w:right="40" w:firstLine="440"/>
        <w:spacing w:after="0" w:line="301" w:lineRule="auto"/>
        <w:rPr>
          <w:sz w:val="20"/>
          <w:szCs w:val="20"/>
          <w:color w:val="auto"/>
        </w:rPr>
      </w:pPr>
      <w:r>
        <w:rPr>
          <w:rFonts w:ascii="Arial" w:cs="Arial" w:eastAsia="Arial" w:hAnsi="Arial"/>
          <w:sz w:val="16"/>
          <w:szCs w:val="16"/>
          <w:color w:val="auto"/>
        </w:rPr>
        <w:t xml:space="preserve">With respect to an adjustment pursuant to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where there has been a payment of a dividend or other distribution on the Common Stock or capital stock of any class or series, or similar equity interests, of or relating to a subsidiary of the Company or other business unit of the Company, where such capital stock or similar equity interest is listed or quoted (or will be listed or quoted upon consummation of the transaction) on a U.S. national securities exchange (a “</w:t>
      </w:r>
      <w:r>
        <w:rPr>
          <w:rFonts w:ascii="Arial" w:cs="Arial" w:eastAsia="Arial" w:hAnsi="Arial"/>
          <w:sz w:val="16"/>
          <w:szCs w:val="16"/>
          <w:u w:val="single" w:color="auto"/>
          <w:color w:val="auto"/>
        </w:rPr>
        <w:t>Spin-Off</w:t>
      </w:r>
      <w:r>
        <w:rPr>
          <w:rFonts w:ascii="Arial" w:cs="Arial" w:eastAsia="Arial" w:hAnsi="Arial"/>
          <w:sz w:val="16"/>
          <w:szCs w:val="16"/>
          <w:color w:val="auto"/>
        </w:rPr>
        <w:t>”), the Conversion Rate shall be increased based on the following formula: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CR2 = CR1* [(FMV1 + MP1) ÷ MP1]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CR1 = the Conversion Rate in effect immediately prior to the Open of Business on the Ex Date for the Spin-Off;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the Spin-Off;</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FMV1 = the average of the Closing Sale Prices of the capital stock or similar equity interest distributed to holders of the Common Stock applicable to one share of Common Stock over the ten (10) consecutive Trading Days immediately following, and including, the Ex Date for a Spin-Off (the “</w:t>
      </w:r>
      <w:r>
        <w:rPr>
          <w:rFonts w:ascii="Arial" w:cs="Arial" w:eastAsia="Arial" w:hAnsi="Arial"/>
          <w:sz w:val="18"/>
          <w:szCs w:val="18"/>
          <w:u w:val="single" w:color="auto"/>
          <w:color w:val="auto"/>
        </w:rPr>
        <w:t>Valuation Period</w:t>
      </w:r>
      <w:r>
        <w:rPr>
          <w:rFonts w:ascii="Arial" w:cs="Arial" w:eastAsia="Arial" w:hAnsi="Arial"/>
          <w:sz w:val="18"/>
          <w:szCs w:val="18"/>
          <w:color w:val="auto"/>
        </w:rPr>
        <w: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253" w:name="page254"/>
    <w:bookmarkEnd w:id="2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MP1 = the average of the Closing Sale Prices of the Common Stock over the Valuation Period.</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The increase to the Conversion Rate under the preceding paragraph shall be determined on the last Trading Day of the Valuation Period, but will be given effect immediately after the Open of Business on the Ex Date for such Spin-Off. Notwithstanding the foregoing, in respect of any conversion during the Valuation Period, references in the portion of this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related to Spin-Offs with respect to ten (10) Trading Days shall be deemed to be replaced with such lesser number of Trading Days as have elapsed between the Ex Date of such Spin-Off and the date on which this Note converts or is repaid pursuant to Section 2 of this Note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in determining the Conversion Rate. If the period from and including the Ex Date for the Spin-Off to and including the last Trading Day of the Observation Period in respect of any conversion of this Note is less than ten (10) Trading Days, references in the portion of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related to Spin-Offs with respect to ten (10) Trading Days shall be deemed to be replaced, solely in respect of that conversion of this Note, with such lesser number of Trading Days as have elapsed from, and including, the Ex Date for the Spin-Off to, and including, the last Trading Day of such Observation Period.</w:t>
      </w:r>
    </w:p>
    <w:p>
      <w:pPr>
        <w:spacing w:after="0" w:line="166"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u w:val="single" w:color="auto"/>
          <w:color w:val="auto"/>
        </w:rPr>
        <w:t>Trigger Event</w:t>
      </w:r>
      <w:r>
        <w:rPr>
          <w:rFonts w:ascii="Arial" w:cs="Arial" w:eastAsia="Arial" w:hAnsi="Arial"/>
          <w:sz w:val="16"/>
          <w:szCs w:val="16"/>
          <w:color w:val="auto"/>
        </w:rPr>
        <w:t xml:space="preserve">”): (i) are deemed to be transferred with such Common Stock; (ii) are not exercisable; and (iii) are also issued in respect of future issuances of the Common Stock, shall be deemed not to have been distributed for purposes of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no adjustment to the Conversion Rate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 will be required) until the occurrence of the earliest Trigger Event, whereupon such rights, options or warrants shall be deemed to have been distributed and an appropriate adjustment (if any is required) to the Conversion Rate shall be made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as the case may be.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as the case may be,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or warrants had not been issued.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254" w:name="page255"/>
    <w:bookmarkEnd w:id="25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purposes of Sections 1, 2 and 3 and this Section 4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any dividend or distribution to which this Section 4 of this </w:t>
      </w:r>
      <w:r>
        <w:rPr>
          <w:rFonts w:ascii="Arial" w:cs="Arial" w:eastAsia="Arial" w:hAnsi="Arial"/>
          <w:sz w:val="16"/>
          <w:szCs w:val="16"/>
          <w:u w:val="single" w:color="auto"/>
          <w:color w:val="auto"/>
        </w:rPr>
        <w:t>Appendix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 applicable that also includes one or both of: (A) a dividend or distribution of Common Stock to which Section 1 or 2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Clause A Distribution</w:t>
      </w:r>
      <w:r>
        <w:rPr>
          <w:rFonts w:ascii="Arial" w:cs="Arial" w:eastAsia="Arial" w:hAnsi="Arial"/>
          <w:sz w:val="17"/>
          <w:szCs w:val="17"/>
          <w:color w:val="auto"/>
        </w:rPr>
        <w:t xml:space="preserve">”); or (B) a dividend or distribution of rights, options or warrants to which Section 3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applicable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Clause B Distribution</w:t>
      </w:r>
      <w:r>
        <w:rPr>
          <w:rFonts w:ascii="Arial" w:cs="Arial" w:eastAsia="Arial" w:hAnsi="Arial"/>
          <w:sz w:val="16"/>
          <w:szCs w:val="16"/>
          <w:color w:val="auto"/>
        </w:rPr>
        <w:t>”), then (1) such dividend or distribution, other than the Clause A Distribution and Clause B Distribution, shall be deemed to be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dividend or distribution to which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applicable (the “</w:t>
      </w:r>
      <w:r>
        <w:rPr>
          <w:rFonts w:ascii="Arial" w:cs="Arial" w:eastAsia="Arial" w:hAnsi="Arial"/>
          <w:sz w:val="17"/>
          <w:szCs w:val="17"/>
          <w:u w:val="single" w:color="auto"/>
          <w:color w:val="auto"/>
        </w:rPr>
        <w:t>Clause C Distribution</w:t>
      </w:r>
      <w:r>
        <w:rPr>
          <w:rFonts w:ascii="Arial" w:cs="Arial" w:eastAsia="Arial" w:hAnsi="Arial"/>
          <w:sz w:val="17"/>
          <w:szCs w:val="17"/>
          <w:color w:val="auto"/>
        </w:rPr>
        <w:t>”) and any Conversion Rate adjustment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required by this Section 4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with respect to such Clause C Distribution shall then be made and (2) the Clause A Distribution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Clause B Distribution shall be deemed to immediately follow the Clause C Distribution and any Conversion Rate adjustment required by Sections 1,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3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with respect thereto shall then be made, except that, if determined by the Company’s Board of Directors, the Ex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Clause A Distribution and the Clause B Distribution shall be deemed to be the Ex Date of the Clause C Distribution and any Common Stock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Clause A Distribution or Clause B Distribution shall be deemed not to be “outstanding immediately prior to the Open of Business on the Ex Date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dividend or distribution” or “outstanding immediately after the Open of Business on the effective date of such share split or share combination,”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case may be within the meaning of this Section 1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or “outstanding immediately prior to the Open of Business on the Ex Date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distribution” within the meaning of this Section 3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either the fourth or seventh paragraph of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 Conversion Rate shall not be decreased pursuant to this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0" w:lineRule="exact"/>
        <w:rPr>
          <w:sz w:val="20"/>
          <w:szCs w:val="20"/>
          <w:color w:val="auto"/>
        </w:rPr>
      </w:pPr>
    </w:p>
    <w:p>
      <w:pPr>
        <w:ind w:right="360" w:firstLine="436"/>
        <w:spacing w:after="0" w:line="277" w:lineRule="auto"/>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Stock, the Conversion Rate shall be increased based on the following formula: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CR2 = CR1* [(SP1 – T) ÷ (SP1 – 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CR1 = the Conversion Rate in effect immediately prior to the Open of Business on the Ex Date for such dividend or distribution;</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CR2 = the Conversion Rate in effect immediately after the Open of Business on the Ex Date for such dividend or distribution;</w:t>
      </w:r>
    </w:p>
    <w:p>
      <w:pPr>
        <w:spacing w:after="0" w:line="225"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SP1 = the average of the Closing Sale Prices of the Common Stock over the ten (10) consecutive Trading Day period immediately preceding the Ex Date for such dividend or distribution (or, if the Company declares such dividend or distribution less than eleven (11) Trading Days prior to the Ex Date for such dividend or distribution the reference to ten (10) consecutive Trading Days shall be replaced with a smaller number of consecutive Trading Days that shall have occurred after, and not including, such declaration date and prior to, but not including, the Ex Date for such dividend or distribution);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 = the dividend threshold shall equal zero;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255" w:name="page256"/>
    <w:bookmarkEnd w:id="2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 the amount in cash per share of Common Stock the Company distributes to holders of its Common Stock.</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Any adjustment made under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become effective immediately after the Open of Business on the Ex Date for such dividend or distribution.</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 xml:space="preserve">The dividend threshold is subject to adjustment in a manner inversely proportional to, and at the same time as, adjustments to the Conversion Rate; provided that no adjustment will be made to the dividend threshold for any adjustment to the Conversion Rate pursuant to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4"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Notwithstanding the foregoing, if “C” (as defined above) is equal to or greater than “SP1” (as defined above), in lieu of the foregoing increase, provision shall be made for the Holder to receive, for each $1,000 of the Conversion Amount, at the same time and upon the same terms as holders of the Common Stock, the amount of cash the Holder would have received as if the Holder owned a number of shares of Common Stock equal to the Conversion Rate on the Ex Date for such cash dividend or distribution. If such dividend or distribution is not so paid, the Conversion Rate shall be decreased, effective as of the date the Company’s Board of Directors determines not to pay such dividend or distribution, to the Conversion Rate that would then be in effect if such dividend or distribution had not been declared.</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the immediately preceding paragraph, the Conversion Rate shall not be decreased pursuant to this Section 5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0" w:lineRule="exact"/>
        <w:rPr>
          <w:sz w:val="20"/>
          <w:szCs w:val="20"/>
          <w:color w:val="auto"/>
        </w:rPr>
      </w:pPr>
    </w:p>
    <w:p>
      <w:pPr>
        <w:ind w:right="60" w:firstLine="436"/>
        <w:spacing w:after="0" w:line="301" w:lineRule="auto"/>
        <w:tabs>
          <w:tab w:leader="none" w:pos="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Company or any of its subsidiaries makes a payment in respect of a tender offer or exchange offer for the Common Stock, if the cash and value of any other consideration included in the payment per share of Common Stock exceeds the average of the Closing Sale Prices of the Common Stock over the ten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CR2 = CR1* [(AC+ (SP2* OS2)) ÷ (OS1* SP2)]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CR1 = the Conversion Rate in effect immediately prior to the Close of Business on the last Trading Day of the ten (10) consecutive Trading Day period commencing on, and including, the Trading Day next succeeding the date such tender or exchange offer expires;</w:t>
      </w:r>
    </w:p>
    <w:p>
      <w:pPr>
        <w:spacing w:after="0" w:line="124"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CR2 = the Conversion Rate in effect immediately after the Close of Business on the last Trading Day of the ten (10) consecutive Trading Day period commencing on, and including, the Trading Day next succeeding the date such tender or exchange offer expires;</w:t>
      </w:r>
    </w:p>
    <w:p>
      <w:pPr>
        <w:spacing w:after="0" w:line="14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AC = the aggregate value of all cash and any other consideration (as determined by the Company’s Board of Directors) paid or payable for shares of Common Stock purchased in such tender or exchange offer;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256" w:name="page257"/>
    <w:bookmarkEnd w:id="256"/>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OS1 = the number of shares of Common Stock outstanding immediately prior to the time such tender or exchange offer expires (prior to giving effect to such tender offer or exchange offer);</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OS2 = the number of shares of Common Stock outstanding immediately after the time such tender or exchange offer expires (after giving effect to such tender offer or exchange offer); and</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SP2 = the average of the Closing Sale Prices of the Common Stock over the ten (10) consecutive Trading Day period commencing on, and including, the Trading Day next succeeding the date such tender or exchange offer expires.</w:t>
      </w:r>
    </w:p>
    <w:p>
      <w:pPr>
        <w:spacing w:after="0" w:line="170"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 xml:space="preserve">The increase to the Conversion Rate under this this Section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shall occur at the Close of Business on the tenth (10th) Trading Day immediately following, and including, the Trading Day next succeeding the date such tender or exchange offer expires; provided that, for purposes of determining the Conversion Rate, in respect of any conversion during the ten (10) Trading Days immediately following, but excluding, the date that any such tender or exchange offer expires, references in this Section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ten (10) consecutive Trading Days shall be deemed to be replaced with such lesser number of consecutive Trading Days as have elapsed between the date such tender or exchange offer expires and the relevant Conversion Date. If the Company or one of its subsidiaries is obligated to purchase the Common Stock pursuant to any such tender or exchange offer but the Company or such subsidiary is permanently prevented by applicable law from effecting any such purchase or all such purchases are rescinded, the Conversion Rate shall be immediately decreased to the Conversion Rate that would be in effect if such tender or exchange offer had not been made.</w:t>
      </w:r>
    </w:p>
    <w:p>
      <w:pPr>
        <w:spacing w:after="0" w:line="16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Except in the case of a readjustment of the Conversion Rate pursuant to the last sentence of the immediately preceding paragraph, the Conversion Rate shall not be decreased pursuant to this Section 6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62" w:lineRule="exact"/>
        <w:rPr>
          <w:sz w:val="20"/>
          <w:szCs w:val="20"/>
          <w:color w:val="auto"/>
        </w:rPr>
      </w:pPr>
    </w:p>
    <w:p>
      <w:pPr>
        <w:ind w:right="140" w:firstLine="436"/>
        <w:spacing w:after="0" w:line="296" w:lineRule="auto"/>
        <w:tabs>
          <w:tab w:leader="none" w:pos="6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In addition to the foregoing adjustments in Sections 1 through 6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above, and to the extent permitted by applicable law and the rules of the principal U.S. national securities exchange or market on which the Listed Stock is then listed, the Company may, from time to time and to the extent permitted by law, increase the Conversion Rate by any amount for a period of at least twenty-five (25) Trading Days or any longer period as may be permitted or required by law, if the Company’s Board of Directors has made a determination, which determination shall be conclusive, that such increase would be in the best interests of the Company. Such Conversion Rate increase shall be irrevocable during such period.</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All calculations under this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A shall be made to the nearest cent or to the nearest 1/10,000th of a share, as the case may be. Adjustments to the Conversion Rate will be calculated to the nearest 1/10,000th.</w:t>
      </w:r>
    </w:p>
    <w:p>
      <w:pPr>
        <w:spacing w:after="0" w:line="170"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Notwithstanding this this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or any other provision of this Note, if a Conversion Rate adjustment becomes effective on any Ex Date, and this Note is converted on or after such Ex Date and on or prior to the related record date would be treated as the record holder of the Common Stock as of the date this Note was converted based on an adjusted Conversion Rate for such Ex Date, then, notwithstanding the Conversion Rate adjustment provisions in this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the Conversion Rate adjustment relating to such Ex Date shall not be made for the Holder. Instead, the Holder shall be treated as if the Holder were the record owner of the Common Stock on an unadjusted basis and participate in the related dividend, distribution or other event giving rise to such adjustment.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257" w:name="page258"/>
    <w:bookmarkEnd w:id="257"/>
    <w:p>
      <w:pPr>
        <w:ind w:right="5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this this </w:t>
      </w:r>
      <w:r>
        <w:rPr>
          <w:rFonts w:ascii="Arial" w:cs="Arial" w:eastAsia="Arial" w:hAnsi="Arial"/>
          <w:sz w:val="18"/>
          <w:szCs w:val="18"/>
          <w:u w:val="single" w:color="auto"/>
          <w:color w:val="auto"/>
        </w:rPr>
        <w:t>Appendix A</w:t>
      </w:r>
      <w:r>
        <w:rPr>
          <w:rFonts w:ascii="Arial" w:cs="Arial" w:eastAsia="Arial" w:hAnsi="Arial"/>
          <w:sz w:val="18"/>
          <w:szCs w:val="18"/>
          <w:color w:val="auto"/>
        </w:rPr>
        <w:t>,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first date on which the Common Stock trade on the principal U.S. national securities exchange or market on which the Listed Stock is then listed, regular way, reflecting the relevant share split or share combination, as applicable.</w:t>
      </w:r>
    </w:p>
    <w:p>
      <w:pPr>
        <w:spacing w:after="0" w:line="184"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 The Company shall not pay any dividend or distribution on shares of capital stock of the Company held in the treasury of the Company to the extent such dividend or distribution would be made in an amount based on the amount of a dividend or distribution paid on the Common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Notwithstanding the foregoing, the Conversion Rate shall not be adjusted for any transaction or event other than for any transaction or event described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Without limiting the foregoing, the Conversion Rate shall not be adjusted: (i) upon the issuance of any Common Stock pursuant to any present or future plan providing for the reinvestment of dividends or interest payable on the Company’s securities and the investment of additional optional amounts in shares of Common Stock under any plan; (ii) upon the issuance of any shares of Common Stock or options or rights to purchase those shares pursuant to any present or future employee, director or consultant benefit plan or program of or assumed by the Company or any of its subsidiaries (or the issuance of any shares of Common Stock pursuant to any such options or other rights); (iii) upon the issuance of any Common Stock pursuant to any option, warrant, right or exercisable, exchangeable or convertible security not described in clause (ii) above and outstanding as of the date this Note was first issued; (iv) for accrued and unpaid interest, if any; (v) repurchases of Common Stock that are not tender offers or exchange offers pursuant to Section 6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including structured or derivative transactions such as accelerated share repurchase transactions or similar forward derivatives; (vi) solely for a change in the par value of the Common Stock; or (vii) for the issuance of Common Stock or any securities convertible into or exchangeable for Common Stock or the right to purchase Common Stock or such convertible or exchangeable securities, except as described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17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Additionally, no adjustment in the Conversion Rate less than one percent (1%) of the Conversion Rate as last adjusted (or, if never adjusted, the initial Conversion Rate) shall be made pursuant to Section 1 through Section 6 of this </w:t>
      </w:r>
      <w:r>
        <w:rPr>
          <w:rFonts w:ascii="Arial" w:cs="Arial" w:eastAsia="Arial" w:hAnsi="Arial"/>
          <w:sz w:val="17"/>
          <w:szCs w:val="17"/>
          <w:u w:val="single" w:color="auto"/>
          <w:color w:val="auto"/>
        </w:rPr>
        <w:t>Appendix A</w:t>
      </w:r>
      <w:r>
        <w:rPr>
          <w:rFonts w:ascii="Arial" w:cs="Arial" w:eastAsia="Arial" w:hAnsi="Arial"/>
          <w:sz w:val="17"/>
          <w:szCs w:val="17"/>
          <w:color w:val="auto"/>
        </w:rPr>
        <w:t>; provided, however, that (i) the Company shall carry forward any adjustments that are not made as a result of the foregoing and make such carried forward adjustments with respect to the Conversion Rate when the cumulative effect of all adjustments not yet made will result in a change of one percent (1%) or more of the Conversion Rate as last adjusted (or, if never adjusted, the initial Conversion Rate) and (ii) notwithstanding the foregoing, all such deferred adjustments that have not yet been made shall be made (including any adjustments that are less than one percent (1%) of the Conversion Rate as last adjusted (or, if never adjusted, the initial Conversion Rate)) on the Conversion Date, after such adjustment shall be made such adjustments shall no longer be carried forward and taken into account in any subsequent adjustment to the Conversion Rate).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258" w:name="page259"/>
    <w:bookmarkEnd w:id="258"/>
    <w:p>
      <w:pPr>
        <w:ind w:left="4" w:right="4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adjustment to the Conversion Rate need be made pursuant to Section 1 through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for a transaction (other than for share splits or share combinations pursuant to Section 1 and Section 2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if the Company makes provision for the Holder to participate in the transaction, at the same time and upon the same terms as holders of Common Stock participate in such transaction, without conversion, as if the Holder held a number of shares of Common Stock equal to the Conversion Rate in effect on the Ex Date or effective date, as applicable, of the transaction (without giving effect to any adjustment pursuant to Section 1 through Section 7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on account of such transaction), multiplied by the Conversion Amount (expressed in thousands) of this Note.</w:t>
      </w:r>
    </w:p>
    <w:p>
      <w:pPr>
        <w:spacing w:after="0" w:line="178"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Whenever any provision of this Note requires the computation of an average of the Closing Sale Prices or the Daily VWAPs over a period of multiple Trading Days (including an Observation Period), the Company’s Board of Directors, in its good faith determination, shall appropriately adjust such average to account for any event requiring, pursuant hereto, an adjustment to the Conversion Rate where the effective date, Ex Date or expiration date of such event occurs at any time on or after the first Trading Day of such period and on or prior to the last Trading Day of such period.</w:t>
      </w:r>
    </w:p>
    <w:p>
      <w:pPr>
        <w:spacing w:after="0" w:line="1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Except as prohibited by law, the Company may (but is not obligated to) make such increases in the Conversion Rate, in addition to those required by Section 1 through Section 7 of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as it considers to be advisable to avoid or diminish any income tax to any holders of Common Stock (or rights to purchase Common Stock) resulting from any dividend or distribution of stock (or rights to acquire stock) or from any event treated as such for income tax purposes or for any other reason.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Whenever the Conversion Rate is adjusted, the Company shall promptly send to the Holder a notice of the adjustment setting forth the adjusted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Conversion Rate and the calculation thereof. The notice shall be conclusive evidence of the correctness of such adjustment. Additionally, in case of any:</w:t>
      </w:r>
    </w:p>
    <w:p>
      <w:pPr>
        <w:spacing w:after="0" w:line="32" w:lineRule="exact"/>
        <w:rPr>
          <w:sz w:val="20"/>
          <w:szCs w:val="20"/>
          <w:color w:val="auto"/>
        </w:rPr>
      </w:pPr>
    </w:p>
    <w:p>
      <w:pPr>
        <w:ind w:left="224" w:hanging="224"/>
        <w:spacing w:after="0"/>
        <w:tabs>
          <w:tab w:leader="none" w:pos="22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action by the Company or one of its subsidiaries that would require an adjustment to the Conversion Rate in accordance with this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0" w:lineRule="exact"/>
        <w:rPr>
          <w:rFonts w:ascii="Arial" w:cs="Arial" w:eastAsia="Arial" w:hAnsi="Arial"/>
          <w:sz w:val="17"/>
          <w:szCs w:val="17"/>
          <w:color w:val="auto"/>
        </w:rPr>
      </w:pPr>
    </w:p>
    <w:p>
      <w:pPr>
        <w:ind w:left="4" w:right="20" w:hanging="4"/>
        <w:spacing w:after="0" w:line="290" w:lineRule="auto"/>
        <w:tabs>
          <w:tab w:leader="none" w:pos="26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Merger Event; or (iii) voluntary or involuntary dissolution, liquidation or winding-up of the Company; then the Company shall at least ten days prior to the anticipated effective date of such transaction or event cause written notice thereof to be sent to the Holder. Such notice shall specify, as applicable, the date or expected date on which the holders of Common Stock shall be entitled to a distribution and the date or expected date on which the holders of Common Stock shall be entitled to exchange their Common Stock for securities or other property deliverable upon such reorganization, reclassification, consolidation, merger, sale, transfer, dissolution, liquidation or winding-up, as the case may be. Failure to give such notice, or any defect therein, shall not affect the legality or validity of such action by the Company or one of its subsidiaries, Merger Event, dissolution, liquidation or winding-up.</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04"/>
          </w:cols>
          <w:pgMar w:left="436" w:top="274" w:right="459" w:bottom="1440" w:gutter="0" w:footer="0" w:header="0"/>
        </w:sectPr>
      </w:pPr>
    </w:p>
    <w:bookmarkStart w:id="259" w:name="page260"/>
    <w:bookmarkEnd w:id="259"/>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that on or after the date of this Note the Company adopts a rights plan (i.e., a poison pill) and such plan is in effect upon conversion of this Note or a portion thereof, the Company shall make provision such that the Holder shall receive, in addition to, and concurrently with the delivery of, the Common Stock due upon conversion, the rights described in such plan, unless the rights have separated from the Common Stock before the time of conversion, in which case the Conversion Rate shall be adjusted at the time of separation as if the Company distributed to all holders of Common Stock, Distributed Property as described in Section 4 of this </w:t>
      </w:r>
      <w:r>
        <w:rPr>
          <w:rFonts w:ascii="Arial" w:cs="Arial" w:eastAsia="Arial" w:hAnsi="Arial"/>
          <w:sz w:val="18"/>
          <w:szCs w:val="18"/>
          <w:u w:val="single" w:color="auto"/>
          <w:color w:val="auto"/>
        </w:rPr>
        <w:t>Appendix A</w:t>
      </w:r>
      <w:r>
        <w:rPr>
          <w:rFonts w:ascii="Arial" w:cs="Arial" w:eastAsia="Arial" w:hAnsi="Arial"/>
          <w:sz w:val="18"/>
          <w:szCs w:val="18"/>
          <w:color w:val="auto"/>
        </w:rPr>
        <w:t>, subject to readjustment in the event of the expiration, termination or redemption of such rights.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1)"/>
      <w:numFmt w:val="decimal"/>
      <w:start w:val="2"/>
    </w:lvl>
  </w:abstractNum>
  <w:abstractNum w:abstractNumId="12">
    <w:nsid w:val="50801EE1"/>
    <w:multiLevelType w:val="hybridMultilevel"/>
    <w:lvl w:ilvl="0">
      <w:lvlJc w:val="left"/>
      <w:lvlText w:val="(%1)"/>
      <w:numFmt w:val="decimal"/>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1)"/>
      <w:numFmt w:val="lowerLetter"/>
      <w:start w:val="25"/>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1)"/>
      <w:numFmt w:val="decimal"/>
      <w:start w:val="1"/>
    </w:lvl>
  </w:abstractNum>
  <w:abstractNum w:abstractNumId="33">
    <w:nsid w:val="59ADEA3D"/>
    <w:multiLevelType w:val="hybridMultilevel"/>
    <w:lvl w:ilvl="0">
      <w:lvlJc w:val="left"/>
      <w:lvlText w:val="•"/>
      <w:numFmt w:val="bullet"/>
      <w:start w:val="1"/>
    </w:lvl>
    <w:lvl w:ilvl="1">
      <w:lvlJc w:val="left"/>
      <w:lvlText w:val="•"/>
      <w:numFmt w:val="bullet"/>
      <w:start w:val="1"/>
    </w:lvl>
  </w:abstractNum>
  <w:abstractNum w:abstractNumId="34">
    <w:nsid w:val="288F1A34"/>
    <w:multiLevelType w:val="hybridMultilevel"/>
    <w:lvl w:ilvl="0">
      <w:lvlJc w:val="left"/>
      <w:lvlText w:val="(%1)"/>
      <w:numFmt w:val="decimal"/>
      <w:start w:val="1"/>
    </w:lvl>
  </w:abstractNum>
  <w:abstractNum w:abstractNumId="35">
    <w:nsid w:val="2A155DBC"/>
    <w:multiLevelType w:val="hybridMultilevel"/>
    <w:lvl w:ilvl="0">
      <w:lvlJc w:val="left"/>
      <w:lvlText w:val="(%1)"/>
      <w:numFmt w:val="decimal"/>
      <w:start w:val="2"/>
    </w:lvl>
  </w:abstractNum>
  <w:abstractNum w:abstractNumId="36">
    <w:nsid w:val="1D9F6E5F"/>
    <w:multiLevelType w:val="hybridMultilevel"/>
    <w:lvl w:ilvl="0">
      <w:lvlJc w:val="left"/>
      <w:lvlText w:val="(%1)"/>
      <w:numFmt w:val="decimal"/>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1)"/>
      <w:numFmt w:val="decimal"/>
      <w:start w:val="1"/>
    </w:lvl>
  </w:abstractNum>
  <w:abstractNum w:abstractNumId="39">
    <w:nsid w:val="1CA0C5FA"/>
    <w:multiLevelType w:val="hybridMultilevel"/>
    <w:lvl w:ilvl="0">
      <w:lvlJc w:val="left"/>
      <w:lvlText w:val="(%1)"/>
      <w:numFmt w:val="decimal"/>
      <w:start w:val="1"/>
    </w:lvl>
  </w:abstractNum>
  <w:abstractNum w:abstractNumId="40">
    <w:nsid w:val="53584BCB"/>
    <w:multiLevelType w:val="hybridMultilevel"/>
    <w:lvl w:ilvl="0">
      <w:lvlJc w:val="left"/>
      <w:lvlText w:val="(%1)"/>
      <w:numFmt w:val="decimal"/>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1)"/>
      <w:numFmt w:val="decimal"/>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
      <w:numFmt w:val="bullet"/>
      <w:start w:val="1"/>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1)"/>
      <w:numFmt w:val="decimal"/>
      <w:start w:val="1"/>
    </w:lvl>
  </w:abstractNum>
  <w:abstractNum w:abstractNumId="61">
    <w:nsid w:val="3DB012B3"/>
    <w:multiLevelType w:val="hybridMultilevel"/>
    <w:lvl w:ilvl="0">
      <w:lvlJc w:val="left"/>
      <w:lvlText w:val="(%1)"/>
      <w:numFmt w:val="decimal"/>
      <w:start w:val="1"/>
    </w:lvl>
  </w:abstractNum>
  <w:abstractNum w:abstractNumId="62">
    <w:nsid w:val="2708C9AF"/>
    <w:multiLevelType w:val="hybridMultilevel"/>
    <w:lvl w:ilvl="0">
      <w:lvlJc w:val="left"/>
      <w:lvlText w:val="(%1)"/>
      <w:numFmt w:val="decimal"/>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1)"/>
      <w:numFmt w:val="decimal"/>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1)"/>
      <w:numFmt w:val="decimal"/>
      <w:start w:val="1"/>
    </w:lvl>
  </w:abstractNum>
  <w:abstractNum w:abstractNumId="68">
    <w:nsid w:val="5915FF32"/>
    <w:multiLevelType w:val="hybridMultilevel"/>
    <w:lvl w:ilvl="0">
      <w:lvlJc w:val="left"/>
      <w:lvlText w:val="(%1)"/>
      <w:numFmt w:val="decimal"/>
      <w:start w:val="1"/>
    </w:lvl>
  </w:abstractNum>
  <w:abstractNum w:abstractNumId="69">
    <w:nsid w:val="56438D15"/>
    <w:multiLevelType w:val="hybridMultilevel"/>
    <w:lvl w:ilvl="0">
      <w:lvlJc w:val="left"/>
      <w:lvlText w:val="(%1)"/>
      <w:numFmt w:val="decimal"/>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1)"/>
      <w:numFmt w:val="decimal"/>
      <w:start w:val="1"/>
    </w:lvl>
  </w:abstractNum>
  <w:abstractNum w:abstractNumId="73">
    <w:nsid w:val="4DF72E4E"/>
    <w:multiLevelType w:val="hybridMultilevel"/>
    <w:lvl w:ilvl="0">
      <w:lvlJc w:val="left"/>
      <w:lvlText w:val="(%1)"/>
      <w:numFmt w:val="decimal"/>
      <w:start w:val="2"/>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1)"/>
      <w:numFmt w:val="lowerLetter"/>
      <w:start w:val="25"/>
    </w:lvl>
  </w:abstractNum>
  <w:abstractNum w:abstractNumId="78">
    <w:nsid w:val="19E21BB2"/>
    <w:multiLevelType w:val="hybridMultilevel"/>
    <w:lvl w:ilvl="0">
      <w:lvlJc w:val="left"/>
      <w:lvlText w:val="(%1)"/>
      <w:numFmt w:val="decimal"/>
      <w:start w:val="1"/>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1)"/>
      <w:numFmt w:val="decimal"/>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
      <w:numFmt w:val="bullet"/>
      <w:start w:val="1"/>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Roman"/>
      <w:start w:val="3"/>
    </w:lvl>
  </w:abstractNum>
  <w:abstractNum w:abstractNumId="91">
    <w:nsid w:val="49D0FEAC"/>
    <w:multiLevelType w:val="hybridMultilevel"/>
    <w:lvl w:ilvl="0">
      <w:lvlJc w:val="left"/>
      <w:lvlText w:val="(%1)"/>
      <w:numFmt w:val="decimal"/>
      <w:start w:val="100"/>
    </w:lvl>
  </w:abstractNum>
  <w:abstractNum w:abstractNumId="92">
    <w:nsid w:val="4BEE5A5B"/>
    <w:multiLevelType w:val="hybridMultilevel"/>
    <w:lvl w:ilvl="0">
      <w:lvlJc w:val="left"/>
      <w:lvlText w:val="*"/>
      <w:numFmt w:val="bullet"/>
      <w:start w:val="1"/>
    </w:lvl>
  </w:abstractNum>
  <w:abstractNum w:abstractNumId="93">
    <w:nsid w:val="5551B9F3"/>
    <w:multiLevelType w:val="hybridMultilevel"/>
    <w:lvl w:ilvl="0">
      <w:lvlJc w:val="left"/>
      <w:lvlText w:val="%1."/>
      <w:numFmt w:val="decimal"/>
      <w:start w:val="1"/>
    </w:lvl>
  </w:abstractNum>
  <w:abstractNum w:abstractNumId="94">
    <w:nsid w:val="24F6AB8E"/>
    <w:multiLevelType w:val="hybridMultilevel"/>
    <w:lvl w:ilvl="0">
      <w:lvlJc w:val="left"/>
      <w:lvlText w:val="%1."/>
      <w:numFmt w:val="decimal"/>
      <w:start w:val="2"/>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
      <w:numFmt w:val="bullet"/>
      <w:start w:val="1"/>
    </w:lvl>
  </w:abstractNum>
  <w:abstractNum w:abstractNumId="97">
    <w:nsid w:val="2A31B62D"/>
    <w:multiLevelType w:val="hybridMultilevel"/>
    <w:lvl w:ilvl="0">
      <w:lvlJc w:val="left"/>
      <w:lvlText w:val="(%1)"/>
      <w:numFmt w:val="lowerLetter"/>
      <w:start w:val="2"/>
    </w:lvl>
  </w:abstractNum>
  <w:abstractNum w:abstractNumId="98">
    <w:nsid w:val="1849C29B"/>
    <w:multiLevelType w:val="hybridMultilevel"/>
    <w:lvl w:ilvl="0">
      <w:lvlJc w:val="left"/>
      <w:lvlText w:val="(%1)"/>
      <w:numFmt w:val="decimal"/>
      <w:start w:val="1"/>
    </w:lvl>
    <w:lvl w:ilvl="1">
      <w:lvlJc w:val="left"/>
      <w:lvlText w:val="(%2)"/>
      <w:numFmt w:val="lowerRoman"/>
      <w:start w:val="1"/>
    </w:lvl>
  </w:abstractNum>
  <w:abstractNum w:abstractNumId="99">
    <w:nsid w:val="7DFF9D09"/>
    <w:multiLevelType w:val="hybridMultilevel"/>
    <w:lvl w:ilvl="0">
      <w:lvlJc w:val="left"/>
      <w:lvlText w:val="(%1)"/>
      <w:numFmt w:val="decimal"/>
      <w:start w:val="1"/>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upperLetter"/>
      <w:start w:val="2"/>
    </w:lvl>
    <w:lvl w:ilvl="1">
      <w:lvlJc w:val="left"/>
      <w:lvlText w:val="%2."/>
      <w:numFmt w:val="decimal"/>
      <w:start w:val="1"/>
    </w:lvl>
  </w:abstractNum>
  <w:abstractNum w:abstractNumId="102">
    <w:nsid w:val="2A6DE806"/>
    <w:multiLevelType w:val="hybridMultilevel"/>
    <w:lvl w:ilvl="0">
      <w:lvlJc w:val="left"/>
      <w:lvlText w:val="%1."/>
      <w:numFmt w:val="decimal"/>
      <w:start w:val="2"/>
    </w:lvl>
    <w:lvl w:ilvl="1">
      <w:lvlJc w:val="left"/>
      <w:lvlText w:val="(%2)"/>
      <w:numFmt w:val="lowerLetter"/>
      <w:start w:val="1"/>
    </w:lvl>
  </w:abstractNum>
  <w:abstractNum w:abstractNumId="103">
    <w:nsid w:val="1816F8C4"/>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04">
    <w:nsid w:val="37DF223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05">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lvl w:ilvl="4">
      <w:lvlJc w:val="left"/>
      <w:lvlText w:val="(%5)"/>
      <w:numFmt w:val="upperLetter"/>
      <w:start w:val="1"/>
    </w:lvl>
    <w:lvl w:ilvl="5">
      <w:lvlJc w:val="left"/>
      <w:lvlText w:val="(%6)"/>
      <w:numFmt w:val="decimal"/>
      <w:start w:val="1"/>
    </w:lvl>
  </w:abstractNum>
  <w:abstractNum w:abstractNumId="106">
    <w:nsid w:val="759F82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upperLetter"/>
      <w:start w:val="1"/>
    </w:lvl>
    <w:lvl w:ilvl="5">
      <w:lvlJc w:val="left"/>
      <w:lvlText w:val="%6"/>
      <w:numFmt w:val="decimal"/>
      <w:start w:val="1"/>
    </w:lvl>
  </w:abstractNum>
  <w:abstractNum w:abstractNumId="107">
    <w:nsid w:val="61E74EA3"/>
    <w:multiLevelType w:val="hybridMultilevel"/>
    <w:lvl w:ilvl="0">
      <w:lvlJc w:val="left"/>
      <w:lvlText w:val="%1"/>
      <w:numFmt w:val="lowerRoman"/>
      <w:start w:val="1"/>
    </w:lvl>
    <w:lvl w:ilvl="1">
      <w:lvlJc w:val="left"/>
      <w:lvlText w:val="(%2)"/>
      <w:numFmt w:val="lowerRoman"/>
      <w:start w:val="2"/>
    </w:lvl>
  </w:abstractNum>
  <w:abstractNum w:abstractNumId="108">
    <w:nsid w:val="597B4D84"/>
    <w:multiLevelType w:val="hybridMultilevel"/>
    <w:lvl w:ilvl="0">
      <w:lvlJc w:val="left"/>
      <w:lvlText w:val="(%1)"/>
      <w:numFmt w:val="lowerRoman"/>
      <w:start w:val="1"/>
    </w:lvl>
    <w:lvl w:ilvl="1">
      <w:lvlJc w:val="left"/>
      <w:lvlText w:val="%2"/>
      <w:numFmt w:val="lowerRoman"/>
      <w:start w:val="1"/>
    </w:lvl>
  </w:abstractNum>
  <w:abstractNum w:abstractNumId="109">
    <w:nsid w:val="F819E7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10">
    <w:nsid w:val="57C7D42D"/>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111">
    <w:nsid w:val="312167A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5"/>
    </w:lvl>
  </w:abstractNum>
  <w:abstractNum w:abstractNumId="112">
    <w:nsid w:val="631B64D4"/>
    <w:multiLevelType w:val="hybridMultilevel"/>
    <w:lvl w:ilvl="0">
      <w:lvlJc w:val="left"/>
      <w:lvlText w:val="%1"/>
      <w:numFmt w:val="lowerRoman"/>
      <w:start w:val="1"/>
    </w:lvl>
    <w:lvl w:ilvl="1">
      <w:lvlJc w:val="left"/>
      <w:lvlText w:val="(%2)"/>
      <w:numFmt w:val="upperLetter"/>
      <w:start w:val="1"/>
    </w:lvl>
  </w:abstractNum>
  <w:abstractNum w:abstractNumId="113">
    <w:nsid w:val="78B5E776"/>
    <w:multiLevelType w:val="hybridMultilevel"/>
    <w:lvl w:ilvl="0">
      <w:lvlJc w:val="left"/>
      <w:lvlText w:val="(%1)"/>
      <w:numFmt w:val="lowerRoman"/>
      <w:start w:val="3"/>
    </w:lvl>
    <w:lvl w:ilvl="1">
      <w:lvlJc w:val="left"/>
      <w:lvlText w:val="(%2)"/>
      <w:numFmt w:val="upperLetter"/>
      <w:start w:val="2"/>
    </w:lvl>
  </w:abstractNum>
  <w:abstractNum w:abstractNumId="114">
    <w:nsid w:val="75486E47"/>
    <w:multiLevelType w:val="hybridMultilevel"/>
    <w:lvl w:ilvl="0">
      <w:lvlJc w:val="left"/>
      <w:lvlText w:val="(%1)"/>
      <w:numFmt w:val="upperLetter"/>
      <w:start w:val="3"/>
    </w:lvl>
  </w:abstractNum>
  <w:abstractNum w:abstractNumId="115">
    <w:nsid w:val="6E534CDE"/>
    <w:multiLevelType w:val="hybridMultilevel"/>
    <w:lvl w:ilvl="0">
      <w:lvlJc w:val="left"/>
      <w:lvlText w:val="%1"/>
      <w:numFmt w:val="lowerRoman"/>
      <w:start w:val="1"/>
    </w:lvl>
    <w:lvl w:ilvl="1">
      <w:lvlJc w:val="left"/>
      <w:lvlText w:val="(%2)"/>
      <w:numFmt w:val="upperLetter"/>
      <w:start w:val="6"/>
    </w:lvl>
  </w:abstractNum>
  <w:abstractNum w:abstractNumId="116">
    <w:nsid w:val="1A0DDE32"/>
    <w:multiLevelType w:val="hybridMultilevel"/>
    <w:lvl w:ilvl="0">
      <w:lvlJc w:val="left"/>
      <w:lvlText w:val="(%1)"/>
      <w:numFmt w:val="lowerRoman"/>
      <w:start w:val="4"/>
    </w:lvl>
    <w:lvl w:ilvl="1">
      <w:lvlJc w:val="left"/>
      <w:lvlText w:val="(%2)"/>
      <w:numFmt w:val="upperLetter"/>
      <w:start w:val="7"/>
    </w:lvl>
  </w:abstractNum>
  <w:abstractNum w:abstractNumId="117">
    <w:nsid w:val="65968C1C"/>
    <w:multiLevelType w:val="hybridMultilevel"/>
    <w:lvl w:ilvl="0">
      <w:lvlJc w:val="left"/>
      <w:lvlText w:val="(%1)"/>
      <w:numFmt w:val="decimal"/>
      <w:start w:val="1"/>
    </w:lvl>
    <w:lvl w:ilvl="1">
      <w:lvlJc w:val="left"/>
      <w:lvlText w:val="(%2)"/>
      <w:numFmt w:val="lowerRoman"/>
      <w:start w:val="3"/>
    </w:lvl>
  </w:abstractNum>
  <w:abstractNum w:abstractNumId="118">
    <w:nsid w:val="46263DEC"/>
    <w:multiLevelType w:val="hybridMultilevel"/>
    <w:lvl w:ilvl="0">
      <w:lvlJc w:val="left"/>
      <w:lvlText w:val="(%1)"/>
      <w:numFmt w:val="lowerLetter"/>
      <w:start w:val="3"/>
    </w:lvl>
  </w:abstractNum>
  <w:abstractNum w:abstractNumId="119">
    <w:nsid w:val="260D8C4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20">
    <w:nsid w:val="73D4D3C4"/>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abstractNum>
  <w:abstractNum w:abstractNumId="121">
    <w:nsid w:val="746F2E30"/>
    <w:multiLevelType w:val="hybridMultilevel"/>
    <w:lvl w:ilvl="0">
      <w:lvlJc w:val="left"/>
      <w:lvlText w:val="(%1)"/>
      <w:numFmt w:val="upperLetter"/>
      <w:start w:val="2"/>
    </w:lvl>
    <w:lvl w:ilvl="1">
      <w:lvlJc w:val="left"/>
      <w:lvlText w:val="(%2)"/>
      <w:numFmt w:val="decimal"/>
      <w:start w:val="1"/>
    </w:lvl>
  </w:abstractNum>
  <w:abstractNum w:abstractNumId="122">
    <w:nsid w:val="6FDE8AF6"/>
    <w:multiLevelType w:val="hybridMultilevel"/>
    <w:lvl w:ilvl="0">
      <w:lvlJc w:val="left"/>
      <w:lvlText w:val="%1"/>
      <w:numFmt w:val="upperLetter"/>
      <w:start w:val="1"/>
    </w:lvl>
    <w:lvl w:ilvl="1">
      <w:lvlJc w:val="left"/>
      <w:lvlText w:val="(%2)"/>
      <w:numFmt w:val="decimal"/>
      <w:start w:val="9"/>
    </w:lvl>
  </w:abstractNum>
  <w:abstractNum w:abstractNumId="123">
    <w:nsid w:val="3FC32E20"/>
    <w:multiLevelType w:val="hybridMultilevel"/>
    <w:lvl w:ilvl="0">
      <w:lvlJc w:val="left"/>
      <w:lvlText w:val="(%1)"/>
      <w:numFmt w:val="upperLetter"/>
      <w:start w:val="3"/>
    </w:lvl>
    <w:lvl w:ilvl="1">
      <w:lvlJc w:val="left"/>
      <w:lvlText w:val="(%2)"/>
      <w:numFmt w:val="decimal"/>
      <w:start w:val="1"/>
    </w:lvl>
  </w:abstractNum>
  <w:abstractNum w:abstractNumId="124">
    <w:nsid w:val="49C0E82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25">
    <w:nsid w:val="14D53685"/>
    <w:multiLevelType w:val="hybridMultilevel"/>
    <w:lvl w:ilvl="0">
      <w:lvlJc w:val="left"/>
      <w:lvlText w:val="%1"/>
      <w:numFmt w:val="lowerRoman"/>
      <w:start w:val="1"/>
    </w:lvl>
    <w:lvl w:ilvl="1">
      <w:lvlJc w:val="left"/>
      <w:lvlText w:val="(%2)"/>
      <w:numFmt w:val="upperLetter"/>
      <w:start w:val="6"/>
    </w:lvl>
    <w:lvl w:ilvl="2">
      <w:lvlJc w:val="left"/>
      <w:lvlText w:val="%3"/>
      <w:numFmt w:val="decimal"/>
      <w:start w:val="1"/>
    </w:lvl>
  </w:abstractNum>
  <w:abstractNum w:abstractNumId="126">
    <w:nsid w:val="230F856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27">
    <w:nsid w:val="6EAA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28">
    <w:nsid w:val="3F06ECB2"/>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29">
    <w:nsid w:val="3B59480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30">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1">
    <w:nsid w:val="3F7C2FF4"/>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32">
    <w:nsid w:val="25413B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lowerRoman"/>
      <w:start w:val="1"/>
    </w:lvl>
  </w:abstractNum>
  <w:abstractNum w:abstractNumId="135">
    <w:nsid w:val="5D205E20"/>
    <w:multiLevelType w:val="hybridMultilevel"/>
    <w:lvl w:ilvl="0">
      <w:lvlJc w:val="left"/>
      <w:lvlText w:val="%1"/>
      <w:numFmt w:val="lowerLetter"/>
      <w:start w:val="1"/>
    </w:lvl>
    <w:lvl w:ilvl="1">
      <w:lvlJc w:val="left"/>
      <w:lvlText w:val="(%2)"/>
      <w:numFmt w:val="lowerRoman"/>
      <w:start w:val="5"/>
    </w:lvl>
  </w:abstractNum>
  <w:abstractNum w:abstractNumId="136">
    <w:nsid w:val="11CCA8BA"/>
    <w:multiLevelType w:val="hybridMultilevel"/>
    <w:lvl w:ilvl="0">
      <w:lvlJc w:val="left"/>
      <w:lvlText w:val="(%1)"/>
      <w:numFmt w:val="lowerLetter"/>
      <w:start w:val="3"/>
    </w:lvl>
    <w:lvl w:ilvl="1">
      <w:lvlJc w:val="left"/>
      <w:lvlText w:val="%2"/>
      <w:numFmt w:val="lowerRoman"/>
      <w:start w:val="1"/>
    </w:lvl>
  </w:abstractNum>
  <w:abstractNum w:abstractNumId="137">
    <w:nsid w:val="4D32AB86"/>
    <w:multiLevelType w:val="hybridMultilevel"/>
    <w:lvl w:ilvl="0">
      <w:lvlJc w:val="left"/>
      <w:lvlText w:val="%1."/>
      <w:numFmt w:val="decimal"/>
      <w:start w:val="6"/>
    </w:lvl>
    <w:lvl w:ilvl="1">
      <w:lvlJc w:val="left"/>
      <w:lvlText w:val="(%2)"/>
      <w:numFmt w:val="lowerLetter"/>
      <w:start w:val="1"/>
    </w:lvl>
  </w:abstractNum>
  <w:abstractNum w:abstractNumId="138">
    <w:nsid w:val="3F07ACC3"/>
    <w:multiLevelType w:val="hybridMultilevel"/>
    <w:lvl w:ilvl="0">
      <w:lvlJc w:val="left"/>
      <w:lvlText w:val="(%1)"/>
      <w:numFmt w:val="lowerRoman"/>
      <w:start w:val="1"/>
    </w:lvl>
  </w:abstractNum>
  <w:abstractNum w:abstractNumId="139">
    <w:nsid w:val="6B47F63E"/>
    <w:multiLevelType w:val="hybridMultilevel"/>
    <w:lvl w:ilvl="0">
      <w:lvlJc w:val="left"/>
      <w:lvlText w:val="(%1)"/>
      <w:numFmt w:val="lowerLetter"/>
      <w:start w:val="24"/>
    </w:lvl>
    <w:lvl w:ilvl="1">
      <w:lvlJc w:val="left"/>
      <w:lvlText w:val="(%2)"/>
      <w:numFmt w:val="lowerLetter"/>
      <w:start w:val="2"/>
    </w:lvl>
  </w:abstractNum>
  <w:abstractNum w:abstractNumId="140">
    <w:nsid w:val="5CB44A05"/>
    <w:multiLevelType w:val="hybridMultilevel"/>
    <w:lvl w:ilvl="0">
      <w:lvlJc w:val="left"/>
      <w:lvlText w:val="(%1)"/>
      <w:numFmt w:val="lowerLetter"/>
      <w:start w:val="3"/>
    </w:lvl>
  </w:abstractNum>
  <w:abstractNum w:abstractNumId="141">
    <w:nsid w:val="16CF80F1"/>
    <w:multiLevelType w:val="hybridMultilevel"/>
    <w:lvl w:ilvl="0">
      <w:lvlJc w:val="left"/>
      <w:lvlText w:val="%1"/>
      <w:numFmt w:val="upperLetter"/>
      <w:start w:val="1"/>
    </w:lvl>
    <w:lvl w:ilvl="1">
      <w:lvlJc w:val="left"/>
      <w:lvlText w:val="%2"/>
      <w:numFmt w:val="decimal"/>
      <w:start w:val="1"/>
    </w:lvl>
    <w:lvl w:ilvl="2">
      <w:lvlJc w:val="left"/>
      <w:lvlText w:val="%3."/>
      <w:numFmt w:val="decimal"/>
      <w:start w:val="7"/>
    </w:lvl>
  </w:abstractNum>
  <w:abstractNum w:abstractNumId="142">
    <w:nsid w:val="1C695DEC"/>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43">
    <w:nsid w:val="3FCFAED9"/>
    <w:multiLevelType w:val="hybridMultilevel"/>
    <w:lvl w:ilvl="0">
      <w:lvlJc w:val="left"/>
      <w:lvlText w:val="%1"/>
      <w:numFmt w:val="lowerLetter"/>
      <w:start w:val="1"/>
    </w:lvl>
    <w:lvl w:ilvl="1">
      <w:lvlJc w:val="left"/>
      <w:lvlText w:val="(%2)"/>
      <w:numFmt w:val="lowerLetter"/>
      <w:start w:val="1"/>
    </w:lvl>
  </w:abstractNum>
  <w:abstractNum w:abstractNumId="144">
    <w:nsid w:val="F856867"/>
    <w:multiLevelType w:val="hybridMultilevel"/>
    <w:lvl w:ilvl="0">
      <w:lvlJc w:val="left"/>
      <w:lvlText w:val="(%1)"/>
      <w:numFmt w:val="lowerLetter"/>
      <w:start w:val="9"/>
    </w:lvl>
    <w:lvl w:ilvl="1">
      <w:lvlJc w:val="left"/>
      <w:lvlText w:val="%2"/>
      <w:numFmt w:val="lowerLetter"/>
      <w:start w:val="1"/>
    </w:lvl>
  </w:abstractNum>
  <w:abstractNum w:abstractNumId="145">
    <w:nsid w:val="11B1CC33"/>
    <w:multiLevelType w:val="hybridMultilevel"/>
    <w:lvl w:ilvl="0">
      <w:lvlJc w:val="left"/>
      <w:lvlText w:val="(%1)"/>
      <w:numFmt w:val="lowerRoman"/>
      <w:start w:val="1"/>
    </w:lvl>
    <w:lvl w:ilvl="1">
      <w:lvlJc w:val="left"/>
      <w:lvlText w:val="(%2)"/>
      <w:numFmt w:val="upperLetter"/>
      <w:start w:val="1"/>
    </w:lvl>
  </w:abstractNum>
  <w:abstractNum w:abstractNumId="146">
    <w:nsid w:val="2E22FBB7"/>
    <w:multiLevelType w:val="hybridMultilevel"/>
    <w:lvl w:ilvl="0">
      <w:lvlJc w:val="left"/>
      <w:lvlText w:val="(%1)"/>
      <w:numFmt w:val="upperLetter"/>
      <w:start w:val="2"/>
    </w:lvl>
    <w:lvl w:ilvl="1">
      <w:lvlJc w:val="left"/>
      <w:lvlText w:val="(%2)"/>
      <w:numFmt w:val="decimal"/>
      <w:start w:val="1"/>
    </w:lvl>
  </w:abstractNum>
  <w:abstractNum w:abstractNumId="147">
    <w:nsid w:val="29934699"/>
    <w:multiLevelType w:val="hybridMultilevel"/>
    <w:lvl w:ilvl="0">
      <w:lvlJc w:val="left"/>
      <w:lvlText w:val="(%1)"/>
      <w:numFmt w:val="lowerRoman"/>
      <w:start w:val="4"/>
    </w:lvl>
  </w:abstractNum>
  <w:abstractNum w:abstractNumId="148">
    <w:nsid w:val="77485850"/>
    <w:multiLevelType w:val="hybridMultilevel"/>
    <w:lvl w:ilvl="0">
      <w:lvlJc w:val="left"/>
      <w:lvlText w:val="(%1)"/>
      <w:numFmt w:val="lowerLetter"/>
      <w:start w:val="2"/>
    </w:lvl>
  </w:abstractNum>
  <w:abstractNum w:abstractNumId="149">
    <w:nsid w:val="744939A3"/>
    <w:multiLevelType w:val="hybridMultilevel"/>
    <w:lvl w:ilvl="0">
      <w:lvlJc w:val="left"/>
      <w:lvlText w:val="%1"/>
      <w:numFmt w:val="upperLetter"/>
      <w:start w:val="1"/>
    </w:lvl>
    <w:lvl w:ilvl="1">
      <w:lvlJc w:val="left"/>
      <w:lvlText w:val="%2."/>
      <w:numFmt w:val="decimal"/>
      <w:start w:val="5"/>
    </w:lvl>
  </w:abstractNum>
  <w:abstractNum w:abstractNumId="150">
    <w:nsid w:val="4FA0D2E3"/>
    <w:multiLevelType w:val="hybridMultilevel"/>
    <w:lvl w:ilvl="0">
      <w:lvlJc w:val="left"/>
      <w:lvlText w:val="(%1)"/>
      <w:numFmt w:val="upperLetter"/>
      <w:start w:val="4"/>
    </w:lvl>
    <w:lvl w:ilvl="1">
      <w:lvlJc w:val="left"/>
      <w:lvlText w:val="%2."/>
      <w:numFmt w:val="decimal"/>
      <w:start w:val="1"/>
    </w:lvl>
  </w:abstractNum>
  <w:abstractNum w:abstractNumId="151">
    <w:nsid w:val="6B1D2C14"/>
    <w:multiLevelType w:val="hybridMultilevel"/>
    <w:lvl w:ilvl="0">
      <w:lvlJc w:val="left"/>
      <w:lvlText w:val="%1."/>
      <w:numFmt w:val="decimal"/>
      <w:start w:val="2"/>
    </w:lvl>
    <w:lvl w:ilvl="1">
      <w:lvlJc w:val="left"/>
      <w:lvlText w:val="(%2)"/>
      <w:numFmt w:val="lowerLetter"/>
      <w:start w:val="1"/>
    </w:lvl>
  </w:abstractNum>
  <w:abstractNum w:abstractNumId="152">
    <w:nsid w:val="68B867D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3">
    <w:nsid w:val="3F7F5D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54">
    <w:nsid w:val="2AE05A34"/>
    <w:multiLevelType w:val="hybridMultilevel"/>
    <w:lvl w:ilvl="0">
      <w:lvlJc w:val="left"/>
      <w:lvlText w:val="(%1)"/>
      <w:numFmt w:val="lowerRoman"/>
      <w:start w:val="4"/>
    </w:lvl>
  </w:abstractNum>
  <w:abstractNum w:abstractNumId="155">
    <w:nsid w:val="32794FF7"/>
    <w:multiLevelType w:val="hybridMultilevel"/>
    <w:lvl w:ilvl="0">
      <w:lvlJc w:val="left"/>
      <w:lvlText w:val="%1"/>
      <w:numFmt w:val="decimal"/>
      <w:start w:val="1"/>
    </w:lvl>
    <w:lvl w:ilvl="1">
      <w:lvlJc w:val="left"/>
      <w:lvlText w:val="(%2)"/>
      <w:numFmt w:val="lowerLetter"/>
      <w:start w:val="3"/>
    </w:lvl>
  </w:abstractNum>
  <w:abstractNum w:abstractNumId="156">
    <w:nsid w:val="5454945E"/>
    <w:multiLevelType w:val="hybridMultilevel"/>
    <w:lvl w:ilvl="0">
      <w:lvlJc w:val="left"/>
      <w:lvlText w:val="%1."/>
      <w:numFmt w:val="decimal"/>
      <w:start w:val="8"/>
    </w:lvl>
    <w:lvl w:ilvl="1">
      <w:lvlJc w:val="left"/>
      <w:lvlText w:val="%2"/>
      <w:numFmt w:val="lowerLetter"/>
      <w:start w:val="1"/>
    </w:lvl>
  </w:abstractNum>
  <w:abstractNum w:abstractNumId="157">
    <w:nsid w:val="4DEFDFA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9"/>
    </w:lvl>
  </w:abstractNum>
  <w:abstractNum w:abstractNumId="158">
    <w:nsid w:val="2123D5F2"/>
    <w:multiLevelType w:val="hybridMultilevel"/>
    <w:lvl w:ilvl="0">
      <w:lvlJc w:val="left"/>
      <w:lvlText w:val="%1"/>
      <w:numFmt w:val="lowerRoman"/>
      <w:start w:val="1"/>
    </w:lvl>
    <w:lvl w:ilvl="1">
      <w:lvlJc w:val="left"/>
      <w:lvlText w:val="(%2)"/>
      <w:numFmt w:val="upperLetter"/>
      <w:start w:val="5"/>
    </w:lvl>
    <w:lvl w:ilvl="2">
      <w:lvlJc w:val="left"/>
      <w:lvlText w:val="%3."/>
      <w:numFmt w:val="decimal"/>
      <w:start w:val="1"/>
    </w:lvl>
  </w:abstractNum>
  <w:abstractNum w:abstractNumId="159">
    <w:nsid w:val="135B8110"/>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60">
    <w:nsid w:val="94927A8"/>
    <w:multiLevelType w:val="hybridMultilevel"/>
    <w:lvl w:ilvl="0">
      <w:lvlJc w:val="left"/>
      <w:lvlText w:val="%1."/>
      <w:numFmt w:val="decimal"/>
      <w:start w:val="3"/>
    </w:lvl>
  </w:abstractNum>
  <w:abstractNum w:abstractNumId="161">
    <w:nsid w:val="DCDF8F6"/>
    <w:multiLevelType w:val="hybridMultilevel"/>
    <w:lvl w:ilvl="0">
      <w:lvlJc w:val="left"/>
      <w:lvlText w:val="(%1)"/>
      <w:numFmt w:val="upperLetter"/>
      <w:start w:val="1"/>
    </w:lvl>
  </w:abstractNum>
  <w:abstractNum w:abstractNumId="162">
    <w:nsid w:val="52D7B105"/>
    <w:multiLevelType w:val="hybridMultilevel"/>
    <w:lvl w:ilvl="0">
      <w:lvlJc w:val="left"/>
      <w:lvlText w:val="(%1)"/>
      <w:numFmt w:val="upperLetter"/>
      <w:start w:val="1"/>
    </w:lvl>
  </w:abstractNum>
  <w:abstractNum w:abstractNumId="163">
    <w:nsid w:val="2E8A6394"/>
    <w:multiLevelType w:val="hybridMultilevel"/>
    <w:lvl w:ilvl="0">
      <w:lvlJc w:val="left"/>
      <w:lvlText w:val="(%1)"/>
      <w:numFmt w:val="upperLetter"/>
      <w:start w:val="2"/>
    </w:lvl>
  </w:abstractNum>
  <w:abstractNum w:abstractNumId="164">
    <w:nsid w:val="24E60401"/>
    <w:multiLevelType w:val="hybridMultilevel"/>
    <w:lvl w:ilvl="0">
      <w:lvlJc w:val="left"/>
      <w:lvlText w:val="(%1)"/>
      <w:numFmt w:val="lowerLetter"/>
      <w:start w:val="1"/>
    </w:lvl>
  </w:abstractNum>
  <w:abstractNum w:abstractNumId="165">
    <w:nsid w:val="2A6AD9BE"/>
    <w:multiLevelType w:val="hybridMultilevel"/>
    <w:lvl w:ilvl="0">
      <w:lvlJc w:val="left"/>
      <w:lvlText w:val="(%1)"/>
      <w:numFmt w:val="lowerLetter"/>
      <w:start w:val="4"/>
    </w:lvl>
  </w:abstractNum>
  <w:abstractNum w:abstractNumId="166">
    <w:nsid w:val="BAAC1B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7">
    <w:nsid w:val="36B2ACBC"/>
    <w:multiLevelType w:val="hybridMultilevel"/>
    <w:lvl w:ilvl="0">
      <w:lvlJc w:val="left"/>
      <w:lvlText w:val="%1"/>
      <w:numFmt w:val="lowerLetter"/>
      <w:start w:val="1"/>
    </w:lvl>
    <w:lvl w:ilvl="1">
      <w:lvlJc w:val="left"/>
      <w:lvlText w:val="(%2)"/>
      <w:numFmt w:val="lowerRoman"/>
      <w:start w:val="3"/>
    </w:lvl>
  </w:abstractNum>
  <w:abstractNum w:abstractNumId="168">
    <w:nsid w:val="779D8544"/>
    <w:multiLevelType w:val="hybridMultilevel"/>
    <w:lvl w:ilvl="0">
      <w:lvlJc w:val="left"/>
      <w:lvlText w:val="(%1)"/>
      <w:numFmt w:val="lowerLetter"/>
      <w:start w:val="2"/>
    </w:lvl>
    <w:lvl w:ilvl="1">
      <w:lvlJc w:val="left"/>
      <w:lvlText w:val="%2"/>
      <w:numFmt w:val="lowerRoman"/>
      <w:start w:val="1"/>
    </w:lvl>
  </w:abstractNum>
  <w:abstractNum w:abstractNumId="169">
    <w:nsid w:val="4AB26E7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70">
    <w:nsid w:val="21FAA2FA"/>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71">
    <w:nsid w:val="5451CF49"/>
    <w:multiLevelType w:val="hybridMultilevel"/>
    <w:lvl w:ilvl="0">
      <w:lvlJc w:val="left"/>
      <w:lvlText w:val="%1."/>
      <w:numFmt w:val="decimal"/>
      <w:start w:val="4"/>
    </w:lvl>
  </w:abstractNum>
  <w:abstractNum w:abstractNumId="172">
    <w:nsid w:val="6181EF69"/>
    <w:multiLevelType w:val="hybridMultilevel"/>
    <w:lvl w:ilvl="0">
      <w:lvlJc w:val="left"/>
      <w:lvlText w:val="%1."/>
      <w:numFmt w:val="decimal"/>
      <w:start w:val="9"/>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decimal"/>
      <w:start w:val="2"/>
    </w:lvl>
  </w:abstractNum>
  <w:abstractNum w:abstractNumId="175">
    <w:nsid w:val="710757D0"/>
    <w:multiLevelType w:val="hybridMultilevel"/>
    <w:lvl w:ilvl="0">
      <w:lvlJc w:val="left"/>
      <w:lvlText w:val="%1."/>
      <w:numFmt w:val="decimal"/>
      <w:start w:val="3"/>
    </w:lvl>
  </w:abstractNum>
  <w:abstractNum w:abstractNumId="176">
    <w:nsid w:val="5015CD1A"/>
    <w:multiLevelType w:val="hybridMultilevel"/>
    <w:lvl w:ilvl="0">
      <w:lvlJc w:val="left"/>
      <w:lvlText w:val="%1."/>
      <w:numFmt w:val="decimal"/>
      <w:start w:val="4"/>
    </w:lvl>
  </w:abstractNum>
  <w:abstractNum w:abstractNumId="177">
    <w:nsid w:val="424479DA"/>
    <w:multiLevelType w:val="hybridMultilevel"/>
    <w:lvl w:ilvl="0">
      <w:lvlJc w:val="left"/>
      <w:lvlText w:val="%1."/>
      <w:numFmt w:val="decimal"/>
      <w:start w:val="5"/>
    </w:lvl>
  </w:abstractNum>
  <w:abstractNum w:abstractNumId="178">
    <w:nsid w:val="1A9A9E69"/>
    <w:multiLevelType w:val="hybridMultilevel"/>
    <w:lvl w:ilvl="0">
      <w:lvlJc w:val="left"/>
      <w:lvlText w:val="%1."/>
      <w:numFmt w:val="decimal"/>
      <w:start w:val="6"/>
    </w:lvl>
  </w:abstractNum>
  <w:abstractNum w:abstractNumId="179">
    <w:nsid w:val="475E256A"/>
    <w:multiLevelType w:val="hybridMultilevel"/>
    <w:lvl w:ilvl="0">
      <w:lvlJc w:val="left"/>
      <w:lvlText w:val="%1."/>
      <w:numFmt w:val="decimal"/>
      <w:start w:val="7"/>
    </w:lvl>
  </w:abstractNum>
  <w:abstractNum w:abstractNumId="180">
    <w:nsid w:val="368DB37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2020-08-24T23:07:55Z</dcterms:created>
  <dcterms:modified xsi:type="dcterms:W3CDTF">2020-08-24T23:07:55Z</dcterms:modified>
</cp:coreProperties>
</file>