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spacing w:after="0" w:line="233" w:lineRule="auto"/>
        <w:rPr>
          <w:sz w:val="20"/>
          <w:szCs w:val="20"/>
          <w:color w:val="auto"/>
        </w:rPr>
      </w:pPr>
      <w:r>
        <w:rPr>
          <w:rFonts w:ascii="Arial" w:cs="Arial" w:eastAsia="Arial" w:hAnsi="Arial"/>
          <w:sz w:val="14"/>
          <w:szCs w:val="14"/>
          <w:b w:val="1"/>
          <w:bCs w:val="1"/>
          <w:color w:val="auto"/>
        </w:rPr>
        <w:t>As confidentially submitted to the Securities Exchange Commission on January 31, 2020. This draft registration statement has not been filed publicly with the Securities and Exchange Commission and all information herein remains strictly confidential.</w:t>
      </w:r>
    </w:p>
    <w:p>
      <w:pPr>
        <w:ind w:left="922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103505</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6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S-1</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REGISTRATION STATEMENT</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Under</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118745</wp:posOffset>
            </wp:positionV>
            <wp:extent cx="14916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ASANA, INC.</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40" w:lineRule="exact"/>
        <w:rPr>
          <w:sz w:val="24"/>
          <w:szCs w:val="24"/>
          <w:color w:val="auto"/>
        </w:rPr>
      </w:pPr>
    </w:p>
    <w:tbl>
      <w:tblPr>
        <w:tblLayout w:type="fixed"/>
        <w:tblInd w:w="980" w:type="dxa"/>
        <w:tblCellMar>
          <w:top w:w="0" w:type="dxa"/>
          <w:left w:w="0" w:type="dxa"/>
          <w:bottom w:w="0" w:type="dxa"/>
          <w:right w:w="0" w:type="dxa"/>
        </w:tblCellMar>
      </w:tblPr>
      <w:tr>
        <w:trPr>
          <w:trHeight w:val="161"/>
        </w:trPr>
        <w:tc>
          <w:tcPr>
            <w:tcW w:w="2880" w:type="dxa"/>
            <w:vAlign w:val="bottom"/>
          </w:tcPr>
          <w:p>
            <w:pPr>
              <w:jc w:val="center"/>
              <w:ind w:right="948"/>
              <w:spacing w:after="0"/>
              <w:rPr>
                <w:sz w:val="20"/>
                <w:szCs w:val="20"/>
                <w:color w:val="auto"/>
              </w:rPr>
            </w:pPr>
            <w:r>
              <w:rPr>
                <w:rFonts w:ascii="Arial" w:cs="Arial" w:eastAsia="Arial" w:hAnsi="Arial"/>
                <w:sz w:val="14"/>
                <w:szCs w:val="14"/>
                <w:b w:val="1"/>
                <w:bCs w:val="1"/>
                <w:color w:val="auto"/>
                <w:w w:val="94"/>
              </w:rPr>
              <w:t>Delaware</w:t>
            </w:r>
          </w:p>
        </w:tc>
        <w:tc>
          <w:tcPr>
            <w:tcW w:w="3920" w:type="dxa"/>
            <w:vAlign w:val="bottom"/>
          </w:tcPr>
          <w:p>
            <w:pPr>
              <w:jc w:val="center"/>
              <w:ind w:right="88"/>
              <w:spacing w:after="0"/>
              <w:rPr>
                <w:sz w:val="20"/>
                <w:szCs w:val="20"/>
                <w:color w:val="auto"/>
              </w:rPr>
            </w:pPr>
            <w:r>
              <w:rPr>
                <w:rFonts w:ascii="Arial" w:cs="Arial" w:eastAsia="Arial" w:hAnsi="Arial"/>
                <w:sz w:val="14"/>
                <w:szCs w:val="14"/>
                <w:b w:val="1"/>
                <w:bCs w:val="1"/>
                <w:color w:val="auto"/>
                <w:w w:val="89"/>
              </w:rPr>
              <w:t>7372</w:t>
            </w:r>
          </w:p>
        </w:tc>
        <w:tc>
          <w:tcPr>
            <w:tcW w:w="2200" w:type="dxa"/>
            <w:vAlign w:val="bottom"/>
          </w:tcPr>
          <w:p>
            <w:pPr>
              <w:jc w:val="center"/>
              <w:ind w:left="1068"/>
              <w:spacing w:after="0"/>
              <w:rPr>
                <w:sz w:val="20"/>
                <w:szCs w:val="20"/>
                <w:color w:val="auto"/>
              </w:rPr>
            </w:pPr>
            <w:r>
              <w:rPr>
                <w:rFonts w:ascii="Arial" w:cs="Arial" w:eastAsia="Arial" w:hAnsi="Arial"/>
                <w:sz w:val="14"/>
                <w:szCs w:val="14"/>
                <w:b w:val="1"/>
                <w:bCs w:val="1"/>
                <w:color w:val="auto"/>
                <w:w w:val="93"/>
              </w:rPr>
              <w:t>26-3912448</w:t>
            </w:r>
          </w:p>
        </w:tc>
      </w:tr>
      <w:tr>
        <w:trPr>
          <w:trHeight w:val="148"/>
        </w:trPr>
        <w:tc>
          <w:tcPr>
            <w:tcW w:w="2880" w:type="dxa"/>
            <w:vAlign w:val="bottom"/>
          </w:tcPr>
          <w:p>
            <w:pPr>
              <w:jc w:val="center"/>
              <w:ind w:right="92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92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5"/>
              </w:rPr>
              <w:t>(Primary standard industrial</w:t>
            </w:r>
          </w:p>
        </w:tc>
        <w:tc>
          <w:tcPr>
            <w:tcW w:w="2200" w:type="dxa"/>
            <w:vAlign w:val="bottom"/>
          </w:tcPr>
          <w:p>
            <w:pPr>
              <w:jc w:val="center"/>
              <w:ind w:left="1048"/>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880" w:type="dxa"/>
            <w:vAlign w:val="bottom"/>
          </w:tcPr>
          <w:p>
            <w:pPr>
              <w:jc w:val="center"/>
              <w:ind w:right="928"/>
              <w:spacing w:after="0"/>
              <w:rPr>
                <w:sz w:val="20"/>
                <w:szCs w:val="20"/>
                <w:color w:val="auto"/>
              </w:rPr>
            </w:pPr>
            <w:r>
              <w:rPr>
                <w:rFonts w:ascii="Arial" w:cs="Arial" w:eastAsia="Arial" w:hAnsi="Arial"/>
                <w:sz w:val="14"/>
                <w:szCs w:val="14"/>
                <w:b w:val="1"/>
                <w:bCs w:val="1"/>
                <w:color w:val="auto"/>
                <w:w w:val="94"/>
              </w:rPr>
              <w:t>incorporation or organization)</w:t>
            </w:r>
          </w:p>
        </w:tc>
        <w:tc>
          <w:tcPr>
            <w:tcW w:w="3920" w:type="dxa"/>
            <w:vAlign w:val="bottom"/>
          </w:tcPr>
          <w:p>
            <w:pPr>
              <w:jc w:val="center"/>
              <w:ind w:right="68"/>
              <w:spacing w:after="0"/>
              <w:rPr>
                <w:sz w:val="20"/>
                <w:szCs w:val="20"/>
                <w:color w:val="auto"/>
              </w:rPr>
            </w:pPr>
            <w:r>
              <w:rPr>
                <w:rFonts w:ascii="Arial" w:cs="Arial" w:eastAsia="Arial" w:hAnsi="Arial"/>
                <w:sz w:val="14"/>
                <w:szCs w:val="14"/>
                <w:b w:val="1"/>
                <w:bCs w:val="1"/>
                <w:color w:val="auto"/>
                <w:w w:val="92"/>
              </w:rPr>
              <w:t>code number)</w:t>
            </w:r>
          </w:p>
        </w:tc>
        <w:tc>
          <w:tcPr>
            <w:tcW w:w="2200" w:type="dxa"/>
            <w:vAlign w:val="bottom"/>
          </w:tcPr>
          <w:p>
            <w:pPr>
              <w:jc w:val="center"/>
              <w:ind w:left="1048"/>
              <w:spacing w:after="0"/>
              <w:rPr>
                <w:sz w:val="20"/>
                <w:szCs w:val="20"/>
                <w:color w:val="auto"/>
              </w:rPr>
            </w:pPr>
            <w:r>
              <w:rPr>
                <w:rFonts w:ascii="Arial" w:cs="Arial" w:eastAsia="Arial" w:hAnsi="Arial"/>
                <w:sz w:val="14"/>
                <w:szCs w:val="14"/>
                <w:b w:val="1"/>
                <w:bCs w:val="1"/>
                <w:color w:val="auto"/>
                <w:w w:val="92"/>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102235</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1550 Bryant Street, Suite 200</w:t>
      </w:r>
    </w:p>
    <w:p>
      <w:pPr>
        <w:jc w:val="center"/>
        <w:spacing w:after="0" w:line="226" w:lineRule="auto"/>
        <w:rPr>
          <w:sz w:val="20"/>
          <w:szCs w:val="20"/>
          <w:color w:val="auto"/>
        </w:rPr>
      </w:pPr>
      <w:r>
        <w:rPr>
          <w:rFonts w:ascii="Arial" w:cs="Arial" w:eastAsia="Arial" w:hAnsi="Arial"/>
          <w:sz w:val="14"/>
          <w:szCs w:val="14"/>
          <w:b w:val="1"/>
          <w:bCs w:val="1"/>
          <w:color w:val="auto"/>
        </w:rPr>
        <w:t>San Francisco, CA 94103</w:t>
      </w:r>
    </w:p>
    <w:p>
      <w:pPr>
        <w:jc w:val="center"/>
        <w:spacing w:after="0" w:line="221" w:lineRule="auto"/>
        <w:rPr>
          <w:sz w:val="20"/>
          <w:szCs w:val="20"/>
          <w:color w:val="auto"/>
        </w:rPr>
      </w:pPr>
      <w:r>
        <w:rPr>
          <w:rFonts w:ascii="Arial" w:cs="Arial" w:eastAsia="Arial" w:hAnsi="Arial"/>
          <w:sz w:val="14"/>
          <w:szCs w:val="14"/>
          <w:b w:val="1"/>
          <w:bCs w:val="1"/>
          <w:color w:val="auto"/>
        </w:rPr>
        <w:t>(415) 525-3888</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99060</wp:posOffset>
            </wp:positionV>
            <wp:extent cx="1491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Dustin Moskovitz</w:t>
      </w:r>
    </w:p>
    <w:p>
      <w:pPr>
        <w:jc w:val="center"/>
        <w:spacing w:after="0" w:line="226" w:lineRule="auto"/>
        <w:rPr>
          <w:sz w:val="20"/>
          <w:szCs w:val="20"/>
          <w:color w:val="auto"/>
        </w:rPr>
      </w:pPr>
      <w:r>
        <w:rPr>
          <w:rFonts w:ascii="Arial" w:cs="Arial" w:eastAsia="Arial" w:hAnsi="Arial"/>
          <w:sz w:val="14"/>
          <w:szCs w:val="14"/>
          <w:b w:val="1"/>
          <w:bCs w:val="1"/>
          <w:color w:val="auto"/>
        </w:rPr>
        <w:t>President, Chief Executive Officer, and Chair</w:t>
      </w:r>
    </w:p>
    <w:p>
      <w:pPr>
        <w:jc w:val="center"/>
        <w:spacing w:after="0" w:line="221" w:lineRule="auto"/>
        <w:rPr>
          <w:sz w:val="20"/>
          <w:szCs w:val="20"/>
          <w:color w:val="auto"/>
        </w:rPr>
      </w:pPr>
      <w:r>
        <w:rPr>
          <w:rFonts w:ascii="Arial" w:cs="Arial" w:eastAsia="Arial" w:hAnsi="Arial"/>
          <w:sz w:val="14"/>
          <w:szCs w:val="14"/>
          <w:b w:val="1"/>
          <w:bCs w:val="1"/>
          <w:color w:val="auto"/>
        </w:rPr>
        <w:t>Asana, Inc.</w:t>
      </w:r>
    </w:p>
    <w:p>
      <w:pPr>
        <w:jc w:val="center"/>
        <w:spacing w:after="0" w:line="222" w:lineRule="auto"/>
        <w:rPr>
          <w:sz w:val="20"/>
          <w:szCs w:val="20"/>
          <w:color w:val="auto"/>
        </w:rPr>
      </w:pPr>
      <w:r>
        <w:rPr>
          <w:rFonts w:ascii="Arial" w:cs="Arial" w:eastAsia="Arial" w:hAnsi="Arial"/>
          <w:sz w:val="14"/>
          <w:szCs w:val="14"/>
          <w:b w:val="1"/>
          <w:bCs w:val="1"/>
          <w:color w:val="auto"/>
        </w:rPr>
        <w:t>1550 Bryant Street, Suite 200</w:t>
      </w:r>
    </w:p>
    <w:p>
      <w:pPr>
        <w:jc w:val="center"/>
        <w:spacing w:after="0" w:line="221" w:lineRule="auto"/>
        <w:rPr>
          <w:sz w:val="20"/>
          <w:szCs w:val="20"/>
          <w:color w:val="auto"/>
        </w:rPr>
      </w:pPr>
      <w:r>
        <w:rPr>
          <w:rFonts w:ascii="Arial" w:cs="Arial" w:eastAsia="Arial" w:hAnsi="Arial"/>
          <w:sz w:val="14"/>
          <w:szCs w:val="14"/>
          <w:b w:val="1"/>
          <w:bCs w:val="1"/>
          <w:color w:val="auto"/>
        </w:rPr>
        <w:t>San Francisco, CA 94103</w:t>
      </w:r>
    </w:p>
    <w:p>
      <w:pPr>
        <w:jc w:val="center"/>
        <w:spacing w:after="0" w:line="222" w:lineRule="auto"/>
        <w:rPr>
          <w:sz w:val="20"/>
          <w:szCs w:val="20"/>
          <w:color w:val="auto"/>
        </w:rPr>
      </w:pPr>
      <w:r>
        <w:rPr>
          <w:rFonts w:ascii="Arial" w:cs="Arial" w:eastAsia="Arial" w:hAnsi="Arial"/>
          <w:sz w:val="14"/>
          <w:szCs w:val="14"/>
          <w:b w:val="1"/>
          <w:bCs w:val="1"/>
          <w:color w:val="auto"/>
        </w:rPr>
        <w:t>(415) 525-3888</w:t>
      </w: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99060</wp:posOffset>
            </wp:positionV>
            <wp:extent cx="1491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58" w:lineRule="exact"/>
        <w:rPr>
          <w:sz w:val="24"/>
          <w:szCs w:val="24"/>
          <w:color w:val="auto"/>
        </w:rPr>
      </w:pPr>
    </w:p>
    <w:tbl>
      <w:tblPr>
        <w:tblLayout w:type="fixed"/>
        <w:tblInd w:w="1260" w:type="dxa"/>
        <w:tblCellMar>
          <w:top w:w="0" w:type="dxa"/>
          <w:left w:w="0" w:type="dxa"/>
          <w:bottom w:w="0" w:type="dxa"/>
          <w:right w:w="0" w:type="dxa"/>
        </w:tblCellMar>
      </w:tblPr>
      <w:tr>
        <w:trPr>
          <w:trHeight w:val="182"/>
        </w:trPr>
        <w:tc>
          <w:tcPr>
            <w:tcW w:w="2340" w:type="dxa"/>
            <w:vAlign w:val="bottom"/>
          </w:tcPr>
          <w:p>
            <w:pPr>
              <w:spacing w:after="0"/>
              <w:rPr>
                <w:sz w:val="15"/>
                <w:szCs w:val="15"/>
                <w:color w:val="auto"/>
              </w:rPr>
            </w:pPr>
          </w:p>
        </w:tc>
        <w:tc>
          <w:tcPr>
            <w:tcW w:w="3900" w:type="dxa"/>
            <w:vAlign w:val="bottom"/>
          </w:tcPr>
          <w:p>
            <w:pPr>
              <w:ind w:left="1720"/>
              <w:spacing w:after="0"/>
              <w:rPr>
                <w:sz w:val="20"/>
                <w:szCs w:val="20"/>
                <w:color w:val="auto"/>
              </w:rPr>
            </w:pPr>
            <w:r>
              <w:rPr>
                <w:rFonts w:ascii="Arial" w:cs="Arial" w:eastAsia="Arial" w:hAnsi="Arial"/>
                <w:sz w:val="14"/>
                <w:szCs w:val="14"/>
                <w:b w:val="1"/>
                <w:bCs w:val="1"/>
                <w:i w:val="1"/>
                <w:iCs w:val="1"/>
                <w:color w:val="auto"/>
              </w:rPr>
              <w:t>Copies to:</w:t>
            </w:r>
          </w:p>
        </w:tc>
        <w:tc>
          <w:tcPr>
            <w:tcW w:w="3240" w:type="dxa"/>
            <w:vAlign w:val="bottom"/>
          </w:tcPr>
          <w:p>
            <w:pPr>
              <w:spacing w:after="0"/>
              <w:rPr>
                <w:sz w:val="15"/>
                <w:szCs w:val="15"/>
                <w:color w:val="auto"/>
              </w:rPr>
            </w:pPr>
          </w:p>
        </w:tc>
      </w:tr>
      <w:tr>
        <w:trPr>
          <w:trHeight w:val="151"/>
        </w:trPr>
        <w:tc>
          <w:tcPr>
            <w:tcW w:w="2340" w:type="dxa"/>
            <w:vAlign w:val="bottom"/>
          </w:tcPr>
          <w:p>
            <w:pPr>
              <w:jc w:val="center"/>
              <w:ind w:right="968"/>
              <w:spacing w:after="0" w:line="151" w:lineRule="exact"/>
              <w:rPr>
                <w:sz w:val="20"/>
                <w:szCs w:val="20"/>
                <w:color w:val="auto"/>
              </w:rPr>
            </w:pPr>
            <w:r>
              <w:rPr>
                <w:rFonts w:ascii="Arial" w:cs="Arial" w:eastAsia="Arial" w:hAnsi="Arial"/>
                <w:sz w:val="14"/>
                <w:szCs w:val="14"/>
                <w:b w:val="1"/>
                <w:bCs w:val="1"/>
                <w:color w:val="auto"/>
                <w:w w:val="91"/>
              </w:rPr>
              <w:t>David J. Segre, Esq.</w:t>
            </w:r>
          </w:p>
        </w:tc>
        <w:tc>
          <w:tcPr>
            <w:tcW w:w="3900" w:type="dxa"/>
            <w:vAlign w:val="bottom"/>
          </w:tcPr>
          <w:p>
            <w:pPr>
              <w:jc w:val="center"/>
              <w:ind w:left="328"/>
              <w:spacing w:after="0" w:line="151" w:lineRule="exact"/>
              <w:rPr>
                <w:sz w:val="20"/>
                <w:szCs w:val="20"/>
                <w:color w:val="auto"/>
              </w:rPr>
            </w:pPr>
            <w:r>
              <w:rPr>
                <w:rFonts w:ascii="Arial" w:cs="Arial" w:eastAsia="Arial" w:hAnsi="Arial"/>
                <w:sz w:val="14"/>
                <w:szCs w:val="14"/>
                <w:b w:val="1"/>
                <w:bCs w:val="1"/>
                <w:color w:val="auto"/>
                <w:w w:val="91"/>
              </w:rPr>
              <w:t>Stephen J. Venuto, Esq.</w:t>
            </w:r>
          </w:p>
        </w:tc>
        <w:tc>
          <w:tcPr>
            <w:tcW w:w="3240" w:type="dxa"/>
            <w:vAlign w:val="bottom"/>
          </w:tcPr>
          <w:p>
            <w:pPr>
              <w:jc w:val="center"/>
              <w:ind w:left="588"/>
              <w:spacing w:after="0" w:line="151" w:lineRule="exact"/>
              <w:rPr>
                <w:sz w:val="20"/>
                <w:szCs w:val="20"/>
                <w:color w:val="auto"/>
              </w:rPr>
            </w:pPr>
            <w:r>
              <w:rPr>
                <w:rFonts w:ascii="Arial" w:cs="Arial" w:eastAsia="Arial" w:hAnsi="Arial"/>
                <w:sz w:val="14"/>
                <w:szCs w:val="14"/>
                <w:b w:val="1"/>
                <w:bCs w:val="1"/>
                <w:color w:val="auto"/>
                <w:w w:val="92"/>
              </w:rPr>
              <w:t>Eleanor Lacey, Esq.,</w:t>
            </w:r>
          </w:p>
        </w:tc>
      </w:tr>
      <w:tr>
        <w:trPr>
          <w:trHeight w:val="148"/>
        </w:trPr>
        <w:tc>
          <w:tcPr>
            <w:tcW w:w="2340" w:type="dxa"/>
            <w:vAlign w:val="bottom"/>
          </w:tcPr>
          <w:p>
            <w:pPr>
              <w:jc w:val="center"/>
              <w:ind w:right="968"/>
              <w:spacing w:after="0" w:line="149" w:lineRule="exact"/>
              <w:rPr>
                <w:sz w:val="20"/>
                <w:szCs w:val="20"/>
                <w:color w:val="auto"/>
              </w:rPr>
            </w:pPr>
            <w:r>
              <w:rPr>
                <w:rFonts w:ascii="Arial" w:cs="Arial" w:eastAsia="Arial" w:hAnsi="Arial"/>
                <w:sz w:val="14"/>
                <w:szCs w:val="14"/>
                <w:b w:val="1"/>
                <w:bCs w:val="1"/>
                <w:color w:val="auto"/>
                <w:w w:val="93"/>
              </w:rPr>
              <w:t>Jon C. Avina, Esq.</w:t>
            </w:r>
          </w:p>
        </w:tc>
        <w:tc>
          <w:tcPr>
            <w:tcW w:w="3900" w:type="dxa"/>
            <w:vAlign w:val="bottom"/>
          </w:tcPr>
          <w:p>
            <w:pPr>
              <w:jc w:val="center"/>
              <w:ind w:left="328"/>
              <w:spacing w:after="0" w:line="149" w:lineRule="exact"/>
              <w:rPr>
                <w:sz w:val="20"/>
                <w:szCs w:val="20"/>
                <w:color w:val="auto"/>
              </w:rPr>
            </w:pPr>
            <w:r>
              <w:rPr>
                <w:rFonts w:ascii="Arial" w:cs="Arial" w:eastAsia="Arial" w:hAnsi="Arial"/>
                <w:sz w:val="14"/>
                <w:szCs w:val="14"/>
                <w:b w:val="1"/>
                <w:bCs w:val="1"/>
                <w:color w:val="auto"/>
                <w:w w:val="94"/>
              </w:rPr>
              <w:t>William L. Hughes, Esq.</w:t>
            </w:r>
          </w:p>
        </w:tc>
        <w:tc>
          <w:tcPr>
            <w:tcW w:w="3240" w:type="dxa"/>
            <w:vAlign w:val="bottom"/>
          </w:tcPr>
          <w:p>
            <w:pPr>
              <w:jc w:val="center"/>
              <w:ind w:left="568"/>
              <w:spacing w:after="0" w:line="149" w:lineRule="exact"/>
              <w:rPr>
                <w:sz w:val="20"/>
                <w:szCs w:val="20"/>
                <w:color w:val="auto"/>
              </w:rPr>
            </w:pPr>
            <w:r>
              <w:rPr>
                <w:rFonts w:ascii="Arial" w:cs="Arial" w:eastAsia="Arial" w:hAnsi="Arial"/>
                <w:sz w:val="14"/>
                <w:szCs w:val="14"/>
                <w:b w:val="1"/>
                <w:bCs w:val="1"/>
                <w:color w:val="auto"/>
                <w:w w:val="93"/>
              </w:rPr>
              <w:t>General Counsel and Corporate Secretary</w:t>
            </w:r>
          </w:p>
        </w:tc>
      </w:tr>
      <w:tr>
        <w:trPr>
          <w:trHeight w:val="148"/>
        </w:trPr>
        <w:tc>
          <w:tcPr>
            <w:tcW w:w="2340" w:type="dxa"/>
            <w:vAlign w:val="bottom"/>
          </w:tcPr>
          <w:p>
            <w:pPr>
              <w:jc w:val="center"/>
              <w:ind w:right="968"/>
              <w:spacing w:after="0" w:line="149" w:lineRule="exact"/>
              <w:rPr>
                <w:sz w:val="20"/>
                <w:szCs w:val="20"/>
                <w:color w:val="auto"/>
              </w:rPr>
            </w:pPr>
            <w:r>
              <w:rPr>
                <w:rFonts w:ascii="Arial" w:cs="Arial" w:eastAsia="Arial" w:hAnsi="Arial"/>
                <w:sz w:val="14"/>
                <w:szCs w:val="14"/>
                <w:b w:val="1"/>
                <w:bCs w:val="1"/>
                <w:color w:val="auto"/>
                <w:w w:val="90"/>
              </w:rPr>
              <w:t>Calise Y. Cheng, Esq.</w:t>
            </w:r>
          </w:p>
        </w:tc>
        <w:tc>
          <w:tcPr>
            <w:tcW w:w="3900" w:type="dxa"/>
            <w:vAlign w:val="bottom"/>
          </w:tcPr>
          <w:p>
            <w:pPr>
              <w:jc w:val="center"/>
              <w:ind w:left="308"/>
              <w:spacing w:after="0" w:line="149" w:lineRule="exact"/>
              <w:rPr>
                <w:sz w:val="20"/>
                <w:szCs w:val="20"/>
                <w:color w:val="auto"/>
              </w:rPr>
            </w:pPr>
            <w:r>
              <w:rPr>
                <w:rFonts w:ascii="Arial" w:cs="Arial" w:eastAsia="Arial" w:hAnsi="Arial"/>
                <w:sz w:val="14"/>
                <w:szCs w:val="14"/>
                <w:b w:val="1"/>
                <w:bCs w:val="1"/>
                <w:color w:val="auto"/>
                <w:w w:val="95"/>
              </w:rPr>
              <w:t>Niki Fang, Esq.</w:t>
            </w:r>
          </w:p>
        </w:tc>
        <w:tc>
          <w:tcPr>
            <w:tcW w:w="3240" w:type="dxa"/>
            <w:vAlign w:val="bottom"/>
          </w:tcPr>
          <w:p>
            <w:pPr>
              <w:jc w:val="center"/>
              <w:ind w:left="588"/>
              <w:spacing w:after="0" w:line="149" w:lineRule="exact"/>
              <w:rPr>
                <w:sz w:val="20"/>
                <w:szCs w:val="20"/>
                <w:color w:val="auto"/>
              </w:rPr>
            </w:pPr>
            <w:r>
              <w:rPr>
                <w:rFonts w:ascii="Arial" w:cs="Arial" w:eastAsia="Arial" w:hAnsi="Arial"/>
                <w:sz w:val="14"/>
                <w:szCs w:val="14"/>
                <w:b w:val="1"/>
                <w:bCs w:val="1"/>
                <w:color w:val="auto"/>
                <w:w w:val="94"/>
              </w:rPr>
              <w:t>Asana, Inc.</w:t>
            </w:r>
          </w:p>
        </w:tc>
      </w:tr>
      <w:tr>
        <w:trPr>
          <w:trHeight w:val="149"/>
        </w:trPr>
        <w:tc>
          <w:tcPr>
            <w:tcW w:w="2340" w:type="dxa"/>
            <w:vAlign w:val="bottom"/>
          </w:tcPr>
          <w:p>
            <w:pPr>
              <w:jc w:val="center"/>
              <w:ind w:right="968"/>
              <w:spacing w:after="0" w:line="149" w:lineRule="exact"/>
              <w:rPr>
                <w:sz w:val="20"/>
                <w:szCs w:val="20"/>
                <w:color w:val="auto"/>
              </w:rPr>
            </w:pPr>
            <w:r>
              <w:rPr>
                <w:rFonts w:ascii="Arial" w:cs="Arial" w:eastAsia="Arial" w:hAnsi="Arial"/>
                <w:sz w:val="14"/>
                <w:szCs w:val="14"/>
                <w:b w:val="1"/>
                <w:bCs w:val="1"/>
                <w:color w:val="auto"/>
                <w:w w:val="96"/>
              </w:rPr>
              <w:t>Cooley LLP</w:t>
            </w:r>
          </w:p>
        </w:tc>
        <w:tc>
          <w:tcPr>
            <w:tcW w:w="3900" w:type="dxa"/>
            <w:vAlign w:val="bottom"/>
          </w:tcPr>
          <w:p>
            <w:pPr>
              <w:jc w:val="center"/>
              <w:ind w:left="328"/>
              <w:spacing w:after="0" w:line="149" w:lineRule="exact"/>
              <w:rPr>
                <w:sz w:val="20"/>
                <w:szCs w:val="20"/>
                <w:color w:val="auto"/>
              </w:rPr>
            </w:pPr>
            <w:r>
              <w:rPr>
                <w:rFonts w:ascii="Arial" w:cs="Arial" w:eastAsia="Arial" w:hAnsi="Arial"/>
                <w:sz w:val="14"/>
                <w:szCs w:val="14"/>
                <w:b w:val="1"/>
                <w:bCs w:val="1"/>
                <w:color w:val="auto"/>
                <w:w w:val="99"/>
              </w:rPr>
              <w:t>Orrick, Herrington &amp; Sutcliffe LLP</w:t>
            </w:r>
          </w:p>
        </w:tc>
        <w:tc>
          <w:tcPr>
            <w:tcW w:w="3240" w:type="dxa"/>
            <w:vAlign w:val="bottom"/>
          </w:tcPr>
          <w:p>
            <w:pPr>
              <w:jc w:val="center"/>
              <w:ind w:left="568"/>
              <w:spacing w:after="0" w:line="149" w:lineRule="exact"/>
              <w:rPr>
                <w:sz w:val="20"/>
                <w:szCs w:val="20"/>
                <w:color w:val="auto"/>
              </w:rPr>
            </w:pPr>
            <w:r>
              <w:rPr>
                <w:rFonts w:ascii="Arial" w:cs="Arial" w:eastAsia="Arial" w:hAnsi="Arial"/>
                <w:sz w:val="14"/>
                <w:szCs w:val="14"/>
                <w:b w:val="1"/>
                <w:bCs w:val="1"/>
                <w:color w:val="auto"/>
                <w:w w:val="93"/>
              </w:rPr>
              <w:t>1550 Bryant Street, Suite 200</w:t>
            </w:r>
          </w:p>
        </w:tc>
      </w:tr>
      <w:tr>
        <w:trPr>
          <w:trHeight w:val="148"/>
        </w:trPr>
        <w:tc>
          <w:tcPr>
            <w:tcW w:w="2340" w:type="dxa"/>
            <w:vAlign w:val="bottom"/>
          </w:tcPr>
          <w:p>
            <w:pPr>
              <w:jc w:val="center"/>
              <w:ind w:right="968"/>
              <w:spacing w:after="0" w:line="149" w:lineRule="exact"/>
              <w:rPr>
                <w:sz w:val="20"/>
                <w:szCs w:val="20"/>
                <w:color w:val="auto"/>
              </w:rPr>
            </w:pPr>
            <w:r>
              <w:rPr>
                <w:rFonts w:ascii="Arial" w:cs="Arial" w:eastAsia="Arial" w:hAnsi="Arial"/>
                <w:sz w:val="14"/>
                <w:szCs w:val="14"/>
                <w:b w:val="1"/>
                <w:bCs w:val="1"/>
                <w:color w:val="auto"/>
                <w:w w:val="93"/>
              </w:rPr>
              <w:t>3175 Hanover Street</w:t>
            </w:r>
          </w:p>
        </w:tc>
        <w:tc>
          <w:tcPr>
            <w:tcW w:w="3900" w:type="dxa"/>
            <w:vAlign w:val="bottom"/>
          </w:tcPr>
          <w:p>
            <w:pPr>
              <w:jc w:val="center"/>
              <w:ind w:left="328"/>
              <w:spacing w:after="0" w:line="149" w:lineRule="exact"/>
              <w:rPr>
                <w:sz w:val="20"/>
                <w:szCs w:val="20"/>
                <w:color w:val="auto"/>
              </w:rPr>
            </w:pPr>
            <w:r>
              <w:rPr>
                <w:rFonts w:ascii="Arial" w:cs="Arial" w:eastAsia="Arial" w:hAnsi="Arial"/>
                <w:sz w:val="14"/>
                <w:szCs w:val="14"/>
                <w:b w:val="1"/>
                <w:bCs w:val="1"/>
                <w:color w:val="auto"/>
                <w:w w:val="95"/>
              </w:rPr>
              <w:t>1000 Marsh Road</w:t>
            </w:r>
          </w:p>
        </w:tc>
        <w:tc>
          <w:tcPr>
            <w:tcW w:w="3240" w:type="dxa"/>
            <w:vAlign w:val="bottom"/>
          </w:tcPr>
          <w:p>
            <w:pPr>
              <w:jc w:val="center"/>
              <w:ind w:left="588"/>
              <w:spacing w:after="0" w:line="149" w:lineRule="exact"/>
              <w:rPr>
                <w:sz w:val="20"/>
                <w:szCs w:val="20"/>
                <w:color w:val="auto"/>
              </w:rPr>
            </w:pPr>
            <w:r>
              <w:rPr>
                <w:rFonts w:ascii="Arial" w:cs="Arial" w:eastAsia="Arial" w:hAnsi="Arial"/>
                <w:sz w:val="14"/>
                <w:szCs w:val="14"/>
                <w:b w:val="1"/>
                <w:bCs w:val="1"/>
                <w:color w:val="auto"/>
                <w:w w:val="92"/>
              </w:rPr>
              <w:t>San Francisco, CA 94103</w:t>
            </w:r>
          </w:p>
        </w:tc>
      </w:tr>
      <w:tr>
        <w:trPr>
          <w:trHeight w:val="148"/>
        </w:trPr>
        <w:tc>
          <w:tcPr>
            <w:tcW w:w="2340" w:type="dxa"/>
            <w:vAlign w:val="bottom"/>
          </w:tcPr>
          <w:p>
            <w:pPr>
              <w:jc w:val="center"/>
              <w:ind w:right="948"/>
              <w:spacing w:after="0" w:line="149" w:lineRule="exact"/>
              <w:rPr>
                <w:sz w:val="20"/>
                <w:szCs w:val="20"/>
                <w:color w:val="auto"/>
              </w:rPr>
            </w:pPr>
            <w:r>
              <w:rPr>
                <w:rFonts w:ascii="Arial" w:cs="Arial" w:eastAsia="Arial" w:hAnsi="Arial"/>
                <w:sz w:val="14"/>
                <w:szCs w:val="14"/>
                <w:b w:val="1"/>
                <w:bCs w:val="1"/>
                <w:color w:val="auto"/>
                <w:w w:val="94"/>
              </w:rPr>
              <w:t>Palo Alto, CA 94304</w:t>
            </w:r>
          </w:p>
        </w:tc>
        <w:tc>
          <w:tcPr>
            <w:tcW w:w="3900" w:type="dxa"/>
            <w:vAlign w:val="bottom"/>
          </w:tcPr>
          <w:p>
            <w:pPr>
              <w:jc w:val="center"/>
              <w:ind w:left="308"/>
              <w:spacing w:after="0" w:line="149" w:lineRule="exact"/>
              <w:rPr>
                <w:sz w:val="20"/>
                <w:szCs w:val="20"/>
                <w:color w:val="auto"/>
              </w:rPr>
            </w:pPr>
            <w:r>
              <w:rPr>
                <w:rFonts w:ascii="Arial" w:cs="Arial" w:eastAsia="Arial" w:hAnsi="Arial"/>
                <w:sz w:val="14"/>
                <w:szCs w:val="14"/>
                <w:b w:val="1"/>
                <w:bCs w:val="1"/>
                <w:color w:val="auto"/>
                <w:w w:val="96"/>
              </w:rPr>
              <w:t>Menlo Park, CA 94025</w:t>
            </w:r>
          </w:p>
        </w:tc>
        <w:tc>
          <w:tcPr>
            <w:tcW w:w="3240" w:type="dxa"/>
            <w:vAlign w:val="bottom"/>
          </w:tcPr>
          <w:p>
            <w:pPr>
              <w:jc w:val="center"/>
              <w:ind w:left="588"/>
              <w:spacing w:after="0" w:line="149" w:lineRule="exact"/>
              <w:rPr>
                <w:sz w:val="20"/>
                <w:szCs w:val="20"/>
                <w:color w:val="auto"/>
              </w:rPr>
            </w:pPr>
            <w:r>
              <w:rPr>
                <w:rFonts w:ascii="Arial" w:cs="Arial" w:eastAsia="Arial" w:hAnsi="Arial"/>
                <w:sz w:val="14"/>
                <w:szCs w:val="14"/>
                <w:b w:val="1"/>
                <w:bCs w:val="1"/>
                <w:color w:val="auto"/>
                <w:w w:val="93"/>
              </w:rPr>
              <w:t>(415) 525-3888</w:t>
            </w:r>
          </w:p>
        </w:tc>
      </w:tr>
      <w:tr>
        <w:trPr>
          <w:trHeight w:val="186"/>
        </w:trPr>
        <w:tc>
          <w:tcPr>
            <w:tcW w:w="2340" w:type="dxa"/>
            <w:vAlign w:val="bottom"/>
          </w:tcPr>
          <w:p>
            <w:pPr>
              <w:jc w:val="center"/>
              <w:ind w:right="968"/>
              <w:spacing w:after="0"/>
              <w:rPr>
                <w:sz w:val="20"/>
                <w:szCs w:val="20"/>
                <w:color w:val="auto"/>
              </w:rPr>
            </w:pPr>
            <w:r>
              <w:rPr>
                <w:rFonts w:ascii="Arial" w:cs="Arial" w:eastAsia="Arial" w:hAnsi="Arial"/>
                <w:sz w:val="14"/>
                <w:szCs w:val="14"/>
                <w:b w:val="1"/>
                <w:bCs w:val="1"/>
                <w:color w:val="auto"/>
                <w:w w:val="93"/>
              </w:rPr>
              <w:t>(650) 843-5000</w:t>
            </w:r>
          </w:p>
        </w:tc>
        <w:tc>
          <w:tcPr>
            <w:tcW w:w="3900" w:type="dxa"/>
            <w:vAlign w:val="bottom"/>
          </w:tcPr>
          <w:p>
            <w:pPr>
              <w:jc w:val="center"/>
              <w:ind w:left="328"/>
              <w:spacing w:after="0"/>
              <w:rPr>
                <w:sz w:val="20"/>
                <w:szCs w:val="20"/>
                <w:color w:val="auto"/>
              </w:rPr>
            </w:pPr>
            <w:r>
              <w:rPr>
                <w:rFonts w:ascii="Arial" w:cs="Arial" w:eastAsia="Arial" w:hAnsi="Arial"/>
                <w:sz w:val="14"/>
                <w:szCs w:val="14"/>
                <w:b w:val="1"/>
                <w:bCs w:val="1"/>
                <w:color w:val="auto"/>
                <w:w w:val="93"/>
              </w:rPr>
              <w:t>(650) 614-7400</w:t>
            </w:r>
          </w:p>
        </w:tc>
        <w:tc>
          <w:tcPr>
            <w:tcW w:w="32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101600</wp:posOffset>
            </wp:positionV>
            <wp:extent cx="14916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158" w:lineRule="exact"/>
        <w:rPr>
          <w:sz w:val="24"/>
          <w:szCs w:val="24"/>
          <w:color w:val="auto"/>
        </w:rPr>
      </w:pPr>
    </w:p>
    <w:p>
      <w:pPr>
        <w:ind w:left="46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the effective date of this registration statement.</w:t>
      </w:r>
    </w:p>
    <w:p>
      <w:pPr>
        <w:spacing w:after="0" w:line="25" w:lineRule="exact"/>
        <w:rPr>
          <w:sz w:val="24"/>
          <w:szCs w:val="24"/>
          <w:color w:val="auto"/>
        </w:rPr>
      </w:pPr>
    </w:p>
    <w:p>
      <w:pPr>
        <w:ind w:left="46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73" w:lineRule="exact"/>
        <w:rPr>
          <w:sz w:val="24"/>
          <w:szCs w:val="24"/>
          <w:color w:val="auto"/>
        </w:rPr>
      </w:pPr>
    </w:p>
    <w:p>
      <w:pPr>
        <w:jc w:val="both"/>
        <w:ind w:right="480" w:firstLine="449"/>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right="120" w:firstLine="449"/>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right="100" w:firstLine="449"/>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right="320" w:firstLine="449"/>
        <w:spacing w:after="0" w:line="24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15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9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380" w:type="dxa"/>
            <w:vAlign w:val="bottom"/>
          </w:tcPr>
          <w:p>
            <w:pPr>
              <w:ind w:left="3600"/>
              <w:spacing w:after="0"/>
              <w:rPr>
                <w:sz w:val="20"/>
                <w:szCs w:val="20"/>
                <w:color w:val="auto"/>
              </w:rPr>
            </w:pPr>
            <w:r>
              <w:rPr>
                <w:rFonts w:ascii="Arial" w:cs="Arial" w:eastAsia="Arial" w:hAnsi="Arial"/>
                <w:sz w:val="14"/>
                <w:szCs w:val="14"/>
                <w:color w:val="auto"/>
              </w:rPr>
              <w:t>Accelerated filer</w:t>
            </w:r>
          </w:p>
        </w:tc>
        <w:tc>
          <w:tcPr>
            <w:tcW w:w="3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6"/>
        </w:trPr>
        <w:tc>
          <w:tcPr>
            <w:tcW w:w="1500" w:type="dxa"/>
            <w:vAlign w:val="bottom"/>
          </w:tcPr>
          <w:p>
            <w:pPr>
              <w:spacing w:after="0"/>
              <w:rPr>
                <w:sz w:val="20"/>
                <w:szCs w:val="20"/>
                <w:color w:val="auto"/>
              </w:rPr>
            </w:pPr>
            <w:r>
              <w:rPr>
                <w:rFonts w:ascii="Arial" w:cs="Arial" w:eastAsia="Arial" w:hAnsi="Arial"/>
                <w:sz w:val="14"/>
                <w:szCs w:val="14"/>
                <w:color w:val="auto"/>
              </w:rPr>
              <w:t>Non-accelerated filer</w:t>
            </w:r>
          </w:p>
        </w:tc>
        <w:tc>
          <w:tcPr>
            <w:tcW w:w="39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380" w:type="dxa"/>
            <w:vAlign w:val="bottom"/>
          </w:tcPr>
          <w:p>
            <w:pPr>
              <w:ind w:left="3600"/>
              <w:spacing w:after="0"/>
              <w:rPr>
                <w:sz w:val="20"/>
                <w:szCs w:val="20"/>
                <w:color w:val="auto"/>
              </w:rPr>
            </w:pPr>
            <w:r>
              <w:rPr>
                <w:rFonts w:ascii="Arial" w:cs="Arial" w:eastAsia="Arial" w:hAnsi="Arial"/>
                <w:sz w:val="14"/>
                <w:szCs w:val="14"/>
                <w:color w:val="auto"/>
              </w:rPr>
              <w:t>Smaller reporting company</w:t>
            </w:r>
          </w:p>
        </w:tc>
        <w:tc>
          <w:tcPr>
            <w:tcW w:w="3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3"/>
        </w:trPr>
        <w:tc>
          <w:tcPr>
            <w:tcW w:w="150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5380" w:type="dxa"/>
            <w:vAlign w:val="bottom"/>
          </w:tcPr>
          <w:p>
            <w:pPr>
              <w:ind w:left="3600"/>
              <w:spacing w:after="0"/>
              <w:rPr>
                <w:sz w:val="20"/>
                <w:szCs w:val="20"/>
                <w:color w:val="auto"/>
              </w:rPr>
            </w:pPr>
            <w:r>
              <w:rPr>
                <w:rFonts w:ascii="Arial" w:cs="Arial" w:eastAsia="Arial" w:hAnsi="Arial"/>
                <w:sz w:val="14"/>
                <w:szCs w:val="14"/>
                <w:color w:val="auto"/>
              </w:rPr>
              <w:t>Emerging growth company</w:t>
            </w:r>
          </w:p>
        </w:tc>
        <w:tc>
          <w:tcPr>
            <w:tcW w:w="3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85"/>
              </w:rPr>
              <w:t>☒</w:t>
            </w:r>
          </w:p>
        </w:tc>
      </w:tr>
    </w:tbl>
    <w:p>
      <w:pPr>
        <w:ind w:right="160" w:firstLine="449"/>
        <w:spacing w:after="0" w:line="174" w:lineRule="exact"/>
        <w:rPr>
          <w:sz w:val="20"/>
          <w:szCs w:val="20"/>
          <w:color w:val="auto"/>
        </w:rPr>
      </w:pPr>
      <w:r>
        <w:rPr>
          <w:rFonts w:ascii="Arial" w:cs="Arial" w:eastAsia="Arial" w:hAnsi="Arial"/>
          <w:sz w:val="14"/>
          <w:szCs w:val="14"/>
          <w:color w:val="auto"/>
        </w:rPr>
        <w:t xml:space="preserve">If an emerging growth company, indicate by checkmark if the registrant has not elected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92075</wp:posOffset>
            </wp:positionV>
            <wp:extent cx="14916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CALCULATION OF REGISTRATION FEE</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5420" w:type="dxa"/>
            <w:vAlign w:val="bottom"/>
            <w:tcBorders>
              <w:top w:val="single" w:sz="8" w:color="auto"/>
              <w:bottom w:val="single" w:sz="8" w:color="auto"/>
            </w:tcBorders>
          </w:tcPr>
          <w:p>
            <w:pPr>
              <w:spacing w:after="0"/>
              <w:rPr>
                <w:sz w:val="3"/>
                <w:szCs w:val="3"/>
                <w:color w:val="auto"/>
              </w:rPr>
            </w:pPr>
          </w:p>
        </w:tc>
        <w:tc>
          <w:tcPr>
            <w:tcW w:w="1120" w:type="dxa"/>
            <w:vAlign w:val="bottom"/>
            <w:tcBorders>
              <w:top w:val="single" w:sz="8" w:color="auto"/>
              <w:bottom w:val="single" w:sz="8" w:color="auto"/>
            </w:tcBorders>
          </w:tcPr>
          <w:p>
            <w:pPr>
              <w:spacing w:after="0"/>
              <w:rPr>
                <w:sz w:val="3"/>
                <w:szCs w:val="3"/>
                <w:color w:val="auto"/>
              </w:rPr>
            </w:pPr>
          </w:p>
        </w:tc>
        <w:tc>
          <w:tcPr>
            <w:tcW w:w="1680" w:type="dxa"/>
            <w:vAlign w:val="bottom"/>
            <w:tcBorders>
              <w:top w:val="single" w:sz="8" w:color="auto"/>
              <w:bottom w:val="single" w:sz="8" w:color="auto"/>
            </w:tcBorders>
          </w:tcPr>
          <w:p>
            <w:pPr>
              <w:spacing w:after="0"/>
              <w:rPr>
                <w:sz w:val="3"/>
                <w:szCs w:val="3"/>
                <w:color w:val="auto"/>
              </w:rPr>
            </w:pPr>
          </w:p>
        </w:tc>
        <w:tc>
          <w:tcPr>
            <w:tcW w:w="1680" w:type="dxa"/>
            <w:vAlign w:val="bottom"/>
            <w:tcBorders>
              <w:top w:val="single" w:sz="8" w:color="auto"/>
              <w:bottom w:val="single" w:sz="8" w:color="auto"/>
            </w:tcBorders>
          </w:tcPr>
          <w:p>
            <w:pPr>
              <w:spacing w:after="0"/>
              <w:rPr>
                <w:sz w:val="3"/>
                <w:szCs w:val="3"/>
                <w:color w:val="auto"/>
              </w:rPr>
            </w:pPr>
          </w:p>
        </w:tc>
        <w:tc>
          <w:tcPr>
            <w:tcW w:w="13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542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680" w:type="dxa"/>
            <w:vAlign w:val="bottom"/>
            <w:tcBorders>
              <w:right w:val="single" w:sz="8" w:color="auto"/>
            </w:tcBorders>
          </w:tcPr>
          <w:p>
            <w:pPr>
              <w:jc w:val="center"/>
              <w:ind w:left="11"/>
              <w:spacing w:after="0" w:line="106" w:lineRule="exact"/>
              <w:rPr>
                <w:sz w:val="20"/>
                <w:szCs w:val="20"/>
                <w:color w:val="auto"/>
              </w:rPr>
            </w:pPr>
            <w:r>
              <w:rPr>
                <w:rFonts w:ascii="Arial" w:cs="Arial" w:eastAsia="Arial" w:hAnsi="Arial"/>
                <w:sz w:val="12"/>
                <w:szCs w:val="12"/>
                <w:b w:val="1"/>
                <w:bCs w:val="1"/>
                <w:color w:val="auto"/>
              </w:rPr>
              <w:t>Proposed Maximum</w:t>
            </w:r>
          </w:p>
        </w:tc>
        <w:tc>
          <w:tcPr>
            <w:tcW w:w="1680" w:type="dxa"/>
            <w:vAlign w:val="bottom"/>
            <w:tcBorders>
              <w:right w:val="single" w:sz="8" w:color="auto"/>
            </w:tcBorders>
          </w:tcPr>
          <w:p>
            <w:pPr>
              <w:jc w:val="center"/>
              <w:ind w:left="31"/>
              <w:spacing w:after="0" w:line="106" w:lineRule="exact"/>
              <w:rPr>
                <w:sz w:val="20"/>
                <w:szCs w:val="20"/>
                <w:color w:val="auto"/>
              </w:rPr>
            </w:pPr>
            <w:r>
              <w:rPr>
                <w:rFonts w:ascii="Arial" w:cs="Arial" w:eastAsia="Arial" w:hAnsi="Arial"/>
                <w:sz w:val="12"/>
                <w:szCs w:val="12"/>
                <w:b w:val="1"/>
                <w:bCs w:val="1"/>
                <w:color w:val="auto"/>
              </w:rPr>
              <w:t>Proposed Maximum</w:t>
            </w: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5420" w:type="dxa"/>
            <w:vAlign w:val="bottom"/>
            <w:tcBorders>
              <w:right w:val="single" w:sz="8" w:color="auto"/>
            </w:tcBorders>
            <w:vMerge w:val="restart"/>
          </w:tcPr>
          <w:p>
            <w:pPr>
              <w:ind w:left="1620"/>
              <w:spacing w:after="0"/>
              <w:rPr>
                <w:sz w:val="20"/>
                <w:szCs w:val="20"/>
                <w:color w:val="auto"/>
              </w:rPr>
            </w:pPr>
            <w:r>
              <w:rPr>
                <w:rFonts w:ascii="Arial" w:cs="Arial" w:eastAsia="Arial" w:hAnsi="Arial"/>
                <w:sz w:val="14"/>
                <w:szCs w:val="14"/>
                <w:b w:val="1"/>
                <w:bCs w:val="1"/>
                <w:color w:val="auto"/>
              </w:rPr>
              <w:t>Title of Securities To Be Registered</w:t>
            </w:r>
          </w:p>
        </w:tc>
        <w:tc>
          <w:tcPr>
            <w:tcW w:w="1120" w:type="dxa"/>
            <w:vAlign w:val="bottom"/>
            <w:tcBorders>
              <w:right w:val="single" w:sz="8" w:color="auto"/>
            </w:tcBorders>
          </w:tcPr>
          <w:p>
            <w:pPr>
              <w:jc w:val="center"/>
              <w:ind w:left="8"/>
              <w:spacing w:after="0" w:line="158" w:lineRule="exact"/>
              <w:rPr>
                <w:sz w:val="20"/>
                <w:szCs w:val="20"/>
                <w:color w:val="auto"/>
              </w:rPr>
            </w:pPr>
            <w:r>
              <w:rPr>
                <w:rFonts w:ascii="Arial" w:cs="Arial" w:eastAsia="Arial" w:hAnsi="Arial"/>
                <w:sz w:val="14"/>
                <w:szCs w:val="14"/>
                <w:b w:val="1"/>
                <w:bCs w:val="1"/>
                <w:color w:val="auto"/>
                <w:w w:val="93"/>
              </w:rPr>
              <w:t>Amount to be</w:t>
            </w:r>
          </w:p>
        </w:tc>
        <w:tc>
          <w:tcPr>
            <w:tcW w:w="1680" w:type="dxa"/>
            <w:vAlign w:val="bottom"/>
            <w:tcBorders>
              <w:right w:val="single" w:sz="8" w:color="auto"/>
            </w:tcBorders>
          </w:tcPr>
          <w:p>
            <w:pPr>
              <w:jc w:val="center"/>
              <w:ind w:left="11"/>
              <w:spacing w:after="0" w:line="158" w:lineRule="exact"/>
              <w:rPr>
                <w:sz w:val="20"/>
                <w:szCs w:val="20"/>
                <w:color w:val="auto"/>
              </w:rPr>
            </w:pPr>
            <w:r>
              <w:rPr>
                <w:rFonts w:ascii="Arial" w:cs="Arial" w:eastAsia="Arial" w:hAnsi="Arial"/>
                <w:sz w:val="14"/>
                <w:szCs w:val="14"/>
                <w:b w:val="1"/>
                <w:bCs w:val="1"/>
                <w:color w:val="auto"/>
                <w:w w:val="94"/>
              </w:rPr>
              <w:t>Offering Price</w:t>
            </w:r>
          </w:p>
        </w:tc>
        <w:tc>
          <w:tcPr>
            <w:tcW w:w="1680" w:type="dxa"/>
            <w:vAlign w:val="bottom"/>
            <w:tcBorders>
              <w:right w:val="single" w:sz="8" w:color="auto"/>
            </w:tcBorders>
          </w:tcPr>
          <w:p>
            <w:pPr>
              <w:jc w:val="center"/>
              <w:ind w:left="31"/>
              <w:spacing w:after="0" w:line="158" w:lineRule="exact"/>
              <w:rPr>
                <w:sz w:val="20"/>
                <w:szCs w:val="20"/>
                <w:color w:val="auto"/>
              </w:rPr>
            </w:pPr>
            <w:r>
              <w:rPr>
                <w:rFonts w:ascii="Arial" w:cs="Arial" w:eastAsia="Arial" w:hAnsi="Arial"/>
                <w:sz w:val="14"/>
                <w:szCs w:val="14"/>
                <w:b w:val="1"/>
                <w:bCs w:val="1"/>
                <w:color w:val="auto"/>
                <w:w w:val="89"/>
              </w:rPr>
              <w:t>Aggregate</w:t>
            </w:r>
          </w:p>
        </w:tc>
        <w:tc>
          <w:tcPr>
            <w:tcW w:w="1340" w:type="dxa"/>
            <w:vAlign w:val="bottom"/>
          </w:tcPr>
          <w:p>
            <w:pPr>
              <w:jc w:val="center"/>
              <w:ind w:left="48"/>
              <w:spacing w:after="0" w:line="158"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75"/>
        </w:trPr>
        <w:tc>
          <w:tcPr>
            <w:tcW w:w="54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w:t>
            </w:r>
          </w:p>
        </w:tc>
        <w:tc>
          <w:tcPr>
            <w:tcW w:w="1680" w:type="dxa"/>
            <w:vAlign w:val="bottom"/>
            <w:tcBorders>
              <w:bottom w:val="single" w:sz="8" w:color="auto"/>
              <w:right w:val="single" w:sz="8" w:color="auto"/>
            </w:tcBorders>
          </w:tcPr>
          <w:p>
            <w:pPr>
              <w:jc w:val="center"/>
              <w:ind w:left="11"/>
              <w:spacing w:after="0"/>
              <w:rPr>
                <w:sz w:val="20"/>
                <w:szCs w:val="20"/>
                <w:color w:val="auto"/>
              </w:rPr>
            </w:pPr>
            <w:r>
              <w:rPr>
                <w:rFonts w:ascii="Arial" w:cs="Arial" w:eastAsia="Arial" w:hAnsi="Arial"/>
                <w:sz w:val="14"/>
                <w:szCs w:val="14"/>
                <w:b w:val="1"/>
                <w:bCs w:val="1"/>
                <w:color w:val="auto"/>
                <w:w w:val="91"/>
              </w:rPr>
              <w:t>Per Share</w:t>
            </w:r>
          </w:p>
        </w:tc>
        <w:tc>
          <w:tcPr>
            <w:tcW w:w="1680" w:type="dxa"/>
            <w:vAlign w:val="bottom"/>
            <w:tcBorders>
              <w:bottom w:val="single" w:sz="8" w:color="auto"/>
              <w:right w:val="single" w:sz="8" w:color="auto"/>
            </w:tcBorders>
          </w:tcPr>
          <w:p>
            <w:pPr>
              <w:jc w:val="center"/>
              <w:ind w:left="31"/>
              <w:spacing w:after="0"/>
              <w:rPr>
                <w:sz w:val="20"/>
                <w:szCs w:val="20"/>
                <w:color w:val="auto"/>
              </w:rPr>
            </w:pPr>
            <w:r>
              <w:rPr>
                <w:rFonts w:ascii="Arial" w:cs="Arial" w:eastAsia="Arial" w:hAnsi="Arial"/>
                <w:sz w:val="14"/>
                <w:szCs w:val="14"/>
                <w:b w:val="1"/>
                <w:bCs w:val="1"/>
                <w:color w:val="auto"/>
                <w:w w:val="95"/>
              </w:rPr>
              <w:t>Offering Price</w:t>
            </w:r>
            <w:r>
              <w:rPr>
                <w:rFonts w:ascii="Arial" w:cs="Arial" w:eastAsia="Arial" w:hAnsi="Arial"/>
                <w:sz w:val="12"/>
                <w:szCs w:val="12"/>
                <w:b w:val="1"/>
                <w:bCs w:val="1"/>
                <w:color w:val="auto"/>
                <w:w w:val="95"/>
              </w:rPr>
              <w:t>(1)</w:t>
            </w:r>
          </w:p>
        </w:tc>
        <w:tc>
          <w:tcPr>
            <w:tcW w:w="134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w w:val="92"/>
              </w:rPr>
              <w:t>Registration Fee</w:t>
            </w:r>
          </w:p>
        </w:tc>
        <w:tc>
          <w:tcPr>
            <w:tcW w:w="0" w:type="dxa"/>
            <w:vAlign w:val="bottom"/>
          </w:tcPr>
          <w:p>
            <w:pPr>
              <w:spacing w:after="0"/>
              <w:rPr>
                <w:sz w:val="1"/>
                <w:szCs w:val="1"/>
                <w:color w:val="auto"/>
              </w:rPr>
            </w:pPr>
          </w:p>
        </w:tc>
      </w:tr>
      <w:tr>
        <w:trPr>
          <w:trHeight w:val="142"/>
        </w:trPr>
        <w:tc>
          <w:tcPr>
            <w:tcW w:w="542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Class A Common Stock, par value $0.00001 per share</w:t>
            </w:r>
          </w:p>
        </w:tc>
        <w:tc>
          <w:tcPr>
            <w:tcW w:w="1120" w:type="dxa"/>
            <w:vAlign w:val="bottom"/>
            <w:tcBorders>
              <w:bottom w:val="single" w:sz="8" w:color="auto"/>
              <w:right w:val="single" w:sz="8" w:color="auto"/>
            </w:tcBorders>
          </w:tcPr>
          <w:p>
            <w:pPr>
              <w:spacing w:after="0"/>
              <w:rPr>
                <w:sz w:val="12"/>
                <w:szCs w:val="12"/>
                <w:color w:val="auto"/>
              </w:rPr>
            </w:pPr>
          </w:p>
        </w:tc>
        <w:tc>
          <w:tcPr>
            <w:tcW w:w="1680" w:type="dxa"/>
            <w:vAlign w:val="bottom"/>
            <w:tcBorders>
              <w:bottom w:val="single" w:sz="8" w:color="auto"/>
              <w:right w:val="single" w:sz="8" w:color="auto"/>
            </w:tcBorders>
          </w:tcPr>
          <w:p>
            <w:pPr>
              <w:jc w:val="center"/>
              <w:ind w:left="11"/>
              <w:spacing w:after="0" w:line="142" w:lineRule="exact"/>
              <w:rPr>
                <w:sz w:val="20"/>
                <w:szCs w:val="20"/>
                <w:color w:val="auto"/>
              </w:rPr>
            </w:pPr>
            <w:r>
              <w:rPr>
                <w:rFonts w:ascii="Arial" w:cs="Arial" w:eastAsia="Arial" w:hAnsi="Arial"/>
                <w:sz w:val="14"/>
                <w:szCs w:val="14"/>
                <w:color w:val="auto"/>
                <w:w w:val="94"/>
              </w:rPr>
              <w:t>Not applicable</w:t>
            </w:r>
          </w:p>
        </w:tc>
        <w:tc>
          <w:tcPr>
            <w:tcW w:w="168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right="160" w:hanging="452"/>
        <w:spacing w:after="0" w:line="253"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purposes of calculating the registration fee pursuant to Rule 457(a) of the Securities Act of 1933, as amended. Given that there is no proposed maximum offering price per share of Class A common stock, the registrant calculates the proposed maximum aggregate offering price, by analogy to Rule 457(f)(2), based on the book value of the Class A common stock the registrant registers, which will be calculated from its unaudited pro forma balance sheet as of January 31, 2020. Given that the registrant’s shares of Class A common stock are not traded on an exchange or over-the-counter, the registrant did not use the market prices of its Class A common stock in accordance with Rule 457(c).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88265</wp:posOffset>
            </wp:positionV>
            <wp:extent cx="14916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137" w:lineRule="exact"/>
        <w:rPr>
          <w:sz w:val="24"/>
          <w:szCs w:val="24"/>
          <w:color w:val="auto"/>
        </w:rPr>
      </w:pPr>
    </w:p>
    <w:p>
      <w:pPr>
        <w:jc w:val="both"/>
        <w:ind w:firstLine="449"/>
        <w:spacing w:after="0"/>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100"/>
        <w:spacing w:after="0" w:line="243" w:lineRule="auto"/>
        <w:rPr>
          <w:sz w:val="20"/>
          <w:szCs w:val="20"/>
          <w:color w:val="auto"/>
        </w:rPr>
      </w:pPr>
      <w:r>
        <w:rPr>
          <w:rFonts w:ascii="Arial" w:cs="Arial" w:eastAsia="Arial" w:hAnsi="Arial"/>
          <w:sz w:val="15"/>
          <w:szCs w:val="15"/>
          <w:b w:val="1"/>
          <w:bCs w:val="1"/>
          <w:color w:val="DE1A1E"/>
        </w:rPr>
        <w:t>The information in this prospectus is not complete and may be changed. The securities may not be sold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DE1A1E"/>
        </w:rPr>
        <w:t>PROSPECTUS (Subject to Completion)</w:t>
      </w:r>
    </w:p>
    <w:p>
      <w:pPr>
        <w:spacing w:after="0" w:line="23"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i w:val="1"/>
          <w:iCs w:val="1"/>
          <w:color w:val="DE1A1E"/>
        </w:rPr>
        <w:t>Issued</w:t>
      </w:r>
      <w:r>
        <w:rPr>
          <w:sz w:val="20"/>
          <w:szCs w:val="20"/>
          <w:color w:val="auto"/>
        </w:rPr>
        <w:tab/>
      </w:r>
      <w:r>
        <w:rPr>
          <w:rFonts w:ascii="Arial" w:cs="Arial" w:eastAsia="Arial" w:hAnsi="Arial"/>
          <w:sz w:val="18"/>
          <w:szCs w:val="18"/>
          <w:i w:val="1"/>
          <w:iCs w:val="1"/>
          <w:color w:val="DE1A1E"/>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57150</wp:posOffset>
            </wp:positionV>
            <wp:extent cx="2751455" cy="548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5145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460"/>
        <w:spacing w:after="0"/>
        <w:rPr>
          <w:sz w:val="20"/>
          <w:szCs w:val="20"/>
          <w:color w:val="auto"/>
        </w:rPr>
      </w:pPr>
      <w:r>
        <w:rPr>
          <w:rFonts w:ascii="Arial" w:cs="Arial" w:eastAsia="Arial" w:hAnsi="Arial"/>
          <w:sz w:val="22"/>
          <w:szCs w:val="22"/>
          <w:i w:val="1"/>
          <w:iCs w:val="1"/>
          <w:color w:val="auto"/>
        </w:rPr>
        <w:t>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161290</wp:posOffset>
            </wp:positionV>
            <wp:extent cx="14916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342" w:lineRule="exact"/>
        <w:rPr>
          <w:sz w:val="20"/>
          <w:szCs w:val="20"/>
          <w:color w:val="auto"/>
        </w:rPr>
      </w:pPr>
    </w:p>
    <w:p>
      <w:pPr>
        <w:ind w:right="60"/>
        <w:spacing w:after="0" w:line="307" w:lineRule="auto"/>
        <w:rPr>
          <w:sz w:val="20"/>
          <w:szCs w:val="20"/>
          <w:color w:val="auto"/>
        </w:rPr>
      </w:pPr>
      <w:r>
        <w:rPr>
          <w:rFonts w:ascii="Arial" w:cs="Arial" w:eastAsia="Arial" w:hAnsi="Arial"/>
          <w:sz w:val="15"/>
          <w:szCs w:val="15"/>
          <w:b w:val="1"/>
          <w:bCs w:val="1"/>
          <w:i w:val="1"/>
          <w:iCs w:val="1"/>
          <w:color w:val="auto"/>
        </w:rPr>
        <w:t>This prospectus relates to the registration of the resale of up to shares of our Class A common stock by our stockholders identified in this prospectus, or the Registered Stockholders. Unlike an initial public offering, the resale by the Registered Stockholders is not being underwritten by any investment bank. The Registered Stockholders may, or may not, elect to sell their shares of Class A common stock covered by this prospectus, as and to</w:t>
      </w:r>
    </w:p>
    <w:p>
      <w:pPr>
        <w:ind w:right="700"/>
        <w:spacing w:after="0" w:line="323" w:lineRule="auto"/>
        <w:rPr>
          <w:sz w:val="20"/>
          <w:szCs w:val="20"/>
          <w:color w:val="auto"/>
        </w:rPr>
      </w:pPr>
      <w:r>
        <w:rPr>
          <w:rFonts w:ascii="Arial" w:cs="Arial" w:eastAsia="Arial" w:hAnsi="Arial"/>
          <w:sz w:val="16"/>
          <w:szCs w:val="16"/>
          <w:b w:val="1"/>
          <w:bCs w:val="1"/>
          <w:i w:val="1"/>
          <w:iCs w:val="1"/>
          <w:color w:val="auto"/>
        </w:rPr>
        <w:t>the extent they may determine. Such sales, if any, will be made through brokerage transactions on the . See the section titled “Plan of Distribution.” We will not receive any proceeds from the sale of shares of Class A common stock by the Registered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105410</wp:posOffset>
            </wp:positionV>
            <wp:extent cx="14916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53" w:lineRule="exact"/>
        <w:rPr>
          <w:sz w:val="20"/>
          <w:szCs w:val="20"/>
          <w:color w:val="auto"/>
        </w:rPr>
      </w:pPr>
    </w:p>
    <w:p>
      <w:pPr>
        <w:ind w:right="160"/>
        <w:spacing w:after="0" w:line="310" w:lineRule="auto"/>
        <w:rPr>
          <w:sz w:val="20"/>
          <w:szCs w:val="20"/>
          <w:color w:val="auto"/>
        </w:rPr>
      </w:pPr>
      <w:r>
        <w:rPr>
          <w:rFonts w:ascii="Arial" w:cs="Arial" w:eastAsia="Arial" w:hAnsi="Arial"/>
          <w:sz w:val="15"/>
          <w:szCs w:val="15"/>
          <w:b w:val="1"/>
          <w:bCs w:val="1"/>
          <w:i w:val="1"/>
          <w:iCs w:val="1"/>
          <w:color w:val="auto"/>
        </w:rPr>
        <w:t>We have two classes of common stock, Class A common stock and Class B common stock. The rights of holders of Class A common stock and Class B common stock are identical, except with respect to voting and conversion rights. Each share of Class A common stock is entitled to one vote. Each</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980" w:type="dxa"/>
            <w:vAlign w:val="bottom"/>
          </w:tcPr>
          <w:p>
            <w:pPr>
              <w:spacing w:after="0"/>
              <w:rPr>
                <w:sz w:val="20"/>
                <w:szCs w:val="20"/>
                <w:color w:val="auto"/>
              </w:rPr>
            </w:pPr>
            <w:r>
              <w:rPr>
                <w:rFonts w:ascii="Arial" w:cs="Arial" w:eastAsia="Arial" w:hAnsi="Arial"/>
                <w:sz w:val="18"/>
                <w:szCs w:val="18"/>
                <w:b w:val="1"/>
                <w:bCs w:val="1"/>
                <w:i w:val="1"/>
                <w:iCs w:val="1"/>
                <w:color w:val="auto"/>
                <w:w w:val="88"/>
              </w:rPr>
              <w:t>share of Class B common stock is entitled to 10 votes and is convertible at any time into one share of Class A common stock. As of</w:t>
            </w:r>
          </w:p>
        </w:tc>
        <w:tc>
          <w:tcPr>
            <w:tcW w:w="1040" w:type="dxa"/>
            <w:vAlign w:val="bottom"/>
          </w:tcPr>
          <w:p>
            <w:pPr>
              <w:ind w:left="360"/>
              <w:spacing w:after="0"/>
              <w:rPr>
                <w:sz w:val="20"/>
                <w:szCs w:val="20"/>
                <w:color w:val="auto"/>
              </w:rPr>
            </w:pPr>
            <w:r>
              <w:rPr>
                <w:rFonts w:ascii="Arial" w:cs="Arial" w:eastAsia="Arial" w:hAnsi="Arial"/>
                <w:sz w:val="18"/>
                <w:szCs w:val="18"/>
                <w:b w:val="1"/>
                <w:bCs w:val="1"/>
                <w:i w:val="1"/>
                <w:iCs w:val="1"/>
                <w:color w:val="auto"/>
                <w:w w:val="85"/>
              </w:rPr>
              <w:t>2020, the</w:t>
            </w:r>
          </w:p>
        </w:tc>
      </w:tr>
    </w:tbl>
    <w:p>
      <w:pPr>
        <w:ind w:right="140"/>
        <w:spacing w:after="0" w:line="258" w:lineRule="auto"/>
        <w:rPr>
          <w:sz w:val="20"/>
          <w:szCs w:val="20"/>
          <w:color w:val="auto"/>
        </w:rPr>
      </w:pPr>
      <w:r>
        <w:rPr>
          <w:rFonts w:ascii="Arial" w:cs="Arial" w:eastAsia="Arial" w:hAnsi="Arial"/>
          <w:sz w:val="18"/>
          <w:szCs w:val="18"/>
          <w:b w:val="1"/>
          <w:bCs w:val="1"/>
          <w:i w:val="1"/>
          <w:iCs w:val="1"/>
          <w:color w:val="auto"/>
        </w:rPr>
        <w:t>holders of our outstanding Class B common stock held approximately % of the voting power of our outstanding capital stock, with our directors and executive officers and their affiliates holding approximately %.</w:t>
      </w:r>
    </w:p>
    <w:p>
      <w:pPr>
        <w:spacing w:after="0" w:line="7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Prior to any sales of shares of Class A common stock, Registered Stockholders who hold Class B common stock must convert their shares of Class B common stock into shares Class A common stock.</w:t>
      </w:r>
    </w:p>
    <w:p>
      <w:pPr>
        <w:spacing w:after="0" w:line="62" w:lineRule="exact"/>
        <w:rPr>
          <w:sz w:val="20"/>
          <w:szCs w:val="20"/>
          <w:color w:val="auto"/>
        </w:rPr>
      </w:pPr>
    </w:p>
    <w:p>
      <w:pPr>
        <w:ind w:right="140"/>
        <w:spacing w:after="0" w:line="310" w:lineRule="auto"/>
        <w:rPr>
          <w:sz w:val="20"/>
          <w:szCs w:val="20"/>
          <w:color w:val="auto"/>
        </w:rPr>
      </w:pPr>
      <w:r>
        <w:rPr>
          <w:rFonts w:ascii="Arial" w:cs="Arial" w:eastAsia="Arial" w:hAnsi="Arial"/>
          <w:sz w:val="15"/>
          <w:szCs w:val="15"/>
          <w:b w:val="1"/>
          <w:bCs w:val="1"/>
          <w:i w:val="1"/>
          <w:iCs w:val="1"/>
          <w:color w:val="auto"/>
        </w:rPr>
        <w:t>No public market for our Class A common stock currently exists, and there is only a limited history of trading in our capital stock in private transactions. Based on information available to us, the low and high sales price per share of our capital stock for such private transactions during the</w:t>
      </w:r>
    </w:p>
    <w:p>
      <w:pPr>
        <w:spacing w:after="0" w:line="1" w:lineRule="exact"/>
        <w:rPr>
          <w:sz w:val="20"/>
          <w:szCs w:val="20"/>
          <w:color w:val="auto"/>
        </w:rPr>
      </w:pPr>
    </w:p>
    <w:p>
      <w:pPr>
        <w:ind w:right="160"/>
        <w:spacing w:after="0" w:line="265" w:lineRule="auto"/>
        <w:rPr>
          <w:sz w:val="20"/>
          <w:szCs w:val="20"/>
          <w:color w:val="auto"/>
        </w:rPr>
      </w:pPr>
      <w:r>
        <w:rPr>
          <w:rFonts w:ascii="Arial" w:cs="Arial" w:eastAsia="Arial" w:hAnsi="Arial"/>
          <w:sz w:val="17"/>
          <w:szCs w:val="17"/>
          <w:b w:val="1"/>
          <w:bCs w:val="1"/>
          <w:i w:val="1"/>
          <w:iCs w:val="1"/>
          <w:color w:val="auto"/>
        </w:rPr>
        <w:t>period from February 1, 2020 through , 2020 was $ and $ , respectively. For more information, see the section titled “Sale Price History of our Capital Stock.” Any recent trading prices in private transactions may have little or no relation to the opening trading price of our</w:t>
      </w:r>
    </w:p>
    <w:p>
      <w:pPr>
        <w:ind w:right="100"/>
        <w:spacing w:after="0" w:line="281" w:lineRule="auto"/>
        <w:rPr>
          <w:sz w:val="20"/>
          <w:szCs w:val="20"/>
          <w:color w:val="auto"/>
        </w:rPr>
      </w:pPr>
      <w:r>
        <w:rPr>
          <w:rFonts w:ascii="Arial" w:cs="Arial" w:eastAsia="Arial" w:hAnsi="Arial"/>
          <w:sz w:val="16"/>
          <w:szCs w:val="16"/>
          <w:b w:val="1"/>
          <w:bCs w:val="1"/>
          <w:i w:val="1"/>
          <w:iCs w:val="1"/>
          <w:color w:val="auto"/>
        </w:rPr>
        <w:t>shares of Class A common stock on the or the subsequent trading price of our shares of Class A common stock on the . Further, the listing of our Class A common stock on the without underwriters is a novel method for commencing public trading in shares of our Class A</w:t>
      </w:r>
    </w:p>
    <w:p>
      <w:pPr>
        <w:spacing w:after="0" w:line="1" w:lineRule="exact"/>
        <w:rPr>
          <w:sz w:val="20"/>
          <w:szCs w:val="20"/>
          <w:color w:val="auto"/>
        </w:rPr>
      </w:pPr>
    </w:p>
    <w:p>
      <w:pPr>
        <w:ind w:right="480"/>
        <w:spacing w:after="0" w:line="260" w:lineRule="auto"/>
        <w:rPr>
          <w:sz w:val="20"/>
          <w:szCs w:val="20"/>
          <w:color w:val="auto"/>
        </w:rPr>
      </w:pPr>
      <w:r>
        <w:rPr>
          <w:rFonts w:ascii="Arial" w:cs="Arial" w:eastAsia="Arial" w:hAnsi="Arial"/>
          <w:sz w:val="18"/>
          <w:szCs w:val="18"/>
          <w:b w:val="1"/>
          <w:bCs w:val="1"/>
          <w:i w:val="1"/>
          <w:iCs w:val="1"/>
          <w:color w:val="auto"/>
        </w:rPr>
        <w:t>common stock, and consequently, the trading volume and price of shares of our Class A common stock may be more volatile than if shares of our Class A common stock were initially listed in connection with an underwritten initial public offering.</w:t>
      </w:r>
    </w:p>
    <w:p>
      <w:pPr>
        <w:spacing w:after="0" w:line="77"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i w:val="1"/>
          <w:iCs w:val="1"/>
          <w:color w:val="auto"/>
        </w:rPr>
        <w:t>Based on information provided by the , the opening trading price of our Class A common stock on the will be determined by buy and sell orders collected by the from broker-dealers. Based on such orders, will determine an opening price for our Class A common stock in consultation with a financial advisor pursuant to applicable rules. For more information, see the section titled “Plan of Distribution.”</w:t>
      </w:r>
    </w:p>
    <w:p>
      <w:pPr>
        <w:sectPr>
          <w:pgSz w:w="11900" w:h="16838" w:orient="portrait"/>
          <w:cols w:equalWidth="0" w:num="1">
            <w:col w:w="11240"/>
          </w:cols>
          <w:pgMar w:left="320" w:top="459" w:right="339" w:bottom="1440" w:gutter="0" w:footer="0" w:header="0"/>
        </w:sectPr>
      </w:pP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intend to apply to list our Class A common stock on the</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under the symbol “</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We expect our Class A common stock to begin</w:t>
      </w:r>
    </w:p>
    <w:p>
      <w:pPr>
        <w:spacing w:after="0" w:line="58" w:lineRule="exact"/>
        <w:rPr>
          <w:sz w:val="20"/>
          <w:szCs w:val="20"/>
          <w:color w:val="auto"/>
        </w:rPr>
      </w:pPr>
    </w:p>
    <w:p>
      <w:pPr>
        <w:sectPr>
          <w:pgSz w:w="11900" w:h="16838" w:orient="portrait"/>
          <w:cols w:equalWidth="0" w:num="3">
            <w:col w:w="4360" w:space="720"/>
            <w:col w:w="1420" w:space="720"/>
            <w:col w:w="4020"/>
          </w:cols>
          <w:pgMar w:left="320" w:top="459" w:right="339" w:bottom="1440" w:gutter="0" w:footer="0" w:header="0"/>
          <w:type w:val="continuous"/>
        </w:sectPr>
      </w:pPr>
    </w:p>
    <w:p>
      <w:pPr>
        <w:spacing w:after="0"/>
        <w:tabs>
          <w:tab w:leader="none" w:pos="1800" w:val="left"/>
          <w:tab w:leader="none" w:pos="3380" w:val="left"/>
        </w:tabs>
        <w:rPr>
          <w:sz w:val="20"/>
          <w:szCs w:val="20"/>
          <w:color w:val="auto"/>
        </w:rPr>
      </w:pPr>
      <w:r>
        <w:rPr>
          <w:rFonts w:ascii="Arial" w:cs="Arial" w:eastAsia="Arial" w:hAnsi="Arial"/>
          <w:sz w:val="18"/>
          <w:szCs w:val="18"/>
          <w:b w:val="1"/>
          <w:bCs w:val="1"/>
          <w:i w:val="1"/>
          <w:iCs w:val="1"/>
          <w:color w:val="auto"/>
        </w:rPr>
        <w:t>trading on the</w:t>
      </w:r>
      <w:r>
        <w:rPr>
          <w:sz w:val="20"/>
          <w:szCs w:val="20"/>
          <w:color w:val="auto"/>
        </w:rPr>
        <w:tab/>
      </w:r>
      <w:r>
        <w:rPr>
          <w:rFonts w:ascii="Arial" w:cs="Arial" w:eastAsia="Arial" w:hAnsi="Arial"/>
          <w:sz w:val="18"/>
          <w:szCs w:val="18"/>
          <w:b w:val="1"/>
          <w:bCs w:val="1"/>
          <w:i w:val="1"/>
          <w:iCs w:val="1"/>
          <w:color w:val="auto"/>
        </w:rPr>
        <w:t>on or about</w:t>
      </w:r>
      <w:r>
        <w:rPr>
          <w:sz w:val="20"/>
          <w:szCs w:val="20"/>
          <w:color w:val="auto"/>
        </w:rPr>
        <w:tab/>
      </w:r>
      <w:r>
        <w:rPr>
          <w:rFonts w:ascii="Arial" w:cs="Arial" w:eastAsia="Arial" w:hAnsi="Arial"/>
          <w:sz w:val="16"/>
          <w:szCs w:val="16"/>
          <w:b w:val="1"/>
          <w:bCs w:val="1"/>
          <w:i w:val="1"/>
          <w:iCs w:val="1"/>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151765</wp:posOffset>
            </wp:positionV>
            <wp:extent cx="14916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type w:val="continuous"/>
        </w:sectPr>
      </w:pPr>
    </w:p>
    <w:p>
      <w:pPr>
        <w:spacing w:after="0" w:line="343"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b w:val="1"/>
          <w:bCs w:val="1"/>
          <w:i w:val="1"/>
          <w:iCs w:val="1"/>
          <w:color w:val="auto"/>
        </w:rPr>
        <w:t>We are an “emerging growth company” as defined under the federal securities laws, and as such, we have elected to comply with reduced reporting requirements for this prospectus and may elect to do so in future filings.</w:t>
      </w:r>
    </w:p>
    <w:p>
      <w:pPr>
        <w:spacing w:after="0" w:line="69" w:lineRule="exact"/>
        <w:rPr>
          <w:sz w:val="20"/>
          <w:szCs w:val="20"/>
          <w:color w:val="auto"/>
        </w:rPr>
      </w:pPr>
    </w:p>
    <w:p>
      <w:pPr>
        <w:ind w:right="80"/>
        <w:spacing w:after="0" w:line="260" w:lineRule="auto"/>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See the section titled “</w:t>
      </w:r>
      <w:hyperlink w:anchor="page17">
        <w:r>
          <w:rPr>
            <w:rFonts w:ascii="Arial" w:cs="Arial" w:eastAsia="Arial" w:hAnsi="Arial"/>
            <w:sz w:val="20"/>
            <w:szCs w:val="20"/>
            <w:b w:val="1"/>
            <w:bCs w:val="1"/>
            <w:i w:val="1"/>
            <w:iCs w:val="1"/>
            <w:u w:val="single" w:color="auto"/>
            <w:color w:val="0000EE"/>
          </w:rPr>
          <w:t>Risk Factors</w:t>
        </w:r>
      </w:hyperlink>
      <w:r>
        <w:rPr>
          <w:rFonts w:ascii="Arial" w:cs="Arial" w:eastAsia="Arial" w:hAnsi="Arial"/>
          <w:sz w:val="20"/>
          <w:szCs w:val="20"/>
          <w:b w:val="1"/>
          <w:bCs w:val="1"/>
          <w:i w:val="1"/>
          <w:iCs w:val="1"/>
          <w:color w:val="auto"/>
        </w:rPr>
        <w:t>” beginning on page 14 to read about factors you should consider before buying shares of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140335</wp:posOffset>
            </wp:positionV>
            <wp:extent cx="14916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30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The Securities and Exchange Commission and state securities regulators have not approved or disapproved these securities, or determined if this prospectus is truthful or complete. Any representation to the contrary is a criminal offense.</w:t>
      </w:r>
    </w:p>
    <w:p>
      <w:pPr>
        <w:spacing w:after="0" w:line="22"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 2020</w:t>
      </w:r>
    </w:p>
    <w:p>
      <w:pPr>
        <w:sectPr>
          <w:pgSz w:w="11900" w:h="16838" w:orient="portrait"/>
          <w:cols w:equalWidth="0" w:num="1">
            <w:col w:w="11240"/>
          </w:cols>
          <w:pgMar w:left="320" w:top="459" w:right="3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5020" w:type="dxa"/>
            <w:vAlign w:val="bottom"/>
            <w:gridSpan w:val="4"/>
            <w:vMerge w:val="restart"/>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About This Prospectus</w:t>
              </w:r>
            </w:hyperlink>
          </w:p>
        </w:tc>
        <w:tc>
          <w:tcPr>
            <w:tcW w:w="5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Page</w:t>
            </w:r>
          </w:p>
        </w:tc>
        <w:tc>
          <w:tcPr>
            <w:tcW w:w="5300" w:type="dxa"/>
            <w:vAlign w:val="bottom"/>
            <w:gridSpan w:val="5"/>
            <w:vMerge w:val="restart"/>
          </w:tcPr>
          <w:p>
            <w:pPr>
              <w:ind w:left="200"/>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Executive Compensation</w:t>
              </w:r>
            </w:hyperlink>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95"/>
        </w:trPr>
        <w:tc>
          <w:tcPr>
            <w:tcW w:w="5020" w:type="dxa"/>
            <w:vAlign w:val="bottom"/>
            <w:gridSpan w:val="4"/>
            <w:vMerge w:val="continue"/>
          </w:tcPr>
          <w:p>
            <w:pPr>
              <w:spacing w:after="0"/>
              <w:rPr>
                <w:sz w:val="16"/>
                <w:szCs w:val="16"/>
                <w:color w:val="auto"/>
              </w:rPr>
            </w:pPr>
          </w:p>
        </w:tc>
        <w:tc>
          <w:tcPr>
            <w:tcW w:w="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6"/>
                <w:szCs w:val="16"/>
                <w:color w:val="auto"/>
              </w:rPr>
            </w:pPr>
          </w:p>
        </w:tc>
        <w:tc>
          <w:tcPr>
            <w:tcW w:w="5300" w:type="dxa"/>
            <w:vAlign w:val="bottom"/>
            <w:gridSpan w:val="5"/>
            <w:vMerge w:val="continue"/>
          </w:tcPr>
          <w:p>
            <w:pPr>
              <w:spacing w:after="0"/>
              <w:rPr>
                <w:sz w:val="16"/>
                <w:szCs w:val="16"/>
                <w:color w:val="auto"/>
              </w:rPr>
            </w:pPr>
          </w:p>
        </w:tc>
        <w:tc>
          <w:tcPr>
            <w:tcW w:w="3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102</w:t>
            </w:r>
          </w:p>
        </w:tc>
        <w:tc>
          <w:tcPr>
            <w:tcW w:w="0" w:type="dxa"/>
            <w:vAlign w:val="bottom"/>
          </w:tcPr>
          <w:p>
            <w:pPr>
              <w:spacing w:after="0"/>
              <w:rPr>
                <w:sz w:val="1"/>
                <w:szCs w:val="1"/>
                <w:color w:val="auto"/>
              </w:rPr>
            </w:pPr>
          </w:p>
        </w:tc>
      </w:tr>
      <w:tr>
        <w:trPr>
          <w:trHeight w:val="216"/>
        </w:trPr>
        <w:tc>
          <w:tcPr>
            <w:tcW w:w="5020" w:type="dxa"/>
            <w:vAlign w:val="bottom"/>
            <w:gridSpan w:val="4"/>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Prospectus Summary</w:t>
              </w:r>
            </w:hyperlink>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5300" w:type="dxa"/>
            <w:vAlign w:val="bottom"/>
            <w:gridSpan w:val="5"/>
          </w:tcPr>
          <w:p>
            <w:pPr>
              <w:ind w:left="200"/>
              <w:spacing w:after="0"/>
              <w:rPr>
                <w:rFonts w:ascii="Arial" w:cs="Arial" w:eastAsia="Arial" w:hAnsi="Arial"/>
                <w:sz w:val="18"/>
                <w:szCs w:val="18"/>
                <w:u w:val="single" w:color="auto"/>
                <w:color w:val="0000EE"/>
              </w:rPr>
            </w:pPr>
            <w:hyperlink w:anchor="page114">
              <w:r>
                <w:rPr>
                  <w:rFonts w:ascii="Arial" w:cs="Arial" w:eastAsia="Arial" w:hAnsi="Arial"/>
                  <w:sz w:val="18"/>
                  <w:szCs w:val="18"/>
                  <w:u w:val="single" w:color="auto"/>
                  <w:color w:val="0000EE"/>
                </w:rPr>
                <w:t>Certain Relationships and Related Party Transactions</w:t>
              </w:r>
            </w:hyperlink>
          </w:p>
        </w:tc>
        <w:tc>
          <w:tcPr>
            <w:tcW w:w="340" w:type="dxa"/>
            <w:vAlign w:val="bottom"/>
          </w:tcPr>
          <w:p>
            <w:pPr>
              <w:jc w:val="right"/>
              <w:spacing w:after="0"/>
              <w:rPr>
                <w:sz w:val="20"/>
                <w:szCs w:val="20"/>
                <w:color w:val="auto"/>
              </w:rPr>
            </w:pPr>
            <w:r>
              <w:rPr>
                <w:rFonts w:ascii="Arial" w:cs="Arial" w:eastAsia="Arial" w:hAnsi="Arial"/>
                <w:sz w:val="18"/>
                <w:szCs w:val="18"/>
                <w:color w:val="auto"/>
                <w:w w:val="99"/>
              </w:rPr>
              <w:t>111</w:t>
            </w:r>
          </w:p>
        </w:tc>
        <w:tc>
          <w:tcPr>
            <w:tcW w:w="0" w:type="dxa"/>
            <w:vAlign w:val="bottom"/>
          </w:tcPr>
          <w:p>
            <w:pPr>
              <w:spacing w:after="0"/>
              <w:rPr>
                <w:sz w:val="1"/>
                <w:szCs w:val="1"/>
                <w:color w:val="auto"/>
              </w:rPr>
            </w:pPr>
          </w:p>
        </w:tc>
      </w:tr>
      <w:tr>
        <w:trPr>
          <w:trHeight w:val="216"/>
        </w:trPr>
        <w:tc>
          <w:tcPr>
            <w:tcW w:w="5020" w:type="dxa"/>
            <w:vAlign w:val="bottom"/>
            <w:gridSpan w:val="4"/>
          </w:tcPr>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Risk Factors</w:t>
              </w:r>
            </w:hyperlink>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5300" w:type="dxa"/>
            <w:vAlign w:val="bottom"/>
            <w:gridSpan w:val="5"/>
          </w:tcPr>
          <w:p>
            <w:pPr>
              <w:ind w:left="200"/>
              <w:spacing w:after="0"/>
              <w:rPr>
                <w:rFonts w:ascii="Arial" w:cs="Arial" w:eastAsia="Arial" w:hAnsi="Arial"/>
                <w:sz w:val="18"/>
                <w:szCs w:val="18"/>
                <w:u w:val="single" w:color="auto"/>
                <w:color w:val="0000EE"/>
              </w:rPr>
            </w:pPr>
            <w:hyperlink w:anchor="page118">
              <w:r>
                <w:rPr>
                  <w:rFonts w:ascii="Arial" w:cs="Arial" w:eastAsia="Arial" w:hAnsi="Arial"/>
                  <w:sz w:val="18"/>
                  <w:szCs w:val="18"/>
                  <w:u w:val="single" w:color="auto"/>
                  <w:color w:val="0000EE"/>
                </w:rPr>
                <w:t>Principal and Registered Stockholders</w:t>
              </w:r>
            </w:hyperlink>
          </w:p>
        </w:tc>
        <w:tc>
          <w:tcPr>
            <w:tcW w:w="340" w:type="dxa"/>
            <w:vAlign w:val="bottom"/>
          </w:tcPr>
          <w:p>
            <w:pPr>
              <w:jc w:val="right"/>
              <w:spacing w:after="0"/>
              <w:rPr>
                <w:sz w:val="20"/>
                <w:szCs w:val="20"/>
                <w:color w:val="auto"/>
              </w:rPr>
            </w:pPr>
            <w:r>
              <w:rPr>
                <w:rFonts w:ascii="Arial" w:cs="Arial" w:eastAsia="Arial" w:hAnsi="Arial"/>
                <w:sz w:val="18"/>
                <w:szCs w:val="18"/>
                <w:color w:val="auto"/>
                <w:w w:val="99"/>
              </w:rPr>
              <w:t>115</w:t>
            </w:r>
          </w:p>
        </w:tc>
        <w:tc>
          <w:tcPr>
            <w:tcW w:w="0" w:type="dxa"/>
            <w:vAlign w:val="bottom"/>
          </w:tcPr>
          <w:p>
            <w:pPr>
              <w:spacing w:after="0"/>
              <w:rPr>
                <w:sz w:val="1"/>
                <w:szCs w:val="1"/>
                <w:color w:val="auto"/>
              </w:rPr>
            </w:pPr>
          </w:p>
        </w:tc>
      </w:tr>
      <w:tr>
        <w:trPr>
          <w:trHeight w:val="216"/>
        </w:trPr>
        <w:tc>
          <w:tcPr>
            <w:tcW w:w="5020" w:type="dxa"/>
            <w:vAlign w:val="bottom"/>
            <w:gridSpan w:val="4"/>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Special Note Regarding Forward-Looking Statements</w:t>
              </w:r>
            </w:hyperlink>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46</w:t>
            </w:r>
          </w:p>
        </w:tc>
        <w:tc>
          <w:tcPr>
            <w:tcW w:w="5300" w:type="dxa"/>
            <w:vAlign w:val="bottom"/>
            <w:gridSpan w:val="5"/>
          </w:tcPr>
          <w:p>
            <w:pPr>
              <w:ind w:left="200"/>
              <w:spacing w:after="0"/>
              <w:rPr>
                <w:rFonts w:ascii="Arial" w:cs="Arial" w:eastAsia="Arial" w:hAnsi="Arial"/>
                <w:sz w:val="18"/>
                <w:szCs w:val="18"/>
                <w:u w:val="single" w:color="auto"/>
                <w:color w:val="0000EE"/>
              </w:rPr>
            </w:pPr>
            <w:hyperlink w:anchor="page121">
              <w:r>
                <w:rPr>
                  <w:rFonts w:ascii="Arial" w:cs="Arial" w:eastAsia="Arial" w:hAnsi="Arial"/>
                  <w:sz w:val="18"/>
                  <w:szCs w:val="18"/>
                  <w:u w:val="single" w:color="auto"/>
                  <w:color w:val="0000EE"/>
                </w:rPr>
                <w:t>Description of Capital Stock</w:t>
              </w:r>
            </w:hyperlink>
          </w:p>
        </w:tc>
        <w:tc>
          <w:tcPr>
            <w:tcW w:w="340" w:type="dxa"/>
            <w:vAlign w:val="bottom"/>
          </w:tcPr>
          <w:p>
            <w:pPr>
              <w:jc w:val="right"/>
              <w:spacing w:after="0"/>
              <w:rPr>
                <w:sz w:val="20"/>
                <w:szCs w:val="20"/>
                <w:color w:val="auto"/>
              </w:rPr>
            </w:pPr>
            <w:r>
              <w:rPr>
                <w:rFonts w:ascii="Arial" w:cs="Arial" w:eastAsia="Arial" w:hAnsi="Arial"/>
                <w:sz w:val="18"/>
                <w:szCs w:val="18"/>
                <w:color w:val="auto"/>
                <w:w w:val="99"/>
              </w:rPr>
              <w:t>118</w:t>
            </w:r>
          </w:p>
        </w:tc>
        <w:tc>
          <w:tcPr>
            <w:tcW w:w="0" w:type="dxa"/>
            <w:vAlign w:val="bottom"/>
          </w:tcPr>
          <w:p>
            <w:pPr>
              <w:spacing w:after="0"/>
              <w:rPr>
                <w:sz w:val="1"/>
                <w:szCs w:val="1"/>
                <w:color w:val="auto"/>
              </w:rPr>
            </w:pPr>
          </w:p>
        </w:tc>
      </w:tr>
      <w:tr>
        <w:trPr>
          <w:trHeight w:val="216"/>
        </w:trPr>
        <w:tc>
          <w:tcPr>
            <w:tcW w:w="5020" w:type="dxa"/>
            <w:vAlign w:val="bottom"/>
            <w:gridSpan w:val="4"/>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Market, Industry and Other Data</w:t>
              </w:r>
            </w:hyperlink>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48</w:t>
            </w:r>
          </w:p>
        </w:tc>
        <w:tc>
          <w:tcPr>
            <w:tcW w:w="5300" w:type="dxa"/>
            <w:vAlign w:val="bottom"/>
            <w:gridSpan w:val="5"/>
          </w:tcPr>
          <w:p>
            <w:pPr>
              <w:ind w:left="200"/>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Shares Eligible For Future Sale</w:t>
              </w:r>
            </w:hyperlink>
          </w:p>
        </w:tc>
        <w:tc>
          <w:tcPr>
            <w:tcW w:w="340" w:type="dxa"/>
            <w:vAlign w:val="bottom"/>
          </w:tcPr>
          <w:p>
            <w:pPr>
              <w:jc w:val="right"/>
              <w:spacing w:after="0"/>
              <w:rPr>
                <w:sz w:val="20"/>
                <w:szCs w:val="20"/>
                <w:color w:val="auto"/>
              </w:rPr>
            </w:pPr>
            <w:r>
              <w:rPr>
                <w:rFonts w:ascii="Arial" w:cs="Arial" w:eastAsia="Arial" w:hAnsi="Arial"/>
                <w:sz w:val="18"/>
                <w:szCs w:val="18"/>
                <w:color w:val="auto"/>
                <w:w w:val="99"/>
              </w:rPr>
              <w:t>125</w:t>
            </w:r>
          </w:p>
        </w:tc>
        <w:tc>
          <w:tcPr>
            <w:tcW w:w="0" w:type="dxa"/>
            <w:vAlign w:val="bottom"/>
          </w:tcPr>
          <w:p>
            <w:pPr>
              <w:spacing w:after="0"/>
              <w:rPr>
                <w:sz w:val="1"/>
                <w:szCs w:val="1"/>
                <w:color w:val="auto"/>
              </w:rPr>
            </w:pPr>
          </w:p>
        </w:tc>
      </w:tr>
      <w:tr>
        <w:trPr>
          <w:trHeight w:val="216"/>
        </w:trPr>
        <w:tc>
          <w:tcPr>
            <w:tcW w:w="5020" w:type="dxa"/>
            <w:vAlign w:val="bottom"/>
            <w:gridSpan w:val="4"/>
          </w:tcPr>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Use of Proceeds</w:t>
              </w:r>
            </w:hyperlink>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49</w:t>
            </w:r>
          </w:p>
        </w:tc>
        <w:tc>
          <w:tcPr>
            <w:tcW w:w="5300" w:type="dxa"/>
            <w:vAlign w:val="bottom"/>
            <w:gridSpan w:val="5"/>
          </w:tcPr>
          <w:p>
            <w:pPr>
              <w:ind w:left="200"/>
              <w:spacing w:after="0"/>
              <w:rPr>
                <w:rFonts w:ascii="Arial" w:cs="Arial" w:eastAsia="Arial" w:hAnsi="Arial"/>
                <w:sz w:val="18"/>
                <w:szCs w:val="18"/>
                <w:u w:val="single" w:color="auto"/>
                <w:color w:val="0000EE"/>
              </w:rPr>
            </w:pPr>
            <w:hyperlink w:anchor="page130">
              <w:r>
                <w:rPr>
                  <w:rFonts w:ascii="Arial" w:cs="Arial" w:eastAsia="Arial" w:hAnsi="Arial"/>
                  <w:sz w:val="18"/>
                  <w:szCs w:val="18"/>
                  <w:u w:val="single" w:color="auto"/>
                  <w:color w:val="0000EE"/>
                </w:rPr>
                <w:t>Sale Price History of our Capital Stock</w:t>
              </w:r>
            </w:hyperlink>
          </w:p>
        </w:tc>
        <w:tc>
          <w:tcPr>
            <w:tcW w:w="340" w:type="dxa"/>
            <w:vAlign w:val="bottom"/>
          </w:tcPr>
          <w:p>
            <w:pPr>
              <w:jc w:val="right"/>
              <w:spacing w:after="0"/>
              <w:rPr>
                <w:sz w:val="20"/>
                <w:szCs w:val="20"/>
                <w:color w:val="auto"/>
              </w:rPr>
            </w:pPr>
            <w:r>
              <w:rPr>
                <w:rFonts w:ascii="Arial" w:cs="Arial" w:eastAsia="Arial" w:hAnsi="Arial"/>
                <w:sz w:val="18"/>
                <w:szCs w:val="18"/>
                <w:color w:val="auto"/>
                <w:w w:val="99"/>
              </w:rPr>
              <w:t>127</w:t>
            </w:r>
          </w:p>
        </w:tc>
        <w:tc>
          <w:tcPr>
            <w:tcW w:w="0" w:type="dxa"/>
            <w:vAlign w:val="bottom"/>
          </w:tcPr>
          <w:p>
            <w:pPr>
              <w:spacing w:after="0"/>
              <w:rPr>
                <w:sz w:val="1"/>
                <w:szCs w:val="1"/>
                <w:color w:val="auto"/>
              </w:rPr>
            </w:pPr>
          </w:p>
        </w:tc>
      </w:tr>
      <w:tr>
        <w:trPr>
          <w:trHeight w:val="190"/>
        </w:trPr>
        <w:tc>
          <w:tcPr>
            <w:tcW w:w="5020" w:type="dxa"/>
            <w:vAlign w:val="bottom"/>
            <w:gridSpan w:val="4"/>
          </w:tcPr>
          <w:p>
            <w:pPr>
              <w:spacing w:after="0" w:line="190" w:lineRule="exact"/>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Dividend Policy</w:t>
              </w:r>
            </w:hyperlink>
          </w:p>
        </w:tc>
        <w:tc>
          <w:tcPr>
            <w:tcW w:w="500" w:type="dxa"/>
            <w:vAlign w:val="bottom"/>
            <w:gridSpan w:val="2"/>
          </w:tcPr>
          <w:p>
            <w:pPr>
              <w:jc w:val="right"/>
              <w:ind w:right="200"/>
              <w:spacing w:after="0" w:line="190" w:lineRule="exact"/>
              <w:rPr>
                <w:sz w:val="20"/>
                <w:szCs w:val="20"/>
                <w:color w:val="auto"/>
              </w:rPr>
            </w:pPr>
            <w:r>
              <w:rPr>
                <w:rFonts w:ascii="Arial" w:cs="Arial" w:eastAsia="Arial" w:hAnsi="Arial"/>
                <w:sz w:val="18"/>
                <w:szCs w:val="18"/>
                <w:color w:val="auto"/>
              </w:rPr>
              <w:t>50</w:t>
            </w:r>
          </w:p>
        </w:tc>
        <w:tc>
          <w:tcPr>
            <w:tcW w:w="200" w:type="dxa"/>
            <w:vAlign w:val="bottom"/>
          </w:tcPr>
          <w:p>
            <w:pPr>
              <w:spacing w:after="0"/>
              <w:rPr>
                <w:sz w:val="16"/>
                <w:szCs w:val="16"/>
                <w:color w:val="auto"/>
              </w:rPr>
            </w:pPr>
          </w:p>
        </w:tc>
        <w:tc>
          <w:tcPr>
            <w:tcW w:w="4620" w:type="dxa"/>
            <w:vAlign w:val="bottom"/>
            <w:tcBorders>
              <w:bottom w:val="single" w:sz="8" w:color="0000EE"/>
            </w:tcBorders>
            <w:gridSpan w:val="3"/>
          </w:tcPr>
          <w:p>
            <w:pPr>
              <w:spacing w:after="0" w:line="190" w:lineRule="exact"/>
              <w:rPr>
                <w:rFonts w:ascii="Arial" w:cs="Arial" w:eastAsia="Arial" w:hAnsi="Arial"/>
                <w:sz w:val="18"/>
                <w:szCs w:val="18"/>
                <w:color w:val="0000EE"/>
                <w:w w:val="91"/>
              </w:rPr>
            </w:pPr>
            <w:hyperlink w:anchor="page131">
              <w:r>
                <w:rPr>
                  <w:rFonts w:ascii="Arial" w:cs="Arial" w:eastAsia="Arial" w:hAnsi="Arial"/>
                  <w:sz w:val="18"/>
                  <w:szCs w:val="18"/>
                  <w:color w:val="0000EE"/>
                  <w:w w:val="91"/>
                </w:rPr>
                <w:t>Material U.S. Federal Income Tax Considerations For Non-U.S.</w:t>
              </w:r>
            </w:hyperlink>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20" w:type="dxa"/>
            <w:vAlign w:val="bottom"/>
            <w:gridSpan w:val="4"/>
          </w:tcPr>
          <w:p>
            <w:pPr>
              <w:spacing w:after="0" w:line="196" w:lineRule="exact"/>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Capitalization</w:t>
              </w:r>
            </w:hyperlink>
          </w:p>
        </w:tc>
        <w:tc>
          <w:tcPr>
            <w:tcW w:w="5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51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131">
              <w:r>
                <w:rPr>
                  <w:rFonts w:ascii="Arial" w:cs="Arial" w:eastAsia="Arial" w:hAnsi="Arial"/>
                  <w:sz w:val="18"/>
                  <w:szCs w:val="18"/>
                  <w:color w:val="0000EE"/>
                  <w:w w:val="91"/>
                </w:rPr>
                <w:t>Holders of Common Stock</w:t>
              </w:r>
            </w:hyperlink>
          </w:p>
        </w:tc>
        <w:tc>
          <w:tcPr>
            <w:tcW w:w="2980" w:type="dxa"/>
            <w:vAlign w:val="bottom"/>
            <w:gridSpan w:val="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w w:val="99"/>
              </w:rPr>
              <w:t>128</w:t>
            </w:r>
          </w:p>
        </w:tc>
        <w:tc>
          <w:tcPr>
            <w:tcW w:w="0" w:type="dxa"/>
            <w:vAlign w:val="bottom"/>
          </w:tcPr>
          <w:p>
            <w:pPr>
              <w:spacing w:after="0"/>
              <w:rPr>
                <w:sz w:val="1"/>
                <w:szCs w:val="1"/>
                <w:color w:val="auto"/>
              </w:rPr>
            </w:pPr>
          </w:p>
        </w:tc>
      </w:tr>
      <w:tr>
        <w:trPr>
          <w:trHeight w:val="222"/>
        </w:trPr>
        <w:tc>
          <w:tcPr>
            <w:tcW w:w="5020" w:type="dxa"/>
            <w:vAlign w:val="bottom"/>
            <w:gridSpan w:val="4"/>
          </w:tcPr>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Selected Consolidated Financial Data</w:t>
              </w:r>
            </w:hyperlink>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53</w:t>
            </w:r>
          </w:p>
        </w:tc>
        <w:tc>
          <w:tcPr>
            <w:tcW w:w="5300" w:type="dxa"/>
            <w:vAlign w:val="bottom"/>
            <w:gridSpan w:val="5"/>
          </w:tcPr>
          <w:p>
            <w:pPr>
              <w:ind w:left="200"/>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Plan of Distribution</w:t>
              </w:r>
            </w:hyperlink>
          </w:p>
        </w:tc>
        <w:tc>
          <w:tcPr>
            <w:tcW w:w="340" w:type="dxa"/>
            <w:vAlign w:val="bottom"/>
          </w:tcPr>
          <w:p>
            <w:pPr>
              <w:jc w:val="right"/>
              <w:spacing w:after="0"/>
              <w:rPr>
                <w:sz w:val="20"/>
                <w:szCs w:val="20"/>
                <w:color w:val="auto"/>
              </w:rPr>
            </w:pPr>
            <w:r>
              <w:rPr>
                <w:rFonts w:ascii="Arial" w:cs="Arial" w:eastAsia="Arial" w:hAnsi="Arial"/>
                <w:sz w:val="18"/>
                <w:szCs w:val="18"/>
                <w:color w:val="auto"/>
                <w:w w:val="99"/>
              </w:rPr>
              <w:t>132</w:t>
            </w:r>
          </w:p>
        </w:tc>
        <w:tc>
          <w:tcPr>
            <w:tcW w:w="0" w:type="dxa"/>
            <w:vAlign w:val="bottom"/>
          </w:tcPr>
          <w:p>
            <w:pPr>
              <w:spacing w:after="0"/>
              <w:rPr>
                <w:sz w:val="1"/>
                <w:szCs w:val="1"/>
                <w:color w:val="auto"/>
              </w:rPr>
            </w:pPr>
          </w:p>
        </w:tc>
      </w:tr>
      <w:tr>
        <w:trPr>
          <w:trHeight w:val="190"/>
        </w:trPr>
        <w:tc>
          <w:tcPr>
            <w:tcW w:w="4540" w:type="dxa"/>
            <w:vAlign w:val="bottom"/>
            <w:tcBorders>
              <w:bottom w:val="single" w:sz="8" w:color="0000EE"/>
            </w:tcBorders>
            <w:gridSpan w:val="3"/>
          </w:tcPr>
          <w:p>
            <w:pPr>
              <w:spacing w:after="0" w:line="190" w:lineRule="exact"/>
              <w:rPr>
                <w:rFonts w:ascii="Arial" w:cs="Arial" w:eastAsia="Arial" w:hAnsi="Arial"/>
                <w:sz w:val="18"/>
                <w:szCs w:val="18"/>
                <w:color w:val="0000EE"/>
                <w:w w:val="91"/>
              </w:rPr>
            </w:pPr>
            <w:hyperlink w:anchor="page58">
              <w:r>
                <w:rPr>
                  <w:rFonts w:ascii="Arial" w:cs="Arial" w:eastAsia="Arial" w:hAnsi="Arial"/>
                  <w:sz w:val="18"/>
                  <w:szCs w:val="18"/>
                  <w:color w:val="0000EE"/>
                  <w:w w:val="91"/>
                </w:rPr>
                <w:t>Management’s Discussion and Analysis of Financial Condition</w:t>
              </w:r>
            </w:hyperlink>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300" w:type="dxa"/>
            <w:vAlign w:val="bottom"/>
            <w:gridSpan w:val="5"/>
          </w:tcPr>
          <w:p>
            <w:pPr>
              <w:ind w:left="200"/>
              <w:spacing w:after="0" w:line="190" w:lineRule="exact"/>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Legal Matters</w:t>
              </w:r>
            </w:hyperlink>
          </w:p>
        </w:tc>
        <w:tc>
          <w:tcPr>
            <w:tcW w:w="340" w:type="dxa"/>
            <w:vAlign w:val="bottom"/>
          </w:tcPr>
          <w:p>
            <w:pPr>
              <w:jc w:val="right"/>
              <w:spacing w:after="0" w:line="190" w:lineRule="exact"/>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58">
              <w:r>
                <w:rPr>
                  <w:rFonts w:ascii="Arial" w:cs="Arial" w:eastAsia="Arial" w:hAnsi="Arial"/>
                  <w:sz w:val="18"/>
                  <w:szCs w:val="18"/>
                  <w:color w:val="0000EE"/>
                  <w:w w:val="88"/>
                </w:rPr>
                <w:t>and Results of Operations</w:t>
              </w:r>
            </w:hyperlink>
          </w:p>
        </w:tc>
        <w:tc>
          <w:tcPr>
            <w:tcW w:w="2980" w:type="dxa"/>
            <w:vAlign w:val="bottom"/>
            <w:gridSpan w:val="2"/>
          </w:tcPr>
          <w:p>
            <w:pPr>
              <w:spacing w:after="0"/>
              <w:rPr>
                <w:sz w:val="17"/>
                <w:szCs w:val="17"/>
                <w:color w:val="auto"/>
              </w:rPr>
            </w:pPr>
          </w:p>
        </w:tc>
        <w:tc>
          <w:tcPr>
            <w:tcW w:w="5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55</w:t>
            </w:r>
          </w:p>
        </w:tc>
        <w:tc>
          <w:tcPr>
            <w:tcW w:w="5300" w:type="dxa"/>
            <w:vAlign w:val="bottom"/>
            <w:gridSpan w:val="5"/>
          </w:tcPr>
          <w:p>
            <w:pPr>
              <w:ind w:left="200"/>
              <w:spacing w:after="0" w:line="196" w:lineRule="exact"/>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Experts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222"/>
        </w:trPr>
        <w:tc>
          <w:tcPr>
            <w:tcW w:w="5020" w:type="dxa"/>
            <w:vAlign w:val="bottom"/>
            <w:gridSpan w:val="4"/>
          </w:tcPr>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Business</w:t>
              </w:r>
            </w:hyperlink>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72</w:t>
            </w:r>
          </w:p>
        </w:tc>
        <w:tc>
          <w:tcPr>
            <w:tcW w:w="5300" w:type="dxa"/>
            <w:vAlign w:val="bottom"/>
            <w:gridSpan w:val="5"/>
          </w:tcPr>
          <w:p>
            <w:pPr>
              <w:ind w:left="200"/>
              <w:spacing w:after="0"/>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Where You Can Find Additional Information</w:t>
              </w:r>
            </w:hyperlink>
          </w:p>
        </w:tc>
        <w:tc>
          <w:tcPr>
            <w:tcW w:w="340" w:type="dxa"/>
            <w:vAlign w:val="bottom"/>
          </w:tcPr>
          <w:p>
            <w:pPr>
              <w:jc w:val="right"/>
              <w:spacing w:after="0"/>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230"/>
        </w:trPr>
        <w:tc>
          <w:tcPr>
            <w:tcW w:w="5020" w:type="dxa"/>
            <w:vAlign w:val="bottom"/>
            <w:gridSpan w:val="4"/>
          </w:tcPr>
          <w:p>
            <w:pPr>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Management</w:t>
              </w:r>
            </w:hyperlink>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94</w:t>
            </w:r>
          </w:p>
        </w:tc>
        <w:tc>
          <w:tcPr>
            <w:tcW w:w="5300" w:type="dxa"/>
            <w:vAlign w:val="bottom"/>
            <w:gridSpan w:val="5"/>
          </w:tcPr>
          <w:p>
            <w:pPr>
              <w:ind w:left="200"/>
              <w:spacing w:after="0"/>
              <w:rPr>
                <w:rFonts w:ascii="Arial" w:cs="Arial" w:eastAsia="Arial" w:hAnsi="Arial"/>
                <w:sz w:val="18"/>
                <w:szCs w:val="18"/>
                <w:u w:val="single" w:color="auto"/>
                <w:color w:val="0000EE"/>
              </w:rPr>
            </w:pPr>
            <w:hyperlink w:anchor="page137">
              <w:r>
                <w:rPr>
                  <w:rFonts w:ascii="Arial" w:cs="Arial" w:eastAsia="Arial" w:hAnsi="Arial"/>
                  <w:sz w:val="18"/>
                  <w:szCs w:val="18"/>
                  <w:u w:val="single" w:color="auto"/>
                  <w:color w:val="0000EE"/>
                </w:rPr>
                <w:t>Index to Consolidated Financial Statements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317500</wp:posOffset>
            </wp:positionV>
            <wp:extent cx="14916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60" w:firstLine="449"/>
        <w:spacing w:after="0" w:line="272" w:lineRule="auto"/>
        <w:rPr>
          <w:sz w:val="20"/>
          <w:szCs w:val="20"/>
          <w:color w:val="auto"/>
        </w:rPr>
      </w:pPr>
      <w:r>
        <w:rPr>
          <w:rFonts w:ascii="Arial" w:cs="Arial" w:eastAsia="Arial" w:hAnsi="Arial"/>
          <w:sz w:val="17"/>
          <w:szCs w:val="17"/>
          <w:color w:val="auto"/>
        </w:rPr>
        <w:t>You should rely only on the information contained in this prospectus or contained in any free writing prospectus filed with the Securities and Exchange Commission, or the SEC. Neither we nor any of the Registered Stockholders have authorized anyone to provide any information or make any representations other than those contained in this prospectus or in any free writing prospectus we have prepared. We take no responsibility for, and can provide no assurance as to the reliability of, any other information that others may give you. The Registered Stockholders are offering to sell, and seeking offers to buy, shares of their Class A common stock only in jurisdictions where offers and sales are permitted. The information contained in this prospectus is accurate only as of the date of this prospectus, regardless of the time of delivery of this prospectus or of any sale of the Class A common stock. Our business, financial condition, results of operations, and prospects may have changed since such date.</w:t>
      </w:r>
    </w:p>
    <w:p>
      <w:pPr>
        <w:spacing w:after="0" w:line="173" w:lineRule="exact"/>
        <w:rPr>
          <w:sz w:val="20"/>
          <w:szCs w:val="20"/>
          <w:color w:val="auto"/>
        </w:rPr>
      </w:pPr>
    </w:p>
    <w:p>
      <w:pPr>
        <w:ind w:right="20" w:firstLine="449"/>
        <w:spacing w:after="0" w:line="282" w:lineRule="auto"/>
        <w:rPr>
          <w:sz w:val="20"/>
          <w:szCs w:val="20"/>
          <w:color w:val="auto"/>
        </w:rPr>
      </w:pPr>
      <w:r>
        <w:rPr>
          <w:rFonts w:ascii="Arial" w:cs="Arial" w:eastAsia="Arial" w:hAnsi="Arial"/>
          <w:sz w:val="18"/>
          <w:szCs w:val="18"/>
          <w:b w:val="1"/>
          <w:bCs w:val="1"/>
          <w:color w:val="auto"/>
        </w:rPr>
        <w:t>Through and including , 2020 (the 25th day after the listing date of our Class A common stock), all dealers effecting transactions in these securities, whether or not participating in this offering, may be required to deliver a prospectus.</w:t>
      </w:r>
    </w:p>
    <w:p>
      <w:pPr>
        <w:spacing w:after="0" w:line="166"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For investors outside of the United States, neither we nor any of the Registered Stockholders have done anything that would permit the use of or possession or distribution of this prospectus in any jurisdiction where action for that purpose is required, other than in the United States. You are required to inform yourselves about, and to observe any restrictions relating to, the offering of Class A common stock by the Registered Stockholders and the distribution of this prospectus outside of the United States.</w:t>
      </w:r>
    </w:p>
    <w:p>
      <w:pPr>
        <w:sectPr>
          <w:pgSz w:w="11900" w:h="16838" w:orient="portrait"/>
          <w:cols w:equalWidth="0" w:num="1">
            <w:col w:w="11220"/>
          </w:cols>
          <w:pgMar w:left="320" w:top="459" w:right="3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160" w:firstLine="449"/>
        <w:spacing w:after="0" w:line="273" w:lineRule="auto"/>
        <w:rPr>
          <w:sz w:val="20"/>
          <w:szCs w:val="20"/>
          <w:color w:val="auto"/>
        </w:rPr>
      </w:pPr>
      <w:r>
        <w:rPr>
          <w:rFonts w:ascii="Arial" w:cs="Arial" w:eastAsia="Arial" w:hAnsi="Arial"/>
          <w:sz w:val="17"/>
          <w:szCs w:val="17"/>
          <w:color w:val="auto"/>
        </w:rPr>
        <w:t>This prospectus is a part of a registration statement on Form S-1 that we filed with the SEC using a “shelf” registration or continuous offering process. Under this shelf process, the Registered Stockholders may, from time to time, sell the Class A common stock covered by this prospectus in the manner described in the section titled “Plan of Distribution.” Additionally, we may provide a prospectus supplement to add information to, or update or change information contained in, this prospectus, including the section titled “Plan of Distribution.” You may obtain this information without charge by following the instructions under the section titled “Where You Can Find Additional Information” appearing elsewhere in this prospectus. You should read this prospectus and any prospectus supplement before deciding to invest in our Class A common stock</w:t>
      </w:r>
      <w:r>
        <w:rPr>
          <w:rFonts w:ascii="Arial" w:cs="Arial" w:eastAsia="Arial" w:hAnsi="Arial"/>
          <w:sz w:val="17"/>
          <w:szCs w:val="17"/>
          <w:i w:val="1"/>
          <w:iCs w:val="1"/>
          <w:color w:val="auto"/>
        </w:rPr>
        <w: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as otherwise indicated, all information in this prospectus assumes:</w:t>
      </w:r>
    </w:p>
    <w:p>
      <w:pPr>
        <w:spacing w:after="0" w:line="131" w:lineRule="exact"/>
        <w:rPr>
          <w:sz w:val="20"/>
          <w:szCs w:val="20"/>
          <w:color w:val="auto"/>
        </w:rPr>
      </w:pPr>
    </w:p>
    <w:p>
      <w:pPr>
        <w:ind w:left="1000" w:hanging="547"/>
        <w:spacing w:after="0" w:line="277"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filing and effectiveness of our restated certificate of incorporation in Delaware and the adoption of our restated bylaws, each of which will occur in connection with the effectiveness of the registration statement of which this prospectus forms a part;</w:t>
      </w:r>
    </w:p>
    <w:p>
      <w:pPr>
        <w:spacing w:after="0" w:line="75" w:lineRule="exact"/>
        <w:rPr>
          <w:rFonts w:ascii="Arial" w:cs="Arial" w:eastAsia="Arial" w:hAnsi="Arial"/>
          <w:sz w:val="18"/>
          <w:szCs w:val="18"/>
          <w:color w:val="auto"/>
        </w:rPr>
      </w:pPr>
    </w:p>
    <w:p>
      <w:pPr>
        <w:ind w:left="1600" w:right="40" w:hanging="1147"/>
        <w:spacing w:after="0" w:line="291" w:lineRule="auto"/>
        <w:tabs>
          <w:tab w:leader="none" w:pos="1015"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automatic conversion of all outstanding shares of our redeemable convertible preferred stock, or preferred stock, into an aggregate of shares of our Class B common stock, the conversion of which will occur upon the effectiveness of the registration statement of which</w:t>
      </w:r>
    </w:p>
    <w:p>
      <w:pPr>
        <w:ind w:left="1000"/>
        <w:spacing w:after="0"/>
        <w:rPr>
          <w:sz w:val="20"/>
          <w:szCs w:val="20"/>
          <w:color w:val="auto"/>
        </w:rPr>
      </w:pPr>
      <w:r>
        <w:rPr>
          <w:rFonts w:ascii="Arial" w:cs="Arial" w:eastAsia="Arial" w:hAnsi="Arial"/>
          <w:sz w:val="18"/>
          <w:szCs w:val="18"/>
          <w:color w:val="auto"/>
        </w:rPr>
        <w:t>this prospectus forms a part;</w:t>
      </w:r>
    </w:p>
    <w:p>
      <w:pPr>
        <w:spacing w:after="0" w:line="116" w:lineRule="exact"/>
        <w:rPr>
          <w:sz w:val="20"/>
          <w:szCs w:val="20"/>
          <w:color w:val="auto"/>
        </w:rPr>
      </w:pPr>
    </w:p>
    <w:p>
      <w:pPr>
        <w:ind w:left="1000" w:hanging="547"/>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conversion of our 3.5% senior mandatory convertible promissory note due 2025;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exercise of the outstanding options or vesting and settlement of the restricted stock units, or RSUs, described herein.</w:t>
      </w:r>
    </w:p>
    <w:p>
      <w:pPr>
        <w:spacing w:after="0" w:line="225" w:lineRule="exact"/>
        <w:rPr>
          <w:sz w:val="20"/>
          <w:szCs w:val="20"/>
          <w:color w:val="auto"/>
        </w:rPr>
      </w:pPr>
    </w:p>
    <w:p>
      <w:pPr>
        <w:ind w:right="40" w:firstLine="449"/>
        <w:spacing w:after="0" w:line="273" w:lineRule="auto"/>
        <w:rPr>
          <w:sz w:val="20"/>
          <w:szCs w:val="20"/>
          <w:color w:val="auto"/>
        </w:rPr>
      </w:pPr>
      <w:r>
        <w:rPr>
          <w:rFonts w:ascii="Arial" w:cs="Arial" w:eastAsia="Arial" w:hAnsi="Arial"/>
          <w:sz w:val="17"/>
          <w:szCs w:val="17"/>
          <w:color w:val="auto"/>
        </w:rPr>
        <w:t>Prior to the effectiveness of the registration statement of which this prospectus forms a part, we had a dual class capital structure whereby holders of our Class A common stock were entitled to 100 votes per share and holders of our Class B common stock were entitled to one vote per share. We intend to reclassify our Class A common stock and Class B common stock into Class B common stock and Class A common stock, respectively, and reduce the voting power of the high-vote common stock (reclassified as Class B common stock) from 100 votes per share to 10 votes per share. We refer to the foregoing as the Reclassification throughout this prospectus. References to Class A common stock and Class B common stock in our consolidated financial statements contained elsewhere in this prospectus do not reflect the Reclassification.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979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59791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right="20" w:firstLine="434"/>
        <w:spacing w:after="0" w:line="272" w:lineRule="auto"/>
        <w:rPr>
          <w:sz w:val="20"/>
          <w:szCs w:val="20"/>
          <w:color w:val="auto"/>
        </w:rPr>
      </w:pPr>
      <w:r>
        <w:rPr>
          <w:rFonts w:ascii="Arial" w:cs="Arial" w:eastAsia="Arial" w:hAnsi="Arial"/>
          <w:sz w:val="17"/>
          <w:szCs w:val="17"/>
          <w:i w:val="1"/>
          <w:iCs w:val="1"/>
          <w:color w:val="auto"/>
        </w:rPr>
        <w:t>This summary highlights information contained in greater detail elsewhere in this prospectus. This summary is not complete and does not contain all of the information you should consider in making your investment decision. You should read the entire prospectus carefully before making an investment in our Class A common stock. You should carefully consider, among other things, our consolidated financial statements and the sections titled “Risk Factors” and “Management’s Discussion and Analysis of Financial Condition and Results of Operations” included elsewhere in this prospectus before making an investment decision. Unless the context otherwise requires, the terms “Asana,” “the company,” “we,” “us,” and “our” in this prospectus refers to Asana, Inc. and its consolidated subsidiaries. Our fiscal year ends January 31, and references throughout this prospectus to a given fiscal year are to the 12 months ended on that date.</w:t>
      </w:r>
    </w:p>
    <w:p>
      <w:pPr>
        <w:spacing w:after="0" w:line="38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ASANA, INC.</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mission is to help humanity thrive by enabling the world’s teams to work together effortlessly.</w:t>
      </w:r>
    </w:p>
    <w:p>
      <w:pPr>
        <w:spacing w:after="0" w:line="225" w:lineRule="exact"/>
        <w:rPr>
          <w:sz w:val="20"/>
          <w:szCs w:val="20"/>
          <w:color w:val="auto"/>
        </w:rPr>
      </w:pPr>
    </w:p>
    <w:p>
      <w:pPr>
        <w:ind w:left="200" w:firstLine="434"/>
        <w:spacing w:after="0" w:line="259" w:lineRule="auto"/>
        <w:rPr>
          <w:sz w:val="20"/>
          <w:szCs w:val="20"/>
          <w:color w:val="auto"/>
        </w:rPr>
      </w:pPr>
      <w:r>
        <w:rPr>
          <w:rFonts w:ascii="Arial" w:cs="Arial" w:eastAsia="Arial" w:hAnsi="Arial"/>
          <w:sz w:val="18"/>
          <w:szCs w:val="18"/>
          <w:color w:val="auto"/>
        </w:rPr>
        <w:t>Asana is a work management platform that helps teams orchestrate work, from daily tasks to cross-functional strategic initiatives. Over 75,000 paying customers use Asana to manage everything from product launches to marketing campaigns to organization-wide goal setting. Our platform adds structure to unstructured work, creating clarity, transparency, and accountability to everyone within an organization—individuals, team leads, and executives—so they understand exactly who is doing what, by when.</w:t>
      </w:r>
    </w:p>
    <w:p>
      <w:pPr>
        <w:spacing w:after="0" w:line="295"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History</w:t>
      </w:r>
    </w:p>
    <w:p>
      <w:pPr>
        <w:spacing w:after="0" w:line="117" w:lineRule="exact"/>
        <w:rPr>
          <w:sz w:val="20"/>
          <w:szCs w:val="20"/>
          <w:color w:val="auto"/>
        </w:rPr>
      </w:pPr>
    </w:p>
    <w:p>
      <w:pPr>
        <w:ind w:left="200" w:firstLine="434"/>
        <w:spacing w:after="0" w:line="275" w:lineRule="auto"/>
        <w:rPr>
          <w:sz w:val="20"/>
          <w:szCs w:val="20"/>
          <w:color w:val="auto"/>
        </w:rPr>
      </w:pPr>
      <w:r>
        <w:rPr>
          <w:rFonts w:ascii="Arial" w:cs="Arial" w:eastAsia="Arial" w:hAnsi="Arial"/>
          <w:sz w:val="17"/>
          <w:szCs w:val="17"/>
          <w:color w:val="auto"/>
        </w:rPr>
        <w:t>We started Asana because our co-founders experienced firsthand the growing problem of work about work. While at Facebook, they saw the coordination challenges the company faced as it scaled. Instead of spending time on work that generated results, they were spending time in status meetings and long email threads trying to figure out who was responsible for what. They recognized the pain of work about work was universal to teams that need to coordinate their work effectively to achieve their objectives. Yet there were no products in the market that adequately addressed this pain. As a result of that frustration, they were inspired to create Asana to solve this problem for the world’s teams.</w:t>
      </w:r>
    </w:p>
    <w:p>
      <w:pPr>
        <w:spacing w:after="0" w:line="176" w:lineRule="exact"/>
        <w:rPr>
          <w:sz w:val="20"/>
          <w:szCs w:val="20"/>
          <w:color w:val="auto"/>
        </w:rPr>
      </w:pPr>
    </w:p>
    <w:p>
      <w:pPr>
        <w:ind w:left="200" w:right="420" w:firstLine="434"/>
        <w:spacing w:after="0" w:line="263" w:lineRule="auto"/>
        <w:rPr>
          <w:sz w:val="20"/>
          <w:szCs w:val="20"/>
          <w:color w:val="auto"/>
        </w:rPr>
      </w:pPr>
      <w:r>
        <w:rPr>
          <w:rFonts w:ascii="Arial" w:cs="Arial" w:eastAsia="Arial" w:hAnsi="Arial"/>
          <w:sz w:val="18"/>
          <w:szCs w:val="18"/>
          <w:color w:val="auto"/>
        </w:rPr>
        <w:t>Since our inception, millions of teams in virtually every country around the world have used Asana. With Asana, users experience higher productivity, which has led to rapid adoption across teams, departments, and organizations. As of January 31, 2020, we had over 1.2 million paid users.</w:t>
      </w:r>
    </w:p>
    <w:p>
      <w:pPr>
        <w:spacing w:after="0" w:line="292"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Teams Spend Too Much Time on Work About Work</w:t>
      </w:r>
    </w:p>
    <w:p>
      <w:pPr>
        <w:spacing w:after="0" w:line="117" w:lineRule="exact"/>
        <w:rPr>
          <w:sz w:val="20"/>
          <w:szCs w:val="20"/>
          <w:color w:val="auto"/>
        </w:rPr>
      </w:pPr>
    </w:p>
    <w:p>
      <w:pPr>
        <w:ind w:left="200" w:right="120" w:firstLine="434"/>
        <w:spacing w:after="0" w:line="293" w:lineRule="auto"/>
        <w:rPr>
          <w:sz w:val="20"/>
          <w:szCs w:val="20"/>
          <w:color w:val="auto"/>
        </w:rPr>
      </w:pPr>
      <w:r>
        <w:rPr>
          <w:rFonts w:ascii="Arial" w:cs="Arial" w:eastAsia="Arial" w:hAnsi="Arial"/>
          <w:sz w:val="16"/>
          <w:szCs w:val="16"/>
          <w:color w:val="auto"/>
        </w:rPr>
        <w:t>Work continues to get harder to manage as organizations try to move faster to respond to changing market demands. Today, 60% of knowledge workers’ time is spent on work about work. At work, people face an overwhelming volume of communications from email and messaging applications, many of which are asking for status updates. These messages often go to multiple people, so there is limited clarity around what steps need to be taken and by when, and limited accountability around who owns the action. As a result, requests go unanswered, and employees spend more time searching and responding to messages in an attempt to provide clarity and accountability to their teams. To minimize work about work, reduce chaos, and give individuals time back to focus on the work that matters, teams need a purpose-built solution for coordination.</w:t>
      </w:r>
    </w:p>
    <w:p>
      <w:pPr>
        <w:spacing w:after="0" w:line="200" w:lineRule="exact"/>
        <w:rPr>
          <w:sz w:val="20"/>
          <w:szCs w:val="20"/>
          <w:color w:val="auto"/>
        </w:rPr>
      </w:pPr>
    </w:p>
    <w:p>
      <w:pPr>
        <w:spacing w:after="0" w:line="39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40"/>
          </w:cols>
          <w:pgMar w:left="320" w:top="459" w:right="5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9531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59531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How Asana Helps Teams</w:t>
      </w:r>
    </w:p>
    <w:p>
      <w:pPr>
        <w:spacing w:after="0" w:line="117" w:lineRule="exact"/>
        <w:rPr>
          <w:sz w:val="20"/>
          <w:szCs w:val="20"/>
          <w:color w:val="auto"/>
        </w:rPr>
      </w:pPr>
    </w:p>
    <w:p>
      <w:pPr>
        <w:ind w:left="200" w:right="40" w:firstLine="434"/>
        <w:spacing w:after="0" w:line="263" w:lineRule="auto"/>
        <w:rPr>
          <w:sz w:val="20"/>
          <w:szCs w:val="20"/>
          <w:color w:val="auto"/>
        </w:rPr>
      </w:pPr>
      <w:r>
        <w:rPr>
          <w:rFonts w:ascii="Arial" w:cs="Arial" w:eastAsia="Arial" w:hAnsi="Arial"/>
          <w:sz w:val="18"/>
          <w:szCs w:val="18"/>
          <w:color w:val="auto"/>
        </w:rPr>
        <w:t>Asana is a system of record for work. This system collects and structures institutional knowledge about how past work was completed and provides a real-time plan and roadmap for current and future initiatives. Our platform is built on our proprietary, multi-dimensional data model, which we call the work graph. The work graph captures and associates:</w:t>
      </w:r>
    </w:p>
    <w:p>
      <w:pPr>
        <w:spacing w:after="0" w:line="89" w:lineRule="exact"/>
        <w:rPr>
          <w:sz w:val="20"/>
          <w:szCs w:val="20"/>
          <w:color w:val="auto"/>
        </w:rPr>
      </w:pPr>
    </w:p>
    <w:p>
      <w:pPr>
        <w:ind w:left="1160" w:hanging="534"/>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units of work—tasks, projects, milestones, and portfolios;</w:t>
      </w:r>
    </w:p>
    <w:p>
      <w:pPr>
        <w:spacing w:after="0" w:line="130" w:lineRule="exact"/>
        <w:rPr>
          <w:rFonts w:ascii="Arial" w:cs="Arial" w:eastAsia="Arial" w:hAnsi="Arial"/>
          <w:sz w:val="18"/>
          <w:szCs w:val="18"/>
          <w:color w:val="auto"/>
        </w:rPr>
      </w:pPr>
    </w:p>
    <w:p>
      <w:pPr>
        <w:ind w:left="1160" w:hanging="534"/>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people responsible for executing those units of work;</w:t>
      </w:r>
    </w:p>
    <w:p>
      <w:pPr>
        <w:spacing w:after="0" w:line="130" w:lineRule="exact"/>
        <w:rPr>
          <w:rFonts w:ascii="Arial" w:cs="Arial" w:eastAsia="Arial" w:hAnsi="Arial"/>
          <w:sz w:val="18"/>
          <w:szCs w:val="18"/>
          <w:color w:val="auto"/>
        </w:rPr>
      </w:pPr>
    </w:p>
    <w:p>
      <w:pPr>
        <w:ind w:left="1160" w:hanging="534"/>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processes in which work gets done—rules and templates;</w:t>
      </w:r>
    </w:p>
    <w:p>
      <w:pPr>
        <w:spacing w:after="0" w:line="130" w:lineRule="exact"/>
        <w:rPr>
          <w:rFonts w:ascii="Arial" w:cs="Arial" w:eastAsia="Arial" w:hAnsi="Arial"/>
          <w:sz w:val="18"/>
          <w:szCs w:val="18"/>
          <w:color w:val="auto"/>
        </w:rPr>
      </w:pPr>
    </w:p>
    <w:p>
      <w:pPr>
        <w:ind w:left="1160" w:hanging="534"/>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information about that work—files, comments, status, and metadata; and</w:t>
      </w:r>
    </w:p>
    <w:p>
      <w:pPr>
        <w:spacing w:after="0" w:line="130" w:lineRule="exact"/>
        <w:rPr>
          <w:rFonts w:ascii="Arial" w:cs="Arial" w:eastAsia="Arial" w:hAnsi="Arial"/>
          <w:sz w:val="18"/>
          <w:szCs w:val="18"/>
          <w:color w:val="auto"/>
        </w:rPr>
      </w:pPr>
    </w:p>
    <w:p>
      <w:pPr>
        <w:ind w:left="1160" w:hanging="534"/>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relationships across and within this data.</w:t>
      </w:r>
    </w:p>
    <w:p>
      <w:pPr>
        <w:spacing w:after="0" w:line="225" w:lineRule="exact"/>
        <w:rPr>
          <w:sz w:val="20"/>
          <w:szCs w:val="20"/>
          <w:color w:val="auto"/>
        </w:rPr>
      </w:pPr>
    </w:p>
    <w:p>
      <w:pPr>
        <w:ind w:left="200" w:firstLine="434"/>
        <w:spacing w:after="0" w:line="301" w:lineRule="auto"/>
        <w:rPr>
          <w:sz w:val="20"/>
          <w:szCs w:val="20"/>
          <w:color w:val="auto"/>
        </w:rPr>
      </w:pPr>
      <w:r>
        <w:rPr>
          <w:rFonts w:ascii="Arial" w:cs="Arial" w:eastAsia="Arial" w:hAnsi="Arial"/>
          <w:sz w:val="16"/>
          <w:szCs w:val="16"/>
          <w:color w:val="auto"/>
        </w:rPr>
        <w:t>Our data model provides individuals, team leads, and executives with dynamic views into the work that is most relevant to them—across multiple people and projects—all based on the same underlying data in the work graph. Individuals can manage and prioritize their daily tasks and collaborate with team members on shared projects, gaining visibility into who is doing what, and when each piece of work is due. Team leads can plan work and optimize team workload across multiple projects, and executives can track progress towards company objectives in real time.</w:t>
      </w:r>
    </w:p>
    <w:p>
      <w:pPr>
        <w:spacing w:after="0" w:line="157" w:lineRule="exact"/>
        <w:rPr>
          <w:sz w:val="20"/>
          <w:szCs w:val="20"/>
          <w:color w:val="auto"/>
        </w:rPr>
      </w:pPr>
    </w:p>
    <w:p>
      <w:pPr>
        <w:ind w:left="200" w:right="60" w:firstLine="434"/>
        <w:spacing w:after="0" w:line="259" w:lineRule="auto"/>
        <w:rPr>
          <w:sz w:val="20"/>
          <w:szCs w:val="20"/>
          <w:color w:val="auto"/>
        </w:rPr>
      </w:pPr>
      <w:r>
        <w:rPr>
          <w:rFonts w:ascii="Arial" w:cs="Arial" w:eastAsia="Arial" w:hAnsi="Arial"/>
          <w:sz w:val="18"/>
          <w:szCs w:val="18"/>
          <w:color w:val="auto"/>
        </w:rPr>
        <w:t>Asana is flexible and applicable to virtually any use case across departments and organizations of all sizes. We designed our platform to be easy to use and intuitive to all users, regardless of role or technical proficiency. Users can start a project within minutes and onboard team members seamlessly without external support. We allow users to work the way they want with the interface that is right for them, using tasks, lists, calendars, boards, timelines, and workload.</w:t>
      </w:r>
    </w:p>
    <w:p>
      <w:pPr>
        <w:spacing w:after="0" w:line="295"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Our Business Model</w:t>
      </w:r>
    </w:p>
    <w:p>
      <w:pPr>
        <w:spacing w:after="0" w:line="117" w:lineRule="exact"/>
        <w:rPr>
          <w:sz w:val="20"/>
          <w:szCs w:val="20"/>
          <w:color w:val="auto"/>
        </w:rPr>
      </w:pPr>
    </w:p>
    <w:p>
      <w:pPr>
        <w:ind w:left="200" w:right="120" w:firstLine="434"/>
        <w:spacing w:after="0" w:line="284" w:lineRule="auto"/>
        <w:rPr>
          <w:sz w:val="20"/>
          <w:szCs w:val="20"/>
          <w:color w:val="auto"/>
        </w:rPr>
      </w:pPr>
      <w:r>
        <w:rPr>
          <w:rFonts w:ascii="Arial" w:cs="Arial" w:eastAsia="Arial" w:hAnsi="Arial"/>
          <w:sz w:val="16"/>
          <w:szCs w:val="16"/>
          <w:color w:val="auto"/>
        </w:rPr>
        <w:t>Our hybrid self-service and direct sales model allows us to efficiently reach teams everywhere and then rapidly expand the use of our platform within their organizations. A majority of our new customers initially adopt our platform through self-service and free trials. Once adopted, customers can expand through self-service or with the assistance of our direct sales team, which is focused on promoting new use cases of Asana. As customers realize the productivity benefits we provide, our platform often becomes critical to managing their work and achieving their objectives, which drives further adoption and expansion opportunities. This is evidenced by our dollar-based net retention rate, which generally increases with greater organizational spend. As of January 31, 2020, our dollar-based net retention rate within organizations spending $5,000 or more with us on an annualized basis was %. Our dollar-based net retention rate within organizations spending $50,000 or more with us on an annualized basis was</w:t>
      </w:r>
    </w:p>
    <w:p>
      <w:pPr>
        <w:spacing w:after="0" w:line="2" w:lineRule="exact"/>
        <w:rPr>
          <w:sz w:val="20"/>
          <w:szCs w:val="20"/>
          <w:color w:val="auto"/>
        </w:rPr>
      </w:pPr>
    </w:p>
    <w:p>
      <w:pPr>
        <w:ind w:left="380"/>
        <w:spacing w:after="0"/>
        <w:tabs>
          <w:tab w:leader="none" w:pos="5840" w:val="left"/>
        </w:tabs>
        <w:rPr>
          <w:sz w:val="20"/>
          <w:szCs w:val="20"/>
          <w:color w:val="auto"/>
        </w:rPr>
      </w:pPr>
      <w:r>
        <w:rPr>
          <w:rFonts w:ascii="Arial" w:cs="Arial" w:eastAsia="Arial" w:hAnsi="Arial"/>
          <w:sz w:val="17"/>
          <w:szCs w:val="17"/>
          <w:color w:val="auto"/>
        </w:rPr>
        <w:t>%. Our overall dollar-based net retention rate as of January 31, 2020 was</w:t>
      </w:r>
      <w:r>
        <w:rPr>
          <w:sz w:val="20"/>
          <w:szCs w:val="20"/>
          <w:color w:val="auto"/>
        </w:rPr>
        <w:tab/>
      </w:r>
      <w:r>
        <w:rPr>
          <w:rFonts w:ascii="Arial" w:cs="Arial" w:eastAsia="Arial" w:hAnsi="Arial"/>
          <w:sz w:val="15"/>
          <w:szCs w:val="15"/>
          <w:color w:val="auto"/>
        </w:rPr>
        <w:t>%.</w:t>
      </w:r>
    </w:p>
    <w:p>
      <w:pPr>
        <w:spacing w:after="0" w:line="330"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Our Company Culture</w:t>
      </w:r>
    </w:p>
    <w:p>
      <w:pPr>
        <w:spacing w:after="0" w:line="117" w:lineRule="exact"/>
        <w:rPr>
          <w:sz w:val="20"/>
          <w:szCs w:val="20"/>
          <w:color w:val="auto"/>
        </w:rPr>
      </w:pPr>
    </w:p>
    <w:p>
      <w:pPr>
        <w:ind w:left="200" w:right="60" w:firstLine="434"/>
        <w:spacing w:after="0" w:line="257" w:lineRule="auto"/>
        <w:rPr>
          <w:sz w:val="20"/>
          <w:szCs w:val="20"/>
          <w:color w:val="auto"/>
        </w:rPr>
      </w:pPr>
      <w:r>
        <w:rPr>
          <w:rFonts w:ascii="Arial" w:cs="Arial" w:eastAsia="Arial" w:hAnsi="Arial"/>
          <w:sz w:val="18"/>
          <w:szCs w:val="18"/>
          <w:color w:val="auto"/>
        </w:rPr>
        <w:t>We believe that our company culture enables us to achieve our mission and is a core driver of our business success. We endeavor to make product, business, and people decisions that allow us to carry out our mission while staying true to our values. We are a mission-driven organization first and have designed our values, along with our programs and processes, to help us maximize the potential of every individual in our company. Our values and processes also give us credibility when we share best practices for teamwork in the market and allow us to build those practices into our product.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0"/>
          </w:cols>
          <w:pgMar w:left="320" w:top="459" w:right="5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2103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62103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Our Rapid Growth</w:t>
      </w:r>
    </w:p>
    <w:p>
      <w:pPr>
        <w:spacing w:after="0" w:line="117" w:lineRule="exact"/>
        <w:rPr>
          <w:sz w:val="20"/>
          <w:szCs w:val="20"/>
          <w:color w:val="auto"/>
        </w:rPr>
      </w:pPr>
    </w:p>
    <w:p>
      <w:pPr>
        <w:ind w:left="200" w:right="580" w:firstLine="434"/>
        <w:spacing w:after="0" w:line="308" w:lineRule="auto"/>
        <w:rPr>
          <w:sz w:val="20"/>
          <w:szCs w:val="20"/>
          <w:color w:val="auto"/>
        </w:rPr>
      </w:pPr>
      <w:r>
        <w:rPr>
          <w:rFonts w:ascii="Arial" w:cs="Arial" w:eastAsia="Arial" w:hAnsi="Arial"/>
          <w:sz w:val="17"/>
          <w:szCs w:val="17"/>
          <w:color w:val="auto"/>
        </w:rPr>
        <w:t>We have experienced rapid growth in recent periods. Our revenues were $76.8 million and $ million for fiscal 2019 and fiscal 2020, respectively, representing growth of %. We had a net loss of $50.9 million and $ million for fiscal 2019 and fiscal 2020, respectively.</w:t>
      </w:r>
    </w:p>
    <w:p>
      <w:pPr>
        <w:spacing w:after="0" w:line="25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Industry Background</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Teams must be coordinated and move quickly to be successful</w:t>
      </w:r>
    </w:p>
    <w:p>
      <w:pPr>
        <w:spacing w:after="0" w:line="117" w:lineRule="exact"/>
        <w:rPr>
          <w:sz w:val="20"/>
          <w:szCs w:val="20"/>
          <w:color w:val="auto"/>
        </w:rPr>
      </w:pPr>
    </w:p>
    <w:p>
      <w:pPr>
        <w:ind w:left="200" w:right="40" w:firstLine="434"/>
        <w:spacing w:after="0" w:line="257" w:lineRule="auto"/>
        <w:rPr>
          <w:sz w:val="20"/>
          <w:szCs w:val="20"/>
          <w:color w:val="auto"/>
        </w:rPr>
      </w:pPr>
      <w:r>
        <w:rPr>
          <w:rFonts w:ascii="Arial" w:cs="Arial" w:eastAsia="Arial" w:hAnsi="Arial"/>
          <w:sz w:val="18"/>
          <w:szCs w:val="18"/>
          <w:color w:val="auto"/>
        </w:rPr>
        <w:t>Teams today must navigate work that is increasingly cross-functional, matrixed, and distributed, while also moving quickly to meet the objectives of their organizations. Traditional hierarchical processes, where centralized managers make decisions and disseminate information down to team members, result in significant time passing before contributors have the clarity they need to execute. With product lifecycles now shorter than ever, organizations cannot afford slow, inefficient processes. Individuals and teams need to be empowered to make autonomous decisions aligned with organizational goals to ensure business agility.</w:t>
      </w:r>
    </w:p>
    <w:p>
      <w:pPr>
        <w:spacing w:after="0" w:line="296"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Communication overload hurts productivity</w:t>
      </w:r>
    </w:p>
    <w:p>
      <w:pPr>
        <w:spacing w:after="0" w:line="117" w:lineRule="exact"/>
        <w:rPr>
          <w:sz w:val="20"/>
          <w:szCs w:val="20"/>
          <w:color w:val="auto"/>
        </w:rPr>
      </w:pPr>
    </w:p>
    <w:p>
      <w:pPr>
        <w:ind w:left="200" w:firstLine="434"/>
        <w:spacing w:after="0" w:line="279" w:lineRule="auto"/>
        <w:rPr>
          <w:sz w:val="20"/>
          <w:szCs w:val="20"/>
          <w:color w:val="auto"/>
        </w:rPr>
      </w:pPr>
      <w:r>
        <w:rPr>
          <w:rFonts w:ascii="Arial" w:cs="Arial" w:eastAsia="Arial" w:hAnsi="Arial"/>
          <w:sz w:val="17"/>
          <w:szCs w:val="17"/>
          <w:color w:val="auto"/>
        </w:rPr>
        <w:t>Businesses have adopted a number of applications to improve communication such as Skype, WeChat, WhatsApp, Microsoft Teams, and Slack, among others. While these applications help teams communicate, they were not designed to provide a system of record to track and coordinate units of work or set up processes for rapid execution. The average knowledge worker receives 121 emails per day—70% of which are opened within six seconds. People have become prisoners to email and messaging applications, using their inboxes as makeshift to-do lists.</w:t>
      </w:r>
    </w:p>
    <w:p>
      <w:pPr>
        <w:spacing w:after="0" w:line="279"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Teams spend more time coordinating work than actually doing work</w:t>
      </w:r>
    </w:p>
    <w:p>
      <w:pPr>
        <w:spacing w:after="0" w:line="117" w:lineRule="exact"/>
        <w:rPr>
          <w:sz w:val="20"/>
          <w:szCs w:val="20"/>
          <w:color w:val="auto"/>
        </w:rPr>
      </w:pPr>
    </w:p>
    <w:p>
      <w:pPr>
        <w:ind w:left="200" w:right="100" w:firstLine="434"/>
        <w:spacing w:after="0" w:line="308" w:lineRule="auto"/>
        <w:rPr>
          <w:sz w:val="20"/>
          <w:szCs w:val="20"/>
          <w:color w:val="auto"/>
        </w:rPr>
      </w:pPr>
      <w:r>
        <w:rPr>
          <w:rFonts w:ascii="Arial" w:cs="Arial" w:eastAsia="Arial" w:hAnsi="Arial"/>
          <w:sz w:val="17"/>
          <w:szCs w:val="17"/>
          <w:color w:val="auto"/>
        </w:rPr>
        <w:t>Productivity gains can occur when individuals and teams have the opportunity to focus uninterrupted. However, employees spend less than half of their day on critical work. According to a survey conducted by McKinsey Global Institute of a broad set of knowledge workers:</w:t>
      </w:r>
    </w:p>
    <w:p>
      <w:pPr>
        <w:spacing w:after="0" w:line="52" w:lineRule="exact"/>
        <w:rPr>
          <w:sz w:val="20"/>
          <w:szCs w:val="20"/>
          <w:color w:val="auto"/>
        </w:rPr>
      </w:pPr>
    </w:p>
    <w:p>
      <w:pPr>
        <w:ind w:left="1160" w:hanging="534"/>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28% of time is spent answering email;</w:t>
      </w:r>
    </w:p>
    <w:p>
      <w:pPr>
        <w:spacing w:after="0" w:line="130" w:lineRule="exact"/>
        <w:rPr>
          <w:rFonts w:ascii="Arial" w:cs="Arial" w:eastAsia="Arial" w:hAnsi="Arial"/>
          <w:sz w:val="18"/>
          <w:szCs w:val="18"/>
          <w:color w:val="auto"/>
        </w:rPr>
      </w:pPr>
    </w:p>
    <w:p>
      <w:pPr>
        <w:ind w:left="1160" w:hanging="534"/>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19% of time is spent gathering information; and</w:t>
      </w:r>
    </w:p>
    <w:p>
      <w:pPr>
        <w:spacing w:after="0" w:line="130" w:lineRule="exact"/>
        <w:rPr>
          <w:rFonts w:ascii="Arial" w:cs="Arial" w:eastAsia="Arial" w:hAnsi="Arial"/>
          <w:sz w:val="18"/>
          <w:szCs w:val="18"/>
          <w:color w:val="auto"/>
        </w:rPr>
      </w:pPr>
    </w:p>
    <w:p>
      <w:pPr>
        <w:ind w:left="1160" w:hanging="534"/>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14% of time is spent on internal communication.</w:t>
      </w:r>
    </w:p>
    <w:p>
      <w:pPr>
        <w:spacing w:after="0" w:line="333"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Teams need more effective tools to orchestrate work</w:t>
      </w:r>
    </w:p>
    <w:p>
      <w:pPr>
        <w:spacing w:after="0" w:line="117" w:lineRule="exact"/>
        <w:rPr>
          <w:sz w:val="20"/>
          <w:szCs w:val="20"/>
          <w:color w:val="auto"/>
        </w:rPr>
      </w:pPr>
    </w:p>
    <w:p>
      <w:pPr>
        <w:ind w:left="200" w:right="160" w:firstLine="434"/>
        <w:spacing w:after="0" w:line="296" w:lineRule="auto"/>
        <w:rPr>
          <w:sz w:val="20"/>
          <w:szCs w:val="20"/>
          <w:color w:val="auto"/>
        </w:rPr>
      </w:pPr>
      <w:r>
        <w:rPr>
          <w:rFonts w:ascii="Arial" w:cs="Arial" w:eastAsia="Arial" w:hAnsi="Arial"/>
          <w:sz w:val="16"/>
          <w:szCs w:val="16"/>
          <w:color w:val="auto"/>
        </w:rPr>
        <w:t>The primary methods for managing work today consist of a combination of spreadsheets and email, in addition to handwritten notes, calls, and meetings. Over time, communication tools (like email and messaging) and content applications (such as file sharing and storage services) have been repurposed for coordinating work because they are familiar and accessible. However, these tools lack the purpose-built functionality required for teams to collaboratively plan, manage, and execute work. Spreadsheets quickly become outdated, lack automation capabilities, and cannot provide multi-dimensional views of multiple projects or real-time insight. Email cannot build workflows, assign tasks, or track progress.</w:t>
      </w:r>
    </w:p>
    <w:p>
      <w:pPr>
        <w:spacing w:after="0" w:line="269"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Clarity drives employee engagement that improves business results</w:t>
      </w:r>
    </w:p>
    <w:p>
      <w:pPr>
        <w:spacing w:after="0" w:line="117" w:lineRule="exact"/>
        <w:rPr>
          <w:sz w:val="20"/>
          <w:szCs w:val="20"/>
          <w:color w:val="auto"/>
        </w:rPr>
      </w:pPr>
    </w:p>
    <w:p>
      <w:pPr>
        <w:ind w:left="200" w:right="80" w:firstLine="434"/>
        <w:spacing w:after="0" w:line="277" w:lineRule="auto"/>
        <w:rPr>
          <w:sz w:val="20"/>
          <w:szCs w:val="20"/>
          <w:color w:val="auto"/>
        </w:rPr>
      </w:pPr>
      <w:r>
        <w:rPr>
          <w:rFonts w:ascii="Arial" w:cs="Arial" w:eastAsia="Arial" w:hAnsi="Arial"/>
          <w:sz w:val="18"/>
          <w:szCs w:val="18"/>
          <w:color w:val="auto"/>
        </w:rPr>
        <w:t>Employee engagement—the extent to which employees are invested in their job and contribute the effort needed to do their job well—is critical to high-performing businesses. According to Gallup, organizations with</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60"/>
          </w:cols>
          <w:pgMar w:left="320" w:top="459" w:right="5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2191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62191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140"/>
        <w:spacing w:after="0" w:line="311" w:lineRule="auto"/>
        <w:rPr>
          <w:sz w:val="20"/>
          <w:szCs w:val="20"/>
          <w:color w:val="auto"/>
        </w:rPr>
      </w:pPr>
      <w:r>
        <w:rPr>
          <w:rFonts w:ascii="Arial" w:cs="Arial" w:eastAsia="Arial" w:hAnsi="Arial"/>
          <w:sz w:val="16"/>
          <w:szCs w:val="16"/>
          <w:color w:val="auto"/>
        </w:rPr>
        <w:t>high employee engagement experience improved customer experience, greater innovation, higher employee retention, and 21% higher productivity than organizations with low employee engagement. Individuals are more engaged at work when they have clarity. Clarity helps individuals better understand how their work connects to the organization’s objectives so they know where to focus and find their work more rewarding and engaging.</w:t>
      </w:r>
    </w:p>
    <w:p>
      <w:pPr>
        <w:spacing w:after="0" w:line="257"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Organizations need new, purpose-built solutions for work management</w:t>
      </w:r>
    </w:p>
    <w:p>
      <w:pPr>
        <w:spacing w:after="0" w:line="117" w:lineRule="exact"/>
        <w:rPr>
          <w:sz w:val="20"/>
          <w:szCs w:val="20"/>
          <w:color w:val="auto"/>
        </w:rPr>
      </w:pPr>
    </w:p>
    <w:p>
      <w:pPr>
        <w:jc w:val="both"/>
        <w:ind w:left="200" w:right="80" w:firstLine="434"/>
        <w:spacing w:after="0" w:line="286" w:lineRule="auto"/>
        <w:rPr>
          <w:sz w:val="20"/>
          <w:szCs w:val="20"/>
          <w:color w:val="auto"/>
        </w:rPr>
      </w:pPr>
      <w:r>
        <w:rPr>
          <w:rFonts w:ascii="Arial" w:cs="Arial" w:eastAsia="Arial" w:hAnsi="Arial"/>
          <w:sz w:val="17"/>
          <w:szCs w:val="17"/>
          <w:color w:val="auto"/>
        </w:rPr>
        <w:t>Organizations need a work management solution that provides transparency, clarity, and accountability so that individuals and teams know—at any given time—what work needs to get done, by whom and by when. This solution needs to scale across people, projects, and portfolios of projects so individuals, team leads, and executives can understand and take action on opportunities and inefficiencies in real time.</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Existing offerings fall short of delivering on these imperatives:</w:t>
      </w:r>
    </w:p>
    <w:p>
      <w:pPr>
        <w:spacing w:after="0" w:line="225" w:lineRule="exact"/>
        <w:rPr>
          <w:sz w:val="20"/>
          <w:szCs w:val="20"/>
          <w:color w:val="auto"/>
        </w:rPr>
      </w:pPr>
    </w:p>
    <w:p>
      <w:pPr>
        <w:ind w:left="200" w:right="140" w:firstLine="434"/>
        <w:spacing w:after="0" w:line="342" w:lineRule="auto"/>
        <w:rPr>
          <w:sz w:val="20"/>
          <w:szCs w:val="20"/>
          <w:color w:val="auto"/>
        </w:rPr>
      </w:pPr>
      <w:r>
        <w:rPr>
          <w:rFonts w:ascii="Arial" w:cs="Arial" w:eastAsia="Arial" w:hAnsi="Arial"/>
          <w:sz w:val="16"/>
          <w:szCs w:val="16"/>
          <w:b w:val="1"/>
          <w:bCs w:val="1"/>
          <w:i w:val="1"/>
          <w:iCs w:val="1"/>
          <w:color w:val="auto"/>
        </w:rPr>
        <w:t>Spreadsheets and email</w:t>
      </w:r>
      <w:r>
        <w:rPr>
          <w:rFonts w:ascii="Arial" w:cs="Arial" w:eastAsia="Arial" w:hAnsi="Arial"/>
          <w:sz w:val="16"/>
          <w:szCs w:val="16"/>
          <w:color w:val="auto"/>
        </w:rPr>
        <w:t>. Spreadsheets and email lack the required capabilities to help teams effectively plan, manage, and orchestrate work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scale. Captured information quickly becomes out of date because it is not connected to the workstreams happening outside of these tools.</w:t>
      </w:r>
    </w:p>
    <w:p>
      <w:pPr>
        <w:spacing w:after="0" w:line="124" w:lineRule="exact"/>
        <w:rPr>
          <w:sz w:val="20"/>
          <w:szCs w:val="20"/>
          <w:color w:val="auto"/>
        </w:rPr>
      </w:pPr>
    </w:p>
    <w:p>
      <w:pPr>
        <w:ind w:left="200" w:right="20" w:firstLine="434"/>
        <w:spacing w:after="0" w:line="311" w:lineRule="auto"/>
        <w:rPr>
          <w:sz w:val="20"/>
          <w:szCs w:val="20"/>
          <w:color w:val="auto"/>
        </w:rPr>
      </w:pPr>
      <w:r>
        <w:rPr>
          <w:rFonts w:ascii="Arial" w:cs="Arial" w:eastAsia="Arial" w:hAnsi="Arial"/>
          <w:sz w:val="16"/>
          <w:szCs w:val="16"/>
          <w:b w:val="1"/>
          <w:bCs w:val="1"/>
          <w:i w:val="1"/>
          <w:iCs w:val="1"/>
          <w:color w:val="auto"/>
        </w:rPr>
        <w:t>Legacy project management tools</w:t>
      </w:r>
      <w:r>
        <w:rPr>
          <w:rFonts w:ascii="Arial" w:cs="Arial" w:eastAsia="Arial" w:hAnsi="Arial"/>
          <w:sz w:val="16"/>
          <w:szCs w:val="16"/>
          <w:color w:val="auto"/>
        </w:rPr>
        <w:t>. Legacy project management tools are difficult for many users to adopt. These tools were primarily designed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dedicated project managers, not everyday users who often lack the skills to design a project, make customizations, or integrate third-party applications. Additionally, they create information silos because they are not linked to the underlying work and communications about that work.</w:t>
      </w:r>
    </w:p>
    <w:p>
      <w:pPr>
        <w:spacing w:after="0" w:line="149" w:lineRule="exact"/>
        <w:rPr>
          <w:sz w:val="20"/>
          <w:szCs w:val="20"/>
          <w:color w:val="auto"/>
        </w:rPr>
      </w:pPr>
    </w:p>
    <w:p>
      <w:pPr>
        <w:ind w:left="200" w:right="460" w:firstLine="434"/>
        <w:spacing w:after="0" w:line="342" w:lineRule="auto"/>
        <w:rPr>
          <w:sz w:val="20"/>
          <w:szCs w:val="20"/>
          <w:color w:val="auto"/>
        </w:rPr>
      </w:pPr>
      <w:r>
        <w:rPr>
          <w:rFonts w:ascii="Arial" w:cs="Arial" w:eastAsia="Arial" w:hAnsi="Arial"/>
          <w:sz w:val="16"/>
          <w:szCs w:val="16"/>
          <w:b w:val="1"/>
          <w:bCs w:val="1"/>
          <w:i w:val="1"/>
          <w:iCs w:val="1"/>
          <w:color w:val="auto"/>
        </w:rPr>
        <w:t>Vertical applications</w:t>
      </w:r>
      <w:r>
        <w:rPr>
          <w:rFonts w:ascii="Arial" w:cs="Arial" w:eastAsia="Arial" w:hAnsi="Arial"/>
          <w:sz w:val="16"/>
          <w:szCs w:val="16"/>
          <w:color w:val="auto"/>
        </w:rPr>
        <w:t>. Vertical applications are purpose-built for specific use cases, such as software development, ticketing, and financial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planning. These generally operate in departmental silos and are difficult to adapt to other use cases, either at all or without coding.</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ind w:left="200" w:right="40" w:firstLine="434"/>
        <w:spacing w:after="0" w:line="263" w:lineRule="auto"/>
        <w:rPr>
          <w:sz w:val="20"/>
          <w:szCs w:val="20"/>
          <w:color w:val="auto"/>
        </w:rPr>
      </w:pPr>
      <w:r>
        <w:rPr>
          <w:rFonts w:ascii="Arial" w:cs="Arial" w:eastAsia="Arial" w:hAnsi="Arial"/>
          <w:sz w:val="18"/>
          <w:szCs w:val="18"/>
          <w:color w:val="auto"/>
        </w:rPr>
        <w:t>We provide a work management platform that enables individuals and teams to get work done faster while improving employee engagement by allowing everyone to see how their work—whether it is a task, process, project, or portfolio of projects—connects to the broader mission of an organization.</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With Asana:</w:t>
      </w:r>
    </w:p>
    <w:p>
      <w:pPr>
        <w:spacing w:after="0" w:line="131" w:lineRule="exact"/>
        <w:rPr>
          <w:sz w:val="20"/>
          <w:szCs w:val="20"/>
          <w:color w:val="auto"/>
        </w:rPr>
      </w:pPr>
    </w:p>
    <w:p>
      <w:pPr>
        <w:ind w:left="1160" w:hanging="534"/>
        <w:spacing w:after="0" w:line="263"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Individuals </w:t>
      </w:r>
      <w:r>
        <w:rPr>
          <w:rFonts w:ascii="Arial" w:cs="Arial" w:eastAsia="Arial" w:hAnsi="Arial"/>
          <w:sz w:val="18"/>
          <w:szCs w:val="18"/>
          <w:color w:val="auto"/>
        </w:rPr>
        <w:t>can manage and prioritize across each of their projects to maximize their effectiveness and reduce distractions. They can see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their own tasks, how their dependencies owned by teammates are tracking, and how their work contributes to the overall team and organization-wide goals.</w:t>
      </w:r>
    </w:p>
    <w:p>
      <w:pPr>
        <w:spacing w:after="0" w:line="89" w:lineRule="exact"/>
        <w:rPr>
          <w:rFonts w:ascii="Arial" w:cs="Arial" w:eastAsia="Arial" w:hAnsi="Arial"/>
          <w:sz w:val="18"/>
          <w:szCs w:val="18"/>
          <w:color w:val="auto"/>
        </w:rPr>
      </w:pPr>
    </w:p>
    <w:p>
      <w:pPr>
        <w:ind w:left="1160" w:right="240" w:hanging="534"/>
        <w:spacing w:after="0" w:line="311" w:lineRule="auto"/>
        <w:tabs>
          <w:tab w:leader="none" w:pos="116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Teams </w:t>
      </w:r>
      <w:r>
        <w:rPr>
          <w:rFonts w:ascii="Arial" w:cs="Arial" w:eastAsia="Arial" w:hAnsi="Arial"/>
          <w:sz w:val="16"/>
          <w:szCs w:val="16"/>
          <w:color w:val="auto"/>
        </w:rPr>
        <w:t>can collaborate on a project with visibility into each team member’s responsibilities and progress. Team members can assign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tasks, map out steps to completion, define requirements and dependencies, and track progress against due dates. When teammates are operating off a single, real-time plan of record, they do not need to ping each other for updates or sit through status meetings.</w:t>
      </w:r>
    </w:p>
    <w:p>
      <w:pPr>
        <w:spacing w:after="0" w:line="54" w:lineRule="exact"/>
        <w:rPr>
          <w:rFonts w:ascii="Arial" w:cs="Arial" w:eastAsia="Arial" w:hAnsi="Arial"/>
          <w:sz w:val="16"/>
          <w:szCs w:val="16"/>
          <w:color w:val="auto"/>
        </w:rPr>
      </w:pPr>
    </w:p>
    <w:p>
      <w:pPr>
        <w:ind w:left="1160" w:right="40" w:hanging="534"/>
        <w:spacing w:after="0" w:line="263"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Team leads </w:t>
      </w:r>
      <w:r>
        <w:rPr>
          <w:rFonts w:ascii="Arial" w:cs="Arial" w:eastAsia="Arial" w:hAnsi="Arial"/>
          <w:sz w:val="18"/>
          <w:szCs w:val="18"/>
          <w:color w:val="auto"/>
        </w:rPr>
        <w:t>can manage work across a portfolio of projects or processes. Team leads see progress, bottlenecks, resource constraints,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milestones without having to create work about work for teams to come up with this information in spreadsheets, email, or via a status meeting.</w:t>
      </w:r>
    </w:p>
    <w:p>
      <w:pPr>
        <w:spacing w:after="0" w:line="89" w:lineRule="exact"/>
        <w:rPr>
          <w:rFonts w:ascii="Arial" w:cs="Arial" w:eastAsia="Arial" w:hAnsi="Arial"/>
          <w:sz w:val="18"/>
          <w:szCs w:val="18"/>
          <w:color w:val="auto"/>
        </w:rPr>
      </w:pPr>
    </w:p>
    <w:p>
      <w:pPr>
        <w:ind w:left="1160" w:right="180" w:hanging="534"/>
        <w:spacing w:after="0" w:line="263"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Executives </w:t>
      </w:r>
      <w:r>
        <w:rPr>
          <w:rFonts w:ascii="Arial" w:cs="Arial" w:eastAsia="Arial" w:hAnsi="Arial"/>
          <w:sz w:val="18"/>
          <w:szCs w:val="18"/>
          <w:color w:val="auto"/>
        </w:rPr>
        <w:t>can oversee work across projects to gain real-time insights into which initiatives are on track or at risk. With this visibility,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they can proactively address inefficiencies, manage team workload, and reallocate work among teams or departments so that the company can stay on track to achieve its objectives.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320" w:top="459" w:right="5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4592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130" cy="64592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60" w:firstLine="434"/>
        <w:spacing w:after="0" w:line="257" w:lineRule="auto"/>
        <w:rPr>
          <w:sz w:val="20"/>
          <w:szCs w:val="20"/>
          <w:color w:val="auto"/>
        </w:rPr>
      </w:pPr>
      <w:r>
        <w:rPr>
          <w:rFonts w:ascii="Arial" w:cs="Arial" w:eastAsia="Arial" w:hAnsi="Arial"/>
          <w:sz w:val="18"/>
          <w:szCs w:val="18"/>
          <w:color w:val="auto"/>
        </w:rPr>
        <w:t>As the system of record of past, current, and future work, Asana is powered by a proprietary, multi-dimensional data model called the work graph. The work graph captures and associates units of work (tasks, projects, milestones, and portfolios), the people responsible for executing those units of work, the processes in which work gets done (rules and templates), information about that work (files, comments, status, and metadata), and the relationships across and within this data. The work graph provides individuals, team leads, and executives with dynamic, up-to-date views into the work that is most relevant to them, across multiple people and projects.</w:t>
      </w:r>
    </w:p>
    <w:p>
      <w:pPr>
        <w:spacing w:after="0" w:line="18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core tenet of our platform is to bring clarity, transparency, and accountability to the process of getting work done.</w:t>
      </w:r>
    </w:p>
    <w:p>
      <w:pPr>
        <w:spacing w:after="0" w:line="225" w:lineRule="exact"/>
        <w:rPr>
          <w:sz w:val="20"/>
          <w:szCs w:val="20"/>
          <w:color w:val="auto"/>
        </w:rPr>
      </w:pPr>
    </w:p>
    <w:p>
      <w:pPr>
        <w:ind w:left="200" w:right="40" w:firstLine="434"/>
        <w:spacing w:after="0" w:line="263" w:lineRule="auto"/>
        <w:rPr>
          <w:sz w:val="20"/>
          <w:szCs w:val="20"/>
          <w:color w:val="auto"/>
        </w:rPr>
      </w:pPr>
      <w:r>
        <w:rPr>
          <w:rFonts w:ascii="Arial" w:cs="Arial" w:eastAsia="Arial" w:hAnsi="Arial"/>
          <w:sz w:val="18"/>
          <w:szCs w:val="18"/>
          <w:b w:val="1"/>
          <w:bCs w:val="1"/>
          <w:i w:val="1"/>
          <w:iCs w:val="1"/>
          <w:color w:val="auto"/>
        </w:rPr>
        <w:t xml:space="preserve">Clarity. </w:t>
      </w:r>
      <w:r>
        <w:rPr>
          <w:rFonts w:ascii="Arial" w:cs="Arial" w:eastAsia="Arial" w:hAnsi="Arial"/>
          <w:sz w:val="18"/>
          <w:szCs w:val="18"/>
          <w:color w:val="auto"/>
        </w:rPr>
        <w:t>Our platform adds structure to unstructured work so everyone on a team has clarity into exactly what needs to be done, by whom and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Our multi-dimensional data model provides different views so individuals can not only see the tasks they are working on, but also understand how their individual work contributes to a broader project goal.</w:t>
      </w:r>
    </w:p>
    <w:p>
      <w:pPr>
        <w:spacing w:after="0" w:line="184" w:lineRule="exact"/>
        <w:rPr>
          <w:sz w:val="20"/>
          <w:szCs w:val="20"/>
          <w:color w:val="auto"/>
        </w:rPr>
      </w:pPr>
    </w:p>
    <w:p>
      <w:pPr>
        <w:ind w:left="200" w:right="580" w:firstLine="434"/>
        <w:spacing w:after="0" w:line="308" w:lineRule="auto"/>
        <w:rPr>
          <w:sz w:val="20"/>
          <w:szCs w:val="20"/>
          <w:color w:val="auto"/>
        </w:rPr>
      </w:pPr>
      <w:r>
        <w:rPr>
          <w:rFonts w:ascii="Arial" w:cs="Arial" w:eastAsia="Arial" w:hAnsi="Arial"/>
          <w:sz w:val="17"/>
          <w:szCs w:val="17"/>
          <w:b w:val="1"/>
          <w:bCs w:val="1"/>
          <w:i w:val="1"/>
          <w:iCs w:val="1"/>
          <w:color w:val="auto"/>
        </w:rPr>
        <w:t xml:space="preserve">Transparency. </w:t>
      </w:r>
      <w:r>
        <w:rPr>
          <w:rFonts w:ascii="Arial" w:cs="Arial" w:eastAsia="Arial" w:hAnsi="Arial"/>
          <w:sz w:val="17"/>
          <w:szCs w:val="17"/>
          <w:color w:val="auto"/>
        </w:rPr>
        <w:t>Our platform provides transparency into the work being done across a project or portfolio of projects so everyone can see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progress to completion, manage deadlines, identify and resolve bottlenecks, and rebalance workloads in real time.</w:t>
      </w:r>
    </w:p>
    <w:p>
      <w:pPr>
        <w:spacing w:after="0" w:line="146" w:lineRule="exact"/>
        <w:rPr>
          <w:sz w:val="20"/>
          <w:szCs w:val="20"/>
          <w:color w:val="auto"/>
        </w:rPr>
      </w:pPr>
    </w:p>
    <w:p>
      <w:pPr>
        <w:ind w:left="200" w:right="180" w:firstLine="434"/>
        <w:spacing w:after="0" w:line="277" w:lineRule="auto"/>
        <w:rPr>
          <w:sz w:val="20"/>
          <w:szCs w:val="20"/>
          <w:color w:val="auto"/>
        </w:rPr>
      </w:pPr>
      <w:r>
        <w:rPr>
          <w:rFonts w:ascii="Arial" w:cs="Arial" w:eastAsia="Arial" w:hAnsi="Arial"/>
          <w:sz w:val="18"/>
          <w:szCs w:val="18"/>
          <w:b w:val="1"/>
          <w:bCs w:val="1"/>
          <w:i w:val="1"/>
          <w:iCs w:val="1"/>
          <w:color w:val="auto"/>
        </w:rPr>
        <w:t xml:space="preserve">Accountability. </w:t>
      </w:r>
      <w:r>
        <w:rPr>
          <w:rFonts w:ascii="Arial" w:cs="Arial" w:eastAsia="Arial" w:hAnsi="Arial"/>
          <w:sz w:val="18"/>
          <w:szCs w:val="18"/>
          <w:color w:val="auto"/>
        </w:rPr>
        <w:t>Our platform enables teams to assign work to individuals with completion dates and requirements, eliminating ambiguity 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responsibilities. Individuals can track their action items across projects and manage their time more effectively.</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Benefits of Our Solution</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platform provides the following benefits for our customers:</w:t>
      </w:r>
    </w:p>
    <w:p>
      <w:pPr>
        <w:spacing w:after="0" w:line="333"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Teams get work done faster</w:t>
      </w:r>
    </w:p>
    <w:p>
      <w:pPr>
        <w:spacing w:after="0" w:line="117" w:lineRule="exact"/>
        <w:rPr>
          <w:sz w:val="20"/>
          <w:szCs w:val="20"/>
          <w:color w:val="auto"/>
        </w:rPr>
      </w:pPr>
    </w:p>
    <w:p>
      <w:pPr>
        <w:ind w:left="200" w:right="200" w:firstLine="434"/>
        <w:spacing w:after="0" w:line="263" w:lineRule="auto"/>
        <w:rPr>
          <w:sz w:val="20"/>
          <w:szCs w:val="20"/>
          <w:color w:val="auto"/>
        </w:rPr>
      </w:pPr>
      <w:r>
        <w:rPr>
          <w:rFonts w:ascii="Arial" w:cs="Arial" w:eastAsia="Arial" w:hAnsi="Arial"/>
          <w:sz w:val="18"/>
          <w:szCs w:val="18"/>
          <w:color w:val="auto"/>
        </w:rPr>
        <w:t>Teams get work done faster using Asana. When structure is added to work, creating greater clarity, transparency, and accountability, teams are able to take action and be more efficient. By adopting our platform, our customers experience increased productivity, reduced costs for dedicated project management, and reduced costs from project delays.</w:t>
      </w:r>
    </w:p>
    <w:p>
      <w:pPr>
        <w:spacing w:after="0" w:line="292"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Streamlined processes</w:t>
      </w:r>
    </w:p>
    <w:p>
      <w:pPr>
        <w:spacing w:after="0" w:line="117" w:lineRule="exact"/>
        <w:rPr>
          <w:sz w:val="20"/>
          <w:szCs w:val="20"/>
          <w:color w:val="auto"/>
        </w:rPr>
      </w:pPr>
    </w:p>
    <w:p>
      <w:pPr>
        <w:ind w:left="200" w:firstLine="434"/>
        <w:spacing w:after="0" w:line="279" w:lineRule="auto"/>
        <w:rPr>
          <w:sz w:val="20"/>
          <w:szCs w:val="20"/>
          <w:color w:val="auto"/>
        </w:rPr>
      </w:pPr>
      <w:r>
        <w:rPr>
          <w:rFonts w:ascii="Arial" w:cs="Arial" w:eastAsia="Arial" w:hAnsi="Arial"/>
          <w:sz w:val="17"/>
          <w:szCs w:val="17"/>
          <w:color w:val="auto"/>
        </w:rPr>
        <w:t>Our horizontal application allows individuals to easily customize projects across a breadth of specific use cases. Once a process is defined, it can be templatized and scaled across an organization for consistent, repeatable process management. In October 2019, we launched Rules as part of our suite of automation features, which facilitates auto-assignment, triggers actions and notifications, and automatically populates due dates for templated projects. In the first 60 days of launching Rules, we automated over two million steps for our users.</w:t>
      </w:r>
    </w:p>
    <w:p>
      <w:pPr>
        <w:spacing w:after="0" w:line="279"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Increased employee engagement</w:t>
      </w:r>
    </w:p>
    <w:p>
      <w:pPr>
        <w:spacing w:after="0" w:line="117" w:lineRule="exact"/>
        <w:rPr>
          <w:sz w:val="20"/>
          <w:szCs w:val="20"/>
          <w:color w:val="auto"/>
        </w:rPr>
      </w:pPr>
    </w:p>
    <w:p>
      <w:pPr>
        <w:ind w:left="200" w:right="40" w:firstLine="434"/>
        <w:spacing w:after="0" w:line="263" w:lineRule="auto"/>
        <w:rPr>
          <w:sz w:val="20"/>
          <w:szCs w:val="20"/>
          <w:color w:val="auto"/>
        </w:rPr>
      </w:pPr>
      <w:r>
        <w:rPr>
          <w:rFonts w:ascii="Arial" w:cs="Arial" w:eastAsia="Arial" w:hAnsi="Arial"/>
          <w:sz w:val="18"/>
          <w:szCs w:val="18"/>
          <w:color w:val="auto"/>
        </w:rPr>
        <w:t>Our users love Asana because they gain clarity into what they need to do and how their contribution is connected to broader organizational goals. By eliminating much of the work about work, we give them back valuable hours in their day leading to higher productivity, higher engagement, and improved retention.</w:t>
      </w:r>
    </w:p>
    <w:p>
      <w:pPr>
        <w:spacing w:after="0" w:line="292"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Improved confidence and execution</w:t>
      </w:r>
    </w:p>
    <w:p>
      <w:pPr>
        <w:spacing w:after="0" w:line="117" w:lineRule="exact"/>
        <w:rPr>
          <w:sz w:val="20"/>
          <w:szCs w:val="20"/>
          <w:color w:val="auto"/>
        </w:rPr>
      </w:pPr>
    </w:p>
    <w:p>
      <w:pPr>
        <w:ind w:left="200" w:right="80" w:firstLine="434"/>
        <w:spacing w:after="0" w:line="277" w:lineRule="auto"/>
        <w:rPr>
          <w:sz w:val="20"/>
          <w:szCs w:val="20"/>
          <w:color w:val="auto"/>
        </w:rPr>
      </w:pPr>
      <w:r>
        <w:rPr>
          <w:rFonts w:ascii="Arial" w:cs="Arial" w:eastAsia="Arial" w:hAnsi="Arial"/>
          <w:sz w:val="18"/>
          <w:szCs w:val="18"/>
          <w:color w:val="auto"/>
        </w:rPr>
        <w:t>Using Asana, individuals reduce their anxiety about missing deadlines and having work fall through the cracks. As a system of record for work, Asana stores all task and project information on past and present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60"/>
          </w:cols>
          <w:pgMar w:left="320" w:top="459" w:right="5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867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130" cy="58674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initiatives so people have greater confidence in meeting deliverables. Individuals, team leads, and executives gain real-time visibility into all the work that is happening in their organization, enabling them to feel organized and in control.</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Competitive Strengths</w:t>
      </w:r>
    </w:p>
    <w:p>
      <w:pPr>
        <w:spacing w:after="0" w:line="121" w:lineRule="exact"/>
        <w:rPr>
          <w:sz w:val="20"/>
          <w:szCs w:val="20"/>
          <w:color w:val="auto"/>
        </w:rPr>
      </w:pPr>
    </w:p>
    <w:p>
      <w:pPr>
        <w:ind w:left="200" w:right="60" w:firstLine="434"/>
        <w:spacing w:after="0" w:line="279" w:lineRule="auto"/>
        <w:rPr>
          <w:sz w:val="20"/>
          <w:szCs w:val="20"/>
          <w:color w:val="auto"/>
        </w:rPr>
      </w:pPr>
      <w:r>
        <w:rPr>
          <w:rFonts w:ascii="Arial" w:cs="Arial" w:eastAsia="Arial" w:hAnsi="Arial"/>
          <w:sz w:val="17"/>
          <w:szCs w:val="17"/>
          <w:b w:val="1"/>
          <w:bCs w:val="1"/>
          <w:i w:val="1"/>
          <w:iCs w:val="1"/>
          <w:color w:val="auto"/>
        </w:rPr>
        <w:t xml:space="preserve">Easy for an entire team to adopt. </w:t>
      </w:r>
      <w:r>
        <w:rPr>
          <w:rFonts w:ascii="Arial" w:cs="Arial" w:eastAsia="Arial" w:hAnsi="Arial"/>
          <w:sz w:val="17"/>
          <w:szCs w:val="17"/>
          <w:color w:val="auto"/>
        </w:rPr>
        <w:t>We designed our platform to be easy to adopt and transition away from legacy project management tools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without friction. For example, new users can import existing workflows from spreadsheets into Asana in a few clicks. We provide an intuitive interface—incorporating common language navigation, flexible views, and easy point-and-click and drag-and-drop functionalities—that allows users, across any role or level of technical proficiency, to easily set up and navigate a process or project.</w:t>
      </w:r>
    </w:p>
    <w:p>
      <w:pPr>
        <w:spacing w:after="0" w:line="171" w:lineRule="exact"/>
        <w:rPr>
          <w:sz w:val="20"/>
          <w:szCs w:val="20"/>
          <w:color w:val="auto"/>
        </w:rPr>
      </w:pPr>
    </w:p>
    <w:p>
      <w:pPr>
        <w:ind w:left="200" w:right="240" w:firstLine="434"/>
        <w:spacing w:after="0" w:line="342" w:lineRule="auto"/>
        <w:rPr>
          <w:sz w:val="20"/>
          <w:szCs w:val="20"/>
          <w:color w:val="auto"/>
        </w:rPr>
      </w:pPr>
      <w:r>
        <w:rPr>
          <w:rFonts w:ascii="Arial" w:cs="Arial" w:eastAsia="Arial" w:hAnsi="Arial"/>
          <w:sz w:val="16"/>
          <w:szCs w:val="16"/>
          <w:b w:val="1"/>
          <w:bCs w:val="1"/>
          <w:i w:val="1"/>
          <w:iCs w:val="1"/>
          <w:color w:val="auto"/>
        </w:rPr>
        <w:t xml:space="preserve">Applicable to individuals, team leads, and executives. </w:t>
      </w:r>
      <w:r>
        <w:rPr>
          <w:rFonts w:ascii="Arial" w:cs="Arial" w:eastAsia="Arial" w:hAnsi="Arial"/>
          <w:sz w:val="16"/>
          <w:szCs w:val="16"/>
          <w:color w:val="auto"/>
        </w:rPr>
        <w:t>Our multi-dimensional data model allows individuals, team leads, and executives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work the way they want, in the interface that is most applicable to them. Users realize different benefits from our platform, depending on their role:</w:t>
      </w:r>
    </w:p>
    <w:p>
      <w:pPr>
        <w:spacing w:after="0" w:line="29" w:lineRule="exact"/>
        <w:rPr>
          <w:sz w:val="20"/>
          <w:szCs w:val="20"/>
          <w:color w:val="auto"/>
        </w:rPr>
      </w:pPr>
    </w:p>
    <w:p>
      <w:pPr>
        <w:ind w:left="1160" w:hanging="534"/>
        <w:spacing w:after="0"/>
        <w:tabs>
          <w:tab w:leader="none" w:pos="11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individuals can view a task list to prioritize their work across projects and see how the work they depend on is progressing in real time;</w:t>
      </w:r>
    </w:p>
    <w:p>
      <w:pPr>
        <w:spacing w:after="0" w:line="153" w:lineRule="exact"/>
        <w:rPr>
          <w:rFonts w:ascii="Arial" w:cs="Arial" w:eastAsia="Arial" w:hAnsi="Arial"/>
          <w:sz w:val="16"/>
          <w:szCs w:val="16"/>
          <w:color w:val="auto"/>
        </w:rPr>
      </w:pPr>
    </w:p>
    <w:p>
      <w:pPr>
        <w:ind w:left="1160" w:hanging="534"/>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team leads can view the status of a project to identify dependencies or bottlenecks and manage workloads; and</w:t>
      </w:r>
    </w:p>
    <w:p>
      <w:pPr>
        <w:spacing w:after="0" w:line="130" w:lineRule="exact"/>
        <w:rPr>
          <w:rFonts w:ascii="Arial" w:cs="Arial" w:eastAsia="Arial" w:hAnsi="Arial"/>
          <w:sz w:val="18"/>
          <w:szCs w:val="18"/>
          <w:color w:val="auto"/>
        </w:rPr>
      </w:pPr>
    </w:p>
    <w:p>
      <w:pPr>
        <w:ind w:left="1160" w:hanging="534"/>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executives can see real-time updates on how their organization is tracking toward strategic objectives.</w:t>
      </w:r>
    </w:p>
    <w:p>
      <w:pPr>
        <w:spacing w:after="0" w:line="225" w:lineRule="exact"/>
        <w:rPr>
          <w:sz w:val="20"/>
          <w:szCs w:val="20"/>
          <w:color w:val="auto"/>
        </w:rPr>
      </w:pPr>
    </w:p>
    <w:p>
      <w:pPr>
        <w:ind w:left="200" w:firstLine="434"/>
        <w:spacing w:after="0" w:line="301" w:lineRule="auto"/>
        <w:rPr>
          <w:sz w:val="20"/>
          <w:szCs w:val="20"/>
          <w:color w:val="auto"/>
        </w:rPr>
      </w:pPr>
      <w:r>
        <w:rPr>
          <w:rFonts w:ascii="Arial" w:cs="Arial" w:eastAsia="Arial" w:hAnsi="Arial"/>
          <w:sz w:val="16"/>
          <w:szCs w:val="16"/>
          <w:b w:val="1"/>
          <w:bCs w:val="1"/>
          <w:i w:val="1"/>
          <w:iCs w:val="1"/>
          <w:color w:val="auto"/>
        </w:rPr>
        <w:t xml:space="preserve">Adaptable to virtually any use case. </w:t>
      </w:r>
      <w:r>
        <w:rPr>
          <w:rFonts w:ascii="Arial" w:cs="Arial" w:eastAsia="Arial" w:hAnsi="Arial"/>
          <w:sz w:val="16"/>
          <w:szCs w:val="16"/>
          <w:color w:val="auto"/>
        </w:rPr>
        <w:t>Asana is applicable to thousands of use cases, across many departments and industries. Customers typically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adopt Asana initially for a specific need within a department. Teams can then extend their usage to new use cases and departments as a result of collaborating on cross-functional projects. Organizations can also use Asana for organization-wide processes such as new employee onboarding, goal setting, and meeting agendas, which can lead to rapid expansion as employees see their peers using the platform.</w:t>
      </w:r>
    </w:p>
    <w:p>
      <w:pPr>
        <w:spacing w:after="0" w:line="157" w:lineRule="exact"/>
        <w:rPr>
          <w:sz w:val="20"/>
          <w:szCs w:val="20"/>
          <w:color w:val="auto"/>
        </w:rPr>
      </w:pPr>
    </w:p>
    <w:p>
      <w:pPr>
        <w:ind w:left="200" w:right="180" w:firstLine="434"/>
        <w:spacing w:after="0" w:line="259" w:lineRule="auto"/>
        <w:rPr>
          <w:sz w:val="20"/>
          <w:szCs w:val="20"/>
          <w:color w:val="auto"/>
        </w:rPr>
      </w:pPr>
      <w:r>
        <w:rPr>
          <w:rFonts w:ascii="Arial" w:cs="Arial" w:eastAsia="Arial" w:hAnsi="Arial"/>
          <w:sz w:val="18"/>
          <w:szCs w:val="18"/>
          <w:b w:val="1"/>
          <w:bCs w:val="1"/>
          <w:i w:val="1"/>
          <w:iCs w:val="1"/>
          <w:color w:val="auto"/>
        </w:rPr>
        <w:t xml:space="preserve">Loved by customers. </w:t>
      </w:r>
      <w:r>
        <w:rPr>
          <w:rFonts w:ascii="Arial" w:cs="Arial" w:eastAsia="Arial" w:hAnsi="Arial"/>
          <w:sz w:val="18"/>
          <w:szCs w:val="18"/>
          <w:color w:val="auto"/>
        </w:rPr>
        <w:t>We have fostered a vibrant global user community that is passionate about using Asana to orchestrate their work and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active in our Asana Together programs, which include our online forum, Asana Ambassadors, and Asana Certified Pros. We believe we have high levels of customer satisfaction, and our large, loyal customer base often shares their experiences, helping us acquire new customers through word of mouth.</w:t>
      </w:r>
    </w:p>
    <w:p>
      <w:pPr>
        <w:spacing w:after="0" w:line="187" w:lineRule="exact"/>
        <w:rPr>
          <w:sz w:val="20"/>
          <w:szCs w:val="20"/>
          <w:color w:val="auto"/>
        </w:rPr>
      </w:pPr>
    </w:p>
    <w:p>
      <w:pPr>
        <w:ind w:left="200" w:right="20" w:firstLine="434"/>
        <w:spacing w:after="0" w:line="296" w:lineRule="auto"/>
        <w:rPr>
          <w:sz w:val="20"/>
          <w:szCs w:val="20"/>
          <w:color w:val="auto"/>
        </w:rPr>
      </w:pPr>
      <w:r>
        <w:rPr>
          <w:rFonts w:ascii="Arial" w:cs="Arial" w:eastAsia="Arial" w:hAnsi="Arial"/>
          <w:sz w:val="16"/>
          <w:szCs w:val="16"/>
          <w:b w:val="1"/>
          <w:bCs w:val="1"/>
          <w:i w:val="1"/>
          <w:iCs w:val="1"/>
          <w:color w:val="auto"/>
        </w:rPr>
        <w:t xml:space="preserve">Efficient hybrid go-to-market model. </w:t>
      </w:r>
      <w:r>
        <w:rPr>
          <w:rFonts w:ascii="Arial" w:cs="Arial" w:eastAsia="Arial" w:hAnsi="Arial"/>
          <w:sz w:val="16"/>
          <w:szCs w:val="16"/>
          <w:color w:val="auto"/>
        </w:rPr>
        <w:t>Our hybrid self-service and direct sales model allows us to efficiently reach teams everywhere and then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rapidly expand within our customer base. A majority of our new customers initially adopt our platform through self-service and free trials. Individuals can try our products using a limited functionality free version or a free trial of one of our paid subscription plans for a limited period of time, allowing us to reach a broad user base with a limited sales presence. Our free-to-paid conversion rate of registered users, as measured by the number of paid users divided by the total number of then-registered users, has increased from 3.6% as of January 31, 2018 to over 4.8% as of January 31, 2020.</w:t>
      </w:r>
    </w:p>
    <w:p>
      <w:pPr>
        <w:spacing w:after="0" w:line="161" w:lineRule="exact"/>
        <w:rPr>
          <w:sz w:val="20"/>
          <w:szCs w:val="20"/>
          <w:color w:val="auto"/>
        </w:rPr>
      </w:pPr>
    </w:p>
    <w:p>
      <w:pPr>
        <w:ind w:left="200" w:firstLine="434"/>
        <w:spacing w:after="0" w:line="259" w:lineRule="auto"/>
        <w:rPr>
          <w:sz w:val="20"/>
          <w:szCs w:val="20"/>
          <w:color w:val="auto"/>
        </w:rPr>
      </w:pPr>
      <w:r>
        <w:rPr>
          <w:rFonts w:ascii="Arial" w:cs="Arial" w:eastAsia="Arial" w:hAnsi="Arial"/>
          <w:sz w:val="18"/>
          <w:szCs w:val="18"/>
          <w:b w:val="1"/>
          <w:bCs w:val="1"/>
          <w:i w:val="1"/>
          <w:iCs w:val="1"/>
          <w:color w:val="auto"/>
        </w:rPr>
        <w:t xml:space="preserve">High performance. </w:t>
      </w:r>
      <w:r>
        <w:rPr>
          <w:rFonts w:ascii="Arial" w:cs="Arial" w:eastAsia="Arial" w:hAnsi="Arial"/>
          <w:sz w:val="18"/>
          <w:szCs w:val="18"/>
          <w:color w:val="auto"/>
        </w:rPr>
        <w:t>We have architected our platform to be easy to use, extremely fast, and powerful. We have a modern architecture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proprietary intellectual property that enables flexible and fast queries. All user data is maintained in our cloud-native platform and changes are immediately synchronized to allow real-time collaboration. We have optimized the communication between the client application and servers to create a responsive experience with low latency and network utilization.</w:t>
      </w:r>
    </w:p>
    <w:p>
      <w:pPr>
        <w:spacing w:after="0" w:line="187" w:lineRule="exact"/>
        <w:rPr>
          <w:sz w:val="20"/>
          <w:szCs w:val="20"/>
          <w:color w:val="auto"/>
        </w:rPr>
      </w:pPr>
    </w:p>
    <w:p>
      <w:pPr>
        <w:ind w:left="200" w:right="280" w:firstLine="434"/>
        <w:spacing w:after="0" w:line="277" w:lineRule="auto"/>
        <w:rPr>
          <w:sz w:val="20"/>
          <w:szCs w:val="20"/>
          <w:color w:val="auto"/>
        </w:rPr>
      </w:pPr>
      <w:r>
        <w:rPr>
          <w:rFonts w:ascii="Arial" w:cs="Arial" w:eastAsia="Arial" w:hAnsi="Arial"/>
          <w:sz w:val="18"/>
          <w:szCs w:val="18"/>
          <w:b w:val="1"/>
          <w:bCs w:val="1"/>
          <w:i w:val="1"/>
          <w:iCs w:val="1"/>
          <w:color w:val="auto"/>
        </w:rPr>
        <w:t xml:space="preserve">Strong company culture. </w:t>
      </w:r>
      <w:r>
        <w:rPr>
          <w:rFonts w:ascii="Arial" w:cs="Arial" w:eastAsia="Arial" w:hAnsi="Arial"/>
          <w:sz w:val="18"/>
          <w:szCs w:val="18"/>
          <w:color w:val="auto"/>
        </w:rPr>
        <w:t>Our culture is a critical component of our success. Our commitment to transparency, distributed responsibility,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growth helps us attract and retain top quality talent from</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40"/>
          </w:cols>
          <w:pgMar w:left="320" w:top="459" w:right="5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0477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130" cy="60477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180"/>
        <w:spacing w:after="0" w:line="257" w:lineRule="auto"/>
        <w:rPr>
          <w:sz w:val="20"/>
          <w:szCs w:val="20"/>
          <w:color w:val="auto"/>
        </w:rPr>
      </w:pPr>
      <w:r>
        <w:rPr>
          <w:rFonts w:ascii="Arial" w:cs="Arial" w:eastAsia="Arial" w:hAnsi="Arial"/>
          <w:sz w:val="18"/>
          <w:szCs w:val="18"/>
          <w:color w:val="auto"/>
        </w:rPr>
        <w:t>diverse backgrounds. We have seen strong retention rates overall, particularly across our engineering department, where our annual retention is over 90% despite competition for talent. We believe our diverse workforce helps us better understand the needs of our diverse user base and innovate in new and creative ways. We take pride in being recognized as one of the top 10 Best Small &amp; Medium Workplaces for the third year in a row by Fortune in 2019. Our strong culture has led to high employee engagement as demonstrated by a survey conducted by Culture Amp, placing us in the top quartile of our peers.</w:t>
      </w:r>
    </w:p>
    <w:p>
      <w:pPr>
        <w:spacing w:after="0" w:line="188" w:lineRule="exact"/>
        <w:rPr>
          <w:sz w:val="20"/>
          <w:szCs w:val="20"/>
          <w:color w:val="auto"/>
        </w:rPr>
      </w:pPr>
    </w:p>
    <w:p>
      <w:pPr>
        <w:ind w:left="200" w:right="280" w:firstLine="434"/>
        <w:spacing w:after="0" w:line="296" w:lineRule="auto"/>
        <w:rPr>
          <w:sz w:val="20"/>
          <w:szCs w:val="20"/>
          <w:color w:val="auto"/>
        </w:rPr>
      </w:pPr>
      <w:r>
        <w:rPr>
          <w:rFonts w:ascii="Arial" w:cs="Arial" w:eastAsia="Arial" w:hAnsi="Arial"/>
          <w:sz w:val="16"/>
          <w:szCs w:val="16"/>
          <w:b w:val="1"/>
          <w:bCs w:val="1"/>
          <w:i w:val="1"/>
          <w:iCs w:val="1"/>
          <w:color w:val="auto"/>
        </w:rPr>
        <w:t xml:space="preserve">Scalable and secure. </w:t>
      </w:r>
      <w:r>
        <w:rPr>
          <w:rFonts w:ascii="Arial" w:cs="Arial" w:eastAsia="Arial" w:hAnsi="Arial"/>
          <w:sz w:val="16"/>
          <w:szCs w:val="16"/>
          <w:color w:val="auto"/>
        </w:rPr>
        <w:t>We have built our platform using best practices, leveraging tooling and automation to enable rapid feature deployment,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frequent code releases to production, and horizontal-scaling across our servers and data storage to easily add capacity and scale. We have demonstrated reliability with over 99.9% average up-time during fiscal 2020. We have built security checks and mechanisms into all parts of our technology stack and embraced security practices, like a public bug bounty program and third-party penetration testing. We are SOC 2 Type II compliant and have implemented robust safeguards to protect the security of data uploaded to and shared within our platform.</w:t>
      </w:r>
    </w:p>
    <w:p>
      <w:pPr>
        <w:spacing w:after="0" w:line="26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Market Opportunity</w:t>
      </w:r>
    </w:p>
    <w:p>
      <w:pPr>
        <w:spacing w:after="0" w:line="121" w:lineRule="exact"/>
        <w:rPr>
          <w:sz w:val="20"/>
          <w:szCs w:val="20"/>
          <w:color w:val="auto"/>
        </w:rPr>
      </w:pPr>
    </w:p>
    <w:p>
      <w:pPr>
        <w:ind w:left="200" w:right="60" w:firstLine="434"/>
        <w:spacing w:after="0" w:line="342" w:lineRule="auto"/>
        <w:rPr>
          <w:sz w:val="20"/>
          <w:szCs w:val="20"/>
          <w:color w:val="auto"/>
        </w:rPr>
      </w:pPr>
      <w:r>
        <w:rPr>
          <w:rFonts w:ascii="Arial" w:cs="Arial" w:eastAsia="Arial" w:hAnsi="Arial"/>
          <w:sz w:val="16"/>
          <w:szCs w:val="16"/>
          <w:color w:val="auto"/>
        </w:rPr>
        <w:t>The work management market that we address is large and rapidly growing. According to a June 2019 IDC report, the markets for collaborative applications and project and portfolio management, in aggregate, are expected to grow from $23 billion in 2020 to $32 billion in 2023.</w:t>
      </w:r>
    </w:p>
    <w:p>
      <w:pPr>
        <w:spacing w:after="0" w:line="124" w:lineRule="exact"/>
        <w:rPr>
          <w:sz w:val="20"/>
          <w:szCs w:val="20"/>
          <w:color w:val="auto"/>
        </w:rPr>
      </w:pPr>
    </w:p>
    <w:p>
      <w:pPr>
        <w:ind w:left="200" w:right="160" w:firstLine="434"/>
        <w:spacing w:after="0" w:line="311" w:lineRule="auto"/>
        <w:rPr>
          <w:sz w:val="20"/>
          <w:szCs w:val="20"/>
          <w:color w:val="auto"/>
        </w:rPr>
      </w:pPr>
      <w:r>
        <w:rPr>
          <w:rFonts w:ascii="Arial" w:cs="Arial" w:eastAsia="Arial" w:hAnsi="Arial"/>
          <w:sz w:val="16"/>
          <w:szCs w:val="16"/>
          <w:color w:val="auto"/>
        </w:rPr>
        <w:t>We believe we have the opportunity to address the 1.25 billion global information workers, estimated by a September 2019 report by Forrester Research, Inc., or Forrester. We believe we are less than 3% penetrated among addressable employees in our existing customer base, indicating a significant whitespace opportunity. Additionally, we believe we have significant greenfield opportunities among addressable customers worldwide.</w:t>
      </w:r>
    </w:p>
    <w:p>
      <w:pPr>
        <w:spacing w:after="0" w:line="25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Growth Strategies</w:t>
      </w:r>
    </w:p>
    <w:p>
      <w:pPr>
        <w:spacing w:after="0" w:line="121" w:lineRule="exact"/>
        <w:rPr>
          <w:sz w:val="20"/>
          <w:szCs w:val="20"/>
          <w:color w:val="auto"/>
        </w:rPr>
      </w:pPr>
    </w:p>
    <w:p>
      <w:pPr>
        <w:ind w:left="200" w:right="260" w:firstLine="434"/>
        <w:spacing w:after="0" w:line="277" w:lineRule="auto"/>
        <w:rPr>
          <w:sz w:val="20"/>
          <w:szCs w:val="20"/>
          <w:color w:val="auto"/>
        </w:rPr>
      </w:pPr>
      <w:r>
        <w:rPr>
          <w:rFonts w:ascii="Arial" w:cs="Arial" w:eastAsia="Arial" w:hAnsi="Arial"/>
          <w:sz w:val="18"/>
          <w:szCs w:val="18"/>
          <w:color w:val="auto"/>
        </w:rPr>
        <w:t>We have driven rapid adoption of our platform and intend to continue to promote our platform and its adoption through the following growth strategies:</w:t>
      </w:r>
    </w:p>
    <w:p>
      <w:pPr>
        <w:spacing w:after="0" w:line="166" w:lineRule="exact"/>
        <w:rPr>
          <w:sz w:val="20"/>
          <w:szCs w:val="20"/>
          <w:color w:val="auto"/>
        </w:rPr>
      </w:pPr>
    </w:p>
    <w:p>
      <w:pPr>
        <w:ind w:left="200" w:right="200" w:firstLine="434"/>
        <w:spacing w:after="0" w:line="261" w:lineRule="auto"/>
        <w:rPr>
          <w:sz w:val="20"/>
          <w:szCs w:val="20"/>
          <w:color w:val="auto"/>
        </w:rPr>
      </w:pPr>
      <w:r>
        <w:rPr>
          <w:rFonts w:ascii="Arial" w:cs="Arial" w:eastAsia="Arial" w:hAnsi="Arial"/>
          <w:sz w:val="18"/>
          <w:szCs w:val="18"/>
          <w:b w:val="1"/>
          <w:bCs w:val="1"/>
          <w:i w:val="1"/>
          <w:iCs w:val="1"/>
          <w:color w:val="auto"/>
        </w:rPr>
        <w:t>Add more customers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over 75,000 paying customers as of January 31, 2020 and over 3.2 million free activated accounts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inception, representing a large opportunity to convert these accounts into paying customers. An activated account represents an organization or individual that has collaborated with another user. We also plan to acquire new customers through word of mouth, marketing activities, self-service, and direct sales efforts.</w:t>
      </w:r>
    </w:p>
    <w:p>
      <w:pPr>
        <w:spacing w:after="0" w:line="180" w:lineRule="exact"/>
        <w:rPr>
          <w:sz w:val="20"/>
          <w:szCs w:val="20"/>
          <w:color w:val="auto"/>
        </w:rPr>
      </w:pPr>
    </w:p>
    <w:p>
      <w:pPr>
        <w:ind w:left="200" w:right="160" w:firstLine="434"/>
        <w:spacing w:after="0" w:line="261" w:lineRule="auto"/>
        <w:rPr>
          <w:sz w:val="20"/>
          <w:szCs w:val="20"/>
          <w:color w:val="auto"/>
        </w:rPr>
      </w:pPr>
      <w:r>
        <w:rPr>
          <w:rFonts w:ascii="Arial" w:cs="Arial" w:eastAsia="Arial" w:hAnsi="Arial"/>
          <w:sz w:val="18"/>
          <w:szCs w:val="18"/>
          <w:b w:val="1"/>
          <w:bCs w:val="1"/>
          <w:i w:val="1"/>
          <w:iCs w:val="1"/>
          <w:color w:val="auto"/>
        </w:rPr>
        <w:t>Expand within our existing customer base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typically adopt Asana for a specific use case within a department and then expand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use cases across departments and, in some instances, across an entire organization. To address the significant whitespace opportunity within our existing customer base, we are growing our direct sales team, which has nearly doubled in size since January 31, 2019, to promote department-specific and organization-wide use cases.</w:t>
      </w:r>
    </w:p>
    <w:p>
      <w:pPr>
        <w:spacing w:after="0" w:line="184" w:lineRule="exact"/>
        <w:rPr>
          <w:sz w:val="20"/>
          <w:szCs w:val="20"/>
          <w:color w:val="auto"/>
        </w:rPr>
      </w:pPr>
    </w:p>
    <w:p>
      <w:pPr>
        <w:ind w:left="200" w:firstLine="434"/>
        <w:spacing w:after="0" w:line="263" w:lineRule="auto"/>
        <w:rPr>
          <w:sz w:val="20"/>
          <w:szCs w:val="20"/>
          <w:color w:val="auto"/>
        </w:rPr>
      </w:pPr>
      <w:r>
        <w:rPr>
          <w:rFonts w:ascii="Arial" w:cs="Arial" w:eastAsia="Arial" w:hAnsi="Arial"/>
          <w:sz w:val="18"/>
          <w:szCs w:val="18"/>
          <w:b w:val="1"/>
          <w:bCs w:val="1"/>
          <w:i w:val="1"/>
          <w:iCs w:val="1"/>
          <w:color w:val="auto"/>
        </w:rPr>
        <w:t xml:space="preserve">Continue to innovate. </w:t>
      </w:r>
      <w:r>
        <w:rPr>
          <w:rFonts w:ascii="Arial" w:cs="Arial" w:eastAsia="Arial" w:hAnsi="Arial"/>
          <w:sz w:val="18"/>
          <w:szCs w:val="18"/>
          <w:color w:val="auto"/>
        </w:rPr>
        <w:t>Product innovation is critical to maintaining our success as a leader in work management. We will continue to expand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 offerings and enhance the features and functionality of our platform. Since January 31, 2019, we have grown our engineering team by over 80% to drive product innovation.</w:t>
      </w:r>
    </w:p>
    <w:p>
      <w:pPr>
        <w:spacing w:after="0" w:line="184" w:lineRule="exact"/>
        <w:rPr>
          <w:sz w:val="20"/>
          <w:szCs w:val="20"/>
          <w:color w:val="auto"/>
        </w:rPr>
      </w:pPr>
    </w:p>
    <w:p>
      <w:pPr>
        <w:ind w:left="200" w:right="280" w:firstLine="434"/>
        <w:spacing w:after="0" w:line="277" w:lineRule="auto"/>
        <w:rPr>
          <w:sz w:val="20"/>
          <w:szCs w:val="20"/>
          <w:color w:val="auto"/>
        </w:rPr>
      </w:pPr>
      <w:r>
        <w:rPr>
          <w:rFonts w:ascii="Arial" w:cs="Arial" w:eastAsia="Arial" w:hAnsi="Arial"/>
          <w:sz w:val="18"/>
          <w:szCs w:val="18"/>
          <w:b w:val="1"/>
          <w:bCs w:val="1"/>
          <w:i w:val="1"/>
          <w:iCs w:val="1"/>
          <w:color w:val="auto"/>
        </w:rPr>
        <w:t xml:space="preserve">Keep building a high value brand. </w:t>
      </w:r>
      <w:r>
        <w:rPr>
          <w:rFonts w:ascii="Arial" w:cs="Arial" w:eastAsia="Arial" w:hAnsi="Arial"/>
          <w:sz w:val="18"/>
          <w:szCs w:val="18"/>
          <w:color w:val="auto"/>
        </w:rPr>
        <w:t>Our goal is to be the leader in work management—a market still in the early stages of development,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greenfield opportunities for adoption among companies of all sizes. We will</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40"/>
          </w:cols>
          <w:pgMar w:left="320" w:top="459" w:right="5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859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6130" cy="58591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200"/>
        <w:spacing w:after="0" w:line="263" w:lineRule="auto"/>
        <w:rPr>
          <w:sz w:val="20"/>
          <w:szCs w:val="20"/>
          <w:color w:val="auto"/>
        </w:rPr>
      </w:pPr>
      <w:r>
        <w:rPr>
          <w:rFonts w:ascii="Arial" w:cs="Arial" w:eastAsia="Arial" w:hAnsi="Arial"/>
          <w:sz w:val="18"/>
          <w:szCs w:val="18"/>
          <w:color w:val="auto"/>
        </w:rPr>
        <w:t>continue to build our brand through customer experience and broader engagement, marketing, and industry and analyst education. In 2018, we were recognized by Forrester as a Leader in Collaborative Work Management Tools for the Enterprise based on a range of criteria, including the highest scores possible in customer satisfaction and pace of innovation criteria.</w:t>
      </w:r>
    </w:p>
    <w:p>
      <w:pPr>
        <w:spacing w:after="0" w:line="184" w:lineRule="exact"/>
        <w:rPr>
          <w:sz w:val="20"/>
          <w:szCs w:val="20"/>
          <w:color w:val="auto"/>
        </w:rPr>
      </w:pPr>
    </w:p>
    <w:p>
      <w:pPr>
        <w:ind w:left="200" w:right="60" w:firstLine="434"/>
        <w:spacing w:after="0" w:line="259" w:lineRule="auto"/>
        <w:rPr>
          <w:sz w:val="20"/>
          <w:szCs w:val="20"/>
          <w:color w:val="auto"/>
        </w:rPr>
      </w:pPr>
      <w:r>
        <w:rPr>
          <w:rFonts w:ascii="Arial" w:cs="Arial" w:eastAsia="Arial" w:hAnsi="Arial"/>
          <w:sz w:val="18"/>
          <w:szCs w:val="18"/>
          <w:b w:val="1"/>
          <w:bCs w:val="1"/>
          <w:i w:val="1"/>
          <w:iCs w:val="1"/>
          <w:color w:val="auto"/>
        </w:rPr>
        <w:t xml:space="preserve">Develop functional workflows. </w:t>
      </w:r>
      <w:r>
        <w:rPr>
          <w:rFonts w:ascii="Arial" w:cs="Arial" w:eastAsia="Arial" w:hAnsi="Arial"/>
          <w:sz w:val="18"/>
          <w:szCs w:val="18"/>
          <w:color w:val="auto"/>
        </w:rPr>
        <w:t>We have seen strong initial adoption in our customer base particularly in marketing, sales, operations, human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resources, product management, and design where there are many workstreams requiring cross-functional collaboration. We have developed purpose-built templates and premium functionality that cater to these groups, and will continue to develop specific functional workflows where we see adoption opportunities.</w:t>
      </w:r>
    </w:p>
    <w:p>
      <w:pPr>
        <w:spacing w:after="0" w:line="187" w:lineRule="exact"/>
        <w:rPr>
          <w:sz w:val="20"/>
          <w:szCs w:val="20"/>
          <w:color w:val="auto"/>
        </w:rPr>
      </w:pPr>
    </w:p>
    <w:p>
      <w:pPr>
        <w:ind w:left="200" w:right="120" w:firstLine="434"/>
        <w:spacing w:after="0" w:line="263" w:lineRule="auto"/>
        <w:rPr>
          <w:sz w:val="20"/>
          <w:szCs w:val="20"/>
          <w:color w:val="auto"/>
        </w:rPr>
      </w:pPr>
      <w:r>
        <w:rPr>
          <w:rFonts w:ascii="Arial" w:cs="Arial" w:eastAsia="Arial" w:hAnsi="Arial"/>
          <w:sz w:val="18"/>
          <w:szCs w:val="18"/>
          <w:b w:val="1"/>
          <w:bCs w:val="1"/>
          <w:i w:val="1"/>
          <w:iCs w:val="1"/>
          <w:color w:val="auto"/>
        </w:rPr>
        <w:t xml:space="preserve">Develop organization-wide use cases. </w:t>
      </w:r>
      <w:r>
        <w:rPr>
          <w:rFonts w:ascii="Arial" w:cs="Arial" w:eastAsia="Arial" w:hAnsi="Arial"/>
          <w:sz w:val="18"/>
          <w:szCs w:val="18"/>
          <w:color w:val="auto"/>
        </w:rPr>
        <w:t>Customers use Asana for a number of use cases, from departmental projects to organization-wide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initiatives, including employee goal management, new employee onboarding, one-on-ones, and meeting agendas. Over time, we intend to productize and monetize organization-specific use cases on our platform.</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Business and Investment in our Class A Common Stock</w:t>
      </w:r>
    </w:p>
    <w:p>
      <w:pPr>
        <w:spacing w:after="0" w:line="121" w:lineRule="exact"/>
        <w:rPr>
          <w:sz w:val="20"/>
          <w:szCs w:val="20"/>
          <w:color w:val="auto"/>
        </w:rPr>
      </w:pPr>
    </w:p>
    <w:p>
      <w:pPr>
        <w:ind w:left="200" w:firstLine="434"/>
        <w:spacing w:after="0" w:line="286" w:lineRule="auto"/>
        <w:rPr>
          <w:sz w:val="20"/>
          <w:szCs w:val="20"/>
          <w:color w:val="auto"/>
        </w:rPr>
      </w:pPr>
      <w:r>
        <w:rPr>
          <w:rFonts w:ascii="Arial" w:cs="Arial" w:eastAsia="Arial" w:hAnsi="Arial"/>
          <w:sz w:val="17"/>
          <w:szCs w:val="17"/>
          <w:color w:val="auto"/>
        </w:rPr>
        <w:t>Investing in our Class A common stock involves a high degree of risk. You should carefully consider the risks highlighted in the section titled “Risk Factors” immediately following this prospectus summary before making an investment decision. We may be unable for many reasons, including those that are beyond our control, to implement our business strategy successfully. Some of these risks are:</w:t>
      </w:r>
    </w:p>
    <w:p>
      <w:pPr>
        <w:spacing w:after="0" w:line="71" w:lineRule="exact"/>
        <w:rPr>
          <w:sz w:val="20"/>
          <w:szCs w:val="20"/>
          <w:color w:val="auto"/>
        </w:rPr>
      </w:pPr>
    </w:p>
    <w:p>
      <w:pPr>
        <w:ind w:left="1160" w:hanging="534"/>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experienced rapid growth in recent periods, and our recent growth rates may not be indicative of our future growth.</w:t>
      </w:r>
    </w:p>
    <w:p>
      <w:pPr>
        <w:spacing w:after="0" w:line="130" w:lineRule="exact"/>
        <w:rPr>
          <w:rFonts w:ascii="Arial" w:cs="Arial" w:eastAsia="Arial" w:hAnsi="Arial"/>
          <w:sz w:val="18"/>
          <w:szCs w:val="18"/>
          <w:color w:val="auto"/>
        </w:rPr>
      </w:pPr>
    </w:p>
    <w:p>
      <w:pPr>
        <w:ind w:left="1160" w:right="220" w:hanging="534"/>
        <w:spacing w:after="0" w:line="277"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a limited operating history at our current scale, which makes it difficult to evaluate our future prospects and may increase the risk that we will not be successful.</w:t>
      </w:r>
    </w:p>
    <w:p>
      <w:pPr>
        <w:spacing w:after="0" w:line="75" w:lineRule="exact"/>
        <w:rPr>
          <w:rFonts w:ascii="Arial" w:cs="Arial" w:eastAsia="Arial" w:hAnsi="Arial"/>
          <w:sz w:val="18"/>
          <w:szCs w:val="18"/>
          <w:color w:val="auto"/>
        </w:rPr>
      </w:pPr>
    </w:p>
    <w:p>
      <w:pPr>
        <w:ind w:left="1160" w:hanging="534"/>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a history of losses, and we may not be able to achieve profitability or, if achieved, sustain profitability.</w:t>
      </w:r>
    </w:p>
    <w:p>
      <w:pPr>
        <w:spacing w:after="0" w:line="130" w:lineRule="exact"/>
        <w:rPr>
          <w:rFonts w:ascii="Arial" w:cs="Arial" w:eastAsia="Arial" w:hAnsi="Arial"/>
          <w:sz w:val="18"/>
          <w:szCs w:val="18"/>
          <w:color w:val="auto"/>
        </w:rPr>
      </w:pPr>
    </w:p>
    <w:p>
      <w:pPr>
        <w:ind w:left="1160" w:hanging="534"/>
        <w:spacing w:after="0"/>
        <w:tabs>
          <w:tab w:leader="none" w:pos="116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quarterly results may fluctuate significantly and may not meet our expectations or those of investors or securities analysts.</w:t>
      </w:r>
    </w:p>
    <w:p>
      <w:pPr>
        <w:spacing w:after="0" w:line="142" w:lineRule="exact"/>
        <w:rPr>
          <w:rFonts w:ascii="Arial" w:cs="Arial" w:eastAsia="Arial" w:hAnsi="Arial"/>
          <w:sz w:val="17"/>
          <w:szCs w:val="17"/>
          <w:color w:val="auto"/>
        </w:rPr>
      </w:pPr>
    </w:p>
    <w:p>
      <w:pPr>
        <w:jc w:val="both"/>
        <w:ind w:left="1160" w:right="320" w:hanging="534"/>
        <w:spacing w:after="0" w:line="263"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are unable to attract new customers, convert individuals, teams, and organizations using our free and trial versions into paying customers, and expand usage within organizations or develop new features, integrations, capabilities, and enhancements that achieve market acceptance, our revenue growth would be harmed.</w:t>
      </w:r>
    </w:p>
    <w:p>
      <w:pPr>
        <w:spacing w:after="0" w:line="89" w:lineRule="exact"/>
        <w:rPr>
          <w:rFonts w:ascii="Arial" w:cs="Arial" w:eastAsia="Arial" w:hAnsi="Arial"/>
          <w:sz w:val="18"/>
          <w:szCs w:val="18"/>
          <w:color w:val="auto"/>
        </w:rPr>
      </w:pPr>
    </w:p>
    <w:p>
      <w:pPr>
        <w:ind w:left="1160" w:right="60" w:hanging="534"/>
        <w:spacing w:after="0" w:line="342" w:lineRule="auto"/>
        <w:tabs>
          <w:tab w:leader="none" w:pos="11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the market for work management solutions develops more slowly than we expect or declines, our business would be adversely affected, and the estimates of market opportunity and forecasts of market growth included in this prospectus may prove to be inaccurate.</w:t>
      </w:r>
    </w:p>
    <w:p>
      <w:pPr>
        <w:spacing w:after="0" w:line="29" w:lineRule="exact"/>
        <w:rPr>
          <w:rFonts w:ascii="Arial" w:cs="Arial" w:eastAsia="Arial" w:hAnsi="Arial"/>
          <w:sz w:val="16"/>
          <w:szCs w:val="16"/>
          <w:color w:val="auto"/>
        </w:rPr>
      </w:pPr>
    </w:p>
    <w:p>
      <w:pPr>
        <w:ind w:left="1160" w:hanging="534"/>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operate in a highly competitive industry, and competition presents an ongoing threat to the success of our business.</w:t>
      </w:r>
    </w:p>
    <w:p>
      <w:pPr>
        <w:spacing w:after="0" w:line="130" w:lineRule="exact"/>
        <w:rPr>
          <w:rFonts w:ascii="Arial" w:cs="Arial" w:eastAsia="Arial" w:hAnsi="Arial"/>
          <w:sz w:val="18"/>
          <w:szCs w:val="18"/>
          <w:color w:val="auto"/>
        </w:rPr>
      </w:pPr>
    </w:p>
    <w:p>
      <w:pPr>
        <w:ind w:left="1160" w:right="40" w:hanging="534"/>
        <w:spacing w:after="0" w:line="277"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effectively develop and expand our direct sales capabilities would harm our ability to expand usage of our platform within our customer base and achieve broader market acceptance of our platform.</w:t>
      </w:r>
    </w:p>
    <w:p>
      <w:pPr>
        <w:spacing w:after="0" w:line="75" w:lineRule="exact"/>
        <w:rPr>
          <w:rFonts w:ascii="Arial" w:cs="Arial" w:eastAsia="Arial" w:hAnsi="Arial"/>
          <w:sz w:val="18"/>
          <w:szCs w:val="18"/>
          <w:color w:val="auto"/>
        </w:rPr>
      </w:pPr>
    </w:p>
    <w:p>
      <w:pPr>
        <w:ind w:left="1160" w:right="640" w:hanging="534"/>
        <w:spacing w:after="0" w:line="277"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loss of one or more of our key personnel, in particular our co-founder, President, Chief Executive Officer, and Chair, Dustin Moskovitz, would harm our business.</w:t>
      </w:r>
    </w:p>
    <w:p>
      <w:pPr>
        <w:spacing w:after="0" w:line="75" w:lineRule="exact"/>
        <w:rPr>
          <w:rFonts w:ascii="Arial" w:cs="Arial" w:eastAsia="Arial" w:hAnsi="Arial"/>
          <w:sz w:val="18"/>
          <w:szCs w:val="18"/>
          <w:color w:val="auto"/>
        </w:rPr>
      </w:pPr>
    </w:p>
    <w:p>
      <w:pPr>
        <w:ind w:left="1160" w:right="160" w:hanging="534"/>
        <w:spacing w:after="0" w:line="277"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failure to protect our sites, networks, and systems against security breaches, or otherwise to protect our confidential information or the confidential information of our users, customers, or other third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40"/>
          </w:cols>
          <w:pgMar w:left="320" w:top="459" w:right="5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2363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6130" cy="623633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parties, would damage our reputation and brand, and substantially harm our business and results of operations.</w:t>
      </w:r>
    </w:p>
    <w:p>
      <w:pPr>
        <w:spacing w:after="0" w:line="131" w:lineRule="exact"/>
        <w:rPr>
          <w:sz w:val="20"/>
          <w:szCs w:val="20"/>
          <w:color w:val="auto"/>
        </w:rPr>
      </w:pPr>
    </w:p>
    <w:p>
      <w:pPr>
        <w:ind w:left="1160" w:right="140" w:hanging="534"/>
        <w:spacing w:after="0" w:line="277"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fail to manage our technical operations infrastructure, or experience service outages, interruptions, or delays in the deployment of our platform, our results of operations may be harmed.</w:t>
      </w:r>
    </w:p>
    <w:p>
      <w:pPr>
        <w:sectPr>
          <w:pgSz w:w="11900" w:h="16838" w:orient="portrait"/>
          <w:cols w:equalWidth="0" w:num="1">
            <w:col w:w="11040"/>
          </w:cols>
          <w:pgMar w:left="320" w:top="459" w:right="539" w:bottom="1440" w:gutter="0" w:footer="0" w:header="0"/>
        </w:sectPr>
      </w:pPr>
    </w:p>
    <w:p>
      <w:pPr>
        <w:spacing w:after="0" w:line="7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trading price of our Class A common stock may be volatile and could, upon listing on rapidly.</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 decline significantly and</w:t>
      </w:r>
    </w:p>
    <w:p>
      <w:pPr>
        <w:spacing w:after="0" w:line="369" w:lineRule="exact"/>
        <w:rPr>
          <w:sz w:val="20"/>
          <w:szCs w:val="20"/>
          <w:color w:val="auto"/>
        </w:rPr>
      </w:pPr>
    </w:p>
    <w:p>
      <w:pPr>
        <w:sectPr>
          <w:pgSz w:w="11900" w:h="16838" w:orient="portrait"/>
          <w:cols w:equalWidth="0" w:num="3">
            <w:col w:w="680" w:space="480"/>
            <w:col w:w="6720" w:space="720"/>
            <w:col w:w="2440"/>
          </w:cols>
          <w:pgMar w:left="320" w:top="459" w:right="539" w:bottom="1440" w:gutter="0" w:footer="0" w:header="0"/>
          <w:type w:val="continuous"/>
        </w:sectPr>
      </w:pPr>
    </w:p>
    <w:p>
      <w:pPr>
        <w:ind w:left="6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tabs>
          <w:tab w:leader="none" w:pos="5340" w:val="left"/>
        </w:tabs>
        <w:rPr>
          <w:sz w:val="20"/>
          <w:szCs w:val="20"/>
          <w:color w:val="auto"/>
        </w:rPr>
      </w:pPr>
      <w:r>
        <w:rPr>
          <w:rFonts w:ascii="Arial" w:cs="Arial" w:eastAsia="Arial" w:hAnsi="Arial"/>
          <w:sz w:val="18"/>
          <w:szCs w:val="18"/>
          <w:color w:val="auto"/>
        </w:rPr>
        <w:t>The trading price of our Class A common stock, upon listing on</w:t>
      </w:r>
      <w:r>
        <w:rPr>
          <w:sz w:val="20"/>
          <w:szCs w:val="20"/>
          <w:color w:val="auto"/>
        </w:rPr>
        <w:tab/>
      </w:r>
      <w:r>
        <w:rPr>
          <w:rFonts w:ascii="Arial" w:cs="Arial" w:eastAsia="Arial" w:hAnsi="Arial"/>
          <w:sz w:val="16"/>
          <w:szCs w:val="16"/>
          <w:color w:val="auto"/>
        </w:rPr>
        <w:t>, may have little or no relationship to the historical sales prices</w:t>
      </w:r>
    </w:p>
    <w:p>
      <w:pPr>
        <w:spacing w:after="0" w:line="23" w:lineRule="exact"/>
        <w:rPr>
          <w:sz w:val="20"/>
          <w:szCs w:val="20"/>
          <w:color w:val="auto"/>
        </w:rPr>
      </w:pPr>
    </w:p>
    <w:p>
      <w:pPr>
        <w:sectPr>
          <w:pgSz w:w="11900" w:h="16838" w:orient="portrait"/>
          <w:cols w:equalWidth="0" w:num="2">
            <w:col w:w="680" w:space="480"/>
            <w:col w:w="9880"/>
          </w:cols>
          <w:pgMar w:left="320" w:top="459" w:right="539" w:bottom="1440" w:gutter="0" w:footer="0" w:header="0"/>
          <w:type w:val="continuous"/>
        </w:sectPr>
      </w:pPr>
    </w:p>
    <w:p>
      <w:pPr>
        <w:ind w:left="1160"/>
        <w:spacing w:after="0"/>
        <w:rPr>
          <w:sz w:val="20"/>
          <w:szCs w:val="20"/>
          <w:color w:val="auto"/>
        </w:rPr>
      </w:pPr>
      <w:r>
        <w:rPr>
          <w:rFonts w:ascii="Arial" w:cs="Arial" w:eastAsia="Arial" w:hAnsi="Arial"/>
          <w:sz w:val="18"/>
          <w:szCs w:val="18"/>
          <w:color w:val="auto"/>
        </w:rPr>
        <w:t>of our capital stock in private transactions, and such private transactions have been limited.</w:t>
      </w:r>
    </w:p>
    <w:p>
      <w:pPr>
        <w:spacing w:after="0" w:line="116" w:lineRule="exact"/>
        <w:rPr>
          <w:sz w:val="20"/>
          <w:szCs w:val="20"/>
          <w:color w:val="auto"/>
        </w:rPr>
      </w:pPr>
    </w:p>
    <w:p>
      <w:pPr>
        <w:ind w:left="1160" w:right="280" w:hanging="534"/>
        <w:spacing w:after="0" w:line="277"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active, liquid, and orderly market for our Class A common stock may not develop or be sustained. You may be unable to sell your shares of Class A common stock at or above the price at which you purchased them.</w:t>
      </w:r>
    </w:p>
    <w:p>
      <w:pPr>
        <w:spacing w:after="0" w:line="75" w:lineRule="exact"/>
        <w:rPr>
          <w:rFonts w:ascii="Arial" w:cs="Arial" w:eastAsia="Arial" w:hAnsi="Arial"/>
          <w:sz w:val="18"/>
          <w:szCs w:val="18"/>
          <w:color w:val="auto"/>
        </w:rPr>
      </w:pPr>
    </w:p>
    <w:p>
      <w:pPr>
        <w:ind w:left="1160" w:hanging="534"/>
        <w:spacing w:after="0"/>
        <w:tabs>
          <w:tab w:leader="none" w:pos="11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dual class structure of our common stock has the effect of concentrating voting control with those stockholders who held our capital</w:t>
      </w:r>
    </w:p>
    <w:p>
      <w:pPr>
        <w:sectPr>
          <w:pgSz w:w="11900" w:h="16838" w:orient="portrait"/>
          <w:cols w:equalWidth="0" w:num="1">
            <w:col w:w="11040"/>
          </w:cols>
          <w:pgMar w:left="320" w:top="459" w:right="539" w:bottom="1440" w:gutter="0" w:footer="0" w:header="0"/>
          <w:type w:val="continuous"/>
        </w:sectPr>
      </w:pPr>
    </w:p>
    <w:p>
      <w:pPr>
        <w:spacing w:after="0" w:line="46" w:lineRule="exact"/>
        <w:rPr>
          <w:sz w:val="20"/>
          <w:szCs w:val="20"/>
          <w:color w:val="auto"/>
        </w:rPr>
      </w:pPr>
    </w:p>
    <w:p>
      <w:pPr>
        <w:ind w:left="1160" w:right="280"/>
        <w:spacing w:after="0" w:line="250" w:lineRule="auto"/>
        <w:rPr>
          <w:sz w:val="20"/>
          <w:szCs w:val="20"/>
          <w:color w:val="auto"/>
        </w:rPr>
      </w:pPr>
      <w:r>
        <w:rPr>
          <w:rFonts w:ascii="Arial" w:cs="Arial" w:eastAsia="Arial" w:hAnsi="Arial"/>
          <w:sz w:val="18"/>
          <w:szCs w:val="18"/>
          <w:color w:val="auto"/>
        </w:rPr>
        <w:t>stock prior to the listing of our Class A common stock on , including our founders, directors, executive officers, and their respective affiliates, who held in the aggregate % of the voting power of our capital stock as of , 2020. This ownership</w:t>
      </w:r>
    </w:p>
    <w:p>
      <w:pPr>
        <w:sectPr>
          <w:pgSz w:w="11900" w:h="16838" w:orient="portrait"/>
          <w:cols w:equalWidth="0" w:num="1">
            <w:col w:w="11040"/>
          </w:cols>
          <w:pgMar w:left="320" w:top="459" w:right="539" w:bottom="1440" w:gutter="0" w:footer="0" w:header="0"/>
          <w:type w:val="continuous"/>
        </w:sectPr>
      </w:pPr>
    </w:p>
    <w:p>
      <w:pPr>
        <w:spacing w:after="0" w:line="1" w:lineRule="exact"/>
        <w:rPr>
          <w:sz w:val="20"/>
          <w:szCs w:val="20"/>
          <w:color w:val="auto"/>
        </w:rPr>
      </w:pPr>
    </w:p>
    <w:p>
      <w:pPr>
        <w:ind w:left="1160" w:right="200"/>
        <w:spacing w:after="0" w:line="255" w:lineRule="auto"/>
        <w:rPr>
          <w:sz w:val="20"/>
          <w:szCs w:val="20"/>
          <w:color w:val="auto"/>
        </w:rPr>
      </w:pPr>
      <w:r>
        <w:rPr>
          <w:rFonts w:ascii="Arial" w:cs="Arial" w:eastAsia="Arial" w:hAnsi="Arial"/>
          <w:sz w:val="18"/>
          <w:szCs w:val="18"/>
          <w:color w:val="auto"/>
        </w:rPr>
        <w:t>will limit or preclude your ability to influence corporate matters, including the election of directors, amendments of our organizational documents, and any merger, consolidation, sale of all or substantially all of our assets, or other major corporate transaction requiring stockholder approval.</w:t>
      </w:r>
    </w:p>
    <w:p>
      <w:pPr>
        <w:spacing w:after="0" w:line="95" w:lineRule="exact"/>
        <w:rPr>
          <w:sz w:val="20"/>
          <w:szCs w:val="20"/>
          <w:color w:val="auto"/>
        </w:rPr>
      </w:pPr>
    </w:p>
    <w:p>
      <w:pPr>
        <w:ind w:left="1160" w:right="180" w:hanging="534"/>
        <w:spacing w:after="0" w:line="263"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None of our stockholders are party to any contractual lock-up agreement or other contractual restrictions on transfer. Following our listing, sales of substantial amounts of our Class A common stock in the public markets, or the perception that sales might occur, could cause the market price of our Class A common stock to decline.</w:t>
      </w:r>
    </w:p>
    <w:p>
      <w:pPr>
        <w:spacing w:after="0" w:line="184" w:lineRule="exact"/>
        <w:rPr>
          <w:sz w:val="20"/>
          <w:szCs w:val="20"/>
          <w:color w:val="auto"/>
        </w:rPr>
      </w:pPr>
    </w:p>
    <w:p>
      <w:pPr>
        <w:ind w:left="200" w:right="120" w:firstLine="434"/>
        <w:spacing w:after="0" w:line="277" w:lineRule="auto"/>
        <w:rPr>
          <w:sz w:val="20"/>
          <w:szCs w:val="20"/>
          <w:color w:val="auto"/>
        </w:rPr>
      </w:pPr>
      <w:r>
        <w:rPr>
          <w:rFonts w:ascii="Arial" w:cs="Arial" w:eastAsia="Arial" w:hAnsi="Arial"/>
          <w:sz w:val="18"/>
          <w:szCs w:val="18"/>
          <w:color w:val="auto"/>
        </w:rPr>
        <w:t>If we are unable to adequately address these and other risks we face, our business, results of operations, financial condition, and prospects may be adversely affected.</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200" w:right="220" w:firstLine="434"/>
        <w:spacing w:after="0" w:line="291" w:lineRule="auto"/>
        <w:rPr>
          <w:sz w:val="20"/>
          <w:szCs w:val="20"/>
          <w:color w:val="auto"/>
        </w:rPr>
      </w:pPr>
      <w:r>
        <w:rPr>
          <w:rFonts w:ascii="Arial" w:cs="Arial" w:eastAsia="Arial" w:hAnsi="Arial"/>
          <w:sz w:val="16"/>
          <w:szCs w:val="16"/>
          <w:color w:val="auto"/>
        </w:rPr>
        <w:t>We were incorporated in December 2008 as Smiley Abstractions, Inc., a Delaware corporation. In July 2009, we changed our name to Asana, Inc. Our principal executive offices are located at 1550 Bryant Street, Suite 200, San Francisco, CA 94103, and our telephone number is (415)</w:t>
      </w:r>
    </w:p>
    <w:p>
      <w:pPr>
        <w:ind w:left="200" w:right="140"/>
        <w:spacing w:after="0" w:line="255" w:lineRule="auto"/>
        <w:rPr>
          <w:sz w:val="20"/>
          <w:szCs w:val="20"/>
          <w:color w:val="auto"/>
        </w:rPr>
      </w:pPr>
      <w:r>
        <w:rPr>
          <w:rFonts w:ascii="Arial" w:cs="Arial" w:eastAsia="Arial" w:hAnsi="Arial"/>
          <w:sz w:val="18"/>
          <w:szCs w:val="18"/>
          <w:color w:val="auto"/>
        </w:rPr>
        <w:t>525-3888. Our website address is www.asana.com. The information on, or that can be accessed through, our website is not incorporated by reference into this prospectus and should not be considered part of this prospectus. Investors should not rely on any such information in deciding whether to purchase our Class A common stock.</w:t>
      </w:r>
    </w:p>
    <w:p>
      <w:pPr>
        <w:spacing w:after="0" w:line="190" w:lineRule="exact"/>
        <w:rPr>
          <w:sz w:val="20"/>
          <w:szCs w:val="20"/>
          <w:color w:val="auto"/>
        </w:rPr>
      </w:pPr>
    </w:p>
    <w:p>
      <w:pPr>
        <w:ind w:left="200" w:firstLine="434"/>
        <w:spacing w:after="0" w:line="257" w:lineRule="auto"/>
        <w:rPr>
          <w:sz w:val="20"/>
          <w:szCs w:val="20"/>
          <w:color w:val="auto"/>
        </w:rPr>
      </w:pPr>
      <w:r>
        <w:rPr>
          <w:rFonts w:ascii="Arial" w:cs="Arial" w:eastAsia="Arial" w:hAnsi="Arial"/>
          <w:sz w:val="18"/>
          <w:szCs w:val="18"/>
          <w:color w:val="auto"/>
        </w:rPr>
        <w:t xml:space="preserve">The Asana design logo, “Asana,” and our other registered or common law trademarks, service marks, or trade names appearing in this prospectus are the property of Asana, Inc. Solely for convenience, our trademarks, tradenames, and service marks referred to in this prospectus appear without the </w:t>
      </w:r>
      <w:r>
        <w:rPr>
          <w:rFonts w:ascii="Arial" w:cs="Arial" w:eastAsia="Arial" w:hAnsi="Arial"/>
          <w:sz w:val="15"/>
          <w:szCs w:val="15"/>
          <w:color w:val="auto"/>
        </w:rPr>
        <w:t>®</w:t>
      </w:r>
      <w:r>
        <w:rPr>
          <w:rFonts w:ascii="Arial" w:cs="Arial" w:eastAsia="Arial" w:hAnsi="Arial"/>
          <w:sz w:val="18"/>
          <w:szCs w:val="18"/>
          <w:color w:val="auto"/>
        </w:rPr>
        <w:t xml:space="preserve">, </w:t>
      </w:r>
      <w:r>
        <w:rPr>
          <w:rFonts w:ascii="Arial" w:cs="Arial" w:eastAsia="Arial" w:hAnsi="Arial"/>
          <w:sz w:val="15"/>
          <w:szCs w:val="15"/>
          <w:color w:val="auto"/>
        </w:rPr>
        <w:t>™</w:t>
      </w:r>
      <w:r>
        <w:rPr>
          <w:rFonts w:ascii="Arial" w:cs="Arial" w:eastAsia="Arial" w:hAnsi="Arial"/>
          <w:sz w:val="18"/>
          <w:szCs w:val="18"/>
          <w:color w:val="auto"/>
        </w:rPr>
        <w:t>, and SM symbols, but those references are not intended to indicate, in any way, that we will not assert, to the fullest extent under applicable law, our rights to these trademarks, tradenames, and service marks. This prospectus contains additional trademarks, tradenames, and service marks of other companies that are the property of their respective owners.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Channels for Disclosure of Information</w:t>
      </w:r>
    </w:p>
    <w:p>
      <w:pPr>
        <w:spacing w:after="0" w:line="121" w:lineRule="exact"/>
        <w:rPr>
          <w:sz w:val="20"/>
          <w:szCs w:val="20"/>
          <w:color w:val="auto"/>
        </w:rPr>
      </w:pPr>
    </w:p>
    <w:p>
      <w:pPr>
        <w:ind w:left="200" w:right="80" w:firstLine="434"/>
        <w:spacing w:after="0" w:line="277" w:lineRule="auto"/>
        <w:rPr>
          <w:sz w:val="20"/>
          <w:szCs w:val="20"/>
          <w:color w:val="auto"/>
        </w:rPr>
      </w:pPr>
      <w:r>
        <w:rPr>
          <w:rFonts w:ascii="Arial" w:cs="Arial" w:eastAsia="Arial" w:hAnsi="Arial"/>
          <w:sz w:val="18"/>
          <w:szCs w:val="18"/>
          <w:color w:val="auto"/>
        </w:rPr>
        <w:t>Investors, the media, and others should note that, following the effectiveness of the registration statement of which this prospectus forms a part, we intend to announce material information to the public through filings with</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40"/>
          </w:cols>
          <w:pgMar w:left="320" w:top="459" w:right="5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49244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6130" cy="49244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color w:val="auto"/>
        </w:rPr>
        <w:t>the SEC, the investor relations page on our website, blog posts on our website, press releases, public conference calls, webcasts, our twitter feed (@asana), our Facebook page, our Instagram account (@asana), and our LinkedIn page.</w:t>
      </w:r>
    </w:p>
    <w:p>
      <w:pPr>
        <w:spacing w:after="0" w:line="170" w:lineRule="exact"/>
        <w:rPr>
          <w:sz w:val="20"/>
          <w:szCs w:val="20"/>
          <w:color w:val="auto"/>
        </w:rPr>
      </w:pPr>
    </w:p>
    <w:p>
      <w:pPr>
        <w:ind w:left="200" w:right="140" w:firstLine="434"/>
        <w:spacing w:after="0" w:line="277" w:lineRule="auto"/>
        <w:rPr>
          <w:sz w:val="20"/>
          <w:szCs w:val="20"/>
          <w:color w:val="auto"/>
        </w:rPr>
      </w:pPr>
      <w:r>
        <w:rPr>
          <w:rFonts w:ascii="Arial" w:cs="Arial" w:eastAsia="Arial" w:hAnsi="Arial"/>
          <w:sz w:val="18"/>
          <w:szCs w:val="18"/>
          <w:color w:val="auto"/>
        </w:rPr>
        <w:t>The information disclosed by the foregoing channels could be deemed to be material information. As such, we encourage investors, the media, and others to follow the channels listed above and to review the information disclosed through such channels.</w:t>
      </w:r>
    </w:p>
    <w:p>
      <w:pPr>
        <w:spacing w:after="0" w:line="170" w:lineRule="exact"/>
        <w:rPr>
          <w:sz w:val="20"/>
          <w:szCs w:val="20"/>
          <w:color w:val="auto"/>
        </w:rPr>
      </w:pPr>
    </w:p>
    <w:p>
      <w:pPr>
        <w:ind w:left="200" w:right="120" w:firstLine="434"/>
        <w:spacing w:after="0" w:line="277" w:lineRule="auto"/>
        <w:rPr>
          <w:sz w:val="20"/>
          <w:szCs w:val="20"/>
          <w:color w:val="auto"/>
        </w:rPr>
      </w:pPr>
      <w:r>
        <w:rPr>
          <w:rFonts w:ascii="Arial" w:cs="Arial" w:eastAsia="Arial" w:hAnsi="Arial"/>
          <w:sz w:val="18"/>
          <w:szCs w:val="18"/>
          <w:color w:val="auto"/>
        </w:rPr>
        <w:t>Any updates to the list of disclosure channels through which we will announce information will be posted on the investor relations page on our website.</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200" w:right="20" w:firstLine="434"/>
        <w:spacing w:after="0" w:line="311" w:lineRule="auto"/>
        <w:rPr>
          <w:sz w:val="20"/>
          <w:szCs w:val="20"/>
          <w:color w:val="auto"/>
        </w:rPr>
      </w:pPr>
      <w:r>
        <w:rPr>
          <w:rFonts w:ascii="Arial" w:cs="Arial" w:eastAsia="Arial" w:hAnsi="Arial"/>
          <w:sz w:val="16"/>
          <w:szCs w:val="16"/>
          <w:color w:val="auto"/>
        </w:rPr>
        <w:t>As a company with less than $1.07 billion in revenue during our last completed fiscal year, we qualify as an “emerging growth company” as defined in the Jumpstart Our Business Startups Act of 2012, or the JOBS Act. An emerging growth company may take advantage of specified reduced reporting requirements that are otherwise applicable generally to public companies. These reduced reporting requirements include:</w:t>
      </w:r>
    </w:p>
    <w:p>
      <w:pPr>
        <w:spacing w:after="0" w:line="54" w:lineRule="exact"/>
        <w:rPr>
          <w:sz w:val="20"/>
          <w:szCs w:val="20"/>
          <w:color w:val="auto"/>
        </w:rPr>
      </w:pPr>
    </w:p>
    <w:p>
      <w:pPr>
        <w:ind w:left="1160" w:right="600" w:hanging="534"/>
        <w:spacing w:after="0" w:line="277"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exemption from compliance with the auditor attestation requirement on the effectiveness of our internal control over financial reporting;</w:t>
      </w:r>
    </w:p>
    <w:p>
      <w:pPr>
        <w:spacing w:after="0" w:line="75" w:lineRule="exact"/>
        <w:rPr>
          <w:rFonts w:ascii="Arial" w:cs="Arial" w:eastAsia="Arial" w:hAnsi="Arial"/>
          <w:sz w:val="18"/>
          <w:szCs w:val="18"/>
          <w:color w:val="auto"/>
        </w:rPr>
      </w:pPr>
    </w:p>
    <w:p>
      <w:pPr>
        <w:ind w:left="1160" w:hanging="534"/>
        <w:spacing w:after="0" w:line="342" w:lineRule="auto"/>
        <w:tabs>
          <w:tab w:leader="none" w:pos="11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 exemption from compliance with any requirement that the Public Company Accounting Oversight Board, or the PCAOB, has adopted regarding a supplement to the auditor’s report providing additional information about the audit and the financial statements;</w:t>
      </w:r>
    </w:p>
    <w:p>
      <w:pPr>
        <w:spacing w:after="0" w:line="29" w:lineRule="exact"/>
        <w:rPr>
          <w:rFonts w:ascii="Arial" w:cs="Arial" w:eastAsia="Arial" w:hAnsi="Arial"/>
          <w:sz w:val="16"/>
          <w:szCs w:val="16"/>
          <w:color w:val="auto"/>
        </w:rPr>
      </w:pPr>
    </w:p>
    <w:p>
      <w:pPr>
        <w:ind w:left="1160" w:hanging="534"/>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w:t>
      </w:r>
    </w:p>
    <w:p>
      <w:pPr>
        <w:spacing w:after="0" w:line="130" w:lineRule="exact"/>
        <w:rPr>
          <w:rFonts w:ascii="Arial" w:cs="Arial" w:eastAsia="Arial" w:hAnsi="Arial"/>
          <w:sz w:val="18"/>
          <w:szCs w:val="18"/>
          <w:color w:val="auto"/>
        </w:rPr>
      </w:pPr>
    </w:p>
    <w:p>
      <w:pPr>
        <w:ind w:left="1160" w:right="120" w:hanging="534"/>
        <w:spacing w:after="0" w:line="277"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exemption from the requirements to obtain a non-binding advisory vote on executive compensation or a stockholder approval of any golden parachute arrangements; and</w:t>
      </w:r>
    </w:p>
    <w:p>
      <w:pPr>
        <w:spacing w:after="0" w:line="75" w:lineRule="exact"/>
        <w:rPr>
          <w:rFonts w:ascii="Arial" w:cs="Arial" w:eastAsia="Arial" w:hAnsi="Arial"/>
          <w:sz w:val="18"/>
          <w:szCs w:val="18"/>
          <w:color w:val="auto"/>
        </w:rPr>
      </w:pPr>
    </w:p>
    <w:p>
      <w:pPr>
        <w:ind w:left="1160" w:hanging="534"/>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extended transition periods for complying with new or revised accounting standards.</w:t>
      </w:r>
    </w:p>
    <w:p>
      <w:pPr>
        <w:spacing w:after="0" w:line="225" w:lineRule="exact"/>
        <w:rPr>
          <w:sz w:val="20"/>
          <w:szCs w:val="20"/>
          <w:color w:val="auto"/>
        </w:rPr>
      </w:pPr>
    </w:p>
    <w:p>
      <w:pPr>
        <w:ind w:left="200" w:right="140" w:firstLine="434"/>
        <w:spacing w:after="0" w:line="254" w:lineRule="auto"/>
        <w:rPr>
          <w:sz w:val="20"/>
          <w:szCs w:val="20"/>
          <w:color w:val="auto"/>
        </w:rPr>
      </w:pPr>
      <w:r>
        <w:rPr>
          <w:rFonts w:ascii="Arial" w:cs="Arial" w:eastAsia="Arial" w:hAnsi="Arial"/>
          <w:sz w:val="18"/>
          <w:szCs w:val="18"/>
          <w:color w:val="auto"/>
        </w:rPr>
        <w:t>We will remain an emerging growth company until the earliest to occur of: (i) the end of the first fiscal year in which our annual gross revenue is $1.07 billion or more; (ii) the end of the first fiscal year in which we are deemed to be a “large accelerated filer,” as defined in the Securities Exchange Act of 1934, as amended, or the Exchange Act; (iii) the date on which we have, during the previous three-year period, issued more than $1.0 billion in non-convertible debt securities; and (iv) the end of the fiscal year during which the fifth anniversary of this listing occurs. We may choose to take advantage of some, but not all, of the available benefits under the JOBS Act. We are electing to use the extended transition periods available under the JOBS Act for complying with new or revised accounting standards, and we currently intend to take advantage of the other exemptions discussed above. Accordingly, the information contained herein may be different from the information you receive from other public companies in which you hold stock.</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40"/>
          </w:cols>
          <w:pgMar w:left="320" w:top="459" w:right="5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2247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6130" cy="52247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CONSOLIDATED FINANCIAL DATA</w:t>
      </w:r>
    </w:p>
    <w:p>
      <w:pPr>
        <w:spacing w:after="0" w:line="229" w:lineRule="exact"/>
        <w:rPr>
          <w:sz w:val="20"/>
          <w:szCs w:val="20"/>
          <w:color w:val="auto"/>
        </w:rPr>
      </w:pPr>
    </w:p>
    <w:p>
      <w:pPr>
        <w:ind w:left="200" w:right="320" w:firstLine="434"/>
        <w:spacing w:after="0" w:line="255" w:lineRule="auto"/>
        <w:rPr>
          <w:sz w:val="20"/>
          <w:szCs w:val="20"/>
          <w:color w:val="auto"/>
        </w:rPr>
      </w:pPr>
      <w:r>
        <w:rPr>
          <w:rFonts w:ascii="Arial" w:cs="Arial" w:eastAsia="Arial" w:hAnsi="Arial"/>
          <w:sz w:val="18"/>
          <w:szCs w:val="18"/>
          <w:i w:val="1"/>
          <w:iCs w:val="1"/>
          <w:color w:val="auto"/>
        </w:rPr>
        <w:t>The following tables summarize our consolidated financial data. The summary consolidated statement of operations data for the years ended January 31, 2019 and 2020 (except the pro forma share and net loss per share information) and consolidated balance sheet data as of January 31, 2020 have been derived from our audited consolidated financial statements included elsewhere in this prospectus. Our historical results are not necessarily indicative of the results that may be expected in the future. You should read the following summary consolidated financial data below in conjunction with the section titled “Management’s Discussion and Analysis of Financial Condition and Results of Operations” and our consolidated financial statements included elsewhere in this prospectus.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4"/>
              </w:rPr>
              <w:t>Year Ended January 31,</w:t>
            </w:r>
          </w:p>
        </w:tc>
      </w:tr>
      <w:tr>
        <w:trPr>
          <w:trHeight w:val="142"/>
        </w:trPr>
        <w:tc>
          <w:tcPr>
            <w:tcW w:w="20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2019</w:t>
            </w:r>
          </w:p>
        </w:tc>
        <w:tc>
          <w:tcPr>
            <w:tcW w:w="8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w w:val="96"/>
              </w:rPr>
              <w:t>2020</w:t>
            </w:r>
          </w:p>
        </w:tc>
        <w:tc>
          <w:tcPr>
            <w:tcW w:w="180" w:type="dxa"/>
            <w:vAlign w:val="bottom"/>
          </w:tcPr>
          <w:p>
            <w:pPr>
              <w:spacing w:after="0"/>
              <w:rPr>
                <w:sz w:val="12"/>
                <w:szCs w:val="12"/>
                <w:color w:val="auto"/>
              </w:rPr>
            </w:pPr>
          </w:p>
        </w:tc>
      </w:tr>
      <w:tr>
        <w:trPr>
          <w:trHeight w:val="119"/>
        </w:trPr>
        <w:tc>
          <w:tcPr>
            <w:tcW w:w="200" w:type="dxa"/>
            <w:vAlign w:val="bottom"/>
          </w:tcPr>
          <w:p>
            <w:pPr>
              <w:spacing w:after="0"/>
              <w:rPr>
                <w:sz w:val="10"/>
                <w:szCs w:val="10"/>
                <w:color w:val="auto"/>
              </w:rPr>
            </w:pPr>
          </w:p>
        </w:tc>
        <w:tc>
          <w:tcPr>
            <w:tcW w:w="532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00" w:type="dxa"/>
            <w:vAlign w:val="bottom"/>
            <w:gridSpan w:val="3"/>
          </w:tcPr>
          <w:p>
            <w:pPr>
              <w:jc w:val="center"/>
              <w:ind w:right="88"/>
              <w:spacing w:after="0" w:line="119" w:lineRule="exact"/>
              <w:rPr>
                <w:sz w:val="20"/>
                <w:szCs w:val="20"/>
                <w:color w:val="auto"/>
              </w:rPr>
            </w:pPr>
            <w:r>
              <w:rPr>
                <w:rFonts w:ascii="Arial" w:cs="Arial" w:eastAsia="Arial" w:hAnsi="Arial"/>
                <w:sz w:val="13"/>
                <w:szCs w:val="13"/>
                <w:b w:val="1"/>
                <w:bCs w:val="1"/>
                <w:color w:val="auto"/>
                <w:w w:val="97"/>
              </w:rPr>
              <w:t>(in thousands, except per</w:t>
            </w:r>
          </w:p>
        </w:tc>
        <w:tc>
          <w:tcPr>
            <w:tcW w:w="180" w:type="dxa"/>
            <w:vAlign w:val="bottom"/>
          </w:tcPr>
          <w:p>
            <w:pPr>
              <w:spacing w:after="0"/>
              <w:rPr>
                <w:sz w:val="10"/>
                <w:szCs w:val="10"/>
                <w:color w:val="auto"/>
              </w:rPr>
            </w:pPr>
          </w:p>
        </w:tc>
      </w:tr>
      <w:tr>
        <w:trPr>
          <w:trHeight w:val="171"/>
        </w:trPr>
        <w:tc>
          <w:tcPr>
            <w:tcW w:w="20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center"/>
              <w:ind w:left="354"/>
              <w:spacing w:after="0"/>
              <w:rPr>
                <w:sz w:val="20"/>
                <w:szCs w:val="20"/>
                <w:color w:val="auto"/>
              </w:rPr>
            </w:pPr>
            <w:r>
              <w:rPr>
                <w:rFonts w:ascii="Arial" w:cs="Arial" w:eastAsia="Arial" w:hAnsi="Arial"/>
                <w:sz w:val="14"/>
                <w:szCs w:val="14"/>
                <w:b w:val="1"/>
                <w:bCs w:val="1"/>
                <w:color w:val="auto"/>
                <w:w w:val="90"/>
              </w:rPr>
              <w:t>share amounts)</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16"/>
        </w:trPr>
        <w:tc>
          <w:tcPr>
            <w:tcW w:w="20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3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Revenues</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76,770</w:t>
            </w: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r>
              <w:rPr>
                <w:rFonts w:ascii="Arial" w:cs="Arial" w:eastAsia="Arial" w:hAnsi="Arial"/>
                <w:sz w:val="15"/>
                <w:szCs w:val="15"/>
                <w:color w:val="auto"/>
              </w:rPr>
              <w:t>(1)</w:t>
            </w:r>
          </w:p>
        </w:tc>
        <w:tc>
          <w:tcPr>
            <w:tcW w:w="3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13,832</w:t>
            </w:r>
          </w:p>
        </w:tc>
        <w:tc>
          <w:tcPr>
            <w:tcW w:w="8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5520" w:type="dxa"/>
            <w:vAlign w:val="bottom"/>
            <w:gridSpan w:val="2"/>
          </w:tcPr>
          <w:p>
            <w:pPr>
              <w:ind w:left="200"/>
              <w:spacing w:after="0"/>
              <w:rPr>
                <w:sz w:val="20"/>
                <w:szCs w:val="20"/>
                <w:color w:val="auto"/>
              </w:rPr>
            </w:pPr>
            <w:r>
              <w:rPr>
                <w:rFonts w:ascii="Arial" w:cs="Arial" w:eastAsia="Arial" w:hAnsi="Arial"/>
                <w:sz w:val="18"/>
                <w:szCs w:val="18"/>
                <w:color w:val="auto"/>
              </w:rPr>
              <w:t>Gross profit</w:t>
            </w:r>
          </w:p>
        </w:tc>
        <w:tc>
          <w:tcPr>
            <w:tcW w:w="3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62,938</w:t>
            </w:r>
          </w:p>
        </w:tc>
        <w:tc>
          <w:tcPr>
            <w:tcW w:w="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16"/>
        </w:trPr>
        <w:tc>
          <w:tcPr>
            <w:tcW w:w="20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5320" w:type="dxa"/>
            <w:vAlign w:val="bottom"/>
          </w:tcPr>
          <w:p>
            <w:pPr>
              <w:ind w:left="18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15"/>
                <w:szCs w:val="15"/>
                <w:color w:val="auto"/>
              </w:rPr>
              <w:t>(1)</w:t>
            </w: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42,585</w:t>
            </w: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15"/>
                <w:szCs w:val="15"/>
                <w:color w:val="auto"/>
              </w:rPr>
              <w:t>(1)</w:t>
            </w:r>
          </w:p>
        </w:tc>
        <w:tc>
          <w:tcPr>
            <w:tcW w:w="3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52,106</w:t>
            </w:r>
          </w:p>
        </w:tc>
        <w:tc>
          <w:tcPr>
            <w:tcW w:w="8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r>
      <w:tr>
        <w:trPr>
          <w:trHeight w:val="223"/>
        </w:trPr>
        <w:tc>
          <w:tcPr>
            <w:tcW w:w="200" w:type="dxa"/>
            <w:vAlign w:val="bottom"/>
          </w:tcPr>
          <w:p>
            <w:pPr>
              <w:spacing w:after="0"/>
              <w:rPr>
                <w:sz w:val="19"/>
                <w:szCs w:val="19"/>
                <w:color w:val="auto"/>
              </w:rPr>
            </w:pPr>
          </w:p>
        </w:tc>
        <w:tc>
          <w:tcPr>
            <w:tcW w:w="5320" w:type="dxa"/>
            <w:vAlign w:val="bottom"/>
          </w:tcPr>
          <w:p>
            <w:pPr>
              <w:ind w:left="18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15"/>
                <w:szCs w:val="15"/>
                <w:color w:val="auto"/>
              </w:rPr>
              <w:t>(1)</w:t>
            </w:r>
          </w:p>
        </w:tc>
        <w:tc>
          <w:tcPr>
            <w:tcW w:w="3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20,260</w:t>
            </w: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6"/>
        </w:trPr>
        <w:tc>
          <w:tcPr>
            <w:tcW w:w="20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3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114,951</w:t>
            </w:r>
          </w:p>
        </w:tc>
        <w:tc>
          <w:tcPr>
            <w:tcW w:w="8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r>
      <w:tr>
        <w:trPr>
          <w:trHeight w:val="223"/>
        </w:trPr>
        <w:tc>
          <w:tcPr>
            <w:tcW w:w="5520" w:type="dxa"/>
            <w:vAlign w:val="bottom"/>
            <w:gridSpan w:val="2"/>
          </w:tcPr>
          <w:p>
            <w:pPr>
              <w:ind w:left="200"/>
              <w:spacing w:after="0"/>
              <w:rPr>
                <w:sz w:val="20"/>
                <w:szCs w:val="20"/>
                <w:color w:val="auto"/>
              </w:rPr>
            </w:pPr>
            <w:r>
              <w:rPr>
                <w:rFonts w:ascii="Arial" w:cs="Arial" w:eastAsia="Arial" w:hAnsi="Arial"/>
                <w:sz w:val="18"/>
                <w:szCs w:val="18"/>
                <w:color w:val="auto"/>
              </w:rPr>
              <w:t>Loss from operations</w:t>
            </w:r>
          </w:p>
        </w:tc>
        <w:tc>
          <w:tcPr>
            <w:tcW w:w="3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(52,013)</w:t>
            </w: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6"/>
        </w:trPr>
        <w:tc>
          <w:tcPr>
            <w:tcW w:w="20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3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8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r>
      <w:tr>
        <w:trPr>
          <w:trHeight w:val="223"/>
        </w:trPr>
        <w:tc>
          <w:tcPr>
            <w:tcW w:w="5520" w:type="dxa"/>
            <w:vAlign w:val="bottom"/>
            <w:gridSpan w:val="2"/>
          </w:tcPr>
          <w:p>
            <w:pPr>
              <w:ind w:left="200"/>
              <w:spacing w:after="0"/>
              <w:rPr>
                <w:sz w:val="20"/>
                <w:szCs w:val="20"/>
                <w:color w:val="auto"/>
              </w:rPr>
            </w:pPr>
            <w:r>
              <w:rPr>
                <w:rFonts w:ascii="Arial" w:cs="Arial" w:eastAsia="Arial" w:hAnsi="Arial"/>
                <w:sz w:val="18"/>
                <w:szCs w:val="18"/>
                <w:color w:val="auto"/>
              </w:rPr>
              <w:t>Loss before provision for income taxes</w:t>
            </w:r>
          </w:p>
        </w:tc>
        <w:tc>
          <w:tcPr>
            <w:tcW w:w="3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(50,900)</w:t>
            </w: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6"/>
        </w:trPr>
        <w:tc>
          <w:tcPr>
            <w:tcW w:w="20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r>
      <w:tr>
        <w:trPr>
          <w:trHeight w:val="223"/>
        </w:trPr>
        <w:tc>
          <w:tcPr>
            <w:tcW w:w="5520" w:type="dxa"/>
            <w:vAlign w:val="bottom"/>
            <w:gridSpan w:val="2"/>
          </w:tcPr>
          <w:p>
            <w:pPr>
              <w:ind w:left="200"/>
              <w:spacing w:after="0"/>
              <w:rPr>
                <w:sz w:val="20"/>
                <w:szCs w:val="20"/>
                <w:color w:val="auto"/>
              </w:rPr>
            </w:pPr>
            <w:r>
              <w:rPr>
                <w:rFonts w:ascii="Arial" w:cs="Arial" w:eastAsia="Arial" w:hAnsi="Arial"/>
                <w:sz w:val="18"/>
                <w:szCs w:val="18"/>
                <w:color w:val="auto"/>
              </w:rPr>
              <w:t>Net loss</w:t>
            </w:r>
          </w:p>
        </w:tc>
        <w:tc>
          <w:tcPr>
            <w:tcW w:w="33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(50,928</w:t>
            </w:r>
          </w:p>
        </w:tc>
        <w:tc>
          <w:tcPr>
            <w:tcW w:w="880" w:type="dxa"/>
            <w:vAlign w:val="bottom"/>
          </w:tcPr>
          <w:p>
            <w:pPr>
              <w:jc w:val="right"/>
              <w:ind w:right="741"/>
              <w:spacing w:after="0"/>
              <w:rPr>
                <w:sz w:val="20"/>
                <w:szCs w:val="20"/>
                <w:color w:val="auto"/>
              </w:rPr>
            </w:pPr>
            <w:r>
              <w:rPr>
                <w:rFonts w:ascii="Arial" w:cs="Arial" w:eastAsia="Arial" w:hAnsi="Arial"/>
                <w:sz w:val="16"/>
                <w:szCs w:val="16"/>
                <w:color w:val="auto"/>
                <w:w w:val="74"/>
              </w:rPr>
              <w:t>)</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0"/>
        </w:trPr>
        <w:tc>
          <w:tcPr>
            <w:tcW w:w="2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3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532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741"/>
              <w:spacing w:after="0"/>
              <w:rPr>
                <w:sz w:val="20"/>
                <w:szCs w:val="20"/>
                <w:color w:val="auto"/>
              </w:rPr>
            </w:pPr>
            <w:r>
              <w:rPr>
                <w:rFonts w:ascii="Arial" w:cs="Arial" w:eastAsia="Arial" w:hAnsi="Arial"/>
                <w:sz w:val="18"/>
                <w:szCs w:val="18"/>
                <w:color w:val="auto"/>
              </w:rPr>
              <w:t>(0.78)</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
        </w:trPr>
        <w:tc>
          <w:tcPr>
            <w:tcW w:w="2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used in calculating net loss per share:</w:t>
            </w:r>
          </w:p>
        </w:tc>
        <w:tc>
          <w:tcPr>
            <w:tcW w:w="3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532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3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65,214</w:t>
            </w: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
        </w:trPr>
        <w:tc>
          <w:tcPr>
            <w:tcW w:w="2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w:t>
            </w:r>
          </w:p>
        </w:tc>
        <w:tc>
          <w:tcPr>
            <w:tcW w:w="3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532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741"/>
              <w:spacing w:after="0"/>
              <w:rPr>
                <w:sz w:val="20"/>
                <w:szCs w:val="20"/>
                <w:color w:val="auto"/>
              </w:rPr>
            </w:pPr>
            <w:r>
              <w:rPr>
                <w:rFonts w:ascii="Arial" w:cs="Arial" w:eastAsia="Arial" w:hAnsi="Arial"/>
                <w:sz w:val="18"/>
                <w:szCs w:val="18"/>
                <w:color w:val="auto"/>
              </w:rPr>
              <w:t>(0.38)</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
        </w:trPr>
        <w:tc>
          <w:tcPr>
            <w:tcW w:w="2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w w:val="89"/>
              </w:rPr>
              <w:t>Weighted-average shares used in calculating pro forma net loss per share:</w:t>
            </w:r>
          </w:p>
        </w:tc>
        <w:tc>
          <w:tcPr>
            <w:tcW w:w="3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532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3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133,845</w:t>
            </w: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
        </w:trPr>
        <w:tc>
          <w:tcPr>
            <w:tcW w:w="2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4"/>
        </w:trPr>
        <w:tc>
          <w:tcPr>
            <w:tcW w:w="200" w:type="dxa"/>
            <w:vAlign w:val="bottom"/>
            <w:tcBorders>
              <w:bottom w:val="single" w:sz="8" w:color="auto"/>
            </w:tcBorders>
          </w:tcPr>
          <w:p>
            <w:pPr>
              <w:spacing w:after="0"/>
              <w:rPr>
                <w:sz w:val="20"/>
                <w:szCs w:val="20"/>
                <w:color w:val="auto"/>
              </w:rPr>
            </w:pPr>
          </w:p>
        </w:tc>
        <w:tc>
          <w:tcPr>
            <w:tcW w:w="532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r>
      <w:tr>
        <w:trPr>
          <w:trHeight w:val="604"/>
        </w:trPr>
        <w:tc>
          <w:tcPr>
            <w:tcW w:w="20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3340" w:type="dxa"/>
            <w:vAlign w:val="bottom"/>
          </w:tcPr>
          <w:p>
            <w:pPr>
              <w:jc w:val="right"/>
              <w:ind w:right="3050"/>
              <w:spacing w:after="0"/>
              <w:rPr>
                <w:sz w:val="20"/>
                <w:szCs w:val="20"/>
                <w:color w:val="auto"/>
              </w:rPr>
            </w:pPr>
            <w:r>
              <w:rPr>
                <w:rFonts w:ascii="Arial" w:cs="Arial" w:eastAsia="Arial" w:hAnsi="Arial"/>
                <w:sz w:val="18"/>
                <w:szCs w:val="18"/>
                <w:color w:val="auto"/>
                <w:w w:val="89"/>
              </w:rPr>
              <w:t>12</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8331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6130" cy="583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20" w:hanging="426"/>
        <w:spacing w:after="0"/>
        <w:tabs>
          <w:tab w:leader="none" w:pos="6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Amounts include stock-based compensation expense as follows:</w:t>
      </w:r>
    </w:p>
    <w:p>
      <w:pPr>
        <w:spacing w:after="0" w:line="227" w:lineRule="exact"/>
        <w:rPr>
          <w:sz w:val="20"/>
          <w:szCs w:val="20"/>
          <w:color w:val="auto"/>
        </w:rPr>
      </w:pPr>
    </w:p>
    <w:tbl>
      <w:tblPr>
        <w:tblLayout w:type="fixed"/>
        <w:tblInd w:w="740" w:type="dxa"/>
        <w:tblCellMar>
          <w:top w:w="0" w:type="dxa"/>
          <w:left w:w="0" w:type="dxa"/>
          <w:bottom w:w="0" w:type="dxa"/>
          <w:right w:w="0" w:type="dxa"/>
        </w:tblCellMar>
      </w:tblPr>
      <w:tr>
        <w:trPr>
          <w:trHeight w:val="171"/>
        </w:trPr>
        <w:tc>
          <w:tcPr>
            <w:tcW w:w="8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Year Ended January 31,</w:t>
            </w:r>
          </w:p>
        </w:tc>
      </w:tr>
      <w:tr>
        <w:trPr>
          <w:trHeight w:val="142"/>
        </w:trPr>
        <w:tc>
          <w:tcPr>
            <w:tcW w:w="83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r>
      <w:tr>
        <w:trPr>
          <w:trHeight w:val="142"/>
        </w:trPr>
        <w:tc>
          <w:tcPr>
            <w:tcW w:w="8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3"/>
          </w:tcPr>
          <w:p>
            <w:pPr>
              <w:jc w:val="center"/>
              <w:ind w:right="68"/>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60" w:type="dxa"/>
            <w:vAlign w:val="bottom"/>
          </w:tcPr>
          <w:p>
            <w:pPr>
              <w:spacing w:after="0"/>
              <w:rPr>
                <w:sz w:val="12"/>
                <w:szCs w:val="12"/>
                <w:color w:val="auto"/>
              </w:rPr>
            </w:pPr>
          </w:p>
        </w:tc>
      </w:tr>
      <w:tr>
        <w:trPr>
          <w:trHeight w:val="149"/>
        </w:trPr>
        <w:tc>
          <w:tcPr>
            <w:tcW w:w="8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 of revenues</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37</w:t>
            </w: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8"/>
        </w:trPr>
        <w:tc>
          <w:tcPr>
            <w:tcW w:w="8340" w:type="dxa"/>
            <w:vAlign w:val="bottom"/>
          </w:tcPr>
          <w:p>
            <w:pPr>
              <w:spacing w:after="0" w:line="149" w:lineRule="exact"/>
              <w:rPr>
                <w:sz w:val="20"/>
                <w:szCs w:val="20"/>
                <w:color w:val="auto"/>
              </w:rPr>
            </w:pPr>
            <w:r>
              <w:rPr>
                <w:rFonts w:ascii="Arial" w:cs="Arial" w:eastAsia="Arial" w:hAnsi="Arial"/>
                <w:sz w:val="14"/>
                <w:szCs w:val="14"/>
                <w:color w:val="auto"/>
              </w:rPr>
              <w:t>Research and development</w:t>
            </w:r>
          </w:p>
        </w:tc>
        <w:tc>
          <w:tcPr>
            <w:tcW w:w="14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5,160</w:t>
            </w: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8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Sales and marketing</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2,108</w:t>
            </w: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8"/>
        </w:trPr>
        <w:tc>
          <w:tcPr>
            <w:tcW w:w="8340" w:type="dxa"/>
            <w:vAlign w:val="bottom"/>
          </w:tcPr>
          <w:p>
            <w:pPr>
              <w:spacing w:after="0" w:line="149" w:lineRule="exact"/>
              <w:rPr>
                <w:sz w:val="20"/>
                <w:szCs w:val="20"/>
                <w:color w:val="auto"/>
              </w:rPr>
            </w:pPr>
            <w:r>
              <w:rPr>
                <w:rFonts w:ascii="Arial" w:cs="Arial" w:eastAsia="Arial" w:hAnsi="Arial"/>
                <w:sz w:val="14"/>
                <w:szCs w:val="14"/>
                <w:color w:val="auto"/>
              </w:rPr>
              <w:t>General and administrative</w:t>
            </w:r>
          </w:p>
        </w:tc>
        <w:tc>
          <w:tcPr>
            <w:tcW w:w="14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1,242</w:t>
            </w: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7"/>
        </w:trPr>
        <w:tc>
          <w:tcPr>
            <w:tcW w:w="8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49"/>
        </w:trPr>
        <w:tc>
          <w:tcPr>
            <w:tcW w:w="83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stock-based compensation expense</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8,547</w:t>
            </w: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20"/>
        </w:trPr>
        <w:tc>
          <w:tcPr>
            <w:tcW w:w="8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8" w:lineRule="exact"/>
        <w:rPr>
          <w:sz w:val="20"/>
          <w:szCs w:val="20"/>
          <w:color w:val="auto"/>
        </w:rPr>
      </w:pPr>
    </w:p>
    <w:p>
      <w:pPr>
        <w:ind w:left="620" w:right="160"/>
        <w:spacing w:after="0" w:line="253" w:lineRule="auto"/>
        <w:rPr>
          <w:sz w:val="20"/>
          <w:szCs w:val="20"/>
          <w:color w:val="auto"/>
        </w:rPr>
      </w:pPr>
      <w:r>
        <w:rPr>
          <w:rFonts w:ascii="Arial" w:cs="Arial" w:eastAsia="Arial" w:hAnsi="Arial"/>
          <w:sz w:val="14"/>
          <w:szCs w:val="14"/>
          <w:color w:val="auto"/>
        </w:rPr>
        <w:t>Stock-based compensation expense for fiscal 2019 includes $3.8 million of compensation expense related to a tender offer that was consummated in fiscal 2019 (see Note 9 to our consolidated financial statements included elsewhere in this prospectus).</w:t>
      </w:r>
    </w:p>
    <w:p>
      <w:pPr>
        <w:spacing w:after="0" w:line="197" w:lineRule="exact"/>
        <w:rPr>
          <w:sz w:val="20"/>
          <w:szCs w:val="20"/>
          <w:color w:val="auto"/>
        </w:rPr>
      </w:pPr>
    </w:p>
    <w:p>
      <w:pPr>
        <w:ind w:left="9060"/>
        <w:spacing w:after="0"/>
        <w:rPr>
          <w:sz w:val="20"/>
          <w:szCs w:val="20"/>
          <w:color w:val="auto"/>
        </w:rPr>
      </w:pPr>
      <w:r>
        <w:rPr>
          <w:rFonts w:ascii="Arial" w:cs="Arial" w:eastAsia="Arial" w:hAnsi="Arial"/>
          <w:sz w:val="14"/>
          <w:szCs w:val="14"/>
          <w:b w:val="1"/>
          <w:bCs w:val="1"/>
          <w:color w:val="auto"/>
        </w:rPr>
        <w:t>As of January 31, 2020</w:t>
      </w:r>
    </w:p>
    <w:p>
      <w:pPr>
        <w:spacing w:after="0" w:line="17" w:lineRule="exact"/>
        <w:rPr>
          <w:sz w:val="20"/>
          <w:szCs w:val="20"/>
          <w:color w:val="auto"/>
        </w:rPr>
      </w:pPr>
    </w:p>
    <w:p>
      <w:pPr>
        <w:ind w:left="8900"/>
        <w:spacing w:after="0"/>
        <w:tabs>
          <w:tab w:leader="none" w:pos="9980" w:val="left"/>
        </w:tabs>
        <w:rPr>
          <w:sz w:val="20"/>
          <w:szCs w:val="20"/>
          <w:color w:val="auto"/>
        </w:rPr>
      </w:pPr>
      <w:r>
        <w:rPr>
          <w:rFonts w:ascii="Arial" w:cs="Arial" w:eastAsia="Arial" w:hAnsi="Arial"/>
          <w:sz w:val="14"/>
          <w:szCs w:val="14"/>
          <w:b w:val="1"/>
          <w:bCs w:val="1"/>
          <w:color w:val="auto"/>
        </w:rPr>
        <w:t>Actual</w:t>
      </w:r>
      <w:r>
        <w:rPr>
          <w:sz w:val="20"/>
          <w:szCs w:val="20"/>
          <w:color w:val="auto"/>
        </w:rPr>
        <w:tab/>
      </w:r>
      <w:r>
        <w:rPr>
          <w:rFonts w:ascii="Arial" w:cs="Arial" w:eastAsia="Arial" w:hAnsi="Arial"/>
          <w:sz w:val="14"/>
          <w:szCs w:val="14"/>
          <w:b w:val="1"/>
          <w:bCs w:val="1"/>
          <w:color w:val="auto"/>
        </w:rPr>
        <w:t>Pro Forma</w:t>
      </w:r>
      <w:r>
        <w:rPr>
          <w:rFonts w:ascii="Arial" w:cs="Arial" w:eastAsia="Arial" w:hAnsi="Arial"/>
          <w:sz w:val="12"/>
          <w:szCs w:val="12"/>
          <w:b w:val="1"/>
          <w:bCs w:val="1"/>
          <w:color w:val="auto"/>
        </w:rPr>
        <w:t>(1)</w:t>
      </w:r>
    </w:p>
    <w:p>
      <w:pPr>
        <w:ind w:left="9340"/>
        <w:spacing w:after="0" w:line="235" w:lineRule="auto"/>
        <w:rPr>
          <w:sz w:val="20"/>
          <w:szCs w:val="20"/>
          <w:color w:val="auto"/>
        </w:rPr>
      </w:pPr>
      <w:r>
        <w:rPr>
          <w:rFonts w:ascii="Arial" w:cs="Arial" w:eastAsia="Arial" w:hAnsi="Arial"/>
          <w:sz w:val="14"/>
          <w:szCs w:val="14"/>
          <w:b w:val="1"/>
          <w:bCs w:val="1"/>
          <w:color w:val="auto"/>
        </w:rPr>
        <w:t>(in thousands)</w:t>
      </w:r>
    </w:p>
    <w:p>
      <w:pPr>
        <w:ind w:left="200"/>
        <w:spacing w:after="0"/>
        <w:rPr>
          <w:sz w:val="20"/>
          <w:szCs w:val="20"/>
          <w:color w:val="auto"/>
        </w:rPr>
      </w:pPr>
      <w:r>
        <w:rPr>
          <w:rFonts w:ascii="Arial" w:cs="Arial" w:eastAsia="Arial" w:hAnsi="Arial"/>
          <w:sz w:val="18"/>
          <w:szCs w:val="18"/>
          <w:b w:val="1"/>
          <w:bCs w:val="1"/>
          <w:color w:val="auto"/>
        </w:rPr>
        <w:t>Consolidated Balance Sheet Data:</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Cash, cash equivalents, and marketable securities</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(2)</w:t>
      </w:r>
    </w:p>
    <w:p>
      <w:pPr>
        <w:spacing w:after="0" w:line="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Total assets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Deferred revenue</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Convertible note payable</w:t>
      </w:r>
      <w:r>
        <w:rPr>
          <w:rFonts w:ascii="Arial" w:cs="Arial" w:eastAsia="Arial" w:hAnsi="Arial"/>
          <w:sz w:val="15"/>
          <w:szCs w:val="15"/>
          <w:color w:val="auto"/>
        </w:rPr>
        <w:t>(3)</w:t>
      </w:r>
    </w:p>
    <w:p>
      <w:pPr>
        <w:spacing w:after="0" w:line="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Redeemable convertible preferred stock</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Total stockholders’ (deficit) equity</w:t>
      </w:r>
    </w:p>
    <w:p>
      <w:pPr>
        <w:spacing w:after="0" w:line="166" w:lineRule="exact"/>
        <w:rPr>
          <w:sz w:val="20"/>
          <w:szCs w:val="20"/>
          <w:color w:val="auto"/>
        </w:rPr>
      </w:pPr>
    </w:p>
    <w:p>
      <w:pPr>
        <w:ind w:left="1200" w:right="660" w:hanging="1006"/>
        <w:spacing w:after="0" w:line="230" w:lineRule="auto"/>
        <w:tabs>
          <w:tab w:leader="none" w:pos="625"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pro forma column in the consolidated balance sheet table above reflects the automatic conversion of all outstanding shares of our preferred stock into an aggregate of shares of our Class B common stock, as if such conversion had occurred on January 31, 2020.</w:t>
      </w:r>
    </w:p>
    <w:p>
      <w:pPr>
        <w:ind w:left="620" w:hanging="426"/>
        <w:spacing w:after="0" w:line="221" w:lineRule="auto"/>
        <w:tabs>
          <w:tab w:leader="none" w:pos="6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Working capital is defined as current assets less current liabilities.</w:t>
      </w:r>
    </w:p>
    <w:p>
      <w:pPr>
        <w:ind w:left="620" w:hanging="426"/>
        <w:spacing w:after="0"/>
        <w:tabs>
          <w:tab w:leader="none" w:pos="6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3.5% senior mandatory convertible promissory note due 2025. For additional information, see “Description of Capital Stock—Senior Mandatory Convertible Promissory Note.”</w:t>
      </w:r>
    </w:p>
    <w:p>
      <w:pPr>
        <w:spacing w:after="0" w:line="20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left="200" w:right="40" w:firstLine="434"/>
        <w:spacing w:after="0" w:line="308" w:lineRule="auto"/>
        <w:rPr>
          <w:sz w:val="20"/>
          <w:szCs w:val="20"/>
          <w:color w:val="auto"/>
        </w:rPr>
      </w:pPr>
      <w:r>
        <w:rPr>
          <w:rFonts w:ascii="Arial" w:cs="Arial" w:eastAsia="Arial" w:hAnsi="Arial"/>
          <w:sz w:val="17"/>
          <w:szCs w:val="17"/>
          <w:color w:val="auto"/>
        </w:rPr>
        <w:t>The following table summarizes our non-GAAP financial measures for each fiscal year presented below. In addition to our results determined in accordance with GAAP, we believe these non-GAAP financial measures are useful in evaluating our operating performance.</w:t>
      </w:r>
    </w:p>
    <w:p>
      <w:pPr>
        <w:spacing w:after="0" w:line="16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8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Year Ended January 31,</w:t>
            </w:r>
          </w:p>
        </w:tc>
      </w:tr>
      <w:tr>
        <w:trPr>
          <w:trHeight w:val="142"/>
        </w:trPr>
        <w:tc>
          <w:tcPr>
            <w:tcW w:w="866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2019</w:t>
            </w:r>
          </w:p>
        </w:tc>
        <w:tc>
          <w:tcPr>
            <w:tcW w:w="58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r>
      <w:tr>
        <w:trPr>
          <w:trHeight w:val="142"/>
        </w:trPr>
        <w:tc>
          <w:tcPr>
            <w:tcW w:w="8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jc w:val="center"/>
              <w:ind w:left="301"/>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Non-GAAP loss from operations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(43,466)</w:t>
            </w: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0"/>
        </w:trPr>
        <w:tc>
          <w:tcPr>
            <w:tcW w:w="8660" w:type="dxa"/>
            <w:vAlign w:val="bottom"/>
          </w:tcPr>
          <w:p>
            <w:pPr>
              <w:spacing w:after="0"/>
              <w:rPr>
                <w:sz w:val="20"/>
                <w:szCs w:val="20"/>
                <w:color w:val="auto"/>
              </w:rPr>
            </w:pPr>
            <w:r>
              <w:rPr>
                <w:rFonts w:ascii="Arial" w:cs="Arial" w:eastAsia="Arial" w:hAnsi="Arial"/>
                <w:sz w:val="18"/>
                <w:szCs w:val="18"/>
                <w:color w:val="auto"/>
              </w:rPr>
              <w:t>Free cash flow</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ind w:left="40"/>
              <w:spacing w:after="0"/>
              <w:rPr>
                <w:sz w:val="20"/>
                <w:szCs w:val="20"/>
                <w:color w:val="auto"/>
              </w:rPr>
            </w:pPr>
            <w:r>
              <w:rPr>
                <w:rFonts w:ascii="Arial" w:cs="Arial" w:eastAsia="Arial" w:hAnsi="Arial"/>
                <w:sz w:val="18"/>
                <w:szCs w:val="18"/>
                <w:color w:val="auto"/>
              </w:rPr>
              <w:t>(33,587)</w:t>
            </w: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187" w:lineRule="exact"/>
        <w:rPr>
          <w:sz w:val="20"/>
          <w:szCs w:val="20"/>
          <w:color w:val="auto"/>
        </w:rPr>
      </w:pPr>
    </w:p>
    <w:p>
      <w:pPr>
        <w:ind w:left="200" w:right="40" w:firstLine="434"/>
        <w:spacing w:after="0" w:line="263" w:lineRule="auto"/>
        <w:rPr>
          <w:sz w:val="20"/>
          <w:szCs w:val="20"/>
          <w:color w:val="auto"/>
        </w:rPr>
      </w:pPr>
      <w:r>
        <w:rPr>
          <w:rFonts w:ascii="Arial" w:cs="Arial" w:eastAsia="Arial" w:hAnsi="Arial"/>
          <w:sz w:val="18"/>
          <w:szCs w:val="18"/>
          <w:color w:val="auto"/>
        </w:rPr>
        <w:t>For additional information concerning the limitations and reconciliations of the non-GAAP financial measures to the most directly comparable financial measures stated in accordance with GAAP, see the section titled “Management’s Discussion and Analysis of Financial Condition and Results of Operations—Non-GAAP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60"/>
          </w:cols>
          <w:pgMar w:left="320" w:top="459" w:right="5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100" w:firstLine="449"/>
        <w:spacing w:after="0" w:line="293" w:lineRule="auto"/>
        <w:rPr>
          <w:sz w:val="20"/>
          <w:szCs w:val="20"/>
          <w:color w:val="auto"/>
        </w:rPr>
      </w:pPr>
      <w:r>
        <w:rPr>
          <w:rFonts w:ascii="Arial" w:cs="Arial" w:eastAsia="Arial" w:hAnsi="Arial"/>
          <w:sz w:val="16"/>
          <w:szCs w:val="16"/>
          <w:i w:val="1"/>
          <w:iCs w:val="1"/>
          <w:color w:val="auto"/>
        </w:rPr>
        <w:t>Investing in our Class A common stock involves a high degree of risk. You should carefully consider the risks described below, as well as the other information in this prospectus, including our consolidated financial statements and “Management’s Discussion and Analysis of Financial Condition and Results of Operations,” before deciding whether to invest in our Class A common stock. The occurrence of any of the events or developments described below could materially and adversely affect our business, financial condition, results of operations, and growth prospects. In such an event, the market price of our Class A common stock could decline, and you may lose all or part of your investment. Additional risks and uncertainties not presently known to us or that we currently believe are not material may also impair our business, financial condition, results of operations, and growth prospects.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rapid growth in recent periods, and our recent growth rates may not be indicative of our future growth.</w:t>
      </w:r>
    </w:p>
    <w:p>
      <w:pPr>
        <w:spacing w:after="0" w:line="11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We have experienced rapid growth in recent periods. In future periods, we expect our revenue growth rate to decline. Further, as we operate in a new and rapidly changing category of work management software, widespread acceptance and use of our platform is critical to our future growth and success. We believe our revenue growth depends on a number of factors, including, but not limited to, our ability to:</w:t>
      </w:r>
    </w:p>
    <w:p>
      <w:pPr>
        <w:spacing w:after="0" w:line="89" w:lineRule="exact"/>
        <w:rPr>
          <w:sz w:val="20"/>
          <w:szCs w:val="20"/>
          <w:color w:val="auto"/>
        </w:rPr>
      </w:pPr>
    </w:p>
    <w:p>
      <w:pPr>
        <w:ind w:left="1000" w:hanging="547"/>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attract new individuals, teams, and organizations as customers;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grow or maintain our dollar-based net retention rate, expand usage within organizations, and sell subscriptions;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price our subscription plans effectively;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convert individuals, teams, and organizations on our free and trial versions into paying customers;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achieve widespread acceptance and use of our platform, including in markets outside of the United States;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to successfully expand our sales force;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expand the features and capabilities of our platform;</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 excellent customer experience and customer support;</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the security and reliability of our platform;</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successfully compete against established companies and new market entrants, as well as existing software tools;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 awareness of our brand on a global basis;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comply with existing and new applicable laws and regulations.</w:t>
      </w:r>
    </w:p>
    <w:p>
      <w:pPr>
        <w:spacing w:after="0" w:line="225"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If we are unable to accomplish these tasks, our revenue growth would be harmed. We also expect our operating expenses to increase in future periods, and if our revenue growth does not increase to offset these anticipated increases in our operating expenses, our business, results of operations, and financial condition will be harmed, and we may not be able to achieve or maintain profitability. We have also encountered in the past, and expect to encounter in the future, risks and uncertainties frequently experienced by growing companies in rapidly evolving industries. If our assumptions regarding these risks and uncertainties, which we use to plan and operate our business, are incorrect or change, or if we do not address these risks successfully, our revenue growth rates may slow and our business, results of operations, and financial condition would suffer.</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60"/>
          </w:cols>
          <w:pgMar w:left="320" w:top="459" w:right="4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at our current scale, which makes it difficult to evaluate our future prospects and may increase the risk that we will not be successful.</w:t>
      </w:r>
    </w:p>
    <w:p>
      <w:pPr>
        <w:spacing w:after="0" w:line="62"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We have been growing rapidly in recent periods and, as a result, have a relatively short history operating our business at its current scale. Furthermore, we operate in an industry that is characterized by rapid technological innovation, intense competition, changing customer needs, and frequent introductions of new products, technologies, and services. We have encountered, and will continue to encounter, risks and uncertainties frequently experienced by growing companies in evolving industries. If our assumptions regarding these risks and uncertainties, which we use to plan our business, are incorrect or change in reaction to changes in the market, or if we do not address these risks successfully, our results of operations could differ materially from our expectations, and our business, results of operations, and financial condition would suffer.</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we may not be able to achieve profitability or, if achieved, sustain profitability.</w:t>
      </w:r>
    </w:p>
    <w:p>
      <w:pPr>
        <w:spacing w:after="0" w:line="117" w:lineRule="exact"/>
        <w:rPr>
          <w:sz w:val="20"/>
          <w:szCs w:val="20"/>
          <w:color w:val="auto"/>
        </w:rPr>
      </w:pPr>
    </w:p>
    <w:p>
      <w:pPr>
        <w:jc w:val="both"/>
        <w:ind w:firstLine="449"/>
        <w:spacing w:after="0" w:line="274" w:lineRule="auto"/>
        <w:rPr>
          <w:sz w:val="20"/>
          <w:szCs w:val="20"/>
          <w:color w:val="auto"/>
        </w:rPr>
      </w:pPr>
      <w:r>
        <w:rPr>
          <w:rFonts w:ascii="Arial" w:cs="Arial" w:eastAsia="Arial" w:hAnsi="Arial"/>
          <w:sz w:val="17"/>
          <w:szCs w:val="17"/>
          <w:color w:val="auto"/>
        </w:rPr>
        <w:t>We have incurred net losses in each fiscal year since our founding. We generated net losses of $50.9 million and $ million in fiscal 2019 and fiscal 2020, respectively. As of January 31, 2020, we had an accumulated deficit of $ million. We do not expect to be profitable in the near future,</w:t>
      </w:r>
    </w:p>
    <w:p>
      <w:pPr>
        <w:ind w:right="20"/>
        <w:spacing w:after="0" w:line="255" w:lineRule="auto"/>
        <w:rPr>
          <w:sz w:val="20"/>
          <w:szCs w:val="20"/>
          <w:color w:val="auto"/>
        </w:rPr>
      </w:pPr>
      <w:r>
        <w:rPr>
          <w:rFonts w:ascii="Arial" w:cs="Arial" w:eastAsia="Arial" w:hAnsi="Arial"/>
          <w:sz w:val="18"/>
          <w:szCs w:val="18"/>
          <w:color w:val="auto"/>
        </w:rPr>
        <w:t>and we cannot assure you that we will achieve profitability in the future or that, if we do become profitable, we will sustain profitability. These losses reflect, among other things, the significant investments we made to develop and commercialize our platform, serve our existing customers, and broaden our customer base.</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expect to continue to make substantial future investments and expenditures related to the growth of our business, including:</w:t>
      </w:r>
    </w:p>
    <w:p>
      <w:pPr>
        <w:spacing w:after="0" w:line="131" w:lineRule="exact"/>
        <w:rPr>
          <w:sz w:val="20"/>
          <w:szCs w:val="20"/>
          <w:color w:val="auto"/>
        </w:rPr>
      </w:pPr>
    </w:p>
    <w:p>
      <w:pPr>
        <w:ind w:left="1000" w:hanging="547"/>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expansion of our sales and marketing activities;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continued investments in research and development to introduce new features and enhancements to our platform;</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hiring additional employees;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investments in infrastructure;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expansion of our operations across our multiple geographies;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increasing costs associated with our general and administrative organization.</w:t>
      </w:r>
    </w:p>
    <w:p>
      <w:pPr>
        <w:spacing w:after="0" w:line="225"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As a result of these investments and expenditures, we may experience losses in future periods that may increase significantly. Therefore, our losses in future periods may be significantly greater than the losses we would incur if we developed our business more slowly. In addition, we may find that these efforts are more expensive than we currently anticipate or that they may not result in increases in our revenues. We cannot be certain that we will be able to achieve, sustain, or increase profitability on a quarterly or annual basis. Any failure by us to achieve and sustain profitability would cause the trading price of our Class A common stock to decline.</w:t>
      </w:r>
    </w:p>
    <w:p>
      <w:pPr>
        <w:spacing w:after="0" w:line="29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believe our long-term value as a company will be greater if we focus on growth, which may negatively impact our profitability in the near and medium term.</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significant part of our business strategy and culture is to focus on long-term growth and customer success over short-term financial results. For</w:t>
      </w:r>
    </w:p>
    <w:p>
      <w:pPr>
        <w:spacing w:after="0" w:line="46"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example, in fiscal 2020, we increased our operating expenses to $ million as compared to $115.0 million in fiscal 2019. In fiscal 2020, our net loss increased to $ million from $50.9 million in fiscal 2019. As a result, in the near and medium term, we may continue to operate at a loss, or our</w:t>
      </w:r>
    </w:p>
    <w:p>
      <w:pPr>
        <w:jc w:val="both"/>
        <w:ind w:right="320"/>
        <w:spacing w:after="0" w:line="323" w:lineRule="auto"/>
        <w:rPr>
          <w:sz w:val="20"/>
          <w:szCs w:val="20"/>
          <w:color w:val="auto"/>
        </w:rPr>
      </w:pPr>
      <w:r>
        <w:rPr>
          <w:rFonts w:ascii="Arial" w:cs="Arial" w:eastAsia="Arial" w:hAnsi="Arial"/>
          <w:sz w:val="16"/>
          <w:szCs w:val="16"/>
          <w:color w:val="auto"/>
        </w:rPr>
        <w:t>near- and medium-term profitability may be lower than it would be if our strategy were to maximize near- and medium-term profitability. We expect to continue making significant expenditures on sales and marketing efforts, and expenditures to grow our platform and develop new features, integrations,</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459"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capabilities, and enhancements to our platform. Such expenditures may not result in improved business results or profitability over the long term. If we are ultimately unable to achieve or improve profitability at the level or during the time frame anticipated by securities or industry analysts and our stockholders, the trading price of our Class A common stock may decline.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results may fluctuate significantly and may not meet our expectations or those of investors or securities analysts.</w:t>
      </w:r>
    </w:p>
    <w:p>
      <w:pPr>
        <w:spacing w:after="0" w:line="117" w:lineRule="exact"/>
        <w:rPr>
          <w:sz w:val="20"/>
          <w:szCs w:val="20"/>
          <w:color w:val="auto"/>
        </w:rPr>
      </w:pPr>
    </w:p>
    <w:p>
      <w:pPr>
        <w:jc w:val="both"/>
        <w:ind w:firstLine="449"/>
        <w:spacing w:after="0" w:line="286" w:lineRule="auto"/>
        <w:rPr>
          <w:sz w:val="20"/>
          <w:szCs w:val="20"/>
          <w:color w:val="auto"/>
        </w:rPr>
      </w:pPr>
      <w:r>
        <w:rPr>
          <w:rFonts w:ascii="Arial" w:cs="Arial" w:eastAsia="Arial" w:hAnsi="Arial"/>
          <w:sz w:val="17"/>
          <w:szCs w:val="17"/>
          <w:color w:val="auto"/>
        </w:rPr>
        <w:t>Our quarterly results of operations, including the levels of our revenues, deferred revenue, working capital, and cash flows, may vary significantly in the future, such that period-to-period comparisons of our results of operations may not be meaningful. Our quarterly financial results may fluctuate due to a variety of factors, many of which are outside of our control and may be difficult to predict, including, but not limited to:</w:t>
      </w:r>
    </w:p>
    <w:p>
      <w:pPr>
        <w:spacing w:after="0" w:line="71" w:lineRule="exact"/>
        <w:rPr>
          <w:sz w:val="20"/>
          <w:szCs w:val="20"/>
          <w:color w:val="auto"/>
        </w:rPr>
      </w:pPr>
    </w:p>
    <w:p>
      <w:pPr>
        <w:ind w:left="1000" w:hanging="54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level of demand for our platform;</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grow or maintain our dollar-based net retention rate, expand usage within organizations, and sell subscriptions;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convert individuals, teams, and organizations using our free and trial versions into paying customers;</w:t>
      </w:r>
    </w:p>
    <w:p>
      <w:pPr>
        <w:spacing w:after="0" w:line="130" w:lineRule="exact"/>
        <w:rPr>
          <w:rFonts w:ascii="Arial" w:cs="Arial" w:eastAsia="Arial" w:hAnsi="Arial"/>
          <w:sz w:val="18"/>
          <w:szCs w:val="18"/>
          <w:color w:val="auto"/>
        </w:rPr>
      </w:pPr>
    </w:p>
    <w:p>
      <w:pPr>
        <w:ind w:left="1000" w:right="380" w:hanging="547"/>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and success of new features, integrations, capabilities, and enhancements by us to our platform, or by our competitors to their products, or any other changes in the competitive landscape of our market;</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achieve widespread acceptance and use of our platform;</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errors in our forecasting of the demand for our platform, which would lead to lower revenues, increased costs, or both;</w:t>
      </w:r>
    </w:p>
    <w:p>
      <w:pPr>
        <w:spacing w:after="0" w:line="130" w:lineRule="exact"/>
        <w:rPr>
          <w:rFonts w:ascii="Arial" w:cs="Arial" w:eastAsia="Arial" w:hAnsi="Arial"/>
          <w:sz w:val="18"/>
          <w:szCs w:val="18"/>
          <w:color w:val="auto"/>
        </w:rPr>
      </w:pPr>
    </w:p>
    <w:p>
      <w:pPr>
        <w:ind w:left="1000" w:right="180" w:hanging="547"/>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amount and timing of operating expenses and capital expenditures, as well as entry into operating leases, that we may incur to maintain and expand our business and operations and to remain competitive;</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of expenses and recognition of revenues;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security breaches, technical difficulties, or interruptions to our platform;</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pricing pressure as a result of competition or otherwise;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adverse litigation judgments, other dispute-related settlement payments, or other litigation-related costs;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number of new employees hired;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of the grant or vesting of equity awards to employees, directors, or consultants;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seasonal buying patterns for software spending;</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declines in the values of foreign currencies relative to the U.S. dollar;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and continuing uncertainty in relation to, the legislative or regulatory environment;</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legal and regulatory compliance costs in new and existing markets;</w:t>
      </w:r>
    </w:p>
    <w:p>
      <w:pPr>
        <w:spacing w:after="0" w:line="130" w:lineRule="exact"/>
        <w:rPr>
          <w:rFonts w:ascii="Arial" w:cs="Arial" w:eastAsia="Arial" w:hAnsi="Arial"/>
          <w:sz w:val="18"/>
          <w:szCs w:val="18"/>
          <w:color w:val="auto"/>
        </w:rPr>
      </w:pPr>
    </w:p>
    <w:p>
      <w:pPr>
        <w:ind w:left="1000" w:right="640" w:hanging="547"/>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and timing of expenses related to the potential acquisition of businesses, talent, technologies, or intellectual property, including potentially significant amortization costs and possible write-downs; and</w:t>
      </w:r>
    </w:p>
    <w:p>
      <w:pPr>
        <w:spacing w:after="0" w:line="75" w:lineRule="exact"/>
        <w:rPr>
          <w:rFonts w:ascii="Arial" w:cs="Arial" w:eastAsia="Arial" w:hAnsi="Arial"/>
          <w:sz w:val="18"/>
          <w:szCs w:val="18"/>
          <w:color w:val="auto"/>
        </w:rPr>
      </w:pPr>
    </w:p>
    <w:p>
      <w:pPr>
        <w:ind w:left="1000" w:right="20" w:hanging="547"/>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economic conditions in either domestic or international markets, including geopolitical uncertainty and instability and their effects on software spending.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00"/>
          </w:cols>
          <w:pgMar w:left="320" w:top="459" w:right="3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60" w:firstLine="449"/>
        <w:spacing w:after="0" w:line="308" w:lineRule="auto"/>
        <w:rPr>
          <w:sz w:val="20"/>
          <w:szCs w:val="20"/>
          <w:color w:val="auto"/>
        </w:rPr>
      </w:pPr>
      <w:r>
        <w:rPr>
          <w:rFonts w:ascii="Arial" w:cs="Arial" w:eastAsia="Arial" w:hAnsi="Arial"/>
          <w:sz w:val="17"/>
          <w:szCs w:val="17"/>
          <w:color w:val="auto"/>
        </w:rPr>
        <w:t>Any one or more of the factors above may result in significant fluctuations in our quarterly results of operations, which may negatively impact the trading price of our Class A common stock. You should not rely on our past results as an indicator of our future performance.</w:t>
      </w:r>
    </w:p>
    <w:p>
      <w:pPr>
        <w:spacing w:after="0" w:line="146"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The variability and unpredictability of our quarterly results of operations or other operating metrics could result in our failure to meet our expectations or those of investors or analysts with respect to revenues or other metrics for a particular period. If we fail to meet or exceed such expectations for these or any other reasons, the trading price of our Class A common stock would fall, and we would face costly litigation, including securities class action lawsuits.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effectively manage our growth.</w:t>
      </w:r>
    </w:p>
    <w:p>
      <w:pPr>
        <w:spacing w:after="0" w:line="117"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We have experienced rapid growth and increased demand for our platform. The growth and expansion of our business and platform may place a significant strain on our management, operational, and financial resources. We are required to manage multiple relationships with various strategic partners, customers, and other third parties. In the event of further growth of our operations or in the number of our third-party relationships, our computer systems, procedures, or internal controls may not be adequate to support our operations, and our management may not be able to manage such growth effectively. To effectively manage our growth, we must continue to implement and improve our operational, financial, and management information systems and expand, train, and manage our employee base.</w:t>
      </w:r>
    </w:p>
    <w:p>
      <w:pPr>
        <w:spacing w:after="0" w:line="30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If we are unable to attract new customers, convert individuals, teams, and organizations using our free and trial versions into paying customers, and expand usage within organizations or develop new features, integrations, capabilities, and enhancements that achieve market acceptance, our revenue growth would be harmed.</w:t>
      </w:r>
    </w:p>
    <w:p>
      <w:pPr>
        <w:spacing w:after="0" w:line="76" w:lineRule="exact"/>
        <w:rPr>
          <w:sz w:val="20"/>
          <w:szCs w:val="20"/>
          <w:color w:val="auto"/>
        </w:rPr>
      </w:pPr>
    </w:p>
    <w:p>
      <w:pPr>
        <w:ind w:firstLine="449"/>
        <w:spacing w:after="0" w:line="285" w:lineRule="auto"/>
        <w:rPr>
          <w:sz w:val="20"/>
          <w:szCs w:val="20"/>
          <w:color w:val="auto"/>
        </w:rPr>
      </w:pPr>
      <w:r>
        <w:rPr>
          <w:rFonts w:ascii="Arial" w:cs="Arial" w:eastAsia="Arial" w:hAnsi="Arial"/>
          <w:sz w:val="16"/>
          <w:szCs w:val="16"/>
          <w:color w:val="auto"/>
        </w:rPr>
        <w:t>To increase our revenues and achieve profitability, we must increase our customer base through various methods, including but not limited to, adding new customers, converting individuals, teams, and organizations using our free and trial versions into paying customers, and expanding usage within organizations. We encourage customers on our free and trial versions to upgrade to paid subscriptions plans and customers of our Premium plan to upgrade to our Business or Enterprise plans. Additionally, we seek to expand within enterprises by adding new customers, having organizations upgrade to our Business or Enterprise plans, or expanding their use of our platform into other departments within an organization. While we have experienced significant growth in the number of customers, we do not know whether we will continue to achieve similar customer growth rates in the future. Numerous factors may impede our ability to add new customers, convert individuals, teams, and organizations using our free and trial versions into paying customers, expand usage within organizations, and sell subscriptions to our platform, including but not limited to, our failure to attract and effectively train new sales and marketing personnel, failure to retain and motivate our current sales and marketing personnel, failure to develop or expand relationships with partners, failure to compete effectively against alternative products or services, failure to successfully deploy new features and integrations, failure to provide a quality customer experience and customer support, or failure to ensure the effectiveness of our marketing programs. Additionally, as we focus on increasing our sales to larger organizations, we will be required to deploy sophisticated and costly sales efforts, which may result in longer sales cycles. Sales efforts targeted at larger customers typically involve greater costs, longer sales cycles, greater competition, and less predictability in completing some of our sales. In the large enterprise market, the customer’s decision to use our platform can sometimes be an enterprise-wide decision, in which case, we will likely be required to provide greater levels of customer education to familiarize potential customers with the use and benefits of our platform, as well as training and support. In addition, larger enterprises may demand more customization, integration and support services, and features. As a result of these factors, these sales opportunities may require us to devote greater sales, research and development, and customer support resources to these customers, resulting in increased costs, lengthened sales cycles, and diversion of our own sales and professional services resources to a smaller number of larger customers. Moreover, these larger subscription plans may require us to delay revenue recognition on some of these transactions until the technical</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459"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or implementation requirements have been met. If our efforts to sell to organizations of all sizes are not successful or do not generate additional revenues, our business, results of operations, and financial condition would suffer.</w:t>
      </w:r>
    </w:p>
    <w:p>
      <w:pPr>
        <w:spacing w:after="0" w:line="170" w:lineRule="exact"/>
        <w:rPr>
          <w:sz w:val="20"/>
          <w:szCs w:val="20"/>
          <w:color w:val="auto"/>
        </w:rPr>
      </w:pPr>
    </w:p>
    <w:p>
      <w:pPr>
        <w:ind w:right="20" w:firstLine="449"/>
        <w:spacing w:after="0" w:line="289" w:lineRule="auto"/>
        <w:rPr>
          <w:sz w:val="20"/>
          <w:szCs w:val="20"/>
          <w:color w:val="auto"/>
        </w:rPr>
      </w:pPr>
      <w:r>
        <w:rPr>
          <w:rFonts w:ascii="Arial" w:cs="Arial" w:eastAsia="Arial" w:hAnsi="Arial"/>
          <w:sz w:val="16"/>
          <w:szCs w:val="16"/>
          <w:color w:val="auto"/>
        </w:rPr>
        <w:t>In addition, we believe that many of our new customers originate from word-of-mouth and other non-paid referrals from existing customers, so we must ensure that our existing customers remain loyal to our platform in order to continue receiving those referrals. Our ability to attract new customers and increase revenues from existing paying customers depends in large part on our ability to continually enhance and improve our platform and the features, integrations, and capabilities we offer, and to introduce compelling new features, integrations, and capabilities that reflect the changing nature of our market in order to maintain and improve the quality and value of our platform. Accordingly, we must continue to invest in research and development and in our ongoing efforts to improve and enhance our platform. The success of any enhancement to our platform depends on several factors, including timely completion and delivery, competitive pricing, adequate quality testing, integration with existing technologies, and overall market acceptance. Any new features, integrations, and capabilities that we develop may not be introduced in a timely or cost-effective manner, may contain errors, failures, vulnerabilities, or bugs, or may not achieve the market acceptance necessary to generate significant revenues.</w:t>
      </w:r>
    </w:p>
    <w:p>
      <w:pPr>
        <w:spacing w:after="0" w:line="166"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Moreover, our business is subscription based, and customers are not obligated to and may not renew their subscriptions after their existing subscriptions expire, and we cannot ensure that customers will renew subscriptions with a similar contract period, with the same or greater number of users, or for the same level of subscription plan or upgrade to Business and Enterprise plans. Customers may or may not renew their subscription plans as a result of a number of factors, including their satisfaction or dissatisfaction with our platform, our pricing or pricing structure, the pricing or capabilities of the products and services offered by our competitors, the effects of general economic conditions, or customers’ budgetary constraints. If customers do not renew their subscriptions, renew on less favorable terms, or fail to add more individuals, teams, and organizations, or if we fail to upgrade individuals, teams, and organizations to our paid subscription plans, or expand the adoption of our platform within organizations, our revenues may decline or grow less quickly than anticipated, which would harm our business, results of operations, and financial condition.</w:t>
      </w:r>
    </w:p>
    <w:p>
      <w:pPr>
        <w:spacing w:after="0" w:line="2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One of our marketing strategies is to offer free and trial subscription plans, and we may not be able to continue to realize the benefits of this strategy.</w:t>
      </w:r>
    </w:p>
    <w:p>
      <w:pPr>
        <w:spacing w:after="0" w:line="152" w:lineRule="exact"/>
        <w:rPr>
          <w:sz w:val="20"/>
          <w:szCs w:val="20"/>
          <w:color w:val="auto"/>
        </w:rPr>
      </w:pPr>
    </w:p>
    <w:p>
      <w:pPr>
        <w:ind w:right="160" w:firstLine="449"/>
        <w:spacing w:after="0" w:line="254" w:lineRule="auto"/>
        <w:rPr>
          <w:sz w:val="20"/>
          <w:szCs w:val="20"/>
          <w:color w:val="auto"/>
        </w:rPr>
      </w:pPr>
      <w:r>
        <w:rPr>
          <w:rFonts w:ascii="Arial" w:cs="Arial" w:eastAsia="Arial" w:hAnsi="Arial"/>
          <w:sz w:val="18"/>
          <w:szCs w:val="18"/>
          <w:color w:val="auto"/>
        </w:rPr>
        <w:t>We offer free and trial subscription plans to promote brand awareness and organic adoption of our platform. Historically, only a small percentage of individuals, teams, and organizations using our free and trial subscription plans has converted into one of our paid subscription plans. Our marketing strategy depends in part on individuals, teams, and organizations who use our free and trial versions of our platform convincing others within their organizations to use Asana and to become paying customers. To the extent that increasing numbers of these individuals, teams, and organizations do not become, or lead others to become, paying customers, we will not realize the intended benefits of this marketing strategy, we will continue to pay the costs associated with hosting such free and trial versions, our ability to grow our business will be harmed, and our business, results of operations, and financial condition will suffer.</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derive, and expect to continue to derive, substantially all of our revenues from a single product.</w:t>
      </w:r>
    </w:p>
    <w:p>
      <w:pPr>
        <w:spacing w:after="0" w:line="117"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We derive, and expect to continue to derive, substantially all of our revenues from a single product. As such, the continued growth in market demand for and market acceptance, including international market acceptance, of our platform is critical to our continued success. Demand for our platform is affected by a number of factors, some of which are beyond our control, such as the rate of market adoption of work management solutions; the timing of development and release of competing new products; the development and acceptance of new features, integrations, and capabilities for our platform; price, product, and service changes by us or our competitors; technological changes and developments within the markets we serve; growth, contraction, and rapid evolution of our market; and general economic conditions and trends. If we are unable to continue to meet the demands of</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459"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individuals, teams, and organizations or trends in preferences for work management solutions or to achieve more widespread market acceptance of our platform, our business, results of operations, and financial condition would be harmed. Changes in preferences of our current or potential customers may have a disproportionately greater impact on us than if we offered multiple products. In addition, some current and potential customers, particularly larger organizations, may develop or acquire their own tools or continue to rely on traditional tools and software for their work management solutions, which would reduce or eliminate their demand for our platform. If demand for our platform declines for any of these or other reasons, our business, results of operations, and financial condition would be adversely affected.</w:t>
      </w:r>
    </w:p>
    <w:p>
      <w:pPr>
        <w:spacing w:after="0" w:line="286"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b w:val="1"/>
          <w:bCs w:val="1"/>
          <w:i w:val="1"/>
          <w:iCs w:val="1"/>
          <w:color w:val="auto"/>
        </w:rPr>
        <w:t>If the market for work management solutions develops more slowly than we expect or declines, our business would be adversely affected, and the estimates of market opportunity and forecasts of market growth included in this prospectus may prove to be inaccurate.</w:t>
      </w:r>
    </w:p>
    <w:p>
      <w:pPr>
        <w:spacing w:after="0" w:line="16" w:lineRule="exact"/>
        <w:rPr>
          <w:sz w:val="20"/>
          <w:szCs w:val="20"/>
          <w:color w:val="auto"/>
        </w:rPr>
      </w:pPr>
    </w:p>
    <w:p>
      <w:pPr>
        <w:ind w:right="20" w:firstLine="449"/>
        <w:spacing w:after="0" w:line="289" w:lineRule="auto"/>
        <w:rPr>
          <w:sz w:val="20"/>
          <w:szCs w:val="20"/>
          <w:color w:val="auto"/>
        </w:rPr>
      </w:pPr>
      <w:r>
        <w:rPr>
          <w:rFonts w:ascii="Arial" w:cs="Arial" w:eastAsia="Arial" w:hAnsi="Arial"/>
          <w:sz w:val="16"/>
          <w:szCs w:val="16"/>
          <w:color w:val="auto"/>
        </w:rPr>
        <w:t>It is uncertain whether work management solutions will achieve and sustain high levels of customer demand and market acceptance given the relatively early stage of development of this market. Our success will depend to a substantial extent on the widespread adoption of work management solutions generally. Individuals and organizations may be reluctant or unwilling to migrate to work management solutions from spreadsheets, email, messaging, and legacy project management tools. It is difficult to predict adoption rates and demand for our platform, the future growth rate and size of the market for work management solutions, or the entry of competitive offerings. The expansion of the work management solutions market depends on a number of factors, including the cost, performance, and perceived value associated with work management solutions. If work management solutions do not achieve widespread adoption, or there is a reduction in demand for work management solutions caused by a lack of customer acceptance, technological challenges, weakening economic conditions, security or privacy concerns, competing technologies and products, decreases in corporate spending, or otherwise, it could result in decreased revenues, and our business, results of operations, and financial condition would be adversely affected.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competitive industry, and competition presents an ongoing threat to the success of our business.</w:t>
      </w:r>
    </w:p>
    <w:p>
      <w:pPr>
        <w:spacing w:after="0" w:line="117"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The market for work management solutions is increasingly competitive, fragmented, and subject to rapidly changing technology, shifting user and customer needs, new market entrants, and frequent introductions of new products and services. We compete with companies that range in size from large and diversified with significant spending resources to smaller companies. Our competition addresses the project management and work management categories, including, but not limited to, solutions relating to email, messaging, and spreadsheets. Our competitors generally fall into the following groups: companies specifically offering work management solutions, such as Smartsheet Inc. and monday.com Ltd.; companies offering productivity suites, such as Microsoft Corporation, or Microsoft, and Alphabet, Inc., or Google; and companies specializing in vertical solutions that address a portion of our market, such as Atlassian Corporation Plc for developers.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our ability to compete depends upon many factors both within and beyond our control, including the following:</w:t>
      </w:r>
    </w:p>
    <w:p>
      <w:pPr>
        <w:spacing w:after="0" w:line="131" w:lineRule="exact"/>
        <w:rPr>
          <w:sz w:val="20"/>
          <w:szCs w:val="20"/>
          <w:color w:val="auto"/>
        </w:rPr>
      </w:pPr>
    </w:p>
    <w:p>
      <w:pPr>
        <w:ind w:left="1000" w:hanging="54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adaptability of our platform to a broad range of use cases;</w:t>
      </w:r>
    </w:p>
    <w:p>
      <w:pPr>
        <w:spacing w:after="0" w:line="130" w:lineRule="exact"/>
        <w:rPr>
          <w:rFonts w:ascii="Arial" w:cs="Arial" w:eastAsia="Arial" w:hAnsi="Arial"/>
          <w:sz w:val="18"/>
          <w:szCs w:val="18"/>
          <w:color w:val="auto"/>
        </w:rPr>
      </w:pPr>
    </w:p>
    <w:p>
      <w:pPr>
        <w:ind w:left="1000" w:right="100" w:hanging="547"/>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continued market acceptance of our platform and the timing and market acceptance of new features and enhancements to our platform or the offerings of our competitors;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ease of use, performance, price, security, and reliability of solutions developed either by us or our competitors;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brand strength;</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selling and marketing efforts, including our ability to grow our market share domestically and internationally;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320" w:top="459" w:right="3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size and diversity of our customer base;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customer support efforts; and</w:t>
      </w:r>
    </w:p>
    <w:p>
      <w:pPr>
        <w:spacing w:after="0" w:line="130" w:lineRule="exact"/>
        <w:rPr>
          <w:rFonts w:ascii="Arial" w:cs="Arial" w:eastAsia="Arial" w:hAnsi="Arial"/>
          <w:sz w:val="18"/>
          <w:szCs w:val="18"/>
          <w:color w:val="auto"/>
        </w:rPr>
      </w:pPr>
    </w:p>
    <w:p>
      <w:pPr>
        <w:ind w:left="1000" w:right="100" w:hanging="547"/>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continue to create easy to use integrations for, and robust, effective partnerships with, other larger enterprise software solutions and tools.</w:t>
      </w:r>
    </w:p>
    <w:p>
      <w:pPr>
        <w:spacing w:after="0" w:line="170" w:lineRule="exact"/>
        <w:rPr>
          <w:sz w:val="20"/>
          <w:szCs w:val="20"/>
          <w:color w:val="auto"/>
        </w:rPr>
      </w:pPr>
    </w:p>
    <w:p>
      <w:pPr>
        <w:ind w:right="140" w:firstLine="449"/>
        <w:spacing w:after="0" w:line="275" w:lineRule="auto"/>
        <w:rPr>
          <w:sz w:val="20"/>
          <w:szCs w:val="20"/>
          <w:color w:val="auto"/>
        </w:rPr>
      </w:pPr>
      <w:r>
        <w:rPr>
          <w:rFonts w:ascii="Arial" w:cs="Arial" w:eastAsia="Arial" w:hAnsi="Arial"/>
          <w:sz w:val="17"/>
          <w:szCs w:val="17"/>
          <w:color w:val="auto"/>
        </w:rPr>
        <w:t>Many of our current and potential competitors may have longer operating histories, greater brand name recognition, stronger and more extensive partner relationships, significantly greater financial, technical, marketing, and other resources, lower labor and development costs, and larger customer bases than we do. These competitors may engage in more extensive research and development efforts, undertake more far-reaching marketing campaigns, and adopt more aggressive pricing policies that will allow them to build larger customer bases than we have. In addition, some of our potential customers may elect to develop their own internal applications for their work management needs.</w:t>
      </w:r>
    </w:p>
    <w:p>
      <w:pPr>
        <w:spacing w:after="0" w:line="176" w:lineRule="exact"/>
        <w:rPr>
          <w:sz w:val="20"/>
          <w:szCs w:val="20"/>
          <w:color w:val="auto"/>
        </w:rPr>
      </w:pPr>
    </w:p>
    <w:p>
      <w:pPr>
        <w:jc w:val="both"/>
        <w:ind w:right="40" w:firstLine="449"/>
        <w:spacing w:after="0" w:line="287" w:lineRule="auto"/>
        <w:rPr>
          <w:sz w:val="20"/>
          <w:szCs w:val="20"/>
          <w:color w:val="auto"/>
        </w:rPr>
      </w:pPr>
      <w:r>
        <w:rPr>
          <w:rFonts w:ascii="Arial" w:cs="Arial" w:eastAsia="Arial" w:hAnsi="Arial"/>
          <w:sz w:val="16"/>
          <w:szCs w:val="16"/>
          <w:color w:val="auto"/>
        </w:rPr>
        <w:t>The work management solutions market is rapidly evolving and highly competitive, with relatively low barriers to entry, and in the future there will likely be an increasing number of similar solutions offered by additional competitors. Large companies we do not currently consider to be competitors may enter the market, through acquisitions or through innovation and expansion of their existing solutions, to compete with us either directly or indirectly.</w:t>
      </w:r>
    </w:p>
    <w:p>
      <w:pPr>
        <w:spacing w:after="0" w:line="2" w:lineRule="exact"/>
        <w:rPr>
          <w:sz w:val="20"/>
          <w:szCs w:val="20"/>
          <w:color w:val="auto"/>
        </w:rPr>
      </w:pPr>
    </w:p>
    <w:p>
      <w:pPr>
        <w:ind w:right="120"/>
        <w:spacing w:after="0" w:line="323" w:lineRule="auto"/>
        <w:rPr>
          <w:sz w:val="20"/>
          <w:szCs w:val="20"/>
          <w:color w:val="auto"/>
        </w:rPr>
      </w:pPr>
      <w:r>
        <w:rPr>
          <w:rFonts w:ascii="Arial" w:cs="Arial" w:eastAsia="Arial" w:hAnsi="Arial"/>
          <w:sz w:val="16"/>
          <w:szCs w:val="16"/>
          <w:color w:val="auto"/>
        </w:rPr>
        <w:t>Further, our potential and existing competitors may make acquisitions or enter into strategic relationships and rapidly acquire significant market share due to a larger customer base, superior product offering, more effective sales and marketing operations, or greater financial, technical, and other resources.</w:t>
      </w:r>
    </w:p>
    <w:p>
      <w:pPr>
        <w:spacing w:after="0" w:line="138"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Any one of these competitive pressures in our market, or our failure to compete effectively, may result in price reductions; fewer customers; reduced revenues, gross profit, and gross margin; increased net losses; and loss of market share. Any failure to meet and address these factors would harm our business, results of operations, and financial condition.</w:t>
      </w:r>
    </w:p>
    <w:p>
      <w:pPr>
        <w:spacing w:after="0" w:line="29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Failure to effectively develop and expand our direct sales capabilities would harm our ability to expand usage of our platform within our customer base and achieve broader market acceptance of our platform.</w:t>
      </w:r>
    </w:p>
    <w:p>
      <w:pPr>
        <w:spacing w:after="0" w:line="62" w:lineRule="exact"/>
        <w:rPr>
          <w:sz w:val="20"/>
          <w:szCs w:val="20"/>
          <w:color w:val="auto"/>
        </w:rPr>
      </w:pPr>
    </w:p>
    <w:p>
      <w:pPr>
        <w:ind w:right="80" w:firstLine="449"/>
        <w:spacing w:after="0" w:line="288" w:lineRule="auto"/>
        <w:rPr>
          <w:sz w:val="20"/>
          <w:szCs w:val="20"/>
          <w:color w:val="auto"/>
        </w:rPr>
      </w:pPr>
      <w:r>
        <w:rPr>
          <w:rFonts w:ascii="Arial" w:cs="Arial" w:eastAsia="Arial" w:hAnsi="Arial"/>
          <w:sz w:val="16"/>
          <w:szCs w:val="16"/>
          <w:color w:val="auto"/>
        </w:rPr>
        <w:t>Our ability to expand usage of our platform within our customer base and achieve broader market acceptance among businesses will depend to a significant extent on our ability to expand our sales operations successfully, particularly our direct sales efforts targeted at broadening use of our platform across departments and entire organizations. We plan to continue expanding our direct sales force, both domestically and internationally, to expand use of our platform within our customer base, and reach larger teams and organizations. This expansion will require us to continue to invest significant financial and other resources to train and grow our direct sales force in order to complement our self-service go-to-market approach. Our business, results of operations, and financial condition will be harmed if our efforts do not generate a corresponding increase in revenues. We may not achieve anticipated revenue growth from expanding our direct sales force if we are unable to hire and develop talented direct sales personnel, if our new direct sales personnel are unable to achieve desired productivity levels in a reasonable period of time, or if we are unable to retain our existing direct sales personnel. We believe that there is significant competition for sales personnel with the skills and technical knowledge that we require. Our ability to achieve revenue growth will depend, in large part, on our success in recruiting, training, and retaining sufficient numbers of sales personnel to support our growth.</w:t>
      </w:r>
    </w:p>
    <w:p>
      <w:pPr>
        <w:spacing w:after="0" w:line="27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The loss of one or more of our key personnel, in particular our co-founder, President, Chief Executive Officer, and Chair, Dustin Moskovitz, would harm our business.</w:t>
      </w:r>
    </w:p>
    <w:p>
      <w:pPr>
        <w:spacing w:after="0" w:line="62" w:lineRule="exact"/>
        <w:rPr>
          <w:sz w:val="20"/>
          <w:szCs w:val="20"/>
          <w:color w:val="auto"/>
        </w:rPr>
      </w:pPr>
    </w:p>
    <w:p>
      <w:pPr>
        <w:ind w:right="280" w:firstLine="449"/>
        <w:spacing w:after="0" w:line="263" w:lineRule="auto"/>
        <w:rPr>
          <w:sz w:val="20"/>
          <w:szCs w:val="20"/>
          <w:color w:val="auto"/>
        </w:rPr>
      </w:pPr>
      <w:r>
        <w:rPr>
          <w:rFonts w:ascii="Arial" w:cs="Arial" w:eastAsia="Arial" w:hAnsi="Arial"/>
          <w:sz w:val="18"/>
          <w:szCs w:val="18"/>
          <w:color w:val="auto"/>
        </w:rPr>
        <w:t>Our success depends largely upon the continued services and performance of our senior management and other key personnel. From time to time, there may be changes in our senior management team resulting from the hiring or departure of executives and key employees, which could disrupt our business. Our senior management</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320" w:top="459" w:right="3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and key employees are employed on an at-will basis. We currently do not have “key person” insurance on any of our employees. The loss of key personnel, including our co-founder, President, Chief Executive Officer, and Chair, Dustin Moskovitz, and other key members of management, as well as our product development, engineering, sales, and marketing personnel, would disrupt our operations and have an adverse effect on our ability to grow our business. Changes in our senior management team may also cause disruptions in, and harm to, our business, results of operations, and financial condition.</w:t>
      </w:r>
    </w:p>
    <w:p>
      <w:pPr>
        <w:spacing w:after="0" w:line="26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must continue to attract and retain highly qualified personnel in very competitive markets to continue to execute on our business strategy and growth plans.</w:t>
      </w:r>
    </w:p>
    <w:p>
      <w:pPr>
        <w:spacing w:after="0" w:line="62" w:lineRule="exact"/>
        <w:rPr>
          <w:sz w:val="20"/>
          <w:szCs w:val="20"/>
          <w:color w:val="auto"/>
        </w:rPr>
      </w:pPr>
    </w:p>
    <w:p>
      <w:pPr>
        <w:ind w:right="160" w:firstLine="449"/>
        <w:spacing w:after="0" w:line="254" w:lineRule="auto"/>
        <w:rPr>
          <w:sz w:val="20"/>
          <w:szCs w:val="20"/>
          <w:color w:val="auto"/>
        </w:rPr>
      </w:pPr>
      <w:r>
        <w:rPr>
          <w:rFonts w:ascii="Arial" w:cs="Arial" w:eastAsia="Arial" w:hAnsi="Arial"/>
          <w:sz w:val="18"/>
          <w:szCs w:val="18"/>
          <w:color w:val="auto"/>
        </w:rPr>
        <w:t>To execute our business model, we must attract and retain highly qualified personnel. Competition for executive officers, software engineers, sales personnel, and other key personnel in our industry and in the San Francisco Bay Area, where our headquarters is located, and in other locations where we maintain offices, is intense. As we become a more mature company, we may find our recruiting efforts more challenging. The incentives to attract, retain, and motivate employees provided by our stock options and other equity awards, or by other compensation arrangements, may not be as effective as in the past. Many of the companies with which we compete for experienced personnel have greater resources than we have. If we do not succeed in attracting excellent personnel or retaining or motivating existing personnel, we may be unable to innovate quickly enough to support our business model or grow effectively.</w:t>
      </w:r>
    </w:p>
    <w:p>
      <w:pPr>
        <w:spacing w:after="0" w:line="303"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Our failure to protect our sites, networks, and systems against security breaches, or otherwise to protect our confidential information or the confidential information of our users, customers, or other third parties, would damage our reputation and brand, and substantially harm our business and results of operations.</w:t>
      </w:r>
    </w:p>
    <w:p>
      <w:pPr>
        <w:spacing w:after="0" w:line="76" w:lineRule="exact"/>
        <w:rPr>
          <w:sz w:val="20"/>
          <w:szCs w:val="20"/>
          <w:color w:val="auto"/>
        </w:rPr>
      </w:pPr>
    </w:p>
    <w:p>
      <w:pPr>
        <w:ind w:right="40" w:firstLine="449"/>
        <w:spacing w:after="0" w:line="287" w:lineRule="auto"/>
        <w:rPr>
          <w:sz w:val="20"/>
          <w:szCs w:val="20"/>
          <w:color w:val="auto"/>
        </w:rPr>
      </w:pPr>
      <w:r>
        <w:rPr>
          <w:rFonts w:ascii="Arial" w:cs="Arial" w:eastAsia="Arial" w:hAnsi="Arial"/>
          <w:sz w:val="16"/>
          <w:szCs w:val="16"/>
          <w:color w:val="auto"/>
        </w:rPr>
        <w:t>Breaches of our security measures or those of our third-party service providers or cyber security incidents would result in unauthorized access to our sites, networks, systems, and accounts; unauthorized access to, and misappropriation of, individuals’ personal information or other confidential or proprietary information of ourselves, our customers, or other third parties; viruses, worms, spyware, or other malware being served from our platform, mobile application, networks, or systems; deletion or modification of content or the display of unauthorized content on our platform; interruption, disruption, or malfunction of operations; costs relating to breach remediation, deployment of additional personnel and protection technologies, and response to governmental investigations and media inquiries and coverage; engagement of third-party experts and consultants; or litigation, regulatory action, and other potential liabilities. If any of these breaches of security should occur, we cannot guarantee that recovery protocols and backup systems will be sufficient to prevent data loss. Additionally, if any of these breaches occur, our reputation and brand could be damaged, our business may suffer, we could be required to expend significant capital and other resources to alleviate problems caused by such breaches, and we could be exposed to risk of loss, litigation or regulatory action, and other potential liability. Actual or anticipated security breaches or attacks may cause us to incur increasing costs, including costs to deploy additional personnel and protection technologies, train employees, and engage third-party experts and consultants.</w:t>
      </w:r>
    </w:p>
    <w:p>
      <w:pPr>
        <w:spacing w:after="0" w:line="172"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Any compromise or breach of our security measures, or those of our third-party service providers, could violate applicable privacy, data protection, data security, network and information systems security, and other laws, and cause significant legal and financial exposure, adverse publicity, and a loss of confidence in our security measures, which could have a material adverse effect on our business, results of operations, and financial condition. We continue to devote significant resources to protect against security breaches, and we may need to devote significant resources in the future to address problems caused by breaches, including notifying affected subscribers and responding to any resulting litigation, which in turn, diverts resources from the growth and expansion of our business.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320" w:top="459" w:right="3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fail to manage our technical operations infrastructure, or experience service outages, interruptions, or delays in the deployment of our platform, our results of operations may be harmed.</w:t>
      </w:r>
    </w:p>
    <w:p>
      <w:pPr>
        <w:spacing w:after="0" w:line="62" w:lineRule="exact"/>
        <w:rPr>
          <w:sz w:val="20"/>
          <w:szCs w:val="20"/>
          <w:color w:val="auto"/>
        </w:rPr>
      </w:pPr>
    </w:p>
    <w:p>
      <w:pPr>
        <w:ind w:right="120" w:firstLine="449"/>
        <w:spacing w:after="0" w:line="271" w:lineRule="auto"/>
        <w:rPr>
          <w:sz w:val="20"/>
          <w:szCs w:val="20"/>
          <w:color w:val="auto"/>
        </w:rPr>
      </w:pPr>
      <w:r>
        <w:rPr>
          <w:rFonts w:ascii="Arial" w:cs="Arial" w:eastAsia="Arial" w:hAnsi="Arial"/>
          <w:sz w:val="17"/>
          <w:szCs w:val="17"/>
          <w:color w:val="auto"/>
        </w:rPr>
        <w:t>We may experience system slowdowns and interruptions from time to time. In addition, continued growth in our customer base could place additional demands on our platform and could cause or exacerbate slowdowns or interrupt the availability of our platform. If there is a substantial increase in the volume of usage on our platform, we will be required to further expand and upgrade our technology and infrastructure. There can be no assurance that we will be able to accurately project the rate or timing of increases, if any, in the use of our platform or expand and upgrade our systems and infrastructure to accommodate such increases on a timely basis. In such cases, if our users are not able to access our platform or encounter slowdowns when doing so, we may lose customers or partners. In order to remain competitive, we must continue to enhance and improve the responsiveness, functionality, and features of our platform. Our disaster recovery plan may not be sufficient to address all aspects or any unanticipated consequence or incidents, and our insurance may not be sufficient to compensate us for the losses that could occur.</w:t>
      </w:r>
    </w:p>
    <w:p>
      <w:pPr>
        <w:spacing w:after="0" w:line="178" w:lineRule="exact"/>
        <w:rPr>
          <w:sz w:val="20"/>
          <w:szCs w:val="20"/>
          <w:color w:val="auto"/>
        </w:rPr>
      </w:pPr>
    </w:p>
    <w:p>
      <w:pPr>
        <w:ind w:right="60" w:firstLine="449"/>
        <w:spacing w:after="0" w:line="269" w:lineRule="auto"/>
        <w:rPr>
          <w:sz w:val="20"/>
          <w:szCs w:val="20"/>
          <w:color w:val="auto"/>
        </w:rPr>
      </w:pPr>
      <w:r>
        <w:rPr>
          <w:rFonts w:ascii="Arial" w:cs="Arial" w:eastAsia="Arial" w:hAnsi="Arial"/>
          <w:sz w:val="17"/>
          <w:szCs w:val="17"/>
          <w:color w:val="auto"/>
        </w:rPr>
        <w:t>Moreover, Amazon Web Services, or AWS, provides the cloud computing infrastructure that we use to host our platform, mobile application, and many of the internal tools we use to operate our business. We have a long-term commitment with AWS, and our platform, mobile application, and internal tools use computing, storage capabilities, bandwidth, and other services provided by AWS. Any significant disruption of, limitation of our access to, or other interference with our use of AWS would negatively impact our operations and could seriously harm our business. In addition, any transition of the cloud services currently provided by AWS to another cloud services provider would require significant time and expense and could disrupt or degrade delivery of our platform. Our business relies on the availability of our platform for our users and customers, and we may lose users or customers if they are not able to access our platform or encounter difficulties in doing so. The level of service provided by AWS could affect the availability or speed of our platform, which may also impact the usage of, and our customers’ satisfaction with, our platform and could seriously harm our business and reputation. If AWS increases pricing terms, terminates or seeks to terminate our contractual relationship, establishes more favorable relationships with our competitors, or changes or interprets its terms of service or policies in a manner that is unfavorable with respect to us, our business, results of operations, and financial condition could be harmed.</w:t>
      </w:r>
    </w:p>
    <w:p>
      <w:pPr>
        <w:spacing w:after="0" w:line="290" w:lineRule="exact"/>
        <w:rPr>
          <w:sz w:val="20"/>
          <w:szCs w:val="20"/>
          <w:color w:val="auto"/>
        </w:rPr>
      </w:pPr>
    </w:p>
    <w:p>
      <w:pPr>
        <w:jc w:val="right"/>
        <w:ind w:right="420"/>
        <w:spacing w:after="0" w:line="361" w:lineRule="auto"/>
        <w:rPr>
          <w:sz w:val="20"/>
          <w:szCs w:val="20"/>
          <w:color w:val="auto"/>
        </w:rPr>
      </w:pPr>
      <w:r>
        <w:rPr>
          <w:rFonts w:ascii="Arial" w:cs="Arial" w:eastAsia="Arial" w:hAnsi="Arial"/>
          <w:sz w:val="16"/>
          <w:szCs w:val="16"/>
          <w:b w:val="1"/>
          <w:bCs w:val="1"/>
          <w:i w:val="1"/>
          <w:iCs w:val="1"/>
          <w:color w:val="auto"/>
        </w:rPr>
        <w:t xml:space="preserve">Real or perceived errors, failures, vulnerabilities, or bugs in our platform would harm our business, results of operations, and financial condition. </w:t>
      </w:r>
      <w:r>
        <w:rPr>
          <w:rFonts w:ascii="Arial" w:cs="Arial" w:eastAsia="Arial" w:hAnsi="Arial"/>
          <w:sz w:val="16"/>
          <w:szCs w:val="16"/>
          <w:color w:val="auto"/>
        </w:rPr>
        <w:t>The software technology underlying and integrating with our platform is inherently complex and may contain material defects or errors. Errors,</w:t>
      </w:r>
    </w:p>
    <w:p>
      <w:pPr>
        <w:spacing w:after="0" w:line="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failures, vulnerabilities, or bugs have in the past, and may in the future, occur in our platform and mobile application, especially when updates are deployed or new features, integrations, or capabilities are rolled out. Any such errors, failures, vulnerabilities, or bugs may not be found until after new features, integrations, or capabilities have been released. Furthermore, we will need to ensure that our platform can scale to meet the evolving needs of customers, particularly as we increase our focus on larger teams and organizations. Real or perceived errors, failures, vulnerabilities, or bugs in our platform and mobile application could result in an interruption in the availability of our platform, negative publicity, unfavorable user experience, loss or leaking of personal data and data of organizations, loss of or delay in market acceptance of our platform, loss of competitive position, regulatory fines, or claims by organizations for losses sustained by them, all of which would harm our business, results of operations, and financial condition.</w:t>
      </w:r>
    </w:p>
    <w:p>
      <w:pPr>
        <w:spacing w:after="0" w:line="27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are unable to ensure that our platform interoperates with a variety of software applications that are developed by others, including our integration partners, we may become less competitive and our results of operations may be harmed.</w:t>
      </w:r>
    </w:p>
    <w:p>
      <w:pPr>
        <w:spacing w:after="0" w:line="62" w:lineRule="exact"/>
        <w:rPr>
          <w:sz w:val="20"/>
          <w:szCs w:val="20"/>
          <w:color w:val="auto"/>
        </w:rPr>
      </w:pPr>
    </w:p>
    <w:p>
      <w:pPr>
        <w:ind w:right="340" w:firstLine="449"/>
        <w:spacing w:after="0" w:line="277" w:lineRule="auto"/>
        <w:rPr>
          <w:sz w:val="20"/>
          <w:szCs w:val="20"/>
          <w:color w:val="auto"/>
        </w:rPr>
      </w:pPr>
      <w:r>
        <w:rPr>
          <w:rFonts w:ascii="Arial" w:cs="Arial" w:eastAsia="Arial" w:hAnsi="Arial"/>
          <w:sz w:val="18"/>
          <w:szCs w:val="18"/>
          <w:color w:val="auto"/>
        </w:rPr>
        <w:t>Our platform must integrate with a variety of hardware and software platforms, and we need to continuously modify and enhance our platform to adapt to changes in hardware, software, and browser technologies. 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459"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particular, we have developed our platform to be able to easily integrate with third-party applications, including the applications of software providers that compete with us as well as our partners, through the interaction of APIs. In general, we rely on the providers of such software systems to allow us access to their APIs to enable these integrations. We are typically subject to standard terms and conditions of such providers, which govern the distribution, operation, and fees of such software systems, and which are subject to change by such providers from time to time. Our business will be harmed if any provider of such software systems:</w:t>
      </w:r>
    </w:p>
    <w:p>
      <w:pPr>
        <w:spacing w:after="0" w:line="93" w:lineRule="exact"/>
        <w:rPr>
          <w:sz w:val="20"/>
          <w:szCs w:val="20"/>
          <w:color w:val="auto"/>
        </w:rPr>
      </w:pPr>
    </w:p>
    <w:p>
      <w:pPr>
        <w:ind w:left="1000" w:hanging="54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discontinues or limits our access to its software or APIs;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modifies its terms of service or other policies, including fees charged to, or other restrictions on us, or other application developers;</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how information is accessed by us or our customers;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establishes more favorable relationships with one or more of our competitors; or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develops or otherwise favors its own competitive offerings over our platform.</w:t>
      </w:r>
    </w:p>
    <w:p>
      <w:pPr>
        <w:spacing w:after="0" w:line="225" w:lineRule="exact"/>
        <w:rPr>
          <w:sz w:val="20"/>
          <w:szCs w:val="20"/>
          <w:color w:val="auto"/>
        </w:rPr>
      </w:pPr>
    </w:p>
    <w:p>
      <w:pPr>
        <w:ind w:right="340" w:firstLine="449"/>
        <w:spacing w:after="0" w:line="291" w:lineRule="auto"/>
        <w:rPr>
          <w:sz w:val="20"/>
          <w:szCs w:val="20"/>
          <w:color w:val="auto"/>
        </w:rPr>
      </w:pPr>
      <w:r>
        <w:rPr>
          <w:rFonts w:ascii="Arial" w:cs="Arial" w:eastAsia="Arial" w:hAnsi="Arial"/>
          <w:sz w:val="16"/>
          <w:szCs w:val="16"/>
          <w:color w:val="auto"/>
        </w:rPr>
        <w:t>Third-party services and products are constantly evolving, and we may not be able to modify our platform to assure its compatibility with that of other third parties. In addition, some of our competitors may be able to disrupt the operations or compatibility of our platform with their products or services, or exert strong business influence on our ability to, and terms on which we, operate our platform.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results of operations, and financial condition would be harmed. If we are not permitted or able to integrate with these and other third-party applications in the future, our business, results of operations, and financial condition would be harmed.</w:t>
      </w:r>
    </w:p>
    <w:p>
      <w:pPr>
        <w:spacing w:after="0" w:line="166" w:lineRule="exact"/>
        <w:rPr>
          <w:sz w:val="20"/>
          <w:szCs w:val="20"/>
          <w:color w:val="auto"/>
        </w:rPr>
      </w:pPr>
    </w:p>
    <w:p>
      <w:pPr>
        <w:ind w:right="40" w:firstLine="449"/>
        <w:spacing w:after="0" w:line="269" w:lineRule="auto"/>
        <w:rPr>
          <w:sz w:val="20"/>
          <w:szCs w:val="20"/>
          <w:color w:val="auto"/>
        </w:rPr>
      </w:pPr>
      <w:r>
        <w:rPr>
          <w:rFonts w:ascii="Arial" w:cs="Arial" w:eastAsia="Arial" w:hAnsi="Arial"/>
          <w:sz w:val="17"/>
          <w:szCs w:val="17"/>
          <w:color w:val="auto"/>
        </w:rPr>
        <w:t>Further, our platform includes a mobile application to enable individuals, teams, and organizations to access our platform through their mobile devices. If our mobile application does not perform well, our business will suffer. In addition, our platform interoperates with servers, mobile devices, and software applications predominantly through the use of protocols, many of which are created and maintained by third parties. We, therefore, depend on the interoperability of our platform with such third-party services, mobile devices, and mobile operating systems, as well as cloud-enabled hardware, software, networking, browsers, database technologies, and protocols that we do not control. The loss of interoperability, whether due to actions of third parties or otherwise, and any changes in technologies that degrade the functionality of our platform or give preferential treatment to competitive services could adversely affect adoption and usage of our platform. Also, we may not be successful in developing or maintaining relationships with key participants in the mobile industry or in ensuring that Asana operates effectively with a range of operating systems, networks, devices, browsers, protocols, and standards. If we are unable to effectively anticipate and manage these risks, or if it is difficult for customers to access and use our platform, our business, results of operations, and financial condition may be harmed.</w:t>
      </w:r>
    </w:p>
    <w:p>
      <w:pPr>
        <w:spacing w:after="0" w:line="29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culture has contributed to our success, and if we cannot maintain this culture as we grow, we could lose the high employee engagement fostered by our culture, which could harm our business.</w:t>
      </w:r>
    </w:p>
    <w:p>
      <w:pPr>
        <w:spacing w:after="0" w:line="62" w:lineRule="exact"/>
        <w:rPr>
          <w:sz w:val="20"/>
          <w:szCs w:val="20"/>
          <w:color w:val="auto"/>
        </w:rPr>
      </w:pPr>
    </w:p>
    <w:p>
      <w:pPr>
        <w:ind w:right="80" w:firstLine="449"/>
        <w:spacing w:after="0" w:line="275" w:lineRule="auto"/>
        <w:rPr>
          <w:sz w:val="20"/>
          <w:szCs w:val="20"/>
          <w:color w:val="auto"/>
        </w:rPr>
      </w:pPr>
      <w:r>
        <w:rPr>
          <w:rFonts w:ascii="Arial" w:cs="Arial" w:eastAsia="Arial" w:hAnsi="Arial"/>
          <w:sz w:val="17"/>
          <w:szCs w:val="17"/>
          <w:color w:val="auto"/>
        </w:rPr>
        <w:t>We believe that a critical component of our success has been our culture. We have invested substantial time and resources in building out our team with an emphasis on shared values and a commitment to diversity and inclusion. As we continue to grow and develop the infrastructure associated with being a public company, we will need to maintain our culture among a larger number of employees dispersed in various geographic regions. Any failure to preserve our culture could negatively affect our future success, including our ability to retain and recruit personnel and to effectively focus on and pursue our mission to help humanity by enabling the world’s teams to work together effortlessly.</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320" w:top="459" w:right="3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business depends on a strong brand, and if we are not able to maintain and enhance our brand, our ability to expand our base of customers may be impaired, and our business and results of operations will be harmed.</w:t>
      </w:r>
    </w:p>
    <w:p>
      <w:pPr>
        <w:spacing w:after="0" w:line="62" w:lineRule="exact"/>
        <w:rPr>
          <w:sz w:val="20"/>
          <w:szCs w:val="20"/>
          <w:color w:val="auto"/>
        </w:rPr>
      </w:pPr>
    </w:p>
    <w:p>
      <w:pPr>
        <w:ind w:right="80" w:firstLine="449"/>
        <w:spacing w:after="0" w:line="291" w:lineRule="auto"/>
        <w:rPr>
          <w:sz w:val="20"/>
          <w:szCs w:val="20"/>
          <w:color w:val="auto"/>
        </w:rPr>
      </w:pPr>
      <w:r>
        <w:rPr>
          <w:rFonts w:ascii="Arial" w:cs="Arial" w:eastAsia="Arial" w:hAnsi="Arial"/>
          <w:sz w:val="16"/>
          <w:szCs w:val="16"/>
          <w:color w:val="auto"/>
        </w:rPr>
        <w:t>We believe that the brand identity that we have developed has significantly contributed to the success of our business. We also believe that maintaining and enhancing the “Asana” brand is critical to expanding our customer base and establishing and maintaining relationships with partners. Successful promotion of our brand will depend largely on the effectiveness of our marketing efforts and on our ability to ensure that our platform remains high-quality, reliable, and useful at competitive prices, as well as with respect to our free and trial versions. Maintaining and enhancing our brand may require us to make substantial investments and these investments may not be successful. If we fail to promote and maintain the “Asana” brand, or if we incur excessive expenses in this effort, our business, results of operations, and financial condition would be adversely affected. We anticipate that, as our market becomes increasingly competitive, maintaining and enhancing our brand may become more difficult and expensive.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offer high-quality customer support, our business and reputation will suffer.</w:t>
      </w:r>
    </w:p>
    <w:p>
      <w:pPr>
        <w:spacing w:after="0" w:line="117"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color w:val="auto"/>
        </w:rPr>
        <w:t>While we have designed our platform to be easy to adopt and use, once individuals, teams, and organizations begin using Asana, they rely on our support services to resolve any related issues. High-quality user and customer education and customer experience have been key to the adoption of our platform and for the conversion of individuals, teams, and organizations on our free and trial versions into paying customers. The importance of high-quality customer experience will increase as we expand our business and pursue new customers. For instance, if we do not help organizations on our platform quickly resolve issues and provide effective ongoing user experience at the individual, team, and organizational levels, our ability to convert organizations on our free and trial versions into paying customers will suffer, and our reputation with existing or potential customers will be harmed. Further, our sales are highly dependent on our business reputation and on positive recommendations from existing individuals, teams, and organizations on our platform. Any failure to maintain high-quality customer experience, or a market perception that we do not maintain high-quality customer experience, could harm our reputation, our ability to sell our platform to existing and prospective customers, and our business, results of operations, and financial condition.</w:t>
      </w:r>
    </w:p>
    <w:p>
      <w:pPr>
        <w:spacing w:after="0" w:line="194" w:lineRule="exact"/>
        <w:rPr>
          <w:sz w:val="20"/>
          <w:szCs w:val="20"/>
          <w:color w:val="auto"/>
        </w:rPr>
      </w:pPr>
    </w:p>
    <w:p>
      <w:pPr>
        <w:ind w:right="40" w:firstLine="449"/>
        <w:spacing w:after="0" w:line="301" w:lineRule="auto"/>
        <w:rPr>
          <w:sz w:val="20"/>
          <w:szCs w:val="20"/>
          <w:color w:val="auto"/>
        </w:rPr>
      </w:pPr>
      <w:r>
        <w:rPr>
          <w:rFonts w:ascii="Arial" w:cs="Arial" w:eastAsia="Arial" w:hAnsi="Arial"/>
          <w:sz w:val="16"/>
          <w:szCs w:val="16"/>
          <w:color w:val="auto"/>
        </w:rPr>
        <w:t>In addition, as we continue to grow our operations and reach a larger and increasingly global customer and user base, we need to be able to provide efficient customer support that meets the needs of organizations on our platform globally at scale. The number of organizations on our platform has grown significantly, which puts additional pressure on our support organization. We will need to hire additional support personnel to provide efficient product support globally at scale, and if we are unable to provide such support, our business, results of operations, and financial condition would be harmed.</w:t>
      </w:r>
    </w:p>
    <w:p>
      <w:pPr>
        <w:spacing w:after="0" w:line="26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The estimates of market opportunity and forecasts of market growth included in this prospectus may prove to be inaccurate, and even if the market in which we compete achieves the forecasted growth, our business could fail to grow at similar rates, if at all.</w:t>
      </w:r>
    </w:p>
    <w:p>
      <w:pPr>
        <w:spacing w:after="0" w:line="62" w:lineRule="exact"/>
        <w:rPr>
          <w:sz w:val="20"/>
          <w:szCs w:val="20"/>
          <w:color w:val="auto"/>
        </w:rPr>
      </w:pPr>
    </w:p>
    <w:p>
      <w:pPr>
        <w:ind w:right="20" w:firstLine="449"/>
        <w:spacing w:after="0" w:line="271" w:lineRule="auto"/>
        <w:rPr>
          <w:sz w:val="20"/>
          <w:szCs w:val="20"/>
          <w:color w:val="auto"/>
        </w:rPr>
      </w:pPr>
      <w:r>
        <w:rPr>
          <w:rFonts w:ascii="Arial" w:cs="Arial" w:eastAsia="Arial" w:hAnsi="Arial"/>
          <w:sz w:val="17"/>
          <w:szCs w:val="17"/>
          <w:color w:val="auto"/>
        </w:rPr>
        <w:t>Market opportunity estimates and growth forecasts included in this prospectus, including those we have generated ourselves, are subject to significant uncertainty and are based on assumptions and estimates that may not prove to be accurate. Not every organization covered by our market opportunity estimates will necessarily buy work management solutions at all, and some or many of those companies may choose to continue using legacy tools, spreadsheets, email, manual processes, or other tools offered by our competitors. It is impossible to build every product feature that every customer wants, and our competitors may develop and offer features that our platform does not provide. The variables that go into the calculation of our market opportunity are subject to change over time, and there is no guarantee that any particular number or percentage of the organizations covered by our market opportunity estimates will purchase our solutions at all or generate any particular level of revenues for us. Even if the market in which we compete meets the size estimates and growth forecasted in this prospectus,</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60"/>
          </w:cols>
          <w:pgMar w:left="320" w:top="459" w:right="4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our business could fail to grow for a variety of reasons outside of our control, including competition in our industry. If any of these risks materialize, it could adversely affect our results of operations.</w:t>
      </w:r>
    </w:p>
    <w:p>
      <w:pPr>
        <w:spacing w:after="0" w:line="2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rely on third parties maintaining open marketplaces to distribute our mobile application. If such third parties interfere with the distribution of our platform, our business would be adversely affected.</w:t>
      </w:r>
    </w:p>
    <w:p>
      <w:pPr>
        <w:spacing w:after="0" w:line="62" w:lineRule="exact"/>
        <w:rPr>
          <w:sz w:val="20"/>
          <w:szCs w:val="20"/>
          <w:color w:val="auto"/>
        </w:rPr>
      </w:pPr>
    </w:p>
    <w:p>
      <w:pPr>
        <w:ind w:right="20" w:firstLine="449"/>
        <w:spacing w:after="0" w:line="279" w:lineRule="auto"/>
        <w:rPr>
          <w:sz w:val="20"/>
          <w:szCs w:val="20"/>
          <w:color w:val="auto"/>
        </w:rPr>
      </w:pPr>
      <w:r>
        <w:rPr>
          <w:rFonts w:ascii="Arial" w:cs="Arial" w:eastAsia="Arial" w:hAnsi="Arial"/>
          <w:sz w:val="17"/>
          <w:szCs w:val="17"/>
          <w:color w:val="auto"/>
        </w:rPr>
        <w:t>We rely on third parties maintaining open marketplaces, including the Apple App Store and Google Play, which make our mobile application available for download. We cannot assure you that the marketplaces through which we distribute our mobile application will maintain their current structures or that such marketplaces will not charge us fees to list our application for download. We are also dependent on these third-party marketplaces to enable us and our users to timely update our mobile application, and to incorporate new features, integrations, and capabilities.</w:t>
      </w:r>
    </w:p>
    <w:p>
      <w:pPr>
        <w:spacing w:after="0" w:line="171" w:lineRule="exact"/>
        <w:rPr>
          <w:sz w:val="20"/>
          <w:szCs w:val="20"/>
          <w:color w:val="auto"/>
        </w:rPr>
      </w:pPr>
    </w:p>
    <w:p>
      <w:pPr>
        <w:ind w:right="160" w:firstLine="449"/>
        <w:spacing w:after="0" w:line="263" w:lineRule="auto"/>
        <w:rPr>
          <w:sz w:val="20"/>
          <w:szCs w:val="20"/>
          <w:color w:val="auto"/>
        </w:rPr>
      </w:pPr>
      <w:r>
        <w:rPr>
          <w:rFonts w:ascii="Arial" w:cs="Arial" w:eastAsia="Arial" w:hAnsi="Arial"/>
          <w:sz w:val="18"/>
          <w:szCs w:val="18"/>
          <w:color w:val="auto"/>
        </w:rPr>
        <w:t>In addition, Apple Inc. and Google, among others, for competitive or other reasons, could stop allowing or supporting access to our mobile application through their products, could allow access for us only at an unsustainable cost, or could make changes to the terms of access in order to make our mobile application less desirable or harder to access.</w:t>
      </w:r>
    </w:p>
    <w:p>
      <w:pPr>
        <w:spacing w:after="0" w:line="29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rely on traditional web search engines to direct traffic to our website. If our website fails to rank prominently in unpaid search results, traffic to our website could decline and our business would be adversely affected.</w:t>
      </w:r>
    </w:p>
    <w:p>
      <w:pPr>
        <w:spacing w:after="0" w:line="62"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Our success depends in part on our ability to attract users through unpaid Internet search results on traditional web search engines such as Google. The number of users we attract to our website from search engines is due in large part to how and where our website ranks in unpaid search results. These rankings can be affected by a number of factors, many of which are not in our direct control, and they may change frequently. For example, a search engine may change its ranking algorithms, methodologies, or design layouts. As a result, links to our website may not be prominent enough to drive traffic to our website, and we may not know how or otherwise be in a position to influence the results. Any reduction in the number of users directed to our website could reduce our revenues or require us to increase our sales and marketing expenditures.</w:t>
      </w:r>
    </w:p>
    <w:p>
      <w:pPr>
        <w:spacing w:after="0" w:line="28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become subject to intellectual property rights claims and other litigation that are expensive to support, and if resolved adversely, could have a material adverse effect on us.</w:t>
      </w:r>
    </w:p>
    <w:p>
      <w:pPr>
        <w:spacing w:after="0" w:line="62" w:lineRule="exact"/>
        <w:rPr>
          <w:sz w:val="20"/>
          <w:szCs w:val="20"/>
          <w:color w:val="auto"/>
        </w:rPr>
      </w:pPr>
    </w:p>
    <w:p>
      <w:pPr>
        <w:ind w:right="20" w:firstLine="449"/>
        <w:spacing w:after="0" w:line="268" w:lineRule="auto"/>
        <w:rPr>
          <w:sz w:val="20"/>
          <w:szCs w:val="20"/>
          <w:color w:val="auto"/>
        </w:rPr>
      </w:pPr>
      <w:r>
        <w:rPr>
          <w:rFonts w:ascii="Arial" w:cs="Arial" w:eastAsia="Arial" w:hAnsi="Arial"/>
          <w:sz w:val="17"/>
          <w:szCs w:val="17"/>
          <w:color w:val="auto"/>
        </w:rPr>
        <w:t>There is considerable patent and other intellectual property development activity in our industry. Our competitors, as well as a number of other entities, including non-practicing entities and individuals, may own or claim to own intellectual property relating to our industry. As we face increasing competition and our public profile increases, the possibility of intellectual property rights claims against us may also increase. From time to time, our competitors or other third parties have claimed, and may in the future claim, that we are infringing upon, misappropriating, or violating their intellectual property rights, even if we are unaware of the intellectual property rights that such parties may claim cover our platform or some or all of the other technologies we use in our business. The costs of supporting such litigation, regardless of merit, are considerable, and such litigation may divert management and key personnel’s attention and resources, which might seriously harm our business, results of operations, and financial condition. We may be required to settle such litigation on terms that are unfavorable to us. For example, a settlement may require us to obtain a license to continue practices found to be in violation of a third party’s rights, which may not be available on reasonable terms and may significantly increase our operating expenses. A license to continue such practices may not be available to us at all. As a result, we may also be required to develop alternative non-infringing technology or practices or discontinue the practices. The development of alternative non-infringing technology or practices would require significant effort and expense. Similarly, if any litigation to which we may be a party fails to settle and we go to trial, we may be subject to an unfavorable judgment which may not be reversible upon appeal. For example, the terms of a judgment may require us to cease some or all of our operations or require the payment of substantial amounts to</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00"/>
          </w:cols>
          <w:pgMar w:left="320" w:top="459" w:right="3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the other party. Any of these events would cause our business and results of operations to be materially and adversely affected as a result.</w:t>
      </w:r>
    </w:p>
    <w:p>
      <w:pPr>
        <w:spacing w:after="0" w:line="225" w:lineRule="exact"/>
        <w:rPr>
          <w:sz w:val="20"/>
          <w:szCs w:val="20"/>
          <w:color w:val="auto"/>
        </w:rPr>
      </w:pPr>
    </w:p>
    <w:p>
      <w:pPr>
        <w:ind w:right="20" w:firstLine="449"/>
        <w:spacing w:after="0" w:line="272" w:lineRule="auto"/>
        <w:rPr>
          <w:sz w:val="20"/>
          <w:szCs w:val="20"/>
          <w:color w:val="auto"/>
        </w:rPr>
      </w:pPr>
      <w:r>
        <w:rPr>
          <w:rFonts w:ascii="Arial" w:cs="Arial" w:eastAsia="Arial" w:hAnsi="Arial"/>
          <w:sz w:val="17"/>
          <w:szCs w:val="17"/>
          <w:color w:val="auto"/>
        </w:rPr>
        <w:t>We are also frequently required to indemnify our reseller partners and customers in the event of any third-party infringement claims against our customers and third parties who offer our platform, and such indemnification obligations may be excluded from contractual limitation of liability provisions that limit our exposure. These claims may require us to initiate or defend protracted and costly litigation on behalf of our customers and reseller partners, regardless of the merits of these claims. If any of these claims succeed, we may be forced to pay damages on behalf of our customers and reseller partners, may be required to modify our allegedly infringing platform to make it non-infringing, or may be required to obtain licenses for the products used. If we cannot obtain all necessary licenses on commercially reasonable terms, our customers may be forced to stop using our platform, and our reseller partners may be forced to stop selling our platform.</w:t>
      </w:r>
    </w:p>
    <w:p>
      <w:pPr>
        <w:spacing w:after="0" w:line="28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we are unable to protect our intellectual property rights, the value of our brand and other intangible assets may be diminished, and our business may be adversely affected.</w:t>
      </w:r>
    </w:p>
    <w:p>
      <w:pPr>
        <w:spacing w:after="0" w:line="62" w:lineRule="exact"/>
        <w:rPr>
          <w:sz w:val="20"/>
          <w:szCs w:val="20"/>
          <w:color w:val="auto"/>
        </w:rPr>
      </w:pPr>
    </w:p>
    <w:p>
      <w:pPr>
        <w:ind w:right="60" w:firstLine="449"/>
        <w:spacing w:after="0" w:line="269" w:lineRule="auto"/>
        <w:rPr>
          <w:sz w:val="20"/>
          <w:szCs w:val="20"/>
          <w:color w:val="auto"/>
        </w:rPr>
      </w:pPr>
      <w:r>
        <w:rPr>
          <w:rFonts w:ascii="Arial" w:cs="Arial" w:eastAsia="Arial" w:hAnsi="Arial"/>
          <w:sz w:val="17"/>
          <w:szCs w:val="17"/>
          <w:color w:val="auto"/>
        </w:rPr>
        <w:t>Our success is dependent, in part, upon protecting our intellectual property rights and proprietary information. We rely and expect to continue to rely on a combination of trademark, copyright, patent, and trade secret protection laws to protect our intellectual property rights and proprietary information. Additionally, we maintain a policy requiring our employees, consultants, independent contractors, and third parties who are engaged to develop any material intellectual property for us to enter into confidentiality and invention assignment agreements to control access to and use of our proprietary information and to ensure that any intellectual property developed by such employees, contractors, consultants, and other third parties are assigned to us. However, we cannot guarantee that the confidentiality and proprietary agreements or other employee, consultant, or independent contractor agreements we enter into adequately protect our intellectual property rights and other proprietary information. In addition, we cannot guarantee that these agreements will not be breached, that we will have adequate remedies for any breach, or that the applicable counter-parties to such agreements will not assert rights to our intellectual property rights or other proprietary information arising out of these relationships. Furthermore, the steps we have taken and may take in the future may not prevent misappropriation of our proprietary solutions or technologies, particularly with respect to officers and employees who are no longer employed by us.</w:t>
      </w:r>
    </w:p>
    <w:p>
      <w:pPr>
        <w:spacing w:after="0" w:line="182" w:lineRule="exact"/>
        <w:rPr>
          <w:sz w:val="20"/>
          <w:szCs w:val="20"/>
          <w:color w:val="auto"/>
        </w:rPr>
      </w:pPr>
    </w:p>
    <w:p>
      <w:pPr>
        <w:ind w:right="40" w:firstLine="449"/>
        <w:spacing w:after="0" w:line="291" w:lineRule="auto"/>
        <w:rPr>
          <w:sz w:val="20"/>
          <w:szCs w:val="20"/>
          <w:color w:val="auto"/>
        </w:rPr>
      </w:pPr>
      <w:r>
        <w:rPr>
          <w:rFonts w:ascii="Arial" w:cs="Arial" w:eastAsia="Arial" w:hAnsi="Arial"/>
          <w:sz w:val="16"/>
          <w:szCs w:val="16"/>
          <w:color w:val="auto"/>
        </w:rPr>
        <w:t>Furthermore, third parties may knowingly or unknowingly infringe or circumvent our intellectual property rights, and we may not be able to prevent infringement without incurring substantial expense. Litigation brought to protect and enforce our intellectual property rights would be costly, time-consuming, and distracting to management and key personnel,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If the protection of our intellectual property rights is inadequate to prevent use or misappropriation by third parties, the value of our brand and other intangible assets may be diminished and competitors may be able to more effectively mimic our platform and methods of operations. Any of these events would have a material adverse effect on our business, results of operations, and financial condition.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obtain or maintain the right to use certain of our intellectual property would negatively affect our business.</w:t>
      </w:r>
    </w:p>
    <w:p>
      <w:pPr>
        <w:spacing w:after="0" w:line="11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Our future success and competitive position depends in part upon our ability to obtain or maintain certain intellectual property used in our platform. While we have been issued patents for certain aspects of our intellectual property in the United States and have additional patent applications pending in the United States, we have not applied for patent protection in foreign jurisdictions, and may be unable to obtain patent protection for the technology covered in our patent applications. In addition, we cannot ensure that any of the patent applications will be approved or that the claims allowed on any issued patents will be sufficiently broad to</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459"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protect our technology or platform and provide us with competitive advantages. Furthermore, any issued patents may be challenged, invalidated, or circumvented by third parties.</w:t>
      </w:r>
    </w:p>
    <w:p>
      <w:pPr>
        <w:spacing w:after="0" w:line="170"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Many patent applications in the United States may not be public for a period of time after they are filed, and since publication of discoveries in the scientific or patent literature tends to lag behind actual discoveries by several months, we cannot be certain that we will be the first creator of inventions covered by any patent application we make or that we will be the first to file patent applications on such inventions. Because some patent applications may not be public for a period of time, there is also a risk that we could adopt a technology without knowledge of a pending patent application, which technology would infringe a third-party patent once that patent is issued.</w:t>
      </w:r>
    </w:p>
    <w:p>
      <w:pPr>
        <w:spacing w:after="0" w:line="188" w:lineRule="exact"/>
        <w:rPr>
          <w:sz w:val="20"/>
          <w:szCs w:val="20"/>
          <w:color w:val="auto"/>
        </w:rPr>
      </w:pPr>
    </w:p>
    <w:p>
      <w:pPr>
        <w:ind w:right="80" w:firstLine="449"/>
        <w:spacing w:after="0" w:line="255" w:lineRule="auto"/>
        <w:rPr>
          <w:sz w:val="20"/>
          <w:szCs w:val="20"/>
          <w:color w:val="auto"/>
        </w:rPr>
      </w:pPr>
      <w:r>
        <w:rPr>
          <w:rFonts w:ascii="Arial" w:cs="Arial" w:eastAsia="Arial" w:hAnsi="Arial"/>
          <w:sz w:val="18"/>
          <w:szCs w:val="18"/>
          <w:color w:val="auto"/>
        </w:rPr>
        <w:t>We also rely on unpatented proprietary technology. It is possible that others will independently develop the same or similar technology or otherwise obtain access to our unpatented technology. To protect our trade secrets and other proprietary information, we require employees, consultants, and independent contractors to enter into confidentiality agreements. We cannot assure you that these agreements will provide meaningful protection for our trade secrets, know-how, or other proprietary information in the event of any unauthorized use, misappropriation, or disclosure of such trade secrets, know-how, or other proprietary information. If we are unable to maintain the proprietary nature of our technologies, our business would be materially adversely affected.</w:t>
      </w:r>
    </w:p>
    <w:p>
      <w:pPr>
        <w:spacing w:after="0" w:line="192" w:lineRule="exact"/>
        <w:rPr>
          <w:sz w:val="20"/>
          <w:szCs w:val="20"/>
          <w:color w:val="auto"/>
        </w:rPr>
      </w:pPr>
    </w:p>
    <w:p>
      <w:pPr>
        <w:ind w:firstLine="449"/>
        <w:spacing w:after="0" w:line="289" w:lineRule="auto"/>
        <w:rPr>
          <w:sz w:val="20"/>
          <w:szCs w:val="20"/>
          <w:color w:val="auto"/>
        </w:rPr>
      </w:pPr>
      <w:r>
        <w:rPr>
          <w:rFonts w:ascii="Arial" w:cs="Arial" w:eastAsia="Arial" w:hAnsi="Arial"/>
          <w:sz w:val="16"/>
          <w:szCs w:val="16"/>
          <w:color w:val="auto"/>
        </w:rPr>
        <w:t>We rely on our trademarks, trade names, and brand names to distinguish our solutions from the products of our competitors, and have registered or applied to register many of these trademarks in the United States and certain countries outside the United States. However, occasionally third parties may have already registered identical or similar marks for products or solutions that also address the software market. As we rely in part on brand names and trademark protection to enforce our intellectual property rights, efforts by third parties to limit use of our brand names or trademarks and barriers to the registration of brand names and trademarks in various countries may restrict our ability to promote and maintain a cohesive brand throughout our key markets. There can also be no assurance that pending or future U.S. or foreign trademark applications will be approved in a timely manner or at all, or that such registrations will effectively protect our brand names and trademarks. Third parties may also oppose our trademark applications, or otherwise challenge our use of the trademarks. In the event that our trademarks are successfully challenged, we could be forced to rebrand our platform, which would result in loss of brand recognition and would require us to devote resources to advertising and marketing new brands.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future litigation against us could be costly and time-consuming to defend.</w:t>
      </w:r>
    </w:p>
    <w:p>
      <w:pPr>
        <w:spacing w:after="0" w:line="117"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We have in the past and may in the future become subject to legal proceedings and claims that arise in the ordinary course of business. We could be sued or face regulatory action for defamation, civil rights infringement, negligence, intellectual property rights infringement, invasion of privacy, personal injury, product liability, regulatory compliance, or other legal claims relating to information that is published or made available via our platform. Litigation might result in substantial costs and may divert management and key personnel’s attention and resources, which might seriously harm our business, results of operations, and financial condition.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and could have a material adverse effect on our business, results of operations, and financial condition.</w:t>
      </w:r>
    </w:p>
    <w:p>
      <w:pPr>
        <w:spacing w:after="0" w:line="27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use of “open source” and third-party software could impose unanticipated conditions or restrictions on our ability to commercialize our solutions and could subject us to possible litigation.</w:t>
      </w:r>
    </w:p>
    <w:p>
      <w:pPr>
        <w:spacing w:after="0" w:line="62" w:lineRule="exact"/>
        <w:rPr>
          <w:sz w:val="20"/>
          <w:szCs w:val="20"/>
          <w:color w:val="auto"/>
        </w:rPr>
      </w:pPr>
    </w:p>
    <w:p>
      <w:pPr>
        <w:ind w:right="360" w:firstLine="449"/>
        <w:spacing w:after="0" w:line="277" w:lineRule="auto"/>
        <w:rPr>
          <w:sz w:val="20"/>
          <w:szCs w:val="20"/>
          <w:color w:val="auto"/>
        </w:rPr>
      </w:pPr>
      <w:r>
        <w:rPr>
          <w:rFonts w:ascii="Arial" w:cs="Arial" w:eastAsia="Arial" w:hAnsi="Arial"/>
          <w:sz w:val="18"/>
          <w:szCs w:val="18"/>
          <w:color w:val="auto"/>
        </w:rPr>
        <w:t>A portion of the technologies we use in our platform and mobile application incorporates “open source” software, and we may incorporate open source software in our platform and mobile application in the future.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80"/>
          </w:cols>
          <w:pgMar w:left="320" w:top="459" w:right="3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From time to time, companies that use third-party open source software have faced claims challenging the use of such open source software and their compliance with the terms of the applicable open source license. We may be subject to suits by parties claiming ownership of what we believe to be open source software, or claiming non-compliance with the applicable open source licensing terms. Some open source licenses require end-users who distribute or make available across a network software and services that include open source software to make available all or part of such software, which in some circumstances could include valuable proprietary code, at no cost, or license such code under the terms of the particular open source license. While we employ practices designed to monitor our compliance with the licenses of third-party open source software and protect our valuable proprietary source code, we may inadvertently use third-party open source software in a manner that exposes us to claims of non-compliance with the applicable terms of such license, including claims for infringement of intellectual property rights or for breach of contract. Additionally, if a third-party software provider has incorporated open source software into software that we license from such provider, we could be required to disclose source code that incorporates or is a modification of such licensed software. Furthermore, there is an increasing number of open-source software license types, almost none of which have been tested in a court of law, resulting in a dearth of guidance regarding the proper legal interpretation of such license types. If an author or other third party that distributes open source software that we use or license were to allege that we had not complied with the conditions of the applicable open source license, we could expend substantial time and resources to re-engineer some or all of our software or be required to incur significant legal expenses defending against such allegations and could be subject to significant damages, enjoined from the sale of our platform that contained the open source software, and required to comply with the foregoing conditions, including public release of certain portions of our proprietary source code.</w:t>
      </w:r>
    </w:p>
    <w:p>
      <w:pPr>
        <w:spacing w:after="0" w:line="167" w:lineRule="exact"/>
        <w:rPr>
          <w:sz w:val="20"/>
          <w:szCs w:val="20"/>
          <w:color w:val="auto"/>
        </w:rPr>
      </w:pPr>
    </w:p>
    <w:p>
      <w:pPr>
        <w:jc w:val="both"/>
        <w:ind w:right="100" w:firstLine="449"/>
        <w:spacing w:after="0" w:line="301" w:lineRule="auto"/>
        <w:rPr>
          <w:sz w:val="20"/>
          <w:szCs w:val="20"/>
          <w:color w:val="auto"/>
        </w:rPr>
      </w:pPr>
      <w:r>
        <w:rPr>
          <w:rFonts w:ascii="Arial" w:cs="Arial" w:eastAsia="Arial" w:hAnsi="Arial"/>
          <w:sz w:val="16"/>
          <w:szCs w:val="16"/>
          <w:color w:val="auto"/>
        </w:rPr>
        <w:t>In addition, the use of third-party open source software typically exposes us to greater risks than the use of third-party commercial software because open-source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be harmful to our business, financial condition, or operating results.</w:t>
      </w:r>
    </w:p>
    <w:p>
      <w:pPr>
        <w:spacing w:after="0" w:line="157" w:lineRule="exact"/>
        <w:rPr>
          <w:sz w:val="20"/>
          <w:szCs w:val="20"/>
          <w:color w:val="auto"/>
        </w:rPr>
      </w:pPr>
    </w:p>
    <w:p>
      <w:pPr>
        <w:ind w:right="240" w:firstLine="449"/>
        <w:spacing w:after="0" w:line="293" w:lineRule="auto"/>
        <w:rPr>
          <w:sz w:val="20"/>
          <w:szCs w:val="20"/>
          <w:color w:val="auto"/>
        </w:rPr>
      </w:pPr>
      <w:r>
        <w:rPr>
          <w:rFonts w:ascii="Arial" w:cs="Arial" w:eastAsia="Arial" w:hAnsi="Arial"/>
          <w:sz w:val="16"/>
          <w:szCs w:val="16"/>
          <w:color w:val="auto"/>
        </w:rPr>
        <w:t>We rely on software licensed from third parties to offer our platform. In addition, we may need to obtain future licenses from third parties to use intellectual property rights associated with the development of our platform, which might not be available on acceptable terms, or at all. Any loss of the right to use any third-party software required for the development and maintenance of our platform or mobile application could result in loss of functionality or availability of our platform or mobile application until equivalent technology is either developed by us, or, if available, is identified, obtained, and integrated. Any errors or defects in third-party software could result in errors or a failure of our platform or mobile application. Any of the foregoing would disrupt the distribution and sale of subscriptions to our platform and harm our business, results of operations, and financial condition.</w:t>
      </w:r>
    </w:p>
    <w:p>
      <w:pPr>
        <w:spacing w:after="0" w:line="272" w:lineRule="exact"/>
        <w:rPr>
          <w:sz w:val="20"/>
          <w:szCs w:val="20"/>
          <w:color w:val="auto"/>
        </w:rPr>
      </w:pPr>
    </w:p>
    <w:p>
      <w:pPr>
        <w:spacing w:after="0" w:line="375" w:lineRule="auto"/>
        <w:rPr>
          <w:sz w:val="20"/>
          <w:szCs w:val="20"/>
          <w:color w:val="auto"/>
        </w:rPr>
      </w:pPr>
      <w:r>
        <w:rPr>
          <w:rFonts w:ascii="Arial" w:cs="Arial" w:eastAsia="Arial" w:hAnsi="Arial"/>
          <w:sz w:val="15"/>
          <w:szCs w:val="15"/>
          <w:b w:val="1"/>
          <w:bCs w:val="1"/>
          <w:i w:val="1"/>
          <w:iCs w:val="1"/>
          <w:color w:val="auto"/>
        </w:rPr>
        <w:t>We receive, process, store, and use business and personal information, which subjects us to governmental regulation and other legal obligations related to data protection and security, and our actual or perceived failure to comply with such obligations could harm our business and expose us to liability.</w:t>
      </w:r>
    </w:p>
    <w:p>
      <w:pPr>
        <w:spacing w:after="0" w:line="1" w:lineRule="exact"/>
        <w:rPr>
          <w:sz w:val="20"/>
          <w:szCs w:val="20"/>
          <w:color w:val="auto"/>
        </w:rPr>
      </w:pPr>
    </w:p>
    <w:p>
      <w:pPr>
        <w:ind w:right="40" w:firstLine="449"/>
        <w:spacing w:after="0" w:line="272" w:lineRule="auto"/>
        <w:rPr>
          <w:sz w:val="20"/>
          <w:szCs w:val="20"/>
          <w:color w:val="auto"/>
        </w:rPr>
      </w:pPr>
      <w:r>
        <w:rPr>
          <w:rFonts w:ascii="Arial" w:cs="Arial" w:eastAsia="Arial" w:hAnsi="Arial"/>
          <w:sz w:val="17"/>
          <w:szCs w:val="17"/>
          <w:color w:val="auto"/>
        </w:rPr>
        <w:t>We receive, process, store, and use business and personal information belonging to our users and customers. There are numerous federal, state, local, and foreign laws and regulations regarding data protection and the storing, sharing, use, processing, disclosure, and protection of business and personal information. These laws continue to evolve in scope and are subject to differing interpretations, and may contain inconsistencies or pose conflicts with other legal requirements. We seek to comply with applicable laws, regulations, policies, legal obligations, and industry standards and have developed privacy policies, data processing addenda, and internal privacy procedures to reflect such compliance. However, it is possible that these obligations may be interpreted and applied in a manner that is inconsistent from one jurisdiction to another and may conflict with other rules or our practices. Failure or perceived failure by us to comply with our privacy policies, privacy-related obligations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320" w:top="459" w:right="3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to users, customers, or other third parties, or our privacy-related legal obligations, or any data compromise that results in the unauthorized release or transfer of business or personal information or other user or customer data, may result in domestic or foreign governmental enforcement actions, fines, litigation, or public statements against us by our users, customers, consumers, regulators, consumer advocacy groups, or others, which would have an adverse effect on our reputation and business. We could also incur significant costs investigating and defending such claims and, if we are found liable, significant damages.</w:t>
      </w:r>
    </w:p>
    <w:p>
      <w:pPr>
        <w:spacing w:after="0" w:line="188" w:lineRule="exact"/>
        <w:rPr>
          <w:sz w:val="20"/>
          <w:szCs w:val="20"/>
          <w:color w:val="auto"/>
        </w:rPr>
      </w:pPr>
    </w:p>
    <w:p>
      <w:pPr>
        <w:ind w:right="20" w:firstLine="449"/>
        <w:spacing w:after="0" w:line="283" w:lineRule="auto"/>
        <w:rPr>
          <w:sz w:val="20"/>
          <w:szCs w:val="20"/>
          <w:color w:val="auto"/>
        </w:rPr>
      </w:pPr>
      <w:r>
        <w:rPr>
          <w:rFonts w:ascii="Arial" w:cs="Arial" w:eastAsia="Arial" w:hAnsi="Arial"/>
          <w:sz w:val="16"/>
          <w:szCs w:val="16"/>
          <w:color w:val="auto"/>
        </w:rPr>
        <w:t>In addition, data protection regulation is an area of increased focus and changing requirements. Any significant change in applicable laws, regulations, or industry practices regarding the use or disclosure of our users’ or customers’ data, or regarding the manner in which the express or implied consent of users or customers for the use and disclosure of such data is obtained, could require us to modify our platform, possibly in a material manner, and may limit our ability to develop new services and features that make use of the data that our users and customers voluntarily share. For example, the General Data Protection Regulation 2016/679, or GDPR, which came into effect in the European Union in May 2018 and superseded prior E.U. data protection legislation, imposes more stringent data protection requirements and provides for greater penalties for noncompliance. The GDPR enhances data protection obligations for processors and controllers of personal information, including, for example, expanded disclosures of requirements, limitations on retention of personal information, mandatory data breach notification requirements, and additional obligations. Non-compliance with the GDPR can trigger fines of up to the greater of €20 million or 4% of our global revenues. While we instituted a GDPR compliance strategy and program that we continue to evaluate and improve as our platform changes and expands, we still do not know how E.U. regulators will interpret or enforce many aspects of</w:t>
      </w:r>
    </w:p>
    <w:p>
      <w:pPr>
        <w:spacing w:after="0" w:line="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GDPR, and some regulators may do so in an inconsistent manner, making such a prediction even more difficult. Further, the United Kingdom has initiated the formal process to leave the European Union, creating uncertainty with regard to the regulation of data protection in the United Kingdom. While the United Kingdom has committed to maintaining data protection laws and regulations designed to be consistent with the GDPR, it remains unclear how data protection law in the United Kingdom will continue to develop once a formal exit occurs, and how data transfers to and from the United Kingdom will be regulated.</w:t>
      </w:r>
    </w:p>
    <w:p>
      <w:pPr>
        <w:spacing w:after="0" w:line="191"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Similarly, there are a number of legislative proposals in the United States, at both the federal and state level, and in the European Union and more globally, that could impose new obligations in areas affecting our business, such as e-commerce and other related legislation or liability for copyright infringement by third parties. In addition, some countries are considering or have passed legislation implementing data protection requirements or requiring local storage and processing of data or similar requirements that could increase the cost and complexity of delivering our platform, particularly as we expand our operations internationally. If we are unable to develop and offer products that meet legal requirements or help our users and customers meet their obligations under the laws or regulations relating to privacy, data protection, or information security, or if we violate or are perceived to violate any laws, regulations, or other obligations relating to privacy, data protection, or information security, we may experience reduced demand for our platform, harm to our reputation, and become subject to investigations, claims, and other remedies, which would expose us to significant fines, penalties, and other damages, all of which would harm our business. Further, given the breadth and depth of changes in global data protection obligations, compliance has caused us to expend significant resources, and such expenditures are likely to continue into the future as we continue our compliance efforts and respond to new interpretations and enforcement actions.</w:t>
      </w:r>
    </w:p>
    <w:p>
      <w:pPr>
        <w:spacing w:after="0" w:line="182" w:lineRule="exact"/>
        <w:rPr>
          <w:sz w:val="20"/>
          <w:szCs w:val="20"/>
          <w:color w:val="auto"/>
        </w:rPr>
      </w:pPr>
    </w:p>
    <w:p>
      <w:pPr>
        <w:ind w:right="40" w:firstLine="449"/>
        <w:spacing w:after="0" w:line="293" w:lineRule="auto"/>
        <w:rPr>
          <w:sz w:val="20"/>
          <w:szCs w:val="20"/>
          <w:color w:val="auto"/>
        </w:rPr>
      </w:pPr>
      <w:r>
        <w:rPr>
          <w:rFonts w:ascii="Arial" w:cs="Arial" w:eastAsia="Arial" w:hAnsi="Arial"/>
          <w:sz w:val="16"/>
          <w:szCs w:val="16"/>
          <w:color w:val="auto"/>
        </w:rPr>
        <w:t>Data protection legislation is also becoming increasingly common in the United States at both the federal and state level. For example, the California Consumer Privacy Act of 2018, or the CCPA, came into effect on January 1, 2020. The CCPA requires companies that process information on California residents to make new disclosures to consumers about their data collection, use, and sharing practices, allows consumers to opt out of certain data sharing with third parties and exercise certain individual rights regarding their personal information, provides a new cause of action for data breaches, and provides for penalties for noncompliance of up to $7,500 per violation. While we are positioned as a “service provider” under the CCPA with respect to most of our data activities, have conducted a CCPA compliance review process, and do not currently share data with third parties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320" w:top="459" w:right="3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a way that would be currently considered a “sale” under the CCPA, regulations from the California attorney general’s office on the specific requirements of the CCPA are still in draft form and compliance with the law remains a moving target. It also remains unclear how stringent the California attorney general’s office will be in enforcing the law, how much private litigation will ensue under the data breach private right of action, and whether existing amendments that are favorable to us that exclude business to business information and employee information from certain of the CCPA’s requirements will remain in effect after January 1, 2021, which would potentially result in additional compliance obligations. Similar laws have been proposed in other states and at the federal level, and if passed, such laws may have potentially conflicting requirements that would make compliance challenging. Additionally, the Federal Trade Commission and many state attorneys general continue to enforce federal and state consumer protection laws against companies for online collection, use, dissemination, and security practices that appear to be unfair or deceptive. We cannot yet determine the impact that future laws, regulations, and standards may have on our business.</w:t>
      </w:r>
    </w:p>
    <w:p>
      <w:pPr>
        <w:spacing w:after="0" w:line="28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are subject to anti-corruption, anti-bribery, and similar laws, and our failure to comply with these laws could subject us to criminal penalties or significant fines and harm our business and reputation.</w:t>
      </w:r>
    </w:p>
    <w:p>
      <w:pPr>
        <w:spacing w:after="0" w:line="62" w:lineRule="exact"/>
        <w:rPr>
          <w:sz w:val="20"/>
          <w:szCs w:val="20"/>
          <w:color w:val="auto"/>
        </w:rPr>
      </w:pPr>
    </w:p>
    <w:p>
      <w:pPr>
        <w:ind w:right="40" w:firstLine="449"/>
        <w:spacing w:after="0" w:line="290" w:lineRule="auto"/>
        <w:rPr>
          <w:sz w:val="20"/>
          <w:szCs w:val="20"/>
          <w:color w:val="auto"/>
        </w:rPr>
      </w:pPr>
      <w:r>
        <w:rPr>
          <w:rFonts w:ascii="Arial" w:cs="Arial" w:eastAsia="Arial" w:hAnsi="Arial"/>
          <w:sz w:val="16"/>
          <w:szCs w:val="16"/>
          <w:color w:val="auto"/>
        </w:rPr>
        <w:t>We are subject to anti-corruption and anti-bribery and similar laws, such as the U.S. Foreign Corrupt Practices Act of 1977, as amended, or the FCPA, the U.S. domestic bribery statute contained in 18 U.S.C. § 201, U.S. Travel Act, the USA PATRIOT Act, the U.K. Bribery Act 2010, and other anti-corruption, anti-bribery, and anti-money laundering laws in countries in which we conduct activities. Anti-corruption and anti-bribery laws have been enforced aggressively in recent years and are interpreted broadly and prohibit companies and their employees and agents from promising, authorizing, making, or offering improper payments or other benefits to government officials and others in the private sector. As we increase our international sales and business, our risks under these laws may increase. Noncompliance with these laws could subject us to investigations, sanctions, settlements, prosecution, other enforcement actions, disgorgement of profits, significant fines, damages, other civil and criminal penalties or injunctions, adverse media coverage, and other consequences. Any investigations, actions, or sanctions could harm our business, results of operations, and financial condition.</w:t>
      </w:r>
    </w:p>
    <w:p>
      <w:pPr>
        <w:spacing w:after="0" w:line="27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are subject to various export, import, and trade and economic sanction laws and regulations controls that could impair our ability to compete in international markets and subject us to liability for noncompliance.</w:t>
      </w:r>
    </w:p>
    <w:p>
      <w:pPr>
        <w:spacing w:after="0" w:line="62"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Our business activities are subject to various export, import, and trade and economic sanction laws and regulations, including, among others, the U.S. Commerce Department’s Export Administration Regulations and economic and trade sanctions regulations maintained by the U.S. Department of the Treasury’s Office of Foreign Assets Control, which we refer to collectively as Trade Controls. Trade Controls may prohibit or restrict the sale or supply of certain products, including encryption items and other technology, and services to certain governments, persons, entities, countries, and territories, including those that are the target of comprehensive sanctions. We incorporate encryption technology into our platform, which may subject its export outside of the United States to various export authorizations requirements, including licensing, compliance with license exceptions, or other appropriate government authorization, including the filing of an encryption classification request or self-classification report with the U.S. Commerce Department. In addition, various other countries regulate the import and export of certain encryption and other technology, including through import permitting and licensing requirements, and have enacted laws that could limit our ability to distribute our platform or could limit the ability of organizations to use our platform in those countries.</w:t>
      </w:r>
    </w:p>
    <w:p>
      <w:pPr>
        <w:spacing w:after="0" w:line="185" w:lineRule="exact"/>
        <w:rPr>
          <w:sz w:val="20"/>
          <w:szCs w:val="20"/>
          <w:color w:val="auto"/>
        </w:rPr>
      </w:pPr>
    </w:p>
    <w:p>
      <w:pPr>
        <w:ind w:right="60" w:firstLine="449"/>
        <w:spacing w:after="0" w:line="296" w:lineRule="auto"/>
        <w:rPr>
          <w:sz w:val="20"/>
          <w:szCs w:val="20"/>
          <w:color w:val="auto"/>
        </w:rPr>
      </w:pPr>
      <w:r>
        <w:rPr>
          <w:rFonts w:ascii="Arial" w:cs="Arial" w:eastAsia="Arial" w:hAnsi="Arial"/>
          <w:sz w:val="16"/>
          <w:szCs w:val="16"/>
          <w:color w:val="auto"/>
        </w:rPr>
        <w:t>Until recently, we did not have a comprehensive Trade Controls compliance program, and our platform may have been accessed by users in certain sanctioned countries in violation of Trade Controls. While we continue to review and assess the facts and circumstances surrounding any unauthorized access, we are simultaneously working to implement new controls designed to assist in our compliance with applicable Trade Controls. These controls include the implementation of IP address blocking functionality, screenings of our users against government lists of restricted and prohibited persons, and the development of a global Trade Controls policy. Although we seek to conduct our business in full compliance with Trade Controls, we cannot guarantee</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320" w:top="459" w:right="3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that these mechanisms will be fully effective. Failure to comply could subject us and responsible employees to civil or criminal penalties, government investigation, loss of export privileges, and reputational harm. Further, obtaining the necessary authorizations, including any required licenses, for a particular use of our platform may be time-consuming, is not guaranteed, and may result in the delay or loss of sales opportunities. Furthermore, if our reseller partners fail to obtain required import, export, or re-export licenses or permits, this could result in a violation of law by us, and we may also suffer reputational harm and other negative consequences, including government investigations and penalties.</w:t>
      </w:r>
    </w:p>
    <w:p>
      <w:pPr>
        <w:spacing w:after="0" w:line="176"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In addition, changes in our platform, or future changes in Trade Controls could result in our inability to provide our platform to certain customers or decreased use of our platform by existing or potential customers with international operations. Any decreased use of our platform or mobile application or increased limitations on our ability to export or sell our platform and mobile application would adversely affect our business, results of operations, and financial condition.</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to customers outside the United States and our international operations expose us to risks inherent in international sales and operations.</w:t>
      </w:r>
    </w:p>
    <w:p>
      <w:pPr>
        <w:spacing w:after="0" w:line="140"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For fiscal 2020, % of our revenues were generated from customers outside the United States. We have operations in Dublin, London, Munich, Reykjavik, Sydney, Tokyo, and Vancouver, in addition to New York and San Francisco. Operating in international markets requires significant resources and management attention and subjects us to regulatory, economic, and political risks that are different from those in the United States. In addition, we will face risks in doing business internationally that could adversely affect our business and results of operations, including:</w:t>
      </w:r>
    </w:p>
    <w:p>
      <w:pPr>
        <w:spacing w:after="0" w:line="77" w:lineRule="exact"/>
        <w:rPr>
          <w:sz w:val="20"/>
          <w:szCs w:val="20"/>
          <w:color w:val="auto"/>
        </w:rPr>
      </w:pPr>
    </w:p>
    <w:p>
      <w:pPr>
        <w:ind w:left="1000" w:hanging="547"/>
        <w:spacing w:after="0"/>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need to localize and adapt our platform for specific countries, including translation into foreign languages and associated expenses;</w:t>
      </w:r>
    </w:p>
    <w:p>
      <w:pPr>
        <w:spacing w:after="0" w:line="142" w:lineRule="exact"/>
        <w:rPr>
          <w:rFonts w:ascii="Arial" w:cs="Arial" w:eastAsia="Arial" w:hAnsi="Arial"/>
          <w:sz w:val="17"/>
          <w:szCs w:val="17"/>
          <w:color w:val="auto"/>
        </w:rPr>
      </w:pPr>
    </w:p>
    <w:p>
      <w:pPr>
        <w:ind w:left="1000" w:right="140" w:hanging="547"/>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data privacy laws that impose different and potentially conflicting obligations with respect to how personal data is processed or require that customer data be stored in a designated territory;</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and other delays and difficulties in setting up foreign operations;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different pricing environments, longer sales cycles, longer accounts receivable payment cycles, and collections issues;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new and different sources of competition;</w:t>
      </w:r>
    </w:p>
    <w:p>
      <w:pPr>
        <w:spacing w:after="0" w:line="130" w:lineRule="exact"/>
        <w:rPr>
          <w:rFonts w:ascii="Arial" w:cs="Arial" w:eastAsia="Arial" w:hAnsi="Arial"/>
          <w:sz w:val="18"/>
          <w:szCs w:val="18"/>
          <w:color w:val="auto"/>
        </w:rPr>
      </w:pPr>
    </w:p>
    <w:p>
      <w:pPr>
        <w:ind w:left="1000" w:right="180" w:hanging="547"/>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weaker protection for intellectual property and other legal rights than in the United States and practical difficulties in enforcing intellectual property and other rights outside of the United States;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laws and business practices favoring local competitors;</w:t>
      </w:r>
    </w:p>
    <w:p>
      <w:pPr>
        <w:spacing w:after="0" w:line="130" w:lineRule="exact"/>
        <w:rPr>
          <w:rFonts w:ascii="Arial" w:cs="Arial" w:eastAsia="Arial" w:hAnsi="Arial"/>
          <w:sz w:val="18"/>
          <w:szCs w:val="18"/>
          <w:color w:val="auto"/>
        </w:rPr>
      </w:pPr>
    </w:p>
    <w:p>
      <w:pPr>
        <w:ind w:left="1000" w:right="600" w:hanging="547"/>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compliance challenges related to the complexity of multiple, conflicting, and changing governmental laws and regulations, including employment, tax, privacy, and data protection laws and regulations;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declines in the values of foreign currencies relative to the U.S. dollar;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on the transfer of funds;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and potential outcomes of any claims or litigation;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future accounting pronouncements and changes in accounting policies;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tax laws or tax regulations;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regional and local economic and political conditions.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80"/>
          </w:cols>
          <w:pgMar w:left="320" w:top="459" w:right="3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As we continue to expand our business globally, our success will depend, in large part, on our ability to anticipate and effectively manage these risks. These factors and others could harm our ability to increase international revenues and, consequently, would materially impact our business and results of operations. The expansion of our existing international operations and entry into additional international markets will require significant management attention and financial resources. Our failure to successfully manage our international operations and the associated risks effectively could limit the future growth of our business.</w:t>
      </w:r>
    </w:p>
    <w:p>
      <w:pPr>
        <w:spacing w:after="0" w:line="29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we experience excessive fraudulent activity, we could incur substantial costs and lose the right to accept credit cards for payment, which could cause our customer base to decline significantly.</w:t>
      </w:r>
    </w:p>
    <w:p>
      <w:pPr>
        <w:spacing w:after="0" w:line="62" w:lineRule="exact"/>
        <w:rPr>
          <w:sz w:val="20"/>
          <w:szCs w:val="20"/>
          <w:color w:val="auto"/>
        </w:rPr>
      </w:pPr>
    </w:p>
    <w:p>
      <w:pPr>
        <w:ind w:right="80" w:firstLine="449"/>
        <w:spacing w:after="0" w:line="288" w:lineRule="auto"/>
        <w:rPr>
          <w:sz w:val="20"/>
          <w:szCs w:val="20"/>
          <w:color w:val="auto"/>
        </w:rPr>
      </w:pPr>
      <w:r>
        <w:rPr>
          <w:rFonts w:ascii="Arial" w:cs="Arial" w:eastAsia="Arial" w:hAnsi="Arial"/>
          <w:sz w:val="16"/>
          <w:szCs w:val="16"/>
          <w:color w:val="auto"/>
        </w:rPr>
        <w:t>A large portion of our customers authorize us to bill their credit card accounts through our third-party payment processing partners for our paid subscription plans. If customers pay for their subscription plans with stolen credit cards, we could incur substantial third-party vendor costs for which we may not be reimbursed. Further, our customers provide us with credit card billing information online, and we do not review the physical credit cards used in these transactions, which increases our risk of exposure to fraudulent activity. We also incur charges, which we refer to as chargebacks, from the credit card companies for claims that the customer did not authorize the credit card transaction for subscription plans, something that we have experienced in the past. If the number of claims of unauthorized credit card transactions becomes excessive, we could be assessed substantial fines for excess chargebacks, and we could lose the right to accept credit cards for payment. In addition, credit card issuers may change merchant standards, including data protection and documentation standards, required to utilize their services from time to time. Our third-party payment processing partners must also maintain compliance with current and future merchant standards to accept credit cards as payment for our paid subscription plans. Substantial losses due to fraud or our inability to accept credit card payments would cause our customer base to significantly decrease and would harm our business.</w:t>
      </w:r>
    </w:p>
    <w:p>
      <w:pPr>
        <w:spacing w:after="0" w:line="27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may engage in merger and acquisition activities, which would require significant management attention, disrupt our business, dilute stockholder value, and adversely affect our business, results of operations, and financial condition.</w:t>
      </w:r>
    </w:p>
    <w:p>
      <w:pPr>
        <w:spacing w:after="0" w:line="62" w:lineRule="exact"/>
        <w:rPr>
          <w:sz w:val="20"/>
          <w:szCs w:val="20"/>
          <w:color w:val="auto"/>
        </w:rPr>
      </w:pPr>
    </w:p>
    <w:p>
      <w:pPr>
        <w:ind w:right="100" w:firstLine="449"/>
        <w:spacing w:after="0" w:line="270" w:lineRule="auto"/>
        <w:rPr>
          <w:sz w:val="20"/>
          <w:szCs w:val="20"/>
          <w:color w:val="auto"/>
        </w:rPr>
      </w:pPr>
      <w:r>
        <w:rPr>
          <w:rFonts w:ascii="Arial" w:cs="Arial" w:eastAsia="Arial" w:hAnsi="Arial"/>
          <w:sz w:val="17"/>
          <w:szCs w:val="17"/>
          <w:color w:val="auto"/>
        </w:rPr>
        <w:t>As part of our business strategy to expand our platform and grow our business in response to changing technologies, customer demand, and competitive pressures, we may in the future make investments or acquisitions in other companies, products, or technologies. The identification of suitable acquisition candidates can be difficult, time-consuming, and costly, and we may not be able to complete acquisitions on favorable terms, if at all. If we do complete acquisitions, we may not ultimately strengthen our competitive position or achieve the goals of such acquisition, and any acquisitions we complete could be viewed negatively by customers or investors. We may encounter difficult or unforeseen expenditures in integrating an acquisition, particularly if we cannot retain the key personnel of the acquired company. Existing and potential customers may also delay or reduce their use of our platform due to a concern that the acquisition may decrease effectiveness of our platform (including any newly acquired product). In addition, if we fail to successfully integrate such acquisitions, or the assets, technologies, or personnel associated with such acquisitions, into our company, the business and results of operations of the combined company would be adversely affected.</w:t>
      </w:r>
    </w:p>
    <w:p>
      <w:pPr>
        <w:spacing w:after="0" w:line="181"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Acquisitions may disrupt our ongoing operations, divert management from their primary responsibilities, subject us to additional liabilities, increase our expenses, subject us to increased regulatory requirements, cause adverse tax consequences or unfavorable accounting treatment, expose us to claims and disputes by stockholders and third parties, and adversely impact our business, financial condition, and results of operations. We may not successfully evaluate or utilize the acquired technology and accurately forecast the financial impact of an acquisition transaction, including accounting charges. We may have to pay cash for any such acquisition which would limit other potential uses for our cash. If we incur debt to fund any such acquisition, such debt may subject us to material restrictions in our ability to conduct our business, result in increased fixed obligations, and subject us to covenants or other restrictions that would decrease our operational flexibility and impede our ability to manage our operations. If we issue a significant amount of equity securities in connection with future acquisitions, existing stockholders’ ownership would be diluted.</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320" w:top="459" w:right="3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additional capital, and we cannot be sure that additional financing will be available.</w:t>
      </w:r>
    </w:p>
    <w:p>
      <w:pPr>
        <w:spacing w:after="0" w:line="117" w:lineRule="exact"/>
        <w:rPr>
          <w:sz w:val="20"/>
          <w:szCs w:val="20"/>
          <w:color w:val="auto"/>
        </w:rPr>
      </w:pPr>
    </w:p>
    <w:p>
      <w:pPr>
        <w:ind w:firstLine="449"/>
        <w:spacing w:after="0" w:line="289" w:lineRule="auto"/>
        <w:rPr>
          <w:sz w:val="20"/>
          <w:szCs w:val="20"/>
          <w:color w:val="auto"/>
        </w:rPr>
      </w:pPr>
      <w:r>
        <w:rPr>
          <w:rFonts w:ascii="Arial" w:cs="Arial" w:eastAsia="Arial" w:hAnsi="Arial"/>
          <w:sz w:val="16"/>
          <w:szCs w:val="16"/>
          <w:color w:val="auto"/>
        </w:rPr>
        <w:t>Historically, we have financed our operations and capital expenditures primarily through sales of our capital stock and debt securities that are convertible into our capital stock. In the future, we may raise additional capital through additional debt or equity financings to support our business growth, to respond to business opportunities, challenges, or unforeseen circumstances, or for other reasons. On an ongoing basis, we are evaluating sources of financing and may raise additional capital in the future. Our ability to obtain additional capital will depend on our development efforts, business plans, investor demand, operating performance, the condition of the capital markets, and other factors. We cannot assure you that additional financing will be available to us on favorable terms when required, or at all. If we raise additional funds through the issuance of equity, equity-linked, or debt securities, those securities may have rights, preferences, or privileges senior to the rights of existing stockholders, and existing stockholders may experience dilution. Further, if we are unable to obtain additional capital when required, or are unable to obtain additional capital on satisfactory terms, our ability to continue to support our business growth or to respond to business opportunities, challenges, or unforeseen circumstances would be adversely affected.</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reported financial results may be adversely affected by changes in accounting principles generally accepted in the United States.</w:t>
      </w:r>
    </w:p>
    <w:p>
      <w:pPr>
        <w:spacing w:after="0" w:line="129" w:lineRule="exact"/>
        <w:rPr>
          <w:sz w:val="20"/>
          <w:szCs w:val="20"/>
          <w:color w:val="auto"/>
        </w:rPr>
      </w:pPr>
    </w:p>
    <w:p>
      <w:pPr>
        <w:jc w:val="both"/>
        <w:ind w:right="160" w:firstLine="449"/>
        <w:spacing w:after="0" w:line="279" w:lineRule="auto"/>
        <w:rPr>
          <w:sz w:val="20"/>
          <w:szCs w:val="20"/>
          <w:color w:val="auto"/>
        </w:rPr>
      </w:pPr>
      <w:r>
        <w:rPr>
          <w:rFonts w:ascii="Arial" w:cs="Arial" w:eastAsia="Arial" w:hAnsi="Arial"/>
          <w:sz w:val="17"/>
          <w:szCs w:val="17"/>
          <w:color w:val="auto"/>
        </w:rPr>
        <w:t>Generally accepted accounting principles in the United States are subject to interpretation by the Financial Accounting Standards Board, or FASB, the American Institute of Certified Public Accountants, the Securities and Exchange Commission, or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27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A failure to establish and maintain an effective system of disclosure controls and internal control over financial reporting, could adversely affect our ability to produce timely and accurate financial statements or comply with applicable regulations.</w:t>
      </w:r>
    </w:p>
    <w:p>
      <w:pPr>
        <w:spacing w:after="0" w:line="62" w:lineRule="exact"/>
        <w:rPr>
          <w:sz w:val="20"/>
          <w:szCs w:val="20"/>
          <w:color w:val="auto"/>
        </w:rPr>
      </w:pPr>
    </w:p>
    <w:p>
      <w:pPr>
        <w:ind w:right="80" w:firstLine="449"/>
        <w:spacing w:after="0" w:line="268" w:lineRule="auto"/>
        <w:rPr>
          <w:sz w:val="20"/>
          <w:szCs w:val="20"/>
          <w:color w:val="auto"/>
        </w:rPr>
      </w:pPr>
      <w:r>
        <w:rPr>
          <w:rFonts w:ascii="Arial" w:cs="Arial" w:eastAsia="Arial" w:hAnsi="Arial"/>
          <w:sz w:val="17"/>
          <w:szCs w:val="17"/>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Securities Exchange Act of 1934, as amended, or the Exchange Act, is accumulated and communicated to our principal executive and financial officers. We are also continuing to improve our internal control over financial reporting. For example, as we have prepared to become a public company, we have worked to improve the controls around our key accounting processes and our quarterly close process, and we have hired additional accounting and finance personnel to help us implement these processes and controls. In order to maintain and improve the effectiveness of our disclosure controls and procedures and internal control over financial reporting, we have expended, and anticipate that we will continue to expend, significant resources, including accounting-related costs and investments to strengthen our accounting systems. If any of these new or improved controls and systems do not perform as expected, we may experience material weaknesses in our controls. In addition to our results determined in accordance with GAAP, we believe certain non-GAAP measures may be useful in evaluating our operating performance. We present certain non-GAAP financial measures in this prospectus and intend to continue to present certain non-GAAP financial measures in future filings with the SEC and other public statements. Any failure to accurately report and present our non-GAAP financial measures could cause investors to lose confidence in our reported financial and other information, which would likely have a negative effect on the trading price of our Class A common stock.</w:t>
      </w:r>
    </w:p>
    <w:p>
      <w:pPr>
        <w:spacing w:after="0" w:line="182" w:lineRule="exact"/>
        <w:rPr>
          <w:sz w:val="20"/>
          <w:szCs w:val="20"/>
          <w:color w:val="auto"/>
        </w:rPr>
      </w:pPr>
    </w:p>
    <w:p>
      <w:pPr>
        <w:ind w:right="580" w:firstLine="449"/>
        <w:spacing w:after="0" w:line="277" w:lineRule="auto"/>
        <w:rPr>
          <w:sz w:val="20"/>
          <w:szCs w:val="20"/>
          <w:color w:val="auto"/>
        </w:rPr>
      </w:pPr>
      <w:r>
        <w:rPr>
          <w:rFonts w:ascii="Arial" w:cs="Arial" w:eastAsia="Arial" w:hAnsi="Arial"/>
          <w:sz w:val="18"/>
          <w:szCs w:val="18"/>
          <w:color w:val="auto"/>
        </w:rPr>
        <w:t>Our current controls and any new controls that we develop may become inadequate because of changes in conditions in our business. Further, weaknesses in our disclosure controls and internal control over financial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459"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meet these requirements, we may not be able to remain listed on .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will be required to provide an annual management report on the effectiveness of our internal control over financial reporting commencing with our second annual report on Form 10-K.</w:t>
      </w:r>
    </w:p>
    <w:p>
      <w:pPr>
        <w:spacing w:after="0" w:line="193" w:lineRule="exact"/>
        <w:rPr>
          <w:sz w:val="20"/>
          <w:szCs w:val="20"/>
          <w:color w:val="auto"/>
        </w:rPr>
      </w:pPr>
    </w:p>
    <w:p>
      <w:pPr>
        <w:ind w:right="460" w:firstLine="449"/>
        <w:spacing w:after="0" w:line="296" w:lineRule="auto"/>
        <w:rPr>
          <w:sz w:val="20"/>
          <w:szCs w:val="20"/>
          <w:color w:val="auto"/>
        </w:rPr>
      </w:pPr>
      <w:r>
        <w:rPr>
          <w:rFonts w:ascii="Arial" w:cs="Arial" w:eastAsia="Arial" w:hAnsi="Arial"/>
          <w:sz w:val="16"/>
          <w:szCs w:val="16"/>
          <w:color w:val="auto"/>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results of operations, and financial condition and could cause a decline in the trading price of our Class A common stock.</w:t>
      </w:r>
    </w:p>
    <w:p>
      <w:pPr>
        <w:spacing w:after="0" w:line="26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Changes in tax laws or regulations could be enacted or existing tax laws or regulations could be applied to us or our customers in a manner that could increase the costs of our platform and harm our business.</w:t>
      </w:r>
    </w:p>
    <w:p>
      <w:pPr>
        <w:spacing w:after="0" w:line="62" w:lineRule="exact"/>
        <w:rPr>
          <w:sz w:val="20"/>
          <w:szCs w:val="20"/>
          <w:color w:val="auto"/>
        </w:rPr>
      </w:pPr>
    </w:p>
    <w:p>
      <w:pPr>
        <w:ind w:right="260" w:firstLine="449"/>
        <w:spacing w:after="0" w:line="311" w:lineRule="auto"/>
        <w:rPr>
          <w:sz w:val="20"/>
          <w:szCs w:val="20"/>
          <w:color w:val="auto"/>
        </w:rPr>
      </w:pPr>
      <w:r>
        <w:rPr>
          <w:rFonts w:ascii="Arial" w:cs="Arial" w:eastAsia="Arial" w:hAnsi="Arial"/>
          <w:sz w:val="16"/>
          <w:szCs w:val="16"/>
          <w:color w:val="auto"/>
        </w:rPr>
        <w:t>Income, sales, use, or other tax laws, statutes, rules, regulations, or ordinances could be enacted or amended at any time (possibly with retroactive effect), and could be applied solely or disproportionately to products and services provided over the internet. These enactments or amendments could reduce our sales activity due to the inherent cost increase the taxes would represent and ultimately harm our results of operations and cash flows.</w:t>
      </w:r>
    </w:p>
    <w:p>
      <w:pPr>
        <w:spacing w:after="0" w:line="149" w:lineRule="exact"/>
        <w:rPr>
          <w:sz w:val="20"/>
          <w:szCs w:val="20"/>
          <w:color w:val="auto"/>
        </w:rPr>
      </w:pPr>
    </w:p>
    <w:p>
      <w:pPr>
        <w:ind w:right="240" w:firstLine="449"/>
        <w:spacing w:after="0" w:line="257" w:lineRule="auto"/>
        <w:rPr>
          <w:sz w:val="20"/>
          <w:szCs w:val="20"/>
          <w:color w:val="auto"/>
        </w:rPr>
      </w:pPr>
      <w:r>
        <w:rPr>
          <w:rFonts w:ascii="Arial" w:cs="Arial" w:eastAsia="Arial" w:hAnsi="Arial"/>
          <w:sz w:val="18"/>
          <w:szCs w:val="18"/>
          <w:color w:val="auto"/>
        </w:rPr>
        <w:t>The application of U.S. federal, state, local, and international tax laws to services provided electronically is unclear and continuously evolving. Existing tax laws, statutes, rules, regulations, or ordinances could be interpreted or applied adversely to us, possibly with retroactive effect, which could require us or our customers to pay additional tax amounts, as well as require us or our customers to pay fines or penalties, as well as interest for past amounts. If we are unsuccessful in collecting such taxes due from our customers, we would be held liable for such costs, thereby adversely affecting our results of operations and harming our business.</w:t>
      </w:r>
    </w:p>
    <w:p>
      <w:pPr>
        <w:spacing w:after="0" w:line="188"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We may be subject to taxation in several jurisdictions around the world with increasingly complex tax laws, the application of which can be uncertain. Although we have not been required to pay income taxes, other than in immaterial amounts in certain foreign jurisdictions to date, the amount of taxes we pay in these jurisdictions could increase substantially as a result of changes in the applicable tax principles, including increased tax rates, new tax laws, or revised interpretations of existing tax laws and precedents, which could harm our liquidity and results of operations. In addition, the authorities in these jurisdictions could review our tax returns and impose additional tax, interest, and penalties, and the authorities could claim that various withholding requirements apply to us or our subsidiaries or assert that benefits of tax treaties are not available to us or our subsidiaries, any of which would harm us and our results of operations.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320" w:top="459" w:right="3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business, results of operations, and financial condition may be harmed if we are required to collect sales or other related taxes for subscriptions to our platform in jurisdictions where we have not historically done so.</w:t>
      </w:r>
    </w:p>
    <w:p>
      <w:pPr>
        <w:spacing w:after="0" w:line="62"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We collect sales tax in a number of jurisdictions. One or more states or countries may seek to impose incremental or new sales, use, or other tax collection obligations on us. A successful assertion by a state, country, or other jurisdiction that we should have been or should be collecting additional sales, use, or other taxes could, among other things, result in substantial tax payments, create significant administrative burdens for us, discourage potential customers from subscribing to our platform due to the incremental cost of any such sales or other related taxes, or otherwise harm our business, results of operations, and financial condition.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17" w:lineRule="exact"/>
        <w:rPr>
          <w:sz w:val="20"/>
          <w:szCs w:val="20"/>
          <w:color w:val="auto"/>
        </w:rPr>
      </w:pPr>
    </w:p>
    <w:p>
      <w:pPr>
        <w:ind w:firstLine="449"/>
        <w:spacing w:after="0" w:line="284" w:lineRule="auto"/>
        <w:rPr>
          <w:sz w:val="20"/>
          <w:szCs w:val="20"/>
          <w:color w:val="auto"/>
        </w:rPr>
      </w:pPr>
      <w:r>
        <w:rPr>
          <w:rFonts w:ascii="Arial" w:cs="Arial" w:eastAsia="Arial" w:hAnsi="Arial"/>
          <w:sz w:val="16"/>
          <w:szCs w:val="16"/>
          <w:color w:val="auto"/>
        </w:rPr>
        <w:t>We do not expect to become profitable in the near future, may never achieve profitability, and have incurred substantial net operating losses, or NOLs, during our history. In general, under Sections 382 and 383 of the Internal Revenue Code of 1986, as amended, a corporation that undergoes an “ownership change” is subject to limitations on its ability to utilize its pre-change NOLs or tax credits to offset future taxable income or taxes. For these purposes, an ownership change generally occurs where the aggregate change in stock ownership by one or more stockholders or groups of stockholders owning at least 5% of a corporation’s stock exceeds more than 50 percentage points over a three-year period. While we do not believe we have experienced ownership changes in the past, it is possible we have done so, and we may experience ownership changes in the future as a result of our listing on</w:t>
      </w:r>
    </w:p>
    <w:p>
      <w:pPr>
        <w:spacing w:after="0" w:line="4" w:lineRule="exact"/>
        <w:rPr>
          <w:sz w:val="20"/>
          <w:szCs w:val="20"/>
          <w:color w:val="auto"/>
        </w:rPr>
      </w:pPr>
    </w:p>
    <w:p>
      <w:pPr>
        <w:ind w:right="40" w:firstLine="728"/>
        <w:spacing w:after="0" w:line="260" w:lineRule="auto"/>
        <w:tabs>
          <w:tab w:leader="none" w:pos="81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or subsequent shifts in our stock ownership (some of which shifts are outside our control). As a result, even if we attain profitability, we may be unable to use a material portion of our NOLs and other tax attributes.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exposure to foreign currency exchange rate fluctuations.</w:t>
      </w:r>
    </w:p>
    <w:p>
      <w:pPr>
        <w:spacing w:after="0" w:line="117" w:lineRule="exact"/>
        <w:rPr>
          <w:sz w:val="20"/>
          <w:szCs w:val="20"/>
          <w:color w:val="auto"/>
        </w:rPr>
      </w:pPr>
    </w:p>
    <w:p>
      <w:pPr>
        <w:ind w:right="80" w:firstLine="449"/>
        <w:spacing w:after="0" w:line="275" w:lineRule="auto"/>
        <w:rPr>
          <w:sz w:val="20"/>
          <w:szCs w:val="20"/>
          <w:color w:val="auto"/>
        </w:rPr>
      </w:pPr>
      <w:r>
        <w:rPr>
          <w:rFonts w:ascii="Arial" w:cs="Arial" w:eastAsia="Arial" w:hAnsi="Arial"/>
          <w:sz w:val="17"/>
          <w:szCs w:val="17"/>
          <w:color w:val="auto"/>
        </w:rPr>
        <w:t>While we have historically transacted in U.S. dollars with the majority of our customers and vendors, we have transacted in some foreign currencies with such parties and for our payroll in those foreign jurisdictions where we have operations, and expect to continue to transact in more foreign currencies in the future. Accordingly, declines in the value of foreign currencies relative to the U.S. dollar can adversely affect our revenues and results of operations due to transactional and translational remeasurement that is reflected in our earnings. Also, fluctuations in the values of foreign currencies relative to the U.S. dollar could make it more difficult to detect underlying trends in our business and results of operations.</w:t>
      </w: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our estimates or judgments relating to our critical accounting policies prove to be incorrect, our results of operations could be adversely affected.</w:t>
      </w:r>
    </w:p>
    <w:p>
      <w:pPr>
        <w:spacing w:after="0" w:line="152" w:lineRule="exact"/>
        <w:rPr>
          <w:sz w:val="20"/>
          <w:szCs w:val="20"/>
          <w:color w:val="auto"/>
        </w:rPr>
      </w:pPr>
    </w:p>
    <w:p>
      <w:pPr>
        <w:ind w:right="100" w:firstLine="449"/>
        <w:spacing w:after="0" w:line="289"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in our consolidated financial statements. We base our estimates on historical experience and on various other assumptions that we believe to be reasonable under the circumstances, as provided in the section titled “Management’s Discussion and Analysis of Financial Condition and Results of Operations.” The results of these estimates form the basis for making judgments about the carrying values of assets, liabilities, and equity, and the amount of revenues and expenses that are not readily apparent from other sources. Significant assumptions and estimates used in preparing our consolidated financial statements include those related to the useful lives and carrying values of long-lived assets, fair value of common stock, stock-based compensation expense, period of benefit for deferred contract acquisition costs, and income taxes.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Catastrophic events may disrupt our business.</w:t>
      </w:r>
    </w:p>
    <w:p>
      <w:pPr>
        <w:spacing w:after="0" w:line="117" w:lineRule="exact"/>
        <w:rPr>
          <w:sz w:val="20"/>
          <w:szCs w:val="20"/>
          <w:color w:val="auto"/>
        </w:rPr>
      </w:pPr>
    </w:p>
    <w:p>
      <w:pPr>
        <w:ind w:right="240" w:firstLine="449"/>
        <w:spacing w:after="0" w:line="277" w:lineRule="auto"/>
        <w:rPr>
          <w:sz w:val="20"/>
          <w:szCs w:val="20"/>
          <w:color w:val="auto"/>
        </w:rPr>
      </w:pPr>
      <w:r>
        <w:rPr>
          <w:rFonts w:ascii="Arial" w:cs="Arial" w:eastAsia="Arial" w:hAnsi="Arial"/>
          <w:sz w:val="18"/>
          <w:szCs w:val="18"/>
          <w:color w:val="auto"/>
        </w:rPr>
        <w:t>Natural disasters or other catastrophic events may cause damage or disruption to our operations, international commerce, and the global economy, and thus could harm our business. We have our headquarters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00"/>
          </w:cols>
          <w:pgMar w:left="320" w:top="459" w:right="3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and a large employee presence in San Francisco, California, and the west coast of the United States contains active earthquake zones. In the event of a major earthquake, hurricane, or catastrophic event such as fire, power loss, telecommunications failure, cyber-attack, war, or terrorist attack, we may be unable to continue our operations and may endure system interruptions, reputational harm, delays in our platform development, lengthy interruptions in our platform, breaches of data security, and loss of critical data, all of which would harm our business, results of operations, and financial condition. Acts of terrorism would also cause disruptions to the internet or the economy as a whole. In addition, the insurance we maintain would likely not be adequate to cover our losses resulting from disasters or other business interruptions. Our disaster recovery plan may not be sufficient to address all aspects or any unanticipated consequence or incident, and our insurance may not be sufficient to compensate us for the losses that could occur.</w:t>
      </w:r>
    </w:p>
    <w:p>
      <w:pPr>
        <w:spacing w:after="0" w:line="27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We are an emerging growth company under the JOBS Act, and we are permitted to rely on exemptions from certain disclosure requirements. We cannot be certain if the reduced disclosure requirements applicable to emerging growth companies will make our Class A common stock less attractive to investors.</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an “emerging growth company” as defined in the JOBS Act. For as long as we continue to be an emerging growth company, which could be</w:t>
      </w:r>
    </w:p>
    <w:p>
      <w:pPr>
        <w:spacing w:after="0" w:line="46"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as long as five years following the completion of our listing on , we may choose to take advantage of certain exemptions from various reporting requirements applicable to other public companies that are not emerging growth companies, including not being required to comply with the auditor attestation requirements of Section 404, reduced PCAOB reporting requirements, reduced disclosure obligations regarding executive compensation in our periodic reports and proxy statements, exemptions from the requirements of holding a nonbinding advisory vote on executive compensation and stockholder approval of any golden parachute payments not previously approved, and extended transition periods for complying with new or revised accounting standards. We cannot predict if investors will find our Class A common stock less attractive because we may rely on these exemptions. If some investors find our Class A common stock less attractive as a result, there may be a less active trading market for our Class A common stock and the trading price of our Class A common stock may be more volatile.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listing differs significantly from an underwritten initial public offering.</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160" w:type="dxa"/>
            <w:vAlign w:val="bottom"/>
            <w:gridSpan w:val="4"/>
          </w:tcPr>
          <w:p>
            <w:pPr>
              <w:ind w:left="460"/>
              <w:spacing w:after="0"/>
              <w:rPr>
                <w:sz w:val="20"/>
                <w:szCs w:val="20"/>
                <w:color w:val="auto"/>
              </w:rPr>
            </w:pPr>
            <w:r>
              <w:rPr>
                <w:rFonts w:ascii="Arial" w:cs="Arial" w:eastAsia="Arial" w:hAnsi="Arial"/>
                <w:sz w:val="18"/>
                <w:szCs w:val="18"/>
                <w:color w:val="auto"/>
                <w:w w:val="99"/>
              </w:rPr>
              <w:t>This is not an underwritten initial public offering of our Class A common stock. This listing of our Class A common stock on</w:t>
            </w:r>
          </w:p>
        </w:tc>
        <w:tc>
          <w:tcPr>
            <w:tcW w:w="1000" w:type="dxa"/>
            <w:vAlign w:val="bottom"/>
          </w:tcPr>
          <w:p>
            <w:pPr>
              <w:jc w:val="right"/>
              <w:spacing w:after="0"/>
              <w:rPr>
                <w:sz w:val="20"/>
                <w:szCs w:val="20"/>
                <w:color w:val="auto"/>
              </w:rPr>
            </w:pPr>
            <w:r>
              <w:rPr>
                <w:rFonts w:ascii="Arial" w:cs="Arial" w:eastAsia="Arial" w:hAnsi="Arial"/>
                <w:sz w:val="18"/>
                <w:szCs w:val="18"/>
                <w:color w:val="auto"/>
              </w:rPr>
              <w:t>differs from</w:t>
            </w:r>
          </w:p>
        </w:tc>
      </w:tr>
      <w:tr>
        <w:trPr>
          <w:trHeight w:val="230"/>
        </w:trPr>
        <w:tc>
          <w:tcPr>
            <w:tcW w:w="10160" w:type="dxa"/>
            <w:vAlign w:val="bottom"/>
            <w:gridSpan w:val="4"/>
          </w:tcPr>
          <w:p>
            <w:pPr>
              <w:spacing w:after="0"/>
              <w:rPr>
                <w:sz w:val="20"/>
                <w:szCs w:val="20"/>
                <w:color w:val="auto"/>
              </w:rPr>
            </w:pPr>
            <w:r>
              <w:rPr>
                <w:rFonts w:ascii="Arial" w:cs="Arial" w:eastAsia="Arial" w:hAnsi="Arial"/>
                <w:sz w:val="18"/>
                <w:szCs w:val="18"/>
                <w:color w:val="auto"/>
              </w:rPr>
              <w:t>an underwritten initial public offering in several significant ways, which include, but are not limited to, the following:</w:t>
            </w:r>
          </w:p>
        </w:tc>
        <w:tc>
          <w:tcPr>
            <w:tcW w:w="1000" w:type="dxa"/>
            <w:vAlign w:val="bottom"/>
          </w:tcPr>
          <w:p>
            <w:pPr>
              <w:spacing w:after="0"/>
              <w:rPr>
                <w:sz w:val="20"/>
                <w:szCs w:val="20"/>
                <w:color w:val="auto"/>
              </w:rPr>
            </w:pPr>
          </w:p>
        </w:tc>
      </w:tr>
      <w:tr>
        <w:trPr>
          <w:trHeight w:val="323"/>
        </w:trPr>
        <w:tc>
          <w:tcPr>
            <w:tcW w:w="760" w:type="dxa"/>
            <w:vAlign w:val="bottom"/>
          </w:tcPr>
          <w:p>
            <w:pPr>
              <w:ind w:left="460"/>
              <w:spacing w:after="0"/>
              <w:rPr>
                <w:sz w:val="20"/>
                <w:szCs w:val="20"/>
                <w:color w:val="auto"/>
              </w:rPr>
            </w:pPr>
            <w:r>
              <w:rPr>
                <w:rFonts w:ascii="Arial" w:cs="Arial" w:eastAsia="Arial" w:hAnsi="Arial"/>
                <w:sz w:val="18"/>
                <w:szCs w:val="18"/>
                <w:color w:val="auto"/>
              </w:rPr>
              <w:t>•</w:t>
            </w:r>
          </w:p>
        </w:tc>
        <w:tc>
          <w:tcPr>
            <w:tcW w:w="6160" w:type="dxa"/>
            <w:vAlign w:val="bottom"/>
            <w:gridSpan w:val="2"/>
          </w:tcPr>
          <w:p>
            <w:pPr>
              <w:ind w:left="240"/>
              <w:spacing w:after="0"/>
              <w:rPr>
                <w:sz w:val="20"/>
                <w:szCs w:val="20"/>
                <w:color w:val="auto"/>
              </w:rPr>
            </w:pPr>
            <w:r>
              <w:rPr>
                <w:rFonts w:ascii="Arial" w:cs="Arial" w:eastAsia="Arial" w:hAnsi="Arial"/>
                <w:sz w:val="18"/>
                <w:szCs w:val="18"/>
                <w:color w:val="auto"/>
                <w:w w:val="98"/>
              </w:rPr>
              <w:t>There are no underwriters. Consequently, prior to the opening of trading on</w:t>
            </w:r>
          </w:p>
        </w:tc>
        <w:tc>
          <w:tcPr>
            <w:tcW w:w="4240" w:type="dxa"/>
            <w:vAlign w:val="bottom"/>
            <w:gridSpan w:val="2"/>
          </w:tcPr>
          <w:p>
            <w:pPr>
              <w:jc w:val="right"/>
              <w:spacing w:after="0"/>
              <w:rPr>
                <w:sz w:val="20"/>
                <w:szCs w:val="20"/>
                <w:color w:val="auto"/>
              </w:rPr>
            </w:pPr>
            <w:r>
              <w:rPr>
                <w:rFonts w:ascii="Arial" w:cs="Arial" w:eastAsia="Arial" w:hAnsi="Arial"/>
                <w:sz w:val="18"/>
                <w:szCs w:val="18"/>
                <w:color w:val="auto"/>
                <w:w w:val="96"/>
              </w:rPr>
              <w:t>, there will be no book building process and no price at</w:t>
            </w:r>
          </w:p>
        </w:tc>
      </w:tr>
      <w:tr>
        <w:trPr>
          <w:trHeight w:val="216"/>
        </w:trPr>
        <w:tc>
          <w:tcPr>
            <w:tcW w:w="760" w:type="dxa"/>
            <w:vAlign w:val="bottom"/>
          </w:tcPr>
          <w:p>
            <w:pPr>
              <w:spacing w:after="0"/>
              <w:rPr>
                <w:sz w:val="18"/>
                <w:szCs w:val="18"/>
                <w:color w:val="auto"/>
              </w:rPr>
            </w:pPr>
          </w:p>
        </w:tc>
        <w:tc>
          <w:tcPr>
            <w:tcW w:w="10400" w:type="dxa"/>
            <w:vAlign w:val="bottom"/>
            <w:gridSpan w:val="4"/>
          </w:tcPr>
          <w:p>
            <w:pPr>
              <w:ind w:left="240"/>
              <w:spacing w:after="0"/>
              <w:rPr>
                <w:sz w:val="20"/>
                <w:szCs w:val="20"/>
                <w:color w:val="auto"/>
              </w:rPr>
            </w:pPr>
            <w:r>
              <w:rPr>
                <w:rFonts w:ascii="Arial" w:cs="Arial" w:eastAsia="Arial" w:hAnsi="Arial"/>
                <w:sz w:val="18"/>
                <w:szCs w:val="18"/>
                <w:color w:val="auto"/>
                <w:w w:val="92"/>
              </w:rPr>
              <w:t>which underwriters initially sell shares to the public to help inform efficient and sufficient price discovery with respect to the opening trades</w:t>
            </w:r>
          </w:p>
        </w:tc>
      </w:tr>
      <w:tr>
        <w:trPr>
          <w:trHeight w:val="216"/>
        </w:trPr>
        <w:tc>
          <w:tcPr>
            <w:tcW w:w="76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on</w:t>
            </w:r>
          </w:p>
        </w:tc>
        <w:tc>
          <w:tcPr>
            <w:tcW w:w="8600" w:type="dxa"/>
            <w:vAlign w:val="bottom"/>
            <w:gridSpan w:val="2"/>
          </w:tcPr>
          <w:p>
            <w:pPr>
              <w:ind w:left="400"/>
              <w:spacing w:after="0"/>
              <w:rPr>
                <w:sz w:val="20"/>
                <w:szCs w:val="20"/>
                <w:color w:val="auto"/>
              </w:rPr>
            </w:pPr>
            <w:r>
              <w:rPr>
                <w:rFonts w:ascii="Arial" w:cs="Arial" w:eastAsia="Arial" w:hAnsi="Arial"/>
                <w:sz w:val="18"/>
                <w:szCs w:val="18"/>
                <w:color w:val="auto"/>
                <w:w w:val="91"/>
              </w:rPr>
              <w:t>. Therefore, buy and sell orders submitted prior to and at the opening of trading of our Class A common stock on</w:t>
            </w:r>
          </w:p>
        </w:tc>
        <w:tc>
          <w:tcPr>
            <w:tcW w:w="1000" w:type="dxa"/>
            <w:vAlign w:val="bottom"/>
          </w:tcPr>
          <w:p>
            <w:pPr>
              <w:jc w:val="right"/>
              <w:spacing w:after="0"/>
              <w:rPr>
                <w:sz w:val="20"/>
                <w:szCs w:val="20"/>
                <w:color w:val="auto"/>
              </w:rPr>
            </w:pPr>
            <w:r>
              <w:rPr>
                <w:rFonts w:ascii="Arial" w:cs="Arial" w:eastAsia="Arial" w:hAnsi="Arial"/>
                <w:sz w:val="18"/>
                <w:szCs w:val="18"/>
                <w:color w:val="auto"/>
              </w:rPr>
              <w:t>will</w:t>
            </w:r>
          </w:p>
        </w:tc>
      </w:tr>
      <w:tr>
        <w:trPr>
          <w:trHeight w:val="216"/>
        </w:trPr>
        <w:tc>
          <w:tcPr>
            <w:tcW w:w="760" w:type="dxa"/>
            <w:vAlign w:val="bottom"/>
          </w:tcPr>
          <w:p>
            <w:pPr>
              <w:spacing w:after="0"/>
              <w:rPr>
                <w:sz w:val="18"/>
                <w:szCs w:val="18"/>
                <w:color w:val="auto"/>
              </w:rPr>
            </w:pPr>
          </w:p>
        </w:tc>
        <w:tc>
          <w:tcPr>
            <w:tcW w:w="10400" w:type="dxa"/>
            <w:vAlign w:val="bottom"/>
            <w:gridSpan w:val="4"/>
          </w:tcPr>
          <w:p>
            <w:pPr>
              <w:ind w:left="240"/>
              <w:spacing w:after="0"/>
              <w:rPr>
                <w:sz w:val="20"/>
                <w:szCs w:val="20"/>
                <w:color w:val="auto"/>
              </w:rPr>
            </w:pPr>
            <w:r>
              <w:rPr>
                <w:rFonts w:ascii="Arial" w:cs="Arial" w:eastAsia="Arial" w:hAnsi="Arial"/>
                <w:sz w:val="18"/>
                <w:szCs w:val="18"/>
                <w:color w:val="auto"/>
                <w:w w:val="93"/>
              </w:rPr>
              <w:t>not have the benefit of being informed by a published price range or a price at which the underwriters initially sell shares to the public, as</w:t>
            </w:r>
          </w:p>
        </w:tc>
      </w:tr>
      <w:tr>
        <w:trPr>
          <w:trHeight w:val="216"/>
        </w:trPr>
        <w:tc>
          <w:tcPr>
            <w:tcW w:w="760" w:type="dxa"/>
            <w:vAlign w:val="bottom"/>
          </w:tcPr>
          <w:p>
            <w:pPr>
              <w:spacing w:after="0"/>
              <w:rPr>
                <w:sz w:val="18"/>
                <w:szCs w:val="18"/>
                <w:color w:val="auto"/>
              </w:rPr>
            </w:pPr>
          </w:p>
        </w:tc>
        <w:tc>
          <w:tcPr>
            <w:tcW w:w="10400" w:type="dxa"/>
            <w:vAlign w:val="bottom"/>
            <w:gridSpan w:val="4"/>
          </w:tcPr>
          <w:p>
            <w:pPr>
              <w:ind w:left="240"/>
              <w:spacing w:after="0"/>
              <w:rPr>
                <w:sz w:val="20"/>
                <w:szCs w:val="20"/>
                <w:color w:val="auto"/>
              </w:rPr>
            </w:pPr>
            <w:r>
              <w:rPr>
                <w:rFonts w:ascii="Arial" w:cs="Arial" w:eastAsia="Arial" w:hAnsi="Arial"/>
                <w:sz w:val="18"/>
                <w:szCs w:val="18"/>
                <w:color w:val="auto"/>
                <w:w w:val="94"/>
              </w:rPr>
              <w:t>would be the case in an underwritten initial public offering. Moreover, there will be no underwriters assuming risk in connection with the</w:t>
            </w:r>
          </w:p>
        </w:tc>
      </w:tr>
      <w:tr>
        <w:trPr>
          <w:trHeight w:val="216"/>
        </w:trPr>
        <w:tc>
          <w:tcPr>
            <w:tcW w:w="760" w:type="dxa"/>
            <w:vAlign w:val="bottom"/>
          </w:tcPr>
          <w:p>
            <w:pPr>
              <w:spacing w:after="0"/>
              <w:rPr>
                <w:sz w:val="18"/>
                <w:szCs w:val="18"/>
                <w:color w:val="auto"/>
              </w:rPr>
            </w:pPr>
          </w:p>
        </w:tc>
        <w:tc>
          <w:tcPr>
            <w:tcW w:w="10400" w:type="dxa"/>
            <w:vAlign w:val="bottom"/>
            <w:gridSpan w:val="4"/>
          </w:tcPr>
          <w:p>
            <w:pPr>
              <w:ind w:left="240"/>
              <w:spacing w:after="0"/>
              <w:rPr>
                <w:sz w:val="20"/>
                <w:szCs w:val="20"/>
                <w:color w:val="auto"/>
              </w:rPr>
            </w:pPr>
            <w:r>
              <w:rPr>
                <w:rFonts w:ascii="Arial" w:cs="Arial" w:eastAsia="Arial" w:hAnsi="Arial"/>
                <w:sz w:val="18"/>
                <w:szCs w:val="18"/>
                <w:color w:val="auto"/>
                <w:w w:val="94"/>
              </w:rPr>
              <w:t>initial resale of shares of our Class A common stock. Additionally, there is no underwriters’ option to purchase additional shares to help</w:t>
            </w:r>
          </w:p>
        </w:tc>
      </w:tr>
      <w:tr>
        <w:trPr>
          <w:trHeight w:val="230"/>
        </w:trPr>
        <w:tc>
          <w:tcPr>
            <w:tcW w:w="760" w:type="dxa"/>
            <w:vAlign w:val="bottom"/>
          </w:tcPr>
          <w:p>
            <w:pPr>
              <w:spacing w:after="0"/>
              <w:rPr>
                <w:sz w:val="20"/>
                <w:szCs w:val="20"/>
                <w:color w:val="auto"/>
              </w:rPr>
            </w:pPr>
          </w:p>
        </w:tc>
        <w:tc>
          <w:tcPr>
            <w:tcW w:w="6160" w:type="dxa"/>
            <w:vAlign w:val="bottom"/>
            <w:gridSpan w:val="2"/>
          </w:tcPr>
          <w:p>
            <w:pPr>
              <w:ind w:left="240"/>
              <w:spacing w:after="0"/>
              <w:rPr>
                <w:sz w:val="20"/>
                <w:szCs w:val="20"/>
                <w:color w:val="auto"/>
              </w:rPr>
            </w:pPr>
            <w:r>
              <w:rPr>
                <w:rFonts w:ascii="Arial" w:cs="Arial" w:eastAsia="Arial" w:hAnsi="Arial"/>
                <w:sz w:val="18"/>
                <w:szCs w:val="18"/>
                <w:color w:val="auto"/>
                <w:w w:val="95"/>
              </w:rPr>
              <w:t>stabilize, maintain, or affect the trading price of our Class A common stock on</w:t>
            </w:r>
          </w:p>
        </w:tc>
        <w:tc>
          <w:tcPr>
            <w:tcW w:w="4240" w:type="dxa"/>
            <w:vAlign w:val="bottom"/>
            <w:gridSpan w:val="2"/>
          </w:tcPr>
          <w:p>
            <w:pPr>
              <w:jc w:val="right"/>
              <w:ind w:right="170"/>
              <w:spacing w:after="0"/>
              <w:rPr>
                <w:sz w:val="20"/>
                <w:szCs w:val="20"/>
                <w:color w:val="auto"/>
              </w:rPr>
            </w:pPr>
            <w:r>
              <w:rPr>
                <w:rFonts w:ascii="Arial" w:cs="Arial" w:eastAsia="Arial" w:hAnsi="Arial"/>
                <w:sz w:val="18"/>
                <w:szCs w:val="18"/>
                <w:color w:val="auto"/>
              </w:rPr>
              <w:t>immediately after the listing. In an underwritten</w:t>
            </w:r>
          </w:p>
        </w:tc>
      </w:tr>
    </w:tbl>
    <w:p>
      <w:pPr>
        <w:ind w:left="1000" w:right="140"/>
        <w:spacing w:after="0" w:line="271" w:lineRule="auto"/>
        <w:rPr>
          <w:sz w:val="20"/>
          <w:szCs w:val="20"/>
          <w:color w:val="auto"/>
        </w:rPr>
      </w:pPr>
      <w:r>
        <w:rPr>
          <w:rFonts w:ascii="Arial" w:cs="Arial" w:eastAsia="Arial" w:hAnsi="Arial"/>
          <w:sz w:val="17"/>
          <w:szCs w:val="17"/>
          <w:color w:val="auto"/>
        </w:rPr>
        <w:t>initial public offering, the underwriters may engage in “covered” short sales in an amount of shares representing the underwriters’ option to purchase additional shares. To close a covered short position, the underwriters purchase shares in the open market or exercise the underwriters’ option to purchase additional shares. In determining the source of shares to close the covered short position, the underwriters typically consider, among other things, the price of shares available for purchase in the open market as compared to the price at which they may purchase shares through the underwriters’ option to purchase additional</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00"/>
          </w:cols>
          <w:pgMar w:left="320" w:top="459" w:right="3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80"/>
        <w:spacing w:after="0" w:line="287" w:lineRule="auto"/>
        <w:rPr>
          <w:sz w:val="20"/>
          <w:szCs w:val="20"/>
          <w:color w:val="auto"/>
        </w:rPr>
      </w:pPr>
      <w:r>
        <w:rPr>
          <w:rFonts w:ascii="Arial" w:cs="Arial" w:eastAsia="Arial" w:hAnsi="Arial"/>
          <w:sz w:val="16"/>
          <w:szCs w:val="16"/>
          <w:color w:val="auto"/>
        </w:rPr>
        <w:t>shares. Purchases in the open market to cover short positions, as well as other purchases underwriters may undertake for their own accounts, may have the effect of preventing a decline in the trading price of shares of our Class A common stock. Given that there will be no underwriters’ option to purchase additional shares and no underwriters engaging in stabilizing transactions with respect to the trading of our</w:t>
      </w:r>
    </w:p>
    <w:p>
      <w:pPr>
        <w:spacing w:after="0" w:line="2" w:lineRule="exact"/>
        <w:rPr>
          <w:sz w:val="20"/>
          <w:szCs w:val="20"/>
          <w:color w:val="auto"/>
        </w:rPr>
      </w:pPr>
    </w:p>
    <w:p>
      <w:pPr>
        <w:ind w:left="1000" w:right="260"/>
        <w:spacing w:after="0" w:line="281" w:lineRule="auto"/>
        <w:rPr>
          <w:sz w:val="20"/>
          <w:szCs w:val="20"/>
          <w:color w:val="auto"/>
        </w:rPr>
      </w:pPr>
      <w:r>
        <w:rPr>
          <w:rFonts w:ascii="Arial" w:cs="Arial" w:eastAsia="Arial" w:hAnsi="Arial"/>
          <w:sz w:val="16"/>
          <w:szCs w:val="16"/>
          <w:color w:val="auto"/>
        </w:rPr>
        <w:t>Class A common stock on , there could be greater volatility in the trading price of our Class A common stock during the period immediately following the listing. See also “—The trading price of our Class A common stock may be volatile, and could, upon listing on</w:t>
      </w:r>
    </w:p>
    <w:p>
      <w:pPr>
        <w:spacing w:after="0" w:line="1" w:lineRule="exact"/>
        <w:rPr>
          <w:sz w:val="20"/>
          <w:szCs w:val="20"/>
          <w:color w:val="auto"/>
        </w:rPr>
      </w:pPr>
    </w:p>
    <w:p>
      <w:pPr>
        <w:ind w:left="1820" w:hanging="93"/>
        <w:spacing w:after="0"/>
        <w:tabs>
          <w:tab w:leader="none" w:pos="18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decline significantly and rapidly.”</w:t>
      </w:r>
    </w:p>
    <w:p>
      <w:pPr>
        <w:spacing w:after="0" w:line="116" w:lineRule="exact"/>
        <w:rPr>
          <w:rFonts w:ascii="Arial" w:cs="Arial" w:eastAsia="Arial" w:hAnsi="Arial"/>
          <w:sz w:val="18"/>
          <w:szCs w:val="18"/>
          <w:color w:val="auto"/>
        </w:rPr>
      </w:pPr>
    </w:p>
    <w:p>
      <w:pPr>
        <w:jc w:val="both"/>
        <w:ind w:left="1000" w:right="200" w:hanging="547"/>
        <w:spacing w:after="0" w:line="291" w:lineRule="auto"/>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There is not a fixed or determined number of shares of Class A common stock available for sale in connection with the registration and the listing. Therefore, there can be no assurance that any Registered Stockholders or other existing stockholders will sell any of their shares of</w:t>
      </w:r>
    </w:p>
    <w:p>
      <w:pPr>
        <w:ind w:left="1000" w:right="240"/>
        <w:spacing w:after="0" w:line="281" w:lineRule="auto"/>
        <w:rPr>
          <w:sz w:val="20"/>
          <w:szCs w:val="20"/>
          <w:color w:val="auto"/>
        </w:rPr>
      </w:pPr>
      <w:r>
        <w:rPr>
          <w:rFonts w:ascii="Arial" w:cs="Arial" w:eastAsia="Arial" w:hAnsi="Arial"/>
          <w:sz w:val="16"/>
          <w:szCs w:val="16"/>
          <w:color w:val="auto"/>
        </w:rPr>
        <w:t>Class A common stock, and there may initially be a lack of supply of, or demand for, shares of Class A common stock on . Alternatively, we may have a large number of Registered Stockholders or other existing stockholders who choose to sell their shares of Class A common stock in the near term, resulting in potential oversupply of our Class A common stock, which could adversely impact the</w:t>
      </w:r>
    </w:p>
    <w:p>
      <w:pPr>
        <w:spacing w:after="0" w:line="2" w:lineRule="exact"/>
        <w:rPr>
          <w:sz w:val="20"/>
          <w:szCs w:val="20"/>
          <w:color w:val="auto"/>
        </w:rPr>
      </w:pPr>
    </w:p>
    <w:p>
      <w:pPr>
        <w:ind w:left="1000"/>
        <w:spacing w:after="0"/>
        <w:tabs>
          <w:tab w:leader="none" w:pos="5880" w:val="left"/>
        </w:tabs>
        <w:rPr>
          <w:sz w:val="20"/>
          <w:szCs w:val="20"/>
          <w:color w:val="auto"/>
        </w:rPr>
      </w:pPr>
      <w:r>
        <w:rPr>
          <w:rFonts w:ascii="Arial" w:cs="Arial" w:eastAsia="Arial" w:hAnsi="Arial"/>
          <w:sz w:val="18"/>
          <w:szCs w:val="18"/>
          <w:color w:val="auto"/>
        </w:rPr>
        <w:t>trading price of our Class A common stock once listed on</w:t>
      </w:r>
      <w:r>
        <w:rPr>
          <w:sz w:val="20"/>
          <w:szCs w:val="20"/>
          <w:color w:val="auto"/>
        </w:rPr>
        <w:tab/>
      </w:r>
      <w:r>
        <w:rPr>
          <w:rFonts w:ascii="Arial" w:cs="Arial" w:eastAsia="Arial" w:hAnsi="Arial"/>
          <w:sz w:val="15"/>
          <w:szCs w:val="15"/>
          <w:color w:val="auto"/>
        </w:rPr>
        <w:t>and thereafter.</w:t>
      </w:r>
    </w:p>
    <w:p>
      <w:pPr>
        <w:spacing w:after="0" w:line="116" w:lineRule="exact"/>
        <w:rPr>
          <w:sz w:val="20"/>
          <w:szCs w:val="20"/>
          <w:color w:val="auto"/>
        </w:rPr>
      </w:pPr>
    </w:p>
    <w:p>
      <w:pPr>
        <w:ind w:left="1000" w:hanging="547"/>
        <w:spacing w:after="0" w:line="287" w:lineRule="auto"/>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None of our Registered Stockholders or other existing stockholders have entered into contractual lock-up agreements or other restrictions on transfer. In an underwritten initial public offering, it is customary for an issuer’s officers, directors, and most or all of its other stockholders to enter into a 180-day contractual lock-up arrangement with the underwriters to help promote orderly trading immediately after such initial public offering. Consequently, any of our stockholders, including our directors and officers who own our Class A or Class B common stock and other significant stockholders, may sell any or all of their shares at any time (subject to any restrictions under applicable law, and in the case of shares of Class B common stock, upon conversion of any shares of Class B common stock into Class A common stock at the time of sale), including immediately upon listing. If such sales were to occur in a significant volume in a short period of time following the listing, it may result in an oversupply of our Class A common stock in the market, which could adversely impact the trading price of our Class A common stock. See also “—None of our stockholders are party to any contractual lock-up agreement or other contractual restrictions on transfer. Following our listing, sales of substantial amounts of our Class A common stock in the public markets, or the perception that sales might occur, could cause the trading price of our Class A common stock to decline.”</w:t>
      </w:r>
    </w:p>
    <w:p>
      <w:pPr>
        <w:spacing w:after="0" w:line="77" w:lineRule="exact"/>
        <w:rPr>
          <w:sz w:val="20"/>
          <w:szCs w:val="20"/>
          <w:color w:val="auto"/>
        </w:rPr>
      </w:pPr>
    </w:p>
    <w:p>
      <w:pPr>
        <w:ind w:left="1000" w:hanging="539"/>
        <w:spacing w:after="0" w:line="253" w:lineRule="auto"/>
        <w:tabs>
          <w:tab w:leader="none" w:pos="9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We will not conduct a traditional “roadshow” with underwriters prior to the opening of trading of our Class A common stock on . Instead, we will host an investor day and are engaging in certain other investor education meetings. In advance of the investor day, we plan to announce the date for such day over financial news outlets in a manner consistent with typical corporate outreach to investors. We will prepare an electronic presentation for this investor day, which content will be similar to a traditional roadshow presentation. We will make a version of the presentation publicly available, without restrictions, on our website. There can be no guarantee that the investor day and other investor education meetings will be as effective a method of investor education as a traditional “roadshow” conducted in connection with an underwritten initial public offering. As a result, there may not be efficient or sufficient price discovery with respect to our Class A common stock or sufficient demand among potential investors immediately after our listing, which could result in a more volatile trading price of our Class A common stock.</w:t>
      </w:r>
    </w:p>
    <w:p>
      <w:pPr>
        <w:spacing w:after="0" w:line="196" w:lineRule="exact"/>
        <w:rPr>
          <w:sz w:val="20"/>
          <w:szCs w:val="20"/>
          <w:color w:val="auto"/>
        </w:rPr>
      </w:pPr>
    </w:p>
    <w:p>
      <w:pPr>
        <w:ind w:right="380" w:firstLine="449"/>
        <w:spacing w:after="0" w:line="277" w:lineRule="auto"/>
        <w:rPr>
          <w:sz w:val="20"/>
          <w:szCs w:val="20"/>
          <w:color w:val="auto"/>
        </w:rPr>
      </w:pPr>
      <w:r>
        <w:rPr>
          <w:rFonts w:ascii="Arial" w:cs="Arial" w:eastAsia="Arial" w:hAnsi="Arial"/>
          <w:sz w:val="18"/>
          <w:szCs w:val="18"/>
          <w:color w:val="auto"/>
        </w:rPr>
        <w:t>Such differences from an underwritten initial public offering could result in a volatile trading price for our Class A common stock and uncertain trading volume, which may adversely affect your ability to sell any Class A common stock that you may purchase.</w:t>
      </w:r>
    </w:p>
    <w:p>
      <w:pPr>
        <w:spacing w:after="0" w:line="170"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We have agreed to indemnify certain of the Registered Stockholders for certain claims arising in connection with sales under this prospectus. Large indemnity payments would adversely affect our business, results of operations, and financial condition.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00"/>
          </w:cols>
          <w:pgMar w:left="320" w:top="459" w:right="379" w:bottom="1440" w:gutter="0" w:footer="0" w:header="0"/>
        </w:sectPr>
      </w:pPr>
    </w:p>
    <w:bookmarkStart w:id="40" w:name="page41"/>
    <w:bookmarkEnd w:id="4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20"/>
          </w:cols>
          <w:pgMar w:left="320" w:top="459" w:right="359" w:bottom="1440" w:gutter="0" w:footer="0" w:header="0"/>
        </w:sectPr>
      </w:pPr>
    </w:p>
    <w:p>
      <w:pPr>
        <w:spacing w:after="0" w:line="33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trading price of our Class A common stock may be volatile and could, upon listing on</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decline significantly and rapidly.</w:t>
      </w:r>
    </w:p>
    <w:p>
      <w:pPr>
        <w:spacing w:after="0" w:line="152" w:lineRule="exact"/>
        <w:rPr>
          <w:sz w:val="20"/>
          <w:szCs w:val="20"/>
          <w:color w:val="auto"/>
        </w:rPr>
      </w:pPr>
    </w:p>
    <w:p>
      <w:pPr>
        <w:sectPr>
          <w:pgSz w:w="11900" w:h="16838" w:orient="portrait"/>
          <w:cols w:equalWidth="0" w:num="2">
            <w:col w:w="6700" w:space="720"/>
            <w:col w:w="3800"/>
          </w:cols>
          <w:pgMar w:left="320" w:top="459" w:right="359" w:bottom="1440" w:gutter="0" w:footer="0" w:header="0"/>
          <w:type w:val="continuous"/>
        </w:sectPr>
      </w:pPr>
    </w:p>
    <w:p>
      <w:pPr>
        <w:ind w:right="40" w:firstLine="449"/>
        <w:spacing w:after="0" w:line="287" w:lineRule="auto"/>
        <w:rPr>
          <w:sz w:val="20"/>
          <w:szCs w:val="20"/>
          <w:color w:val="auto"/>
        </w:rPr>
      </w:pPr>
      <w:r>
        <w:rPr>
          <w:rFonts w:ascii="Arial" w:cs="Arial" w:eastAsia="Arial" w:hAnsi="Arial"/>
          <w:sz w:val="16"/>
          <w:szCs w:val="16"/>
          <w:color w:val="auto"/>
        </w:rPr>
        <w:t>The listing of our Class A common stock and the registration of the Registered Stockholders’ shares of Class A common stock is a novel process that is not an underwritten initial public offering. We have engaged certain investment banks to serve as our financial advisors. There will be no book building process and no price at which underwriters initially sell shares to the public to help inform efficient and sufficient price discovery with respect to the</w:t>
      </w:r>
    </w:p>
    <w:p>
      <w:pPr>
        <w:spacing w:after="0" w:line="2" w:lineRule="exact"/>
        <w:rPr>
          <w:sz w:val="20"/>
          <w:szCs w:val="20"/>
          <w:color w:val="auto"/>
        </w:rPr>
      </w:pPr>
    </w:p>
    <w:p>
      <w:pPr>
        <w:spacing w:after="0"/>
        <w:tabs>
          <w:tab w:leader="none" w:pos="2260" w:val="left"/>
        </w:tabs>
        <w:rPr>
          <w:sz w:val="20"/>
          <w:szCs w:val="20"/>
          <w:color w:val="auto"/>
        </w:rPr>
      </w:pPr>
      <w:r>
        <w:rPr>
          <w:rFonts w:ascii="Arial" w:cs="Arial" w:eastAsia="Arial" w:hAnsi="Arial"/>
          <w:sz w:val="18"/>
          <w:szCs w:val="18"/>
          <w:color w:val="auto"/>
        </w:rPr>
        <w:t>opening trades on the</w:t>
      </w:r>
      <w:r>
        <w:rPr>
          <w:sz w:val="20"/>
          <w:szCs w:val="20"/>
          <w:color w:val="auto"/>
        </w:rPr>
        <w:tab/>
      </w:r>
      <w:r>
        <w:rPr>
          <w:rFonts w:ascii="Arial" w:cs="Arial" w:eastAsia="Arial" w:hAnsi="Arial"/>
          <w:sz w:val="13"/>
          <w:szCs w:val="13"/>
          <w:color w:val="auto"/>
        </w:rPr>
        <w:t>.</w:t>
      </w:r>
    </w:p>
    <w:p>
      <w:pPr>
        <w:spacing w:after="0" w:line="211" w:lineRule="exact"/>
        <w:rPr>
          <w:sz w:val="20"/>
          <w:szCs w:val="20"/>
          <w:color w:val="auto"/>
        </w:rPr>
      </w:pPr>
    </w:p>
    <w:p>
      <w:pPr>
        <w:ind w:right="20" w:firstLine="449"/>
        <w:spacing w:after="0" w:line="291" w:lineRule="auto"/>
        <w:rPr>
          <w:sz w:val="20"/>
          <w:szCs w:val="20"/>
          <w:color w:val="auto"/>
        </w:rPr>
      </w:pPr>
      <w:r>
        <w:rPr>
          <w:rFonts w:ascii="Arial" w:cs="Arial" w:eastAsia="Arial" w:hAnsi="Arial"/>
          <w:sz w:val="16"/>
          <w:szCs w:val="16"/>
          <w:color w:val="auto"/>
        </w:rPr>
        <w:t>Moreover, prior to the opening trade, there will not be a price at which underwriters initially sell shares of Class A common stock to the public as there would be in an underwritten initial public offering. The absence of a predetermined initial public offering price could impact the range of buy and sell</w:t>
      </w:r>
    </w:p>
    <w:p>
      <w:pPr>
        <w:spacing w:after="0" w:line="260" w:lineRule="auto"/>
        <w:rPr>
          <w:sz w:val="20"/>
          <w:szCs w:val="20"/>
          <w:color w:val="auto"/>
        </w:rPr>
      </w:pPr>
      <w:r>
        <w:rPr>
          <w:rFonts w:ascii="Arial" w:cs="Arial" w:eastAsia="Arial" w:hAnsi="Arial"/>
          <w:sz w:val="18"/>
          <w:szCs w:val="18"/>
          <w:color w:val="auto"/>
        </w:rPr>
        <w:t>orders collected by from various broker-dealers. Consequently, upon listing on , the trading price of our Class A common stock may be more volatile than in an underwritten initial public offering and could decline significantly and rapidly.</w:t>
      </w:r>
    </w:p>
    <w:p>
      <w:pPr>
        <w:spacing w:after="0" w:line="185" w:lineRule="exact"/>
        <w:rPr>
          <w:sz w:val="20"/>
          <w:szCs w:val="20"/>
          <w:color w:val="auto"/>
        </w:rPr>
      </w:pPr>
    </w:p>
    <w:p>
      <w:pPr>
        <w:ind w:right="20" w:firstLine="449"/>
        <w:spacing w:after="0" w:line="279" w:lineRule="auto"/>
        <w:rPr>
          <w:sz w:val="20"/>
          <w:szCs w:val="20"/>
          <w:color w:val="auto"/>
        </w:rPr>
      </w:pPr>
      <w:r>
        <w:rPr>
          <w:rFonts w:ascii="Arial" w:cs="Arial" w:eastAsia="Arial" w:hAnsi="Arial"/>
          <w:sz w:val="17"/>
          <w:szCs w:val="17"/>
          <w:color w:val="auto"/>
        </w:rPr>
        <w:t>Further, if the trading price of our Class A common stock is above the level that investors determine is reasonable for our Class A common stock, some investors may attempt to short our Class A common stock after trading begins, which would create additional downward pressure on the trading price of our Class A common stock, and there will be more ability for such investors to short our Class A common stock in early trading than is typical for an underwritten public offering given the lack of contractual lock-up agreements or other restrictions on transfer.</w:t>
      </w:r>
    </w:p>
    <w:p>
      <w:pPr>
        <w:spacing w:after="0" w:line="171" w:lineRule="exact"/>
        <w:rPr>
          <w:sz w:val="20"/>
          <w:szCs w:val="20"/>
          <w:color w:val="auto"/>
        </w:rPr>
      </w:pPr>
    </w:p>
    <w:p>
      <w:pPr>
        <w:ind w:right="300" w:firstLine="449"/>
        <w:spacing w:after="0" w:line="277" w:lineRule="auto"/>
        <w:rPr>
          <w:sz w:val="20"/>
          <w:szCs w:val="20"/>
          <w:color w:val="auto"/>
        </w:rPr>
      </w:pPr>
      <w:r>
        <w:rPr>
          <w:rFonts w:ascii="Arial" w:cs="Arial" w:eastAsia="Arial" w:hAnsi="Arial"/>
          <w:sz w:val="18"/>
          <w:szCs w:val="18"/>
          <w:color w:val="auto"/>
        </w:rPr>
        <w:t>The trading price of our Class A common stock following the listing also could be subject to wide fluctuations in response to numerous factors in addition to the ones described in the preceding Risk Factors, many of which are beyond our control, including:</w:t>
      </w:r>
    </w:p>
    <w:p>
      <w:pPr>
        <w:spacing w:after="0" w:line="76" w:lineRule="exact"/>
        <w:rPr>
          <w:sz w:val="20"/>
          <w:szCs w:val="20"/>
          <w:color w:val="auto"/>
        </w:rPr>
      </w:pPr>
    </w:p>
    <w:p>
      <w:pPr>
        <w:ind w:left="1000" w:hanging="547"/>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actual or anticipated fluctuations in our results of operations;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number of shares of our Class A common stock made available for trading;</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overall performance of the equity markets and the economy as a whole;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financial projections we may provide to the public or our failure to meet these projections;</w:t>
      </w:r>
    </w:p>
    <w:p>
      <w:pPr>
        <w:spacing w:after="0" w:line="130" w:lineRule="exact"/>
        <w:rPr>
          <w:rFonts w:ascii="Arial" w:cs="Arial" w:eastAsia="Arial" w:hAnsi="Arial"/>
          <w:sz w:val="18"/>
          <w:szCs w:val="18"/>
          <w:color w:val="auto"/>
        </w:rPr>
      </w:pPr>
    </w:p>
    <w:p>
      <w:pPr>
        <w:ind w:left="1000" w:right="220" w:hanging="547"/>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of securities analysts to initiate or maintain coverage of us, changes in financial estimates by any securities analysts who follow our company, or our failure to meet these estimates or the expectations of investors;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pricing of subscription plans to our platform;</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that of our competitors;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anticipated future size or growth rate of our addressable markets;</w:t>
      </w:r>
    </w:p>
    <w:p>
      <w:pPr>
        <w:spacing w:after="0" w:line="130" w:lineRule="exact"/>
        <w:rPr>
          <w:rFonts w:ascii="Arial" w:cs="Arial" w:eastAsia="Arial" w:hAnsi="Arial"/>
          <w:sz w:val="18"/>
          <w:szCs w:val="18"/>
          <w:color w:val="auto"/>
        </w:rPr>
      </w:pPr>
    </w:p>
    <w:p>
      <w:pPr>
        <w:ind w:left="1000" w:right="140" w:hanging="547"/>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of new products, or of acquisitions, strategic partnerships, joint ventures, or capital-raising activities or commitments, by us or by our competitors;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additions or departures of board members, management, or key personnel;</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30" w:lineRule="exact"/>
        <w:rPr>
          <w:rFonts w:ascii="Arial" w:cs="Arial" w:eastAsia="Arial" w:hAnsi="Arial"/>
          <w:sz w:val="18"/>
          <w:szCs w:val="18"/>
          <w:color w:val="auto"/>
        </w:rPr>
      </w:pPr>
    </w:p>
    <w:p>
      <w:pPr>
        <w:ind w:left="1000" w:right="480" w:hanging="547"/>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 including those related to data privacy and cyber security in the United States or globally;</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or responses to these events; and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320" w:top="459" w:right="35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sales or expectations with respect to sales of shares of our Class A common stock by us or our security holders.</w:t>
      </w:r>
    </w:p>
    <w:p>
      <w:pPr>
        <w:spacing w:after="0" w:line="225" w:lineRule="exact"/>
        <w:rPr>
          <w:sz w:val="20"/>
          <w:szCs w:val="20"/>
          <w:color w:val="auto"/>
        </w:rPr>
      </w:pPr>
    </w:p>
    <w:p>
      <w:pPr>
        <w:ind w:right="60" w:firstLine="449"/>
        <w:spacing w:after="0" w:line="287" w:lineRule="auto"/>
        <w:rPr>
          <w:sz w:val="20"/>
          <w:szCs w:val="20"/>
          <w:color w:val="auto"/>
        </w:rPr>
      </w:pPr>
      <w:r>
        <w:rPr>
          <w:rFonts w:ascii="Arial" w:cs="Arial" w:eastAsia="Arial" w:hAnsi="Arial"/>
          <w:sz w:val="16"/>
          <w:szCs w:val="16"/>
          <w:color w:val="auto"/>
        </w:rPr>
        <w:t>In addition, stock markets with respect to newly public companies, particularly companies in the technology industry, have experienced significant price and volume fluctuations that have affected and continue to affect the stock prices of these companies. Stock prices of many companies, including technology companies, have fluctuated in a manner often unrelated to the operating performance of those companies. These fluctuations may be even more</w:t>
      </w:r>
    </w:p>
    <w:p>
      <w:pPr>
        <w:spacing w:after="0" w:line="2"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pronounced in the trading market for our Class A common stock shortly following the listing of our Class A common stock on as a result of the supply and demand forces described above. In the past, companies that have experienced volatility in the trading price for their stock have been subject to securities class action litigation. If we were to become involved in securities litigation, it could subject us to substantial costs, divert resources and the attention of management from our business, and adversely affect our business, results of operations, and financial condition.</w:t>
      </w:r>
    </w:p>
    <w:p>
      <w:pPr>
        <w:spacing w:after="0" w:line="2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trading price of our Class A common stock, upon listing on , may have little or no relationship to the historical sales prices of our capital stock in private transactions, and such private transactions have been limited.</w:t>
      </w:r>
    </w:p>
    <w:p>
      <w:pPr>
        <w:spacing w:after="0" w:line="62" w:lineRule="exact"/>
        <w:rPr>
          <w:sz w:val="20"/>
          <w:szCs w:val="20"/>
          <w:color w:val="auto"/>
        </w:rPr>
      </w:pPr>
    </w:p>
    <w:p>
      <w:pPr>
        <w:ind w:left="460"/>
        <w:spacing w:after="0"/>
        <w:tabs>
          <w:tab w:leader="none" w:pos="4920" w:val="left"/>
        </w:tabs>
        <w:rPr>
          <w:sz w:val="20"/>
          <w:szCs w:val="20"/>
          <w:color w:val="auto"/>
        </w:rPr>
      </w:pPr>
      <w:r>
        <w:rPr>
          <w:rFonts w:ascii="Arial" w:cs="Arial" w:eastAsia="Arial" w:hAnsi="Arial"/>
          <w:sz w:val="18"/>
          <w:szCs w:val="18"/>
          <w:color w:val="auto"/>
        </w:rPr>
        <w:t>Prior to the listing of our Class A common stock on</w:t>
      </w:r>
      <w:r>
        <w:rPr>
          <w:sz w:val="20"/>
          <w:szCs w:val="20"/>
          <w:color w:val="auto"/>
        </w:rPr>
        <w:tab/>
      </w:r>
      <w:r>
        <w:rPr>
          <w:rFonts w:ascii="Arial" w:cs="Arial" w:eastAsia="Arial" w:hAnsi="Arial"/>
          <w:sz w:val="16"/>
          <w:szCs w:val="16"/>
          <w:color w:val="auto"/>
        </w:rPr>
        <w:t>, there has been no public market for our capital stock. There has been limited trading</w:t>
      </w:r>
    </w:p>
    <w:p>
      <w:pPr>
        <w:spacing w:after="0" w:line="23" w:lineRule="exact"/>
        <w:rPr>
          <w:sz w:val="20"/>
          <w:szCs w:val="20"/>
          <w:color w:val="auto"/>
        </w:rPr>
      </w:pPr>
    </w:p>
    <w:p>
      <w:pPr>
        <w:jc w:val="both"/>
        <w:ind w:right="120"/>
        <w:spacing w:after="0" w:line="223" w:lineRule="auto"/>
        <w:rPr>
          <w:sz w:val="20"/>
          <w:szCs w:val="20"/>
          <w:color w:val="auto"/>
        </w:rPr>
      </w:pPr>
      <w:r>
        <w:rPr>
          <w:rFonts w:ascii="Arial" w:cs="Arial" w:eastAsia="Arial" w:hAnsi="Arial"/>
          <w:sz w:val="10"/>
          <w:szCs w:val="10"/>
          <w:color w:val="auto"/>
        </w:rPr>
        <w:t>of our capital stock historically in private transactions. In the section titled “Sale Price History of our Capital Stock,” we have provided the historical sales prices of our capital stock in private transactions. However, we have only recently permitted our capital stock to be transferred in private transactions, and given the limited history of sales, this information may have little or no relation to broader market demand for our Class A common stock and thus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initial trading price of our Class A common stock on once trading begins. As a result, you should not place undue reliance on these historical sales prices as they may differ materially from the opening trading prices and subsequent trading prices of our Class A common stock on . For more information about how the initial listing price on will be determined, see the section titled “Plan of Distribution.”</w:t>
      </w:r>
    </w:p>
    <w:p>
      <w:pPr>
        <w:spacing w:after="0" w:line="292"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b w:val="1"/>
          <w:bCs w:val="1"/>
          <w:i w:val="1"/>
          <w:iCs w:val="1"/>
          <w:color w:val="auto"/>
        </w:rPr>
        <w:t>An active, liquid, and orderly market for our Class A common stock may not develop or be sustained. You may be unable to sell your shares of Class A common stock at or above the price at which you purchased them.</w:t>
      </w:r>
    </w:p>
    <w:p>
      <w:pPr>
        <w:spacing w:after="0" w:line="62"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We currently expect our Class A common stock to be listed and traded on . Prior to listing on , there has been no public market for our Class A common stock. Moreover, consistent with Regulation M and other federal securities laws applicable to our listing, we have not consulted with Registered Stockholders or other existing stockholders regarding their desire or plans to sell shares in the public market following the listing or discussed with potential investors their intentions to buy our Class A common stock in the open market. While our Class A common stock may be sold after</w:t>
      </w:r>
    </w:p>
    <w:p>
      <w:pPr>
        <w:spacing w:after="0" w:line="1"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our listing on by the Registered Stockholders pursuant to this prospectus or by our other existing stockholders in accordance with Rule 144 of the Securities Act of 1933, as amended, or the Securities Act, unlike an underwritten initial public offering, there can be no assurance that any Registered Stockholders or other existing stockholders will sell any of their shares of Class A common stock, and there may initially be a lack of supply of, or demand</w:t>
      </w:r>
    </w:p>
    <w:p>
      <w:pPr>
        <w:spacing w:after="0" w:line="2" w:lineRule="exact"/>
        <w:rPr>
          <w:sz w:val="20"/>
          <w:szCs w:val="20"/>
          <w:color w:val="auto"/>
        </w:rPr>
      </w:pPr>
    </w:p>
    <w:p>
      <w:pPr>
        <w:ind w:right="200"/>
        <w:spacing w:after="0" w:line="265" w:lineRule="auto"/>
        <w:rPr>
          <w:sz w:val="20"/>
          <w:szCs w:val="20"/>
          <w:color w:val="auto"/>
        </w:rPr>
      </w:pPr>
      <w:r>
        <w:rPr>
          <w:rFonts w:ascii="Arial" w:cs="Arial" w:eastAsia="Arial" w:hAnsi="Arial"/>
          <w:sz w:val="17"/>
          <w:szCs w:val="17"/>
          <w:color w:val="auto"/>
        </w:rPr>
        <w:t>for, Class A common stock on . Conversely, there can be no assurance that the Registered Stockholders and other existing stockholders will not sell all of their shares of Class A common stock, resulting in an oversupply of our Class A common stock on . In the case of a lack of supply of</w:t>
      </w:r>
    </w:p>
    <w:p>
      <w:pPr>
        <w:ind w:right="220"/>
        <w:spacing w:after="0" w:line="252" w:lineRule="auto"/>
        <w:rPr>
          <w:sz w:val="20"/>
          <w:szCs w:val="20"/>
          <w:color w:val="auto"/>
        </w:rPr>
      </w:pPr>
      <w:r>
        <w:rPr>
          <w:rFonts w:ascii="Arial" w:cs="Arial" w:eastAsia="Arial" w:hAnsi="Arial"/>
          <w:sz w:val="18"/>
          <w:szCs w:val="18"/>
          <w:color w:val="auto"/>
        </w:rPr>
        <w:t>our Class A common stock, the trading price of our Class A common stock may rise to an unsustainable level. Further, institutional investors may be discouraged from purchasing our Class A common stock if they are unable to purchase a block of our Class A common stock in the open market in a sufficient size for their investment objectives due to a potential unwillingness of our existing stockholders to sell a sufficient amount of Class A common stock at the price offered by such institutional investors and the greater influence individual investors have in setting the trading price. If institutional investors are unable to purchase our Class A common stock in a sufficient amount for their investment objectives, the market for our Class A common stock may be more volatile without the influence of</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459"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long-term institutional investors holding significant amounts of our Class A common stock. In the case of a lack of demand for our Class A common stock, the trading price of our Class A common stock could decline significantly and rapidly after our listing. Therefore, an active, liquid, and orderly trading market for our Class A common stock may not initially develop or be sustained, which could significantly depress the trading price of our Class A common stock and/or result in significant volatility, which could affect your ability to sell your shares of Class A common stock.</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largest stockholder will have the ability to influence the outcome of director elections and other matters requiring stockholder approval.</w:t>
      </w:r>
    </w:p>
    <w:p>
      <w:pPr>
        <w:spacing w:after="0" w:line="140" w:lineRule="exact"/>
        <w:rPr>
          <w:sz w:val="20"/>
          <w:szCs w:val="20"/>
          <w:color w:val="auto"/>
        </w:rPr>
      </w:pPr>
    </w:p>
    <w:p>
      <w:pPr>
        <w:ind w:right="80" w:firstLine="449"/>
        <w:spacing w:after="0" w:line="286" w:lineRule="auto"/>
        <w:rPr>
          <w:sz w:val="20"/>
          <w:szCs w:val="20"/>
          <w:color w:val="auto"/>
        </w:rPr>
      </w:pPr>
      <w:r>
        <w:rPr>
          <w:rFonts w:ascii="Arial" w:cs="Arial" w:eastAsia="Arial" w:hAnsi="Arial"/>
          <w:sz w:val="16"/>
          <w:szCs w:val="16"/>
          <w:color w:val="auto"/>
        </w:rPr>
        <w:t>Immediately following the effectiveness of the registration statement of which this prospectus forms a part, Dustin Moskovitz, our co-founder, President, Chief Executive Officer, Chair, and largest stockholder, will beneficially own approximately % of our outstanding Class A common stock and Class B common stock, together as a single class, representing % of the voting power of our capital stock as of , 2020. Additionally, if the 3.5% senior mandatory convertible promissory note due 2025 converts into Class B common stock on or before its maturity date, the number of shares of our Class A</w:t>
      </w:r>
    </w:p>
    <w:p>
      <w:pPr>
        <w:spacing w:after="0" w:line="1" w:lineRule="exact"/>
        <w:rPr>
          <w:sz w:val="20"/>
          <w:szCs w:val="20"/>
          <w:color w:val="auto"/>
        </w:rPr>
      </w:pPr>
    </w:p>
    <w:p>
      <w:pPr>
        <w:ind w:left="780" w:right="460" w:hanging="764"/>
        <w:spacing w:after="0" w:line="250" w:lineRule="auto"/>
        <w:rPr>
          <w:sz w:val="20"/>
          <w:szCs w:val="20"/>
          <w:color w:val="auto"/>
        </w:rPr>
      </w:pPr>
      <w:r>
        <w:rPr>
          <w:rFonts w:ascii="Arial" w:cs="Arial" w:eastAsia="Arial" w:hAnsi="Arial"/>
          <w:sz w:val="18"/>
          <w:szCs w:val="18"/>
          <w:color w:val="auto"/>
        </w:rPr>
        <w:t>common stock beneficially owned by Mr. Moskovitz will increase by a number of shares between 11,282,390 and 18,051,810 shares, or</w:t>
      </w:r>
      <w:r>
        <w:rPr>
          <w:sz w:val="20"/>
          <w:szCs w:val="20"/>
          <w:color w:val="auto"/>
        </w:rPr>
        <w:t xml:space="preserve"> </w:t>
      </w:r>
      <w:r>
        <w:rPr>
          <w:rFonts w:ascii="Arial" w:cs="Arial" w:eastAsia="Arial" w:hAnsi="Arial"/>
          <w:sz w:val="18"/>
          <w:szCs w:val="18"/>
          <w:color w:val="auto"/>
        </w:rPr>
        <w:t>and additional percentage points of our voting power, respectively, based on the outstanding shares of our Class A common stock and Class B</w:t>
      </w:r>
    </w:p>
    <w:p>
      <w:pPr>
        <w:spacing w:after="0" w:line="1"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common stock, together as a single class, as of January 31, 2020. Mr. Moskovitz could exert substantial influence over matters requiring approval by our stockholders. This concentration of ownership may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believe are in your best interest as one of our stockholders.</w:t>
      </w:r>
    </w:p>
    <w:p>
      <w:pPr>
        <w:spacing w:after="0" w:line="2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dual class structure of our common stock has the effect of concentrating voting control with those stockholders who held our capital stock prior to</w:t>
      </w:r>
    </w:p>
    <w:p>
      <w:pPr>
        <w:spacing w:after="0" w:line="58" w:lineRule="exact"/>
        <w:rPr>
          <w:sz w:val="20"/>
          <w:szCs w:val="20"/>
          <w:color w:val="auto"/>
        </w:rPr>
      </w:pPr>
    </w:p>
    <w:p>
      <w:pPr>
        <w:jc w:val="both"/>
        <w:ind w:right="160"/>
        <w:spacing w:after="0" w:line="281" w:lineRule="auto"/>
        <w:rPr>
          <w:sz w:val="20"/>
          <w:szCs w:val="20"/>
          <w:color w:val="auto"/>
        </w:rPr>
      </w:pPr>
      <w:r>
        <w:rPr>
          <w:rFonts w:ascii="Arial" w:cs="Arial" w:eastAsia="Arial" w:hAnsi="Arial"/>
          <w:sz w:val="16"/>
          <w:szCs w:val="16"/>
          <w:b w:val="1"/>
          <w:bCs w:val="1"/>
          <w:i w:val="1"/>
          <w:iCs w:val="1"/>
          <w:color w:val="auto"/>
        </w:rPr>
        <w:t>the listing of our Class A common stock on , including our founders, directors, executive officers, and their respective affiliates, who held in the aggregate % of the voting power of our capital stock as of , 2020. This ownership will limit or preclude your ability to influence</w:t>
      </w:r>
    </w:p>
    <w:p>
      <w:pPr>
        <w:spacing w:after="0" w:line="1" w:lineRule="exact"/>
        <w:rPr>
          <w:sz w:val="20"/>
          <w:szCs w:val="20"/>
          <w:color w:val="auto"/>
        </w:rPr>
      </w:pPr>
    </w:p>
    <w:p>
      <w:pPr>
        <w:ind w:right="480"/>
        <w:spacing w:after="0" w:line="290" w:lineRule="auto"/>
        <w:rPr>
          <w:sz w:val="20"/>
          <w:szCs w:val="20"/>
          <w:color w:val="auto"/>
        </w:rPr>
      </w:pPr>
      <w:r>
        <w:rPr>
          <w:rFonts w:ascii="Arial" w:cs="Arial" w:eastAsia="Arial" w:hAnsi="Arial"/>
          <w:sz w:val="17"/>
          <w:szCs w:val="17"/>
          <w:b w:val="1"/>
          <w:bCs w:val="1"/>
          <w:i w:val="1"/>
          <w:iCs w:val="1"/>
          <w:color w:val="auto"/>
        </w:rPr>
        <w:t>corporate matters, including the election of directors, amendments of our organizational documents, and any merger, consolidation, sale of all or substantially all of our assets, or other major corporate transaction requiring stockholder approval.</w:t>
      </w:r>
    </w:p>
    <w:p>
      <w:pPr>
        <w:spacing w:after="0" w:line="53" w:lineRule="exact"/>
        <w:rPr>
          <w:sz w:val="20"/>
          <w:szCs w:val="20"/>
          <w:color w:val="auto"/>
        </w:rPr>
      </w:pPr>
    </w:p>
    <w:p>
      <w:pPr>
        <w:ind w:left="460"/>
        <w:spacing w:after="0"/>
        <w:tabs>
          <w:tab w:leader="none" w:pos="9820" w:val="left"/>
        </w:tabs>
        <w:rPr>
          <w:sz w:val="20"/>
          <w:szCs w:val="20"/>
          <w:color w:val="auto"/>
        </w:rPr>
      </w:pPr>
      <w:r>
        <w:rPr>
          <w:rFonts w:ascii="Arial" w:cs="Arial" w:eastAsia="Arial" w:hAnsi="Arial"/>
          <w:sz w:val="18"/>
          <w:szCs w:val="18"/>
          <w:color w:val="auto"/>
        </w:rPr>
        <w:t>Our Class B common stock has 10 votes per share, and our Class A common stock, which is the stock we are listing on</w:t>
      </w:r>
      <w:r>
        <w:rPr>
          <w:sz w:val="20"/>
          <w:szCs w:val="20"/>
          <w:color w:val="auto"/>
        </w:rPr>
        <w:tab/>
      </w:r>
      <w:r>
        <w:rPr>
          <w:rFonts w:ascii="Arial" w:cs="Arial" w:eastAsia="Arial" w:hAnsi="Arial"/>
          <w:sz w:val="15"/>
          <w:szCs w:val="15"/>
          <w:color w:val="auto"/>
        </w:rPr>
        <w:t>and is being</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directors, executive officers, and their affiliates held in the aggregate % of the voting power of our capital stock. Because of the 10-to-one voting ratio between our Class B and Class A common stock, the holders of our Class B common stock collectively could continue to control a significant percentage of the combined voting power of our common stock and therefore be able to control all matters submitted to our stockholders for approval until the date of automatic conversion described below, when all outstanding shares of Class B common stock and Class A common stock will convert automatically into shares of a single class of common stock. This concentrated control may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believe are in your best interest as one of our stockholders.</w:t>
      </w:r>
    </w:p>
    <w:p>
      <w:pPr>
        <w:spacing w:after="0" w:line="178" w:lineRule="exact"/>
        <w:rPr>
          <w:sz w:val="20"/>
          <w:szCs w:val="20"/>
          <w:color w:val="auto"/>
        </w:rPr>
      </w:pPr>
    </w:p>
    <w:p>
      <w:pPr>
        <w:ind w:right="80" w:firstLine="449"/>
        <w:spacing w:after="0" w:line="291" w:lineRule="auto"/>
        <w:rPr>
          <w:sz w:val="20"/>
          <w:szCs w:val="20"/>
          <w:color w:val="auto"/>
        </w:rPr>
      </w:pPr>
      <w:r>
        <w:rPr>
          <w:rFonts w:ascii="Arial" w:cs="Arial" w:eastAsia="Arial" w:hAnsi="Arial"/>
          <w:sz w:val="16"/>
          <w:szCs w:val="16"/>
          <w:color w:val="auto"/>
        </w:rPr>
        <w:t>Future transfers by holders of Class B common stock will generally result in those shares converting to Class A common stock, subject to limited exceptions, such as certain transfers effected for estate planning purposes. In addition, each share of Class B common stock will convert automatically into</w:t>
      </w:r>
    </w:p>
    <w:p>
      <w:pPr>
        <w:spacing w:after="0"/>
        <w:tabs>
          <w:tab w:leader="none" w:pos="6820" w:val="left"/>
        </w:tabs>
        <w:rPr>
          <w:sz w:val="20"/>
          <w:szCs w:val="20"/>
          <w:color w:val="auto"/>
        </w:rPr>
      </w:pPr>
      <w:r>
        <w:rPr>
          <w:rFonts w:ascii="Arial" w:cs="Arial" w:eastAsia="Arial" w:hAnsi="Arial"/>
          <w:sz w:val="18"/>
          <w:szCs w:val="18"/>
          <w:color w:val="auto"/>
        </w:rPr>
        <w:t>one share of Class A common stock upon the date that is the earlier of (i)</w:t>
      </w:r>
      <w:r>
        <w:rPr>
          <w:sz w:val="20"/>
          <w:szCs w:val="20"/>
          <w:color w:val="auto"/>
        </w:rPr>
        <w:tab/>
      </w:r>
      <w:r>
        <w:rPr>
          <w:rFonts w:ascii="Arial" w:cs="Arial" w:eastAsia="Arial" w:hAnsi="Arial"/>
          <w:sz w:val="16"/>
          <w:szCs w:val="16"/>
          <w:color w:val="auto"/>
        </w:rPr>
        <w:t>or (ii) the later of the date that is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459"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tabs>
          <w:tab w:leader="none" w:pos="960" w:val="left"/>
          <w:tab w:leader="none" w:pos="2200" w:val="left"/>
        </w:tabs>
        <w:rPr>
          <w:sz w:val="20"/>
          <w:szCs w:val="20"/>
          <w:color w:val="auto"/>
        </w:rPr>
      </w:pP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and (y)</w:t>
      </w:r>
      <w:r>
        <w:rPr>
          <w:sz w:val="20"/>
          <w:szCs w:val="20"/>
          <w:color w:val="auto"/>
        </w:rPr>
        <w:tab/>
      </w:r>
      <w:r>
        <w:rPr>
          <w:rFonts w:ascii="Arial" w:cs="Arial" w:eastAsia="Arial" w:hAnsi="Arial"/>
          <w:sz w:val="16"/>
          <w:szCs w:val="16"/>
          <w:color w:val="auto"/>
        </w:rPr>
        <w:t>. The conversion of Class B common stock to Class A common stock will have the effect, over time, of increasing the</w:t>
      </w:r>
    </w:p>
    <w:p>
      <w:pPr>
        <w:spacing w:after="0" w:line="2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relative voting power of those holders of Class B common stock who retain their shares over the long term. As a result, it is possible that, in addition to Mr. Moskovitz, one or more of the persons or entities holding our Class B common stock could gain significant voting control as other holders of Class B common stock sell or otherwise convert their shares into Class A common stock.</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predict the effect our dual class structure may have on the trading price of our Class A common stock.</w:t>
      </w:r>
    </w:p>
    <w:p>
      <w:pPr>
        <w:spacing w:after="0" w:line="117" w:lineRule="exact"/>
        <w:rPr>
          <w:sz w:val="20"/>
          <w:szCs w:val="20"/>
          <w:color w:val="auto"/>
        </w:rPr>
      </w:pPr>
    </w:p>
    <w:p>
      <w:pPr>
        <w:ind w:firstLine="449"/>
        <w:spacing w:after="0" w:line="285" w:lineRule="auto"/>
        <w:rPr>
          <w:sz w:val="20"/>
          <w:szCs w:val="20"/>
          <w:color w:val="auto"/>
        </w:rPr>
      </w:pPr>
      <w:r>
        <w:rPr>
          <w:rFonts w:ascii="Arial" w:cs="Arial" w:eastAsia="Arial" w:hAnsi="Arial"/>
          <w:sz w:val="16"/>
          <w:szCs w:val="16"/>
          <w:color w:val="auto"/>
        </w:rPr>
        <w:t>We cannot predict whether our dual class structure will result in a lower or more volatile trading price of our Class A common stock, in adverse publicity, or other adverse consequences. For example, certain index providers have announced restrictions on including companies with multiple-class share structures in certain of their indices. In July 2017, FTSE Russell announced that it plans to require new constituents of its indices to have greater than 5% of the company’s voting rights in the hands of public stockholders, and S&amp;P Dow Jones announced that it will no longer admit companies with multiple-class share structures to certain of its indices. Affected indices include the Russell 2000 and the S&amp;P 500, S&amp;P MidCap 400, and S&amp;P SmallCap 600, which together make up the S&amp;P Composite 1500. Also in 2017, MSCI, a leading stock index provider, opened public consultations on their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Under such announced policies, the dual class structure of our common stock would make us ineligible for inclusion in certain indices and, as a result, mutual funds, exchange-traded funds, and other investment vehicles that attempt to passively track those indices would not invest in our Class A common stock. These policies are relatively new and it is unclear what effect, if any, they will have on the valuations of publicly-traded companies excluded from such indices, but it is possible that they may depress valuations, as compared to similar companies that are included. Because of the dual class structure of our common stock, we will likely be excluded from certain indices, and we cannot assure you that other stock indices will not take similar actions. Given the sustained flow of investment funds into passive strategies that seek to track certain indices, exclusion from certain stock indices would likely preclude investment by many of these funds and would make our Class A common stock less attractive to other investors. As a result, the trading price of our Class A common stock could be adversely affected.</w:t>
      </w:r>
    </w:p>
    <w:p>
      <w:pPr>
        <w:spacing w:after="0" w:line="28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None of our stockholders are party to any contractual lock-up agreement or other contractual restrictions on transfer. Following our listing, sales of substantial amounts of our Class A common stock in the public markets, or the perception that sales might occur, could cause the trading price of our Class A common stock to decline.</w:t>
      </w:r>
    </w:p>
    <w:p>
      <w:pPr>
        <w:spacing w:after="0" w:line="76"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color w:val="auto"/>
        </w:rPr>
        <w:t>In addition to the supply and demand and volatility factors discussed above, sales of a substantial number of shares of our Class A common stock into the public market, particularly sales by our founders, directors, executive officers, and principal stockholders, or the perception that these sales might occur in large quantities, could cause the trading price of our Class A common stock to decline.</w:t>
      </w:r>
    </w:p>
    <w:p>
      <w:pPr>
        <w:spacing w:after="0" w:line="184" w:lineRule="exact"/>
        <w:rPr>
          <w:sz w:val="20"/>
          <w:szCs w:val="20"/>
          <w:color w:val="auto"/>
        </w:rPr>
      </w:pPr>
    </w:p>
    <w:p>
      <w:pPr>
        <w:ind w:left="460"/>
        <w:spacing w:after="0"/>
        <w:tabs>
          <w:tab w:leader="none" w:pos="1600" w:val="left"/>
        </w:tabs>
        <w:rPr>
          <w:sz w:val="20"/>
          <w:szCs w:val="20"/>
          <w:color w:val="auto"/>
        </w:rPr>
      </w:pPr>
      <w:r>
        <w:rPr>
          <w:rFonts w:ascii="Arial" w:cs="Arial" w:eastAsia="Arial" w:hAnsi="Arial"/>
          <w:sz w:val="18"/>
          <w:szCs w:val="18"/>
          <w:color w:val="auto"/>
        </w:rPr>
        <w:t>As of</w:t>
      </w:r>
      <w:r>
        <w:rPr>
          <w:sz w:val="20"/>
          <w:szCs w:val="20"/>
          <w:color w:val="auto"/>
        </w:rPr>
        <w:tab/>
      </w:r>
      <w:r>
        <w:rPr>
          <w:rFonts w:ascii="Arial" w:cs="Arial" w:eastAsia="Arial" w:hAnsi="Arial"/>
          <w:sz w:val="16"/>
          <w:szCs w:val="16"/>
          <w:color w:val="auto"/>
        </w:rPr>
        <w:t>, 2020, giving effect to the conversion of all outstanding shares of our preferred stock to shares of Class B common stock upon the</w:t>
      </w:r>
    </w:p>
    <w:p>
      <w:pPr>
        <w:spacing w:after="0" w:line="23" w:lineRule="exact"/>
        <w:rPr>
          <w:sz w:val="20"/>
          <w:szCs w:val="20"/>
          <w:color w:val="auto"/>
        </w:rPr>
      </w:pPr>
    </w:p>
    <w:p>
      <w:pPr>
        <w:spacing w:after="0"/>
        <w:tabs>
          <w:tab w:leader="none" w:pos="7120" w:val="left"/>
        </w:tabs>
        <w:rPr>
          <w:sz w:val="20"/>
          <w:szCs w:val="20"/>
          <w:color w:val="auto"/>
        </w:rPr>
      </w:pPr>
      <w:r>
        <w:rPr>
          <w:rFonts w:ascii="Arial" w:cs="Arial" w:eastAsia="Arial" w:hAnsi="Arial"/>
          <w:sz w:val="18"/>
          <w:szCs w:val="18"/>
          <w:color w:val="auto"/>
        </w:rPr>
        <w:t>effectiveness of the registration statement of which this prospectus forms a part, we had</w:t>
      </w:r>
      <w:r>
        <w:rPr>
          <w:sz w:val="20"/>
          <w:szCs w:val="20"/>
          <w:color w:val="auto"/>
        </w:rPr>
        <w:tab/>
      </w:r>
      <w:r>
        <w:rPr>
          <w:rFonts w:ascii="Arial" w:cs="Arial" w:eastAsia="Arial" w:hAnsi="Arial"/>
          <w:sz w:val="16"/>
          <w:szCs w:val="16"/>
          <w:color w:val="auto"/>
        </w:rPr>
        <w:t>shares of common stock outstanding, of which</w:t>
      </w:r>
    </w:p>
    <w:p>
      <w:pPr>
        <w:spacing w:after="0" w:line="9" w:lineRule="exact"/>
        <w:rPr>
          <w:sz w:val="20"/>
          <w:szCs w:val="20"/>
          <w:color w:val="auto"/>
        </w:rPr>
      </w:pPr>
    </w:p>
    <w:p>
      <w:pPr>
        <w:ind w:left="780"/>
        <w:spacing w:after="0"/>
        <w:tabs>
          <w:tab w:leader="none" w:pos="3780" w:val="left"/>
        </w:tabs>
        <w:rPr>
          <w:sz w:val="20"/>
          <w:szCs w:val="20"/>
          <w:color w:val="auto"/>
        </w:rPr>
      </w:pPr>
      <w:r>
        <w:rPr>
          <w:rFonts w:ascii="Arial" w:cs="Arial" w:eastAsia="Arial" w:hAnsi="Arial"/>
          <w:sz w:val="18"/>
          <w:szCs w:val="18"/>
          <w:color w:val="auto"/>
        </w:rPr>
        <w:t>are Class B common stock and</w:t>
      </w:r>
      <w:r>
        <w:rPr>
          <w:sz w:val="20"/>
          <w:szCs w:val="20"/>
          <w:color w:val="auto"/>
        </w:rPr>
        <w:tab/>
      </w:r>
      <w:r>
        <w:rPr>
          <w:rFonts w:ascii="Arial" w:cs="Arial" w:eastAsia="Arial" w:hAnsi="Arial"/>
          <w:sz w:val="16"/>
          <w:szCs w:val="16"/>
          <w:color w:val="auto"/>
        </w:rPr>
        <w:t>are Class A common stock, all of which are “restricted securities” (as defined in Rule 144 under the</w:t>
      </w:r>
    </w:p>
    <w:p>
      <w:pPr>
        <w:spacing w:after="0" w:line="9" w:lineRule="exact"/>
        <w:rPr>
          <w:sz w:val="20"/>
          <w:szCs w:val="20"/>
          <w:color w:val="auto"/>
        </w:rPr>
      </w:pPr>
    </w:p>
    <w:p>
      <w:pPr>
        <w:spacing w:after="0"/>
        <w:tabs>
          <w:tab w:leader="none" w:pos="3060" w:val="left"/>
        </w:tabs>
        <w:rPr>
          <w:sz w:val="20"/>
          <w:szCs w:val="20"/>
          <w:color w:val="auto"/>
        </w:rPr>
      </w:pPr>
      <w:r>
        <w:rPr>
          <w:rFonts w:ascii="Arial" w:cs="Arial" w:eastAsia="Arial" w:hAnsi="Arial"/>
          <w:sz w:val="18"/>
          <w:szCs w:val="18"/>
          <w:color w:val="auto"/>
        </w:rPr>
        <w:t>Securities Act). Approximately</w:t>
      </w:r>
      <w:r>
        <w:rPr>
          <w:sz w:val="20"/>
          <w:szCs w:val="20"/>
          <w:color w:val="auto"/>
        </w:rPr>
        <w:tab/>
      </w:r>
      <w:r>
        <w:rPr>
          <w:rFonts w:ascii="Arial" w:cs="Arial" w:eastAsia="Arial" w:hAnsi="Arial"/>
          <w:sz w:val="16"/>
          <w:szCs w:val="16"/>
          <w:color w:val="auto"/>
        </w:rPr>
        <w:t>of these shares may be converted to Class A common stock and then immediately sold either by the Registered</w:t>
      </w:r>
    </w:p>
    <w:p>
      <w:pPr>
        <w:spacing w:after="0" w:line="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Stockholders pursuant to this prospectus or by our other existing stockholders under Rule 144 since such shares held by such other stockholders will have been beneficially owned by non-affiliates for at least one year. Moreover, once we have been a reporting company subject to the reporting requirements of Section 13 or Section 15(d) of the Exchange Act for 90 days and assuming the availability of certain public information about us, (i) non-affiliates who have beneficially owned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459" w:right="3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common stock for at least six months may rely on Rule 144 to sell their shares of common stock, and (ii) our directors, executive officers, and other affiliates who have beneficially owned our common stock for at least six months, including certain of the shares of Class A common stock covered by this prospectus to the extent not sold hereunder, will be entitled to sell their shares of our Class A common stock subject to volume limitations under Rule 144 and various vesting agreements.</w:t>
      </w:r>
    </w:p>
    <w:p>
      <w:pPr>
        <w:spacing w:after="0" w:line="187" w:lineRule="exact"/>
        <w:rPr>
          <w:sz w:val="20"/>
          <w:szCs w:val="20"/>
          <w:color w:val="auto"/>
        </w:rPr>
      </w:pPr>
    </w:p>
    <w:p>
      <w:pPr>
        <w:jc w:val="center"/>
        <w:ind w:right="80"/>
        <w:spacing w:after="0"/>
        <w:tabs>
          <w:tab w:leader="none" w:pos="740" w:val="left"/>
          <w:tab w:leader="none" w:pos="780" w:val="left"/>
        </w:tabs>
        <w:rPr>
          <w:sz w:val="20"/>
          <w:szCs w:val="20"/>
          <w:color w:val="auto"/>
        </w:rPr>
      </w:pPr>
      <w:r>
        <w:rPr>
          <w:rFonts w:ascii="Arial" w:cs="Arial" w:eastAsia="Arial" w:hAnsi="Arial"/>
          <w:sz w:val="18"/>
          <w:szCs w:val="18"/>
          <w:color w:val="auto"/>
        </w:rPr>
        <w:t>Further, as of</w:t>
      </w:r>
      <w:r>
        <w:rPr>
          <w:sz w:val="20"/>
          <w:szCs w:val="20"/>
          <w:color w:val="auto"/>
        </w:rPr>
        <w:tab/>
      </w:r>
      <w:r>
        <w:rPr>
          <w:rFonts w:ascii="Arial" w:cs="Arial" w:eastAsia="Arial" w:hAnsi="Arial"/>
          <w:sz w:val="18"/>
          <w:szCs w:val="18"/>
          <w:color w:val="auto"/>
        </w:rPr>
        <w:t>, 2020, we had</w:t>
      </w:r>
      <w:r>
        <w:rPr>
          <w:sz w:val="20"/>
          <w:szCs w:val="20"/>
          <w:color w:val="auto"/>
        </w:rPr>
        <w:tab/>
      </w:r>
      <w:r>
        <w:rPr>
          <w:rFonts w:ascii="Arial" w:cs="Arial" w:eastAsia="Arial" w:hAnsi="Arial"/>
          <w:sz w:val="16"/>
          <w:szCs w:val="16"/>
          <w:color w:val="auto"/>
        </w:rPr>
        <w:t>options outstanding that, if fully exercised, would result in the issuance of shares of Class A</w:t>
      </w:r>
    </w:p>
    <w:p>
      <w:pPr>
        <w:spacing w:after="0" w:line="23" w:lineRule="exact"/>
        <w:rPr>
          <w:sz w:val="20"/>
          <w:szCs w:val="20"/>
          <w:color w:val="auto"/>
        </w:rPr>
      </w:pPr>
    </w:p>
    <w:p>
      <w:pPr>
        <w:jc w:val="center"/>
        <w:ind w:right="60"/>
        <w:spacing w:after="0"/>
        <w:tabs>
          <w:tab w:leader="none" w:pos="780" w:val="left"/>
        </w:tabs>
        <w:rPr>
          <w:sz w:val="20"/>
          <w:szCs w:val="20"/>
          <w:color w:val="auto"/>
        </w:rPr>
      </w:pPr>
      <w:r>
        <w:rPr>
          <w:rFonts w:ascii="Arial" w:cs="Arial" w:eastAsia="Arial" w:hAnsi="Arial"/>
          <w:sz w:val="18"/>
          <w:szCs w:val="18"/>
          <w:color w:val="auto"/>
        </w:rPr>
        <w:t>common stock, as well as</w:t>
      </w:r>
      <w:r>
        <w:rPr>
          <w:sz w:val="20"/>
          <w:szCs w:val="20"/>
          <w:color w:val="auto"/>
        </w:rPr>
        <w:tab/>
      </w:r>
      <w:r>
        <w:rPr>
          <w:rFonts w:ascii="Arial" w:cs="Arial" w:eastAsia="Arial" w:hAnsi="Arial"/>
          <w:sz w:val="16"/>
          <w:szCs w:val="16"/>
          <w:color w:val="auto"/>
        </w:rPr>
        <w:t>shares of Class A common stock subject to RSU awards. All of the shares of Class A common stock issuable upon the</w:t>
      </w:r>
    </w:p>
    <w:p>
      <w:pPr>
        <w:spacing w:after="0" w:line="9"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exercise of stock options, subject to RSU awards, and reserved for future issuance under our equity incentive plans, will be registered for public resale under the Securities Act. Accordingly, these shares will be able to be freely sold in the public market upon issuance, subject to applicable vesting requirements and compliance by affiliates with Rule 144.</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of our securityholders are subject to any contractual lock-up or other restriction on the transfer or sale of their shares.</w:t>
      </w:r>
    </w:p>
    <w:p>
      <w:pPr>
        <w:spacing w:after="0" w:line="225" w:lineRule="exact"/>
        <w:rPr>
          <w:sz w:val="20"/>
          <w:szCs w:val="20"/>
          <w:color w:val="auto"/>
        </w:rPr>
      </w:pPr>
    </w:p>
    <w:p>
      <w:pPr>
        <w:jc w:val="both"/>
        <w:ind w:right="140" w:firstLine="449"/>
        <w:spacing w:after="0" w:line="257" w:lineRule="auto"/>
        <w:rPr>
          <w:sz w:val="20"/>
          <w:szCs w:val="20"/>
          <w:color w:val="auto"/>
        </w:rPr>
      </w:pPr>
      <w:r>
        <w:rPr>
          <w:rFonts w:ascii="Arial" w:cs="Arial" w:eastAsia="Arial" w:hAnsi="Arial"/>
          <w:sz w:val="18"/>
          <w:szCs w:val="18"/>
          <w:color w:val="auto"/>
        </w:rPr>
        <w:t>Following the effectiveness of the registration statement of which this prospectus forms a part, the holders of up to shares of our Class B common stock will have rights, subject to some conditions, to require us to file registration statements for the public resale of the Class A common stock issuable upon conversion of such shares or to include such shares in registration statements that we may file for us or other stockholders. Any registration statement we file to register additional shares, whether as a result of registration rights or otherwise, could cause the trading price of our Class A common stock to decline or be volatile.</w:t>
      </w:r>
    </w:p>
    <w:p>
      <w:pPr>
        <w:spacing w:after="0" w:line="29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Our business and financial performance may differ from any projections that we disclose or any information that may be attributed to us by third parties.</w:t>
      </w:r>
    </w:p>
    <w:p>
      <w:pPr>
        <w:spacing w:after="0" w:line="62" w:lineRule="exact"/>
        <w:rPr>
          <w:sz w:val="20"/>
          <w:szCs w:val="20"/>
          <w:color w:val="auto"/>
        </w:rPr>
      </w:pPr>
    </w:p>
    <w:p>
      <w:pPr>
        <w:ind w:right="200" w:firstLine="449"/>
        <w:spacing w:after="0" w:line="254" w:lineRule="auto"/>
        <w:rPr>
          <w:sz w:val="20"/>
          <w:szCs w:val="20"/>
          <w:color w:val="auto"/>
        </w:rPr>
      </w:pPr>
      <w:r>
        <w:rPr>
          <w:rFonts w:ascii="Arial" w:cs="Arial" w:eastAsia="Arial" w:hAnsi="Arial"/>
          <w:sz w:val="18"/>
          <w:szCs w:val="18"/>
          <w:color w:val="auto"/>
        </w:rPr>
        <w:t>From time to time, we may provide guidance via public disclosures regarding our projected business or financial performance. However, any such projections involve risks, assumptions, and uncertainties, and our actual results could differ materially from such projections. Factors that could cause or contribute to such differences include, but are not limited to, those identified in these Risk Factors, some or all of which are not predictable or within our control. Other unknown or unpredictable factors also could adversely impact our performance, and we undertake no obligation to update or revise any projections, whether as a result of new information, future events, or otherwise. In addition, various news sources, bloggers, and other publishers often make statements regarding our historical or projected business or financial performance, and you should not rely on any such information even if it is attributed directly or indirectly to us.</w:t>
      </w:r>
    </w:p>
    <w:p>
      <w:pPr>
        <w:spacing w:after="0" w:line="30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trading price and trading volume could decline if securities or industry analysts do not publish research about our business, or if they publish unfavorable research.</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Equity research analysts do not currently provide coverage of our Class A common stock, and we cannot assure that any equity research analysts will</w:t>
      </w:r>
    </w:p>
    <w:p>
      <w:pPr>
        <w:spacing w:after="0" w:line="4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adequately provide research coverage of our Class A common stock after the listing of our Class A common stock on . A lack of adequate research coverage may harm the liquidity and trading price of our Class A common stock. To the extent equity research analysts do provide research coverage of our Class A common stock, we will not have any control over the content and opinions included in their reports. The trading price of our Class A common stock could decline if one or more equity research analysts downgrade our stock or publish other unfavorable commentary or research. If one or more equity research analysts cease coverage of our company, or fail to regularly publish reports on us, the demand for our Class A common stock could decrease, which in turn could cause our trading price or trading volume to decline.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00"/>
          </w:cols>
          <w:pgMar w:left="320" w:top="459" w:right="3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executive management and qualified board members.</w:t>
      </w:r>
    </w:p>
    <w:p>
      <w:pPr>
        <w:spacing w:after="0" w:line="62" w:lineRule="exact"/>
        <w:rPr>
          <w:sz w:val="20"/>
          <w:szCs w:val="20"/>
          <w:color w:val="auto"/>
        </w:rPr>
      </w:pPr>
    </w:p>
    <w:p>
      <w:pPr>
        <w:ind w:firstLine="449"/>
        <w:spacing w:after="0" w:line="284" w:lineRule="auto"/>
        <w:rPr>
          <w:sz w:val="20"/>
          <w:szCs w:val="20"/>
          <w:color w:val="auto"/>
        </w:rPr>
      </w:pPr>
      <w:r>
        <w:rPr>
          <w:rFonts w:ascii="Arial" w:cs="Arial" w:eastAsia="Arial" w:hAnsi="Arial"/>
          <w:sz w:val="16"/>
          <w:szCs w:val="16"/>
          <w:color w:val="auto"/>
        </w:rPr>
        <w:t>As a public company, we will be subject to the reporting requirements of the Exchange Act, the listing standards of ,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Furthermore, several members of our management team do not have prior experience in running a public company. For example, the Exchange Act requires, among other things, that we file annual, quarterly, and current reports with respect to our business and results of operations. As a result of the complexity involved in complying with the rules and regulations applicable to public companies, our management’s attention may be diverted from other business concerns, which could harm our business, results of operations, and financial condition. Although we have already hired additional employees to assist us in complying with these requirements, we may need to hire more employees in the future or engage outside consultants, which will increase our operating expenses. 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substantial resources to comply with evolving laws, regulations, and standards, and this investment may result in increased general and administrative expenses and a diversion of management’s time and attention from business operations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 We also expect that being a public company that is subject to these new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members who can serve on our audit committee and compensation committee, and qualified executive officers. As a result of the disclosure obligations required of a public company, our business and financial condition will become more visible, which may result in an increased risk of threatened or actual litigation, including by competitors and other third parties. If such claims are successful, our business, results of operations, and financial condition would be harmed, and even if the claims do not result in litigation or are resolved in our favor, these claims, and the time and resources necessary to resolve them, would divert the resources of our management and harm our business, results of operations, and financial condition.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We have never declared or paid any cash dividends on our capital stock, and we do not intend to pay any cash dividends in the foreseeable future. We expect to retain future earnings, if any, to fund the development and growth of our business. Any future determination to pay dividends on our capital stock will be at the discretion of our board of directors. Accordingly, investors must rely on sales of their Class A common stock after price appreciation, which may never occur, as the only way to realize any future gains on their investments.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stock issuances could result in significant dilution to our stockholders.</w:t>
      </w:r>
    </w:p>
    <w:p>
      <w:pPr>
        <w:spacing w:after="0" w:line="117" w:lineRule="exact"/>
        <w:rPr>
          <w:sz w:val="20"/>
          <w:szCs w:val="20"/>
          <w:color w:val="auto"/>
        </w:rPr>
      </w:pPr>
    </w:p>
    <w:p>
      <w:pPr>
        <w:ind w:right="220" w:firstLine="449"/>
        <w:spacing w:after="0" w:line="259" w:lineRule="auto"/>
        <w:rPr>
          <w:sz w:val="20"/>
          <w:szCs w:val="20"/>
          <w:color w:val="auto"/>
        </w:rPr>
      </w:pPr>
      <w:r>
        <w:rPr>
          <w:rFonts w:ascii="Arial" w:cs="Arial" w:eastAsia="Arial" w:hAnsi="Arial"/>
          <w:sz w:val="18"/>
          <w:szCs w:val="18"/>
          <w:color w:val="auto"/>
        </w:rPr>
        <w:t>We may issue our capital stock or securities convertible into our capital stock from time to time in connection with a financing, acquisition, investments, or otherwise. Additional issuances of our stock will result in dilution to existing holders of our stock. Also, to the extent outstanding stock options to purchase our stock are exercised or RSUs settle, there will be further dilution. The amount of dilution could be substantial depending upon the size of the issuance or exercise. Additionally, in January 2020, we issued and sold to the Dustin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320" w:top="459" w:right="3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Moskovitz Trust, an affiliated trust of Mr. Moskovitz, a 3.5% senior mandatory convertible promissory note due 2025 in the aggregate principal amount of $300.0 million, which will convert into a number of shares of our Class B common stock between 11,282,390 and 18,051,810 shares on or prior to its maturity date. Any such issuances could result in substantial dilution to our existing stockholders and cause the trading price of our Class A common stock to decline.</w:t>
      </w:r>
    </w:p>
    <w:p>
      <w:pPr>
        <w:spacing w:after="0" w:line="295"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b w:val="1"/>
          <w:bCs w:val="1"/>
          <w:i w:val="1"/>
          <w:iCs w:val="1"/>
          <w:color w:val="auto"/>
        </w:rPr>
        <w:t>Certain provisions in our corporate charter documents and under Delaware law may prevent or hinder attempts by our stockholders to change our management or to acquire a controlling interest in us, and the trading price of our Class A common stock may be lower as a result.</w:t>
      </w:r>
    </w:p>
    <w:p>
      <w:pPr>
        <w:spacing w:after="0" w:line="16" w:lineRule="exact"/>
        <w:rPr>
          <w:sz w:val="20"/>
          <w:szCs w:val="20"/>
          <w:color w:val="auto"/>
        </w:rPr>
      </w:pPr>
    </w:p>
    <w:p>
      <w:pPr>
        <w:ind w:right="440" w:firstLine="449"/>
        <w:spacing w:after="0" w:line="286" w:lineRule="auto"/>
        <w:rPr>
          <w:sz w:val="20"/>
          <w:szCs w:val="20"/>
          <w:color w:val="auto"/>
        </w:rPr>
      </w:pPr>
      <w:r>
        <w:rPr>
          <w:rFonts w:ascii="Arial" w:cs="Arial" w:eastAsia="Arial" w:hAnsi="Arial"/>
          <w:sz w:val="17"/>
          <w:szCs w:val="17"/>
          <w:color w:val="auto"/>
        </w:rPr>
        <w:t>There are provisions in our restated certificate of incorporation and restated bylaws, as they will be in effect following the effectiveness of the registration statement of which this prospectus forms a part, that may make it difficult for a third party to acquire, or attempt to acquire, control of our company, even if a change in control were considered favorable by our stockholders. These anti-takeover provisions include:</w:t>
      </w:r>
    </w:p>
    <w:p>
      <w:pPr>
        <w:spacing w:after="0" w:line="71" w:lineRule="exact"/>
        <w:rPr>
          <w:sz w:val="20"/>
          <w:szCs w:val="20"/>
          <w:color w:val="auto"/>
        </w:rPr>
      </w:pPr>
    </w:p>
    <w:p>
      <w:pPr>
        <w:ind w:left="1000" w:hanging="547"/>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classified board of directors so that not all members of our board of directors are elected at one time;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ability of our board of directors to determine the number of directors and to fill any vacancies and newly created directorships;</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requirement that our directors may only be removed for cause;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prohibition on cumulative voting for directors;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requirement of a super-majority to amend some provisions in our restated certificate of incorporation and restated bylaws;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authorization of the issuance of “blank check” preferred stock that our board of directors could use to implement a stockholder rights plan;</w:t>
      </w:r>
    </w:p>
    <w:p>
      <w:pPr>
        <w:spacing w:after="0" w:line="153" w:lineRule="exact"/>
        <w:rPr>
          <w:rFonts w:ascii="Arial" w:cs="Arial" w:eastAsia="Arial" w:hAnsi="Arial"/>
          <w:sz w:val="16"/>
          <w:szCs w:val="16"/>
          <w:color w:val="auto"/>
        </w:rPr>
      </w:pPr>
    </w:p>
    <w:p>
      <w:pPr>
        <w:ind w:left="1000" w:right="40" w:hanging="547"/>
        <w:spacing w:after="0" w:line="259"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for a dual class common stock structure in which holders of our Class B common stock, which has 10 votes per share, have the ability to control the outcome of matters requiring stockholder approval, even if they own significantly less than a majority of the outstanding shares of our Class B and Class A common stock, including the election of directors and significant corporate transactions, such as a merger or other sale of our company or its assets;</w:t>
      </w:r>
    </w:p>
    <w:p>
      <w:pPr>
        <w:spacing w:after="0" w:line="92" w:lineRule="exact"/>
        <w:rPr>
          <w:rFonts w:ascii="Arial" w:cs="Arial" w:eastAsia="Arial" w:hAnsi="Arial"/>
          <w:sz w:val="18"/>
          <w:szCs w:val="18"/>
          <w:color w:val="auto"/>
        </w:rPr>
      </w:pPr>
    </w:p>
    <w:p>
      <w:pPr>
        <w:ind w:left="1000" w:hanging="547"/>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inability of our stockholders to call special meetings of stockholders; and</w:t>
      </w:r>
    </w:p>
    <w:p>
      <w:pPr>
        <w:spacing w:after="0" w:line="130" w:lineRule="exact"/>
        <w:rPr>
          <w:rFonts w:ascii="Arial" w:cs="Arial" w:eastAsia="Arial" w:hAnsi="Arial"/>
          <w:sz w:val="18"/>
          <w:szCs w:val="18"/>
          <w:color w:val="auto"/>
        </w:rPr>
      </w:pPr>
    </w:p>
    <w:p>
      <w:pPr>
        <w:ind w:left="1000" w:right="900" w:hanging="547"/>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prohibition on stockholder actions by written consent, thereby requiring that all stockholder actions be taken at a meeting of our stockholders.</w:t>
      </w:r>
    </w:p>
    <w:p>
      <w:pPr>
        <w:spacing w:after="0" w:line="170"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Moreover, because we are incorporated in Delaware, we are governed by the provisions of Section 203 of the Delaware General Corporation Law, which prohibit a person who owns 15% or more of our outstanding voting stock from merging or combining with us for a three-year period beginning on the date of the transaction in which the person acquired in excess of 15% of our outstanding voting stock, unless the merger or combination is approved in a prescribed manner. Any provision in our restated certificate of incorporation, our restated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286"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b w:val="1"/>
          <w:bCs w:val="1"/>
          <w:i w:val="1"/>
          <w:iCs w:val="1"/>
          <w:color w:val="auto"/>
        </w:rPr>
        <w:t>Our amended and restated certificate of incorporation will designate the Court of Chancery of the State of Delaware and, to the extent enforceable, the federal district courts of the United States of America as the exclusive forums for substantially all disputes between us and our stockholders, which will restrict our stockholders’ ability to choose the judicial forum for disputes with us or our directors, officers, or employees.</w:t>
      </w:r>
    </w:p>
    <w:p>
      <w:pPr>
        <w:spacing w:after="0" w:line="41" w:lineRule="exact"/>
        <w:rPr>
          <w:sz w:val="20"/>
          <w:szCs w:val="20"/>
          <w:color w:val="auto"/>
        </w:rPr>
      </w:pPr>
    </w:p>
    <w:p>
      <w:pPr>
        <w:ind w:right="480" w:firstLine="449"/>
        <w:spacing w:after="0" w:line="277" w:lineRule="auto"/>
        <w:rPr>
          <w:sz w:val="20"/>
          <w:szCs w:val="20"/>
          <w:color w:val="auto"/>
        </w:rPr>
      </w:pPr>
      <w:r>
        <w:rPr>
          <w:rFonts w:ascii="Arial" w:cs="Arial" w:eastAsia="Arial" w:hAnsi="Arial"/>
          <w:sz w:val="18"/>
          <w:szCs w:val="18"/>
          <w:color w:val="auto"/>
        </w:rPr>
        <w:t>Our amended and restated certificate of incorporation, as will be in effect following the effectiveness of the registration statement of which this prospectus forms a part, will provide that the Court of Chancery of the State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459" w:right="3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of Delaware is the exclusive forum for the following types of actions or proceedings under Delaware statutory or common law: any derivative action or proceeding brought on our behalf, any action asserting a breach of a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The provisions would not apply to suits brought to enforce a duty or liability created by the Exchange Act. In addition, our amended and restated certificate of incorporation will provide that the federal district courts of the United States of America will be the exclusive forum for resolving any complaint asserting a cause of action arising under the Securities Act, subject to and contingent upon a final adjudication in the State of Delaware of the enforceability of such exclusive forum provision. These choice of forum provisions may limit a stockholder’s ability to bring a claim in a judicial forum that it finds favorable for disputes with us or our directors, officers, or other employees. If a court were to find either choice of forum provision contained in our amended and restated certificate of incorporation to be inapplicable or unenforceable in an action, we may incur additional costs associated with resolving such action in other jurisdictions. For example, the Court of Chancery of the State of Delaware recently determined that the exclusive forum provision of federal district courts of the United States of America for resolving any complaint asserting a cause of action arising under the Securities Act is not enforceable. However, this decision may be reviewed and ultimately overturned by the Delaware Supreme Court. If this ultimate adjudication were to occur, we would enforce the federal district court exclusive forum provision in our amended and restated certificate of incorporation.</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00"/>
          </w:cols>
          <w:pgMar w:left="320" w:top="459" w:right="3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40" w:firstLine="449"/>
        <w:spacing w:after="0" w:line="286" w:lineRule="auto"/>
        <w:rPr>
          <w:sz w:val="20"/>
          <w:szCs w:val="20"/>
          <w:color w:val="auto"/>
        </w:rPr>
      </w:pPr>
      <w:r>
        <w:rPr>
          <w:rFonts w:ascii="Arial" w:cs="Arial" w:eastAsia="Arial" w:hAnsi="Arial"/>
          <w:sz w:val="16"/>
          <w:szCs w:val="16"/>
          <w:color w:val="auto"/>
        </w:rPr>
        <w:t>This prospectus contains forward-looking statements. All statements contained in this prospectus other than statements of historical fact, including statements regarding our future results of operations, financial position, market size and opportunity, our business strategy and plans, the factors affecting our performance, and our objectives for future operations, are forward-looking statements. The words “believe,” “may,” “will,” “estimate,” “continue,” “anticipate,” “intend,” “could,” “would,” “expect,” “objective,” “plan,” “potential,” “seek,” “grow,” “target,” “if,”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the section titled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prospectus may not occur, and actual results could differ materially and adversely from those anticipated or implied in the forward-looking statements. Forward-looking statements contained in this prospectus include, but are not limited to, statements about:</w:t>
      </w:r>
    </w:p>
    <w:p>
      <w:pPr>
        <w:spacing w:after="0" w:line="79" w:lineRule="exact"/>
        <w:rPr>
          <w:sz w:val="20"/>
          <w:szCs w:val="20"/>
          <w:color w:val="auto"/>
        </w:rPr>
      </w:pPr>
    </w:p>
    <w:p>
      <w:pPr>
        <w:ind w:left="1000" w:right="100" w:hanging="547"/>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grow or maintain our dollar-based net retention rate, expand usage of our platform within organizations, and sell subscriptions to our platform;</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convert individuals, teams, and organizations on our free and trial versions into paying customers;</w:t>
      </w:r>
    </w:p>
    <w:p>
      <w:pPr>
        <w:spacing w:after="0" w:line="130" w:lineRule="exact"/>
        <w:rPr>
          <w:rFonts w:ascii="Arial" w:cs="Arial" w:eastAsia="Arial" w:hAnsi="Arial"/>
          <w:sz w:val="18"/>
          <w:szCs w:val="18"/>
          <w:color w:val="auto"/>
        </w:rPr>
      </w:pPr>
    </w:p>
    <w:p>
      <w:pPr>
        <w:ind w:left="1000" w:right="260" w:hanging="547"/>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and success of new features, integrations, capabilities, and enhancements by us, or by our competitors to their products, or any other changes in the competitive landscape of our market;</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achieve widespread acceptance and use of our platform;</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growth in the work management market;</w:t>
      </w:r>
    </w:p>
    <w:p>
      <w:pPr>
        <w:spacing w:after="0" w:line="130" w:lineRule="exact"/>
        <w:rPr>
          <w:rFonts w:ascii="Arial" w:cs="Arial" w:eastAsia="Arial" w:hAnsi="Arial"/>
          <w:sz w:val="18"/>
          <w:szCs w:val="18"/>
          <w:color w:val="auto"/>
        </w:rPr>
      </w:pPr>
    </w:p>
    <w:p>
      <w:pPr>
        <w:ind w:left="1000" w:right="140" w:hanging="547"/>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amount and timing of operating expenses and capital expenditures, as well as entry into operating leases, that we may incur to maintain and expand our business and operations and to remain competitive;</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focus on growth to drive long-term value;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of expenses and our expectations regarding our cost of revenues, gross margin, and operating expenses;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expansion of our sales and marketing activities;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protections against security breaches, technical difficulties, or interruptions to our platform;</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our ability to successfully defend litigation brought against us, potential dispute-related settlement payments, or other litigation-related costs;</w:t>
      </w:r>
    </w:p>
    <w:p>
      <w:pPr>
        <w:spacing w:after="0" w:line="153" w:lineRule="exact"/>
        <w:rPr>
          <w:rFonts w:ascii="Arial" w:cs="Arial" w:eastAsia="Arial" w:hAnsi="Arial"/>
          <w:sz w:val="16"/>
          <w:szCs w:val="16"/>
          <w:color w:val="auto"/>
        </w:rPr>
      </w:pPr>
    </w:p>
    <w:p>
      <w:pPr>
        <w:ind w:left="1000" w:hanging="547"/>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expectations about additional hiring;</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potential pricing pressure as a result of competition or otherwise;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anticipated fluctuations in foreign currency exchange rates;</w:t>
      </w:r>
    </w:p>
    <w:p>
      <w:pPr>
        <w:spacing w:after="0" w:line="130" w:lineRule="exact"/>
        <w:rPr>
          <w:rFonts w:ascii="Arial" w:cs="Arial" w:eastAsia="Arial" w:hAnsi="Arial"/>
          <w:sz w:val="18"/>
          <w:szCs w:val="18"/>
          <w:color w:val="auto"/>
        </w:rPr>
      </w:pPr>
    </w:p>
    <w:p>
      <w:pPr>
        <w:ind w:left="1000" w:right="240" w:hanging="547"/>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potential costs and the anticipated timing of expenses related to the acquisition of businesses, talent, technologies, or intellectual property, including potentially significant amortization costs and possible write-downs; and</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60"/>
          </w:cols>
          <w:pgMar w:left="320" w:top="459" w:right="4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1320" w:hanging="7"/>
        <w:spacing w:after="0" w:line="563" w:lineRule="auto"/>
        <w:tabs>
          <w:tab w:leader="none" w:pos="1010" w:val="left"/>
        </w:tabs>
        <w:numPr>
          <w:ilvl w:val="0"/>
          <w:numId w:val="29"/>
        </w:numPr>
        <w:rPr>
          <w:rFonts w:ascii="Arial" w:cs="Arial" w:eastAsia="Arial" w:hAnsi="Arial"/>
          <w:sz w:val="16"/>
          <w:szCs w:val="16"/>
          <w:color w:val="auto"/>
        </w:rPr>
      </w:pPr>
      <w:r>
        <w:rPr>
          <w:rFonts w:ascii="Arial" w:cs="Arial" w:eastAsia="Arial" w:hAnsi="Arial"/>
          <w:sz w:val="16"/>
          <w:szCs w:val="16"/>
          <w:color w:val="auto"/>
        </w:rPr>
        <w:t>general economic conditions in either domestic or international markets, including geopolitical uncertainty and instability. We caution you that the foregoing list may not contain all of the forward-looking statements made in this prospectus.</w:t>
      </w:r>
    </w:p>
    <w:p>
      <w:pPr>
        <w:spacing w:after="0" w:line="1"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Except as required by law, we do not intend to update any of these forward-looking statements after the date of this prospectus or to conform these statements to actual results or revised expectations.</w:t>
      </w:r>
    </w:p>
    <w:p>
      <w:pPr>
        <w:spacing w:after="0" w:line="157"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MARKET, INDUSTRY, AND OTHER DATA</w:t>
      </w:r>
    </w:p>
    <w:p>
      <w:pPr>
        <w:spacing w:after="0" w:line="229"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This prospectus contains estimates and information concerning our industry, our business, and the market for our platform, including our general expectations of our market position, market growth forecasts, our market opportunity, and size of the markets in which we participate, that are based on industry publications, surveys, and reports that have been prepared by independent third parties. This information involves a number of assumptions and limitations, and you are cautioned not to give undue weight to these estimates. Although we have not independently verified the accuracy or completeness of the data contained in these industry publications, surveys, and reports, we believe the publications, surveys, and reports are generally reliable, although such information is inherently subject to uncertainties and imprecision. The industry in which we operate is subject to a high degree of uncertainty and risk due to a variety of factors, including those described in the section titled “Risk Factors.” These and other factors could cause results to differ materially from those expressed in these publications and reports.</w:t>
      </w:r>
    </w:p>
    <w:p>
      <w:pPr>
        <w:spacing w:after="0" w:line="178"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The source of certain statistical data, estimates, and forecasts contained in this prospectus are the following industry publications or reports that have been prepared by independent third parties:</w:t>
      </w:r>
    </w:p>
    <w:p>
      <w:pPr>
        <w:spacing w:after="0" w:line="76" w:lineRule="exact"/>
        <w:rPr>
          <w:sz w:val="20"/>
          <w:szCs w:val="20"/>
          <w:color w:val="auto"/>
        </w:rPr>
      </w:pPr>
    </w:p>
    <w:p>
      <w:pPr>
        <w:ind w:left="1000" w:right="300" w:hanging="547"/>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International Data Corporation, Inc., Worldwide Collaborative Applications Forecast, 2019-2023: Accelerating Enterprise Collaboration, June 2019</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International Data Corporation, Inc., Worldwide Project and Portfolio Management Forecast, 2019-2023, June 2019</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McKinsey Global Institute, The Social Economy: Unlocking Value and Productivity Through Social Technologies, July 2012</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Forrester Research, Inc., New Technologies Create The Need To Design For New Categories of Information Workers, September 2019</w:t>
      </w:r>
    </w:p>
    <w:p>
      <w:pPr>
        <w:spacing w:after="0" w:line="153" w:lineRule="exact"/>
        <w:rPr>
          <w:rFonts w:ascii="Arial" w:cs="Arial" w:eastAsia="Arial" w:hAnsi="Arial"/>
          <w:sz w:val="16"/>
          <w:szCs w:val="16"/>
          <w:color w:val="auto"/>
        </w:rPr>
      </w:pPr>
    </w:p>
    <w:p>
      <w:pPr>
        <w:ind w:left="1000" w:hanging="547"/>
        <w:spacing w:after="0"/>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Forrester Research, Inc., The Forrester Wave</w:t>
      </w:r>
      <w:r>
        <w:rPr>
          <w:rFonts w:ascii="Arial" w:cs="Arial" w:eastAsia="Arial" w:hAnsi="Arial"/>
          <w:sz w:val="14"/>
          <w:szCs w:val="14"/>
          <w:color w:val="auto"/>
        </w:rPr>
        <w:t>™</w:t>
      </w:r>
      <w:r>
        <w:rPr>
          <w:rFonts w:ascii="Arial" w:cs="Arial" w:eastAsia="Arial" w:hAnsi="Arial"/>
          <w:sz w:val="17"/>
          <w:szCs w:val="17"/>
          <w:color w:val="auto"/>
        </w:rPr>
        <w:t>: Collaborative Work Management Tools For The Enterprise, Q4 2018, October 2018</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Culture Amp Pty Ltd, FY20 Annual Engagement Survey (December) for Asana, December 2019</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publicly available reports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60"/>
          </w:cols>
          <w:pgMar w:left="320" w:top="459" w:right="4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Registered Stockholders may, or may not, elect to sell shares of our Class A common stock covered by this prospectus. To the extent any Registered Stockholder chooses to sell shares of our Class A common stock covered by this prospectus, we will not receive any proceeds from any such sales of our Class A common stock. See the section titled “Principal and Registered Stockholders.”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We have never declared or paid any cash dividends on our capital stock, and we do not currently intend to pay any cash dividends for the foreseeable future. We expect to retain future earnings, if any, to fund the development and growth of our business. Any future determination to pay dividends on our capital stock will be at the discretion of our board of directors and will depend upon, among other factors, our results of operations, financial condition, current and anticipated cash needs, plans for expansion, and other factors that our board of directors may deem relevant.</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80"/>
          </w:cols>
          <w:pgMar w:left="320" w:top="459" w:right="3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our cash, cash equivalents, and marketable securities, and our capitalization as of January 31, 2020 as follows:</w:t>
      </w:r>
    </w:p>
    <w:p>
      <w:pPr>
        <w:spacing w:after="0" w:line="142" w:lineRule="exact"/>
        <w:rPr>
          <w:sz w:val="20"/>
          <w:szCs w:val="20"/>
          <w:color w:val="auto"/>
        </w:rPr>
      </w:pPr>
    </w:p>
    <w:p>
      <w:pPr>
        <w:ind w:left="1000" w:hanging="547"/>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 an actual basis giving effect to the Reclassification; and</w:t>
      </w:r>
    </w:p>
    <w:p>
      <w:pPr>
        <w:spacing w:after="0" w:line="130" w:lineRule="exact"/>
        <w:rPr>
          <w:rFonts w:ascii="Arial" w:cs="Arial" w:eastAsia="Arial" w:hAnsi="Arial"/>
          <w:sz w:val="18"/>
          <w:szCs w:val="18"/>
          <w:color w:val="auto"/>
        </w:rPr>
      </w:pPr>
    </w:p>
    <w:p>
      <w:pPr>
        <w:ind w:left="1000" w:right="840" w:hanging="547"/>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 a pro forma basis, giving effect to the automatic conversion of all outstanding shares of our preferred stock into an aggregate of shares of our Class B common stock, as if such conversion had occurred on January 31, 2020.</w:t>
      </w:r>
    </w:p>
    <w:p>
      <w:pPr>
        <w:spacing w:after="0" w:line="170" w:lineRule="exact"/>
        <w:rPr>
          <w:sz w:val="20"/>
          <w:szCs w:val="20"/>
          <w:color w:val="auto"/>
        </w:rPr>
      </w:pPr>
    </w:p>
    <w:p>
      <w:pPr>
        <w:ind w:right="320" w:firstLine="449"/>
        <w:spacing w:after="0" w:line="342" w:lineRule="auto"/>
        <w:rPr>
          <w:sz w:val="20"/>
          <w:szCs w:val="20"/>
          <w:color w:val="auto"/>
        </w:rPr>
      </w:pPr>
      <w:r>
        <w:rPr>
          <w:rFonts w:ascii="Arial" w:cs="Arial" w:eastAsia="Arial" w:hAnsi="Arial"/>
          <w:sz w:val="16"/>
          <w:szCs w:val="16"/>
          <w:color w:val="auto"/>
        </w:rPr>
        <w:t>You should read this table together with our consolidated financial statements, and the sections titled “Selected Consolidated Financial Data” and “Management’s Discussion and Analysis of Financial Condition and Results of Operations” that are included elsewhere in this prospectus.</w:t>
      </w:r>
    </w:p>
    <w:p>
      <w:pPr>
        <w:spacing w:after="0" w:line="142" w:lineRule="exact"/>
        <w:rPr>
          <w:sz w:val="20"/>
          <w:szCs w:val="20"/>
          <w:color w:val="auto"/>
        </w:rPr>
      </w:pPr>
    </w:p>
    <w:p>
      <w:pPr>
        <w:ind w:left="9420"/>
        <w:spacing w:after="0"/>
        <w:rPr>
          <w:sz w:val="20"/>
          <w:szCs w:val="20"/>
          <w:color w:val="auto"/>
        </w:rPr>
      </w:pPr>
      <w:r>
        <w:rPr>
          <w:rFonts w:ascii="Arial" w:cs="Arial" w:eastAsia="Arial" w:hAnsi="Arial"/>
          <w:sz w:val="14"/>
          <w:szCs w:val="14"/>
          <w:b w:val="1"/>
          <w:bCs w:val="1"/>
          <w:color w:val="auto"/>
        </w:rPr>
        <w:t>As of January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6350</wp:posOffset>
            </wp:positionV>
            <wp:extent cx="131127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ind w:left="9360"/>
        <w:spacing w:after="0"/>
        <w:tabs>
          <w:tab w:leader="none" w:pos="10320" w:val="left"/>
        </w:tabs>
        <w:rPr>
          <w:sz w:val="20"/>
          <w:szCs w:val="20"/>
          <w:color w:val="auto"/>
        </w:rPr>
      </w:pPr>
      <w:r>
        <w:rPr>
          <w:rFonts w:ascii="Arial" w:cs="Arial" w:eastAsia="Arial" w:hAnsi="Arial"/>
          <w:sz w:val="14"/>
          <w:szCs w:val="14"/>
          <w:b w:val="1"/>
          <w:bCs w:val="1"/>
          <w:color w:val="auto"/>
        </w:rPr>
        <w:t>Actual</w:t>
      </w:r>
      <w:r>
        <w:rPr>
          <w:sz w:val="20"/>
          <w:szCs w:val="20"/>
          <w:color w:val="auto"/>
        </w:rPr>
        <w:tab/>
      </w:r>
      <w:r>
        <w:rPr>
          <w:rFonts w:ascii="Arial" w:cs="Arial" w:eastAsia="Arial" w:hAnsi="Arial"/>
          <w:sz w:val="14"/>
          <w:szCs w:val="14"/>
          <w:b w:val="1"/>
          <w:bCs w:val="1"/>
          <w:color w:val="auto"/>
        </w:rPr>
        <w:t>Pro Forma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-3175</wp:posOffset>
            </wp:positionV>
            <wp:extent cx="13112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jc w:val="center"/>
        <w:ind w:left="9000"/>
        <w:spacing w:after="0" w:line="222" w:lineRule="auto"/>
        <w:rPr>
          <w:sz w:val="20"/>
          <w:szCs w:val="20"/>
          <w:color w:val="auto"/>
        </w:rPr>
      </w:pPr>
      <w:r>
        <w:rPr>
          <w:rFonts w:ascii="Arial" w:cs="Arial" w:eastAsia="Arial" w:hAnsi="Arial"/>
          <w:sz w:val="14"/>
          <w:szCs w:val="14"/>
          <w:b w:val="1"/>
          <w:bCs w:val="1"/>
          <w:color w:val="auto"/>
        </w:rPr>
        <w:t>(in thousands, except per</w:t>
      </w:r>
    </w:p>
    <w:p>
      <w:pPr>
        <w:jc w:val="center"/>
        <w:ind w:left="9000"/>
        <w:spacing w:after="0" w:line="232" w:lineRule="auto"/>
        <w:rPr>
          <w:sz w:val="20"/>
          <w:szCs w:val="20"/>
          <w:color w:val="auto"/>
        </w:rPr>
      </w:pPr>
      <w:r>
        <w:rPr>
          <w:rFonts w:ascii="Arial" w:cs="Arial" w:eastAsia="Arial" w:hAnsi="Arial"/>
          <w:sz w:val="14"/>
          <w:szCs w:val="14"/>
          <w:b w:val="1"/>
          <w:bCs w:val="1"/>
          <w:color w:val="auto"/>
        </w:rPr>
        <w:t>share values)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marketable securities</w:t>
            </w:r>
          </w:p>
        </w:tc>
        <w:tc>
          <w:tcPr>
            <w:tcW w:w="6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8"/>
                <w:szCs w:val="18"/>
                <w:color w:val="auto"/>
              </w:rPr>
              <w:t>Convertible note payable</w:t>
            </w:r>
            <w:r>
              <w:rPr>
                <w:rFonts w:ascii="Arial" w:cs="Arial" w:eastAsia="Arial" w:hAnsi="Arial"/>
                <w:sz w:val="15"/>
                <w:szCs w:val="15"/>
                <w:color w:val="auto"/>
              </w:rPr>
              <w:t>(1)</w:t>
            </w:r>
          </w:p>
        </w:tc>
        <w:tc>
          <w:tcPr>
            <w:tcW w:w="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8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Redeemable convertible preferred stock, $0.00001 par value;</w:t>
            </w:r>
          </w:p>
        </w:tc>
        <w:tc>
          <w:tcPr>
            <w:tcW w:w="2160" w:type="dxa"/>
            <w:vAlign w:val="bottom"/>
            <w:gridSpan w:val="2"/>
            <w:shd w:val="clear" w:color="auto" w:fill="CCEEFF"/>
          </w:tcPr>
          <w:p>
            <w:pPr>
              <w:ind w:left="280"/>
              <w:spacing w:after="0" w:line="201" w:lineRule="exact"/>
              <w:rPr>
                <w:sz w:val="20"/>
                <w:szCs w:val="20"/>
                <w:color w:val="auto"/>
              </w:rPr>
            </w:pPr>
            <w:r>
              <w:rPr>
                <w:rFonts w:ascii="Arial" w:cs="Arial" w:eastAsia="Arial" w:hAnsi="Arial"/>
                <w:sz w:val="18"/>
                <w:szCs w:val="18"/>
                <w:color w:val="auto"/>
              </w:rPr>
              <w:t>shares authorized,</w:t>
            </w:r>
          </w:p>
        </w:tc>
        <w:tc>
          <w:tcPr>
            <w:tcW w:w="4380" w:type="dxa"/>
            <w:vAlign w:val="bottom"/>
            <w:gridSpan w:val="5"/>
            <w:shd w:val="clear" w:color="auto" w:fill="CCEEFF"/>
          </w:tcPr>
          <w:p>
            <w:pPr>
              <w:ind w:left="20"/>
              <w:spacing w:after="0" w:line="201" w:lineRule="exact"/>
              <w:rPr>
                <w:sz w:val="20"/>
                <w:szCs w:val="20"/>
                <w:color w:val="auto"/>
              </w:rPr>
            </w:pPr>
            <w:r>
              <w:rPr>
                <w:rFonts w:ascii="Arial" w:cs="Arial" w:eastAsia="Arial" w:hAnsi="Arial"/>
                <w:sz w:val="18"/>
                <w:szCs w:val="18"/>
                <w:color w:val="auto"/>
              </w:rPr>
              <w:t>shares issued and</w:t>
            </w:r>
          </w:p>
        </w:tc>
        <w:tc>
          <w:tcPr>
            <w:tcW w:w="0" w:type="dxa"/>
            <w:vAlign w:val="bottom"/>
          </w:tcPr>
          <w:p>
            <w:pPr>
              <w:spacing w:after="0"/>
              <w:rPr>
                <w:sz w:val="1"/>
                <w:szCs w:val="1"/>
                <w:color w:val="auto"/>
              </w:rPr>
            </w:pPr>
          </w:p>
        </w:tc>
      </w:tr>
      <w:tr>
        <w:trPr>
          <w:trHeight w:val="230"/>
        </w:trPr>
        <w:tc>
          <w:tcPr>
            <w:tcW w:w="58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1"/>
              </w:rPr>
              <w:t>outstanding, actual; no shares authorized, issued, and outstanding, pro forma</w:t>
            </w:r>
          </w:p>
        </w:tc>
        <w:tc>
          <w:tcPr>
            <w:tcW w:w="100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080" w:type="dxa"/>
            <w:vAlign w:val="bottom"/>
          </w:tcPr>
          <w:p>
            <w:pPr>
              <w:spacing w:after="0"/>
              <w:rPr>
                <w:sz w:val="20"/>
                <w:szCs w:val="20"/>
                <w:color w:val="auto"/>
              </w:rPr>
            </w:pPr>
            <w:r>
              <w:rPr>
                <w:rFonts w:ascii="Arial" w:cs="Arial" w:eastAsia="Arial" w:hAnsi="Arial"/>
                <w:sz w:val="18"/>
                <w:szCs w:val="18"/>
                <w:color w:val="auto"/>
              </w:rPr>
              <w:t>Stockholders’ (deficit) equity:</w:t>
            </w: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860" w:type="dxa"/>
            <w:vAlign w:val="bottom"/>
            <w:gridSpan w:val="4"/>
            <w:shd w:val="clear" w:color="auto" w:fill="CCEEFF"/>
          </w:tcPr>
          <w:p>
            <w:pPr>
              <w:ind w:left="360"/>
              <w:spacing w:after="0" w:line="201" w:lineRule="exact"/>
              <w:rPr>
                <w:sz w:val="20"/>
                <w:szCs w:val="20"/>
                <w:color w:val="auto"/>
              </w:rPr>
            </w:pPr>
            <w:r>
              <w:rPr>
                <w:rFonts w:ascii="Arial" w:cs="Arial" w:eastAsia="Arial" w:hAnsi="Arial"/>
                <w:sz w:val="18"/>
                <w:szCs w:val="18"/>
                <w:color w:val="auto"/>
                <w:w w:val="89"/>
              </w:rPr>
              <w:t>Preferred stock, $0.00001 par value; no shares authorized, issued, and outstanding, actual;</w:t>
            </w:r>
          </w:p>
        </w:tc>
        <w:tc>
          <w:tcPr>
            <w:tcW w:w="4380" w:type="dxa"/>
            <w:vAlign w:val="bottom"/>
            <w:gridSpan w:val="5"/>
            <w:shd w:val="clear" w:color="auto" w:fill="CCEEFF"/>
          </w:tcPr>
          <w:p>
            <w:pPr>
              <w:ind w:left="580"/>
              <w:spacing w:after="0" w:line="201" w:lineRule="exact"/>
              <w:rPr>
                <w:sz w:val="20"/>
                <w:szCs w:val="20"/>
                <w:color w:val="auto"/>
              </w:rPr>
            </w:pPr>
            <w:r>
              <w:rPr>
                <w:rFonts w:ascii="Arial" w:cs="Arial" w:eastAsia="Arial" w:hAnsi="Arial"/>
                <w:sz w:val="18"/>
                <w:szCs w:val="18"/>
                <w:color w:val="auto"/>
              </w:rPr>
              <w:t>shares authorized</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9"/>
              </w:rPr>
              <w:t>and no shares issued and outstanding, pro forma</w:t>
            </w:r>
          </w:p>
        </w:tc>
        <w:tc>
          <w:tcPr>
            <w:tcW w:w="6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80" w:type="dxa"/>
            <w:vAlign w:val="bottom"/>
          </w:tcPr>
          <w:p>
            <w:pPr>
              <w:ind w:left="360"/>
              <w:spacing w:after="0" w:line="201" w:lineRule="exact"/>
              <w:rPr>
                <w:sz w:val="20"/>
                <w:szCs w:val="20"/>
                <w:color w:val="auto"/>
              </w:rPr>
            </w:pPr>
            <w:r>
              <w:rPr>
                <w:rFonts w:ascii="Arial" w:cs="Arial" w:eastAsia="Arial" w:hAnsi="Arial"/>
                <w:sz w:val="18"/>
                <w:szCs w:val="18"/>
                <w:color w:val="auto"/>
              </w:rPr>
              <w:t>Class A common stock, $0.00001 par value;</w:t>
            </w:r>
          </w:p>
        </w:tc>
        <w:tc>
          <w:tcPr>
            <w:tcW w:w="178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shares authorized;</w:t>
            </w:r>
          </w:p>
        </w:tc>
        <w:tc>
          <w:tcPr>
            <w:tcW w:w="5380" w:type="dxa"/>
            <w:vAlign w:val="bottom"/>
            <w:gridSpan w:val="6"/>
          </w:tcPr>
          <w:p>
            <w:pPr>
              <w:ind w:left="160"/>
              <w:spacing w:after="0" w:line="201" w:lineRule="exact"/>
              <w:rPr>
                <w:sz w:val="20"/>
                <w:szCs w:val="20"/>
                <w:color w:val="auto"/>
              </w:rPr>
            </w:pPr>
            <w:r>
              <w:rPr>
                <w:rFonts w:ascii="Arial" w:cs="Arial" w:eastAsia="Arial" w:hAnsi="Arial"/>
                <w:sz w:val="18"/>
                <w:szCs w:val="18"/>
                <w:color w:val="auto"/>
              </w:rPr>
              <w:t>shares issued and outstanding, actual;</w:t>
            </w:r>
          </w:p>
        </w:tc>
        <w:tc>
          <w:tcPr>
            <w:tcW w:w="0" w:type="dxa"/>
            <w:vAlign w:val="bottom"/>
          </w:tcPr>
          <w:p>
            <w:pPr>
              <w:spacing w:after="0"/>
              <w:rPr>
                <w:sz w:val="1"/>
                <w:szCs w:val="1"/>
                <w:color w:val="auto"/>
              </w:rPr>
            </w:pPr>
          </w:p>
        </w:tc>
      </w:tr>
      <w:tr>
        <w:trPr>
          <w:trHeight w:val="230"/>
        </w:trPr>
        <w:tc>
          <w:tcPr>
            <w:tcW w:w="4080" w:type="dxa"/>
            <w:vAlign w:val="bottom"/>
          </w:tcPr>
          <w:p>
            <w:pPr>
              <w:ind w:left="1080"/>
              <w:spacing w:after="0"/>
              <w:rPr>
                <w:sz w:val="20"/>
                <w:szCs w:val="20"/>
                <w:color w:val="auto"/>
              </w:rPr>
            </w:pPr>
            <w:r>
              <w:rPr>
                <w:rFonts w:ascii="Arial" w:cs="Arial" w:eastAsia="Arial" w:hAnsi="Arial"/>
                <w:sz w:val="18"/>
                <w:szCs w:val="18"/>
                <w:color w:val="auto"/>
                <w:w w:val="89"/>
              </w:rPr>
              <w:t>shares issued and outstanding, pro forma</w:t>
            </w:r>
          </w:p>
        </w:tc>
        <w:tc>
          <w:tcPr>
            <w:tcW w:w="6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Class B common stock, $0.00001 par value;</w:t>
            </w:r>
          </w:p>
        </w:tc>
        <w:tc>
          <w:tcPr>
            <w:tcW w:w="178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shares authorized;</w:t>
            </w:r>
          </w:p>
        </w:tc>
        <w:tc>
          <w:tcPr>
            <w:tcW w:w="5380" w:type="dxa"/>
            <w:vAlign w:val="bottom"/>
            <w:gridSpan w:val="6"/>
            <w:shd w:val="clear" w:color="auto" w:fill="CCEEFF"/>
          </w:tcPr>
          <w:p>
            <w:pPr>
              <w:ind w:left="160"/>
              <w:spacing w:after="0" w:line="201" w:lineRule="exact"/>
              <w:rPr>
                <w:sz w:val="20"/>
                <w:szCs w:val="20"/>
                <w:color w:val="auto"/>
              </w:rPr>
            </w:pPr>
            <w:r>
              <w:rPr>
                <w:rFonts w:ascii="Arial" w:cs="Arial" w:eastAsia="Arial" w:hAnsi="Arial"/>
                <w:sz w:val="18"/>
                <w:szCs w:val="18"/>
                <w:color w:val="auto"/>
              </w:rPr>
              <w:t>shares issued and outstanding, actual;</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080"/>
              <w:spacing w:after="0"/>
              <w:rPr>
                <w:sz w:val="20"/>
                <w:szCs w:val="20"/>
                <w:color w:val="auto"/>
              </w:rPr>
            </w:pPr>
            <w:r>
              <w:rPr>
                <w:rFonts w:ascii="Arial" w:cs="Arial" w:eastAsia="Arial" w:hAnsi="Arial"/>
                <w:sz w:val="18"/>
                <w:szCs w:val="18"/>
                <w:color w:val="auto"/>
                <w:w w:val="89"/>
              </w:rPr>
              <w:t>shares issued and outstanding, pro forma</w:t>
            </w:r>
          </w:p>
        </w:tc>
        <w:tc>
          <w:tcPr>
            <w:tcW w:w="6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6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Accumulated deficit</w:t>
            </w:r>
          </w:p>
        </w:tc>
        <w:tc>
          <w:tcPr>
            <w:tcW w:w="6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stockholders’ (deficit) equity</w:t>
            </w:r>
          </w:p>
        </w:tc>
        <w:tc>
          <w:tcPr>
            <w:tcW w:w="6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80" w:type="dxa"/>
            <w:vAlign w:val="bottom"/>
          </w:tcPr>
          <w:p>
            <w:pPr>
              <w:ind w:left="720"/>
              <w:spacing w:after="0"/>
              <w:rPr>
                <w:sz w:val="20"/>
                <w:szCs w:val="20"/>
                <w:color w:val="auto"/>
              </w:rPr>
            </w:pPr>
            <w:r>
              <w:rPr>
                <w:rFonts w:ascii="Arial" w:cs="Arial" w:eastAsia="Arial" w:hAnsi="Arial"/>
                <w:sz w:val="18"/>
                <w:szCs w:val="18"/>
                <w:color w:val="auto"/>
              </w:rPr>
              <w:t>Total capitalization</w:t>
            </w:r>
          </w:p>
        </w:tc>
        <w:tc>
          <w:tcPr>
            <w:tcW w:w="6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886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64"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3.5% senior mandatory convertible promissory note due 2025. For additional information, see “Description of Capital Stock—Senior Mandatory Convertible Promissory Note.”</w:t>
      </w:r>
    </w:p>
    <w:p>
      <w:pPr>
        <w:sectPr>
          <w:pgSz w:w="11900" w:h="16838" w:orient="portrait"/>
          <w:cols w:equalWidth="0" w:num="1">
            <w:col w:w="11240"/>
          </w:cols>
          <w:pgMar w:left="320" w:top="459" w:right="339" w:bottom="1440" w:gutter="0" w:footer="0" w:header="0"/>
        </w:sectPr>
      </w:pPr>
    </w:p>
    <w:p>
      <w:pPr>
        <w:spacing w:after="0" w:line="20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 forma column in the table above is based on</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shares of Class A common stock and</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shares of Class B common stock</w:t>
      </w:r>
    </w:p>
    <w:p>
      <w:pPr>
        <w:spacing w:after="0" w:line="46" w:lineRule="exact"/>
        <w:rPr>
          <w:sz w:val="20"/>
          <w:szCs w:val="20"/>
          <w:color w:val="auto"/>
        </w:rPr>
      </w:pPr>
    </w:p>
    <w:p>
      <w:pPr>
        <w:sectPr>
          <w:pgSz w:w="11900" w:h="16838" w:orient="portrait"/>
          <w:cols w:equalWidth="0" w:num="3">
            <w:col w:w="4240" w:space="640"/>
            <w:col w:w="2640" w:space="640"/>
            <w:col w:w="3080"/>
          </w:cols>
          <w:pgMar w:left="320" w:top="459" w:right="339" w:bottom="1440" w:gutter="0" w:footer="0" w:header="0"/>
          <w:type w:val="continuous"/>
        </w:sectPr>
      </w:pPr>
    </w:p>
    <w:p>
      <w:pPr>
        <w:spacing w:after="0"/>
        <w:rPr>
          <w:sz w:val="20"/>
          <w:szCs w:val="20"/>
          <w:color w:val="auto"/>
        </w:rPr>
      </w:pPr>
      <w:r>
        <w:rPr>
          <w:rFonts w:ascii="Arial" w:cs="Arial" w:eastAsia="Arial" w:hAnsi="Arial"/>
          <w:sz w:val="16"/>
          <w:szCs w:val="16"/>
          <w:color w:val="auto"/>
        </w:rPr>
        <w:t>outstanding as of January 31, 2020, and excludes:</w:t>
      </w:r>
    </w:p>
    <w:p>
      <w:pPr>
        <w:sectPr>
          <w:pgSz w:w="11900" w:h="16838" w:orient="portrait"/>
          <w:cols w:equalWidth="0" w:num="1">
            <w:col w:w="11240"/>
          </w:cols>
          <w:pgMar w:left="320" w:top="459" w:right="339" w:bottom="1440" w:gutter="0" w:footer="0" w:header="0"/>
          <w:type w:val="continuous"/>
        </w:sectPr>
      </w:pPr>
    </w:p>
    <w:p>
      <w:pPr>
        <w:spacing w:after="0" w:line="139" w:lineRule="exact"/>
        <w:rPr>
          <w:sz w:val="20"/>
          <w:szCs w:val="20"/>
          <w:color w:val="auto"/>
        </w:rPr>
      </w:pPr>
    </w:p>
    <w:p>
      <w:pPr>
        <w:ind w:left="1600" w:hanging="1147"/>
        <w:spacing w:after="0"/>
        <w:tabs>
          <w:tab w:leader="none" w:pos="16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shares of our Class A common stock issuable upon the exercise of options to purchase shares of our Class A common stock that were</w:t>
      </w:r>
    </w:p>
    <w:p>
      <w:pPr>
        <w:spacing w:after="0" w:line="46" w:lineRule="exact"/>
        <w:rPr>
          <w:sz w:val="20"/>
          <w:szCs w:val="20"/>
          <w:color w:val="auto"/>
        </w:rPr>
      </w:pPr>
    </w:p>
    <w:p>
      <w:pPr>
        <w:ind w:left="1000"/>
        <w:spacing w:after="0"/>
        <w:tabs>
          <w:tab w:leader="none" w:pos="7300" w:val="left"/>
        </w:tabs>
        <w:rPr>
          <w:sz w:val="20"/>
          <w:szCs w:val="20"/>
          <w:color w:val="auto"/>
        </w:rPr>
      </w:pPr>
      <w:r>
        <w:rPr>
          <w:rFonts w:ascii="Arial" w:cs="Arial" w:eastAsia="Arial" w:hAnsi="Arial"/>
          <w:sz w:val="18"/>
          <w:szCs w:val="18"/>
          <w:color w:val="auto"/>
        </w:rPr>
        <w:t>outstanding as of January 31, 2020, with a weighted-average exercise price of $</w:t>
      </w:r>
      <w:r>
        <w:rPr>
          <w:sz w:val="20"/>
          <w:szCs w:val="20"/>
          <w:color w:val="auto"/>
        </w:rPr>
        <w:tab/>
      </w:r>
      <w:r>
        <w:rPr>
          <w:rFonts w:ascii="Arial" w:cs="Arial" w:eastAsia="Arial" w:hAnsi="Arial"/>
          <w:sz w:val="15"/>
          <w:szCs w:val="15"/>
          <w:color w:val="auto"/>
        </w:rPr>
        <w:t>per share;</w:t>
      </w:r>
    </w:p>
    <w:p>
      <w:pPr>
        <w:spacing w:after="0" w:line="116" w:lineRule="exact"/>
        <w:rPr>
          <w:sz w:val="20"/>
          <w:szCs w:val="20"/>
          <w:color w:val="auto"/>
        </w:rPr>
      </w:pPr>
    </w:p>
    <w:p>
      <w:pPr>
        <w:ind w:left="1600" w:hanging="1147"/>
        <w:spacing w:after="0"/>
        <w:tabs>
          <w:tab w:leader="none" w:pos="16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shares of our Class B common stock issuable upon the exercise of options to purchase shares of our Class B common stock that were</w:t>
      </w:r>
    </w:p>
    <w:p>
      <w:pPr>
        <w:spacing w:after="0" w:line="46" w:lineRule="exact"/>
        <w:rPr>
          <w:sz w:val="20"/>
          <w:szCs w:val="20"/>
          <w:color w:val="auto"/>
        </w:rPr>
      </w:pPr>
    </w:p>
    <w:p>
      <w:pPr>
        <w:ind w:left="1000"/>
        <w:spacing w:after="0"/>
        <w:tabs>
          <w:tab w:leader="none" w:pos="7300" w:val="left"/>
        </w:tabs>
        <w:rPr>
          <w:sz w:val="20"/>
          <w:szCs w:val="20"/>
          <w:color w:val="auto"/>
        </w:rPr>
      </w:pPr>
      <w:r>
        <w:rPr>
          <w:rFonts w:ascii="Arial" w:cs="Arial" w:eastAsia="Arial" w:hAnsi="Arial"/>
          <w:sz w:val="18"/>
          <w:szCs w:val="18"/>
          <w:color w:val="auto"/>
        </w:rPr>
        <w:t>outstanding as of January 31, 2020, with a weighted-average exercise price of $</w:t>
      </w:r>
      <w:r>
        <w:rPr>
          <w:sz w:val="20"/>
          <w:szCs w:val="20"/>
          <w:color w:val="auto"/>
        </w:rPr>
        <w:tab/>
      </w:r>
      <w:r>
        <w:rPr>
          <w:rFonts w:ascii="Arial" w:cs="Arial" w:eastAsia="Arial" w:hAnsi="Arial"/>
          <w:sz w:val="15"/>
          <w:szCs w:val="15"/>
          <w:color w:val="auto"/>
        </w:rPr>
        <w:t>per share;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459" w:right="33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600" w:hanging="1147"/>
        <w:spacing w:after="0"/>
        <w:tabs>
          <w:tab w:leader="none" w:pos="1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RSUs for shares of our Class A common stock outstanding as of January 31, 2020;</w:t>
      </w:r>
    </w:p>
    <w:p>
      <w:pPr>
        <w:spacing w:after="0" w:line="130" w:lineRule="exact"/>
        <w:rPr>
          <w:rFonts w:ascii="Arial" w:cs="Arial" w:eastAsia="Arial" w:hAnsi="Arial"/>
          <w:sz w:val="18"/>
          <w:szCs w:val="18"/>
          <w:color w:val="auto"/>
        </w:rPr>
      </w:pPr>
    </w:p>
    <w:p>
      <w:pPr>
        <w:ind w:left="1000" w:right="600" w:hanging="547"/>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between 11,282,390 and 18,051,810 shares of our Class B common stock issuable upon the conversion of our 3.5% senior mandatory convertible promissory note due 2025 that was outstanding as of January 31, 2020;</w:t>
      </w:r>
    </w:p>
    <w:p>
      <w:pPr>
        <w:spacing w:after="0" w:line="75" w:lineRule="exact"/>
        <w:rPr>
          <w:rFonts w:ascii="Arial" w:cs="Arial" w:eastAsia="Arial" w:hAnsi="Arial"/>
          <w:sz w:val="18"/>
          <w:szCs w:val="18"/>
          <w:color w:val="auto"/>
        </w:rPr>
      </w:pPr>
    </w:p>
    <w:p>
      <w:pPr>
        <w:ind w:left="1600" w:hanging="1147"/>
        <w:spacing w:after="0"/>
        <w:tabs>
          <w:tab w:leader="none" w:pos="16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shares of our Class A common stock reserved for future issuance under our 2012 Stock Plan, as of January 31, 2020, of which:</w:t>
      </w:r>
    </w:p>
    <w:p>
      <w:pPr>
        <w:spacing w:after="0" w:line="142" w:lineRule="exact"/>
        <w:rPr>
          <w:sz w:val="20"/>
          <w:szCs w:val="20"/>
          <w:color w:val="auto"/>
        </w:rPr>
      </w:pPr>
    </w:p>
    <w:p>
      <w:pPr>
        <w:ind w:left="2020" w:hanging="1013"/>
        <w:spacing w:after="0"/>
        <w:tabs>
          <w:tab w:leader="none" w:pos="20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shares of our Class A common stock are issuable upon the exercise of options to purchase shares of our Class A common stock</w:t>
      </w:r>
    </w:p>
    <w:p>
      <w:pPr>
        <w:spacing w:after="0" w:line="46" w:lineRule="exact"/>
        <w:rPr>
          <w:sz w:val="20"/>
          <w:szCs w:val="20"/>
          <w:color w:val="auto"/>
        </w:rPr>
      </w:pPr>
    </w:p>
    <w:p>
      <w:pPr>
        <w:ind w:left="1440"/>
        <w:spacing w:after="0"/>
        <w:tabs>
          <w:tab w:leader="none" w:pos="7420" w:val="left"/>
        </w:tabs>
        <w:rPr>
          <w:sz w:val="20"/>
          <w:szCs w:val="20"/>
          <w:color w:val="auto"/>
        </w:rPr>
      </w:pPr>
      <w:r>
        <w:rPr>
          <w:rFonts w:ascii="Arial" w:cs="Arial" w:eastAsia="Arial" w:hAnsi="Arial"/>
          <w:sz w:val="18"/>
          <w:szCs w:val="18"/>
          <w:color w:val="auto"/>
        </w:rPr>
        <w:t>granted after January 31, 2020, with a weighted-average exercise price of $</w:t>
      </w:r>
      <w:r>
        <w:rPr>
          <w:sz w:val="20"/>
          <w:szCs w:val="20"/>
          <w:color w:val="auto"/>
        </w:rPr>
        <w:tab/>
      </w:r>
      <w:r>
        <w:rPr>
          <w:rFonts w:ascii="Arial" w:cs="Arial" w:eastAsia="Arial" w:hAnsi="Arial"/>
          <w:sz w:val="15"/>
          <w:szCs w:val="15"/>
          <w:color w:val="auto"/>
        </w:rPr>
        <w:t>per share;</w:t>
      </w:r>
    </w:p>
    <w:p>
      <w:pPr>
        <w:spacing w:after="0" w:line="116" w:lineRule="exact"/>
        <w:rPr>
          <w:sz w:val="20"/>
          <w:szCs w:val="20"/>
          <w:color w:val="auto"/>
        </w:rPr>
      </w:pPr>
    </w:p>
    <w:p>
      <w:pPr>
        <w:ind w:left="2020" w:hanging="1013"/>
        <w:spacing w:after="0"/>
        <w:tabs>
          <w:tab w:leader="none" w:pos="20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RSUs for shares of our Class A common stock granted after January 31, 2020; and</w:t>
      </w:r>
    </w:p>
    <w:p>
      <w:pPr>
        <w:spacing w:after="0" w:line="130" w:lineRule="exact"/>
        <w:rPr>
          <w:rFonts w:ascii="Arial" w:cs="Arial" w:eastAsia="Arial" w:hAnsi="Arial"/>
          <w:sz w:val="18"/>
          <w:szCs w:val="18"/>
          <w:color w:val="auto"/>
        </w:rPr>
      </w:pPr>
    </w:p>
    <w:p>
      <w:pPr>
        <w:ind w:left="1440" w:right="320" w:hanging="433"/>
        <w:spacing w:after="0" w:line="308" w:lineRule="auto"/>
        <w:tabs>
          <w:tab w:leader="none" w:pos="2025" w:val="left"/>
        </w:tabs>
        <w:numPr>
          <w:ilvl w:val="1"/>
          <w:numId w:val="37"/>
        </w:numPr>
        <w:rPr>
          <w:rFonts w:ascii="Arial" w:cs="Arial" w:eastAsia="Arial" w:hAnsi="Arial"/>
          <w:sz w:val="17"/>
          <w:szCs w:val="17"/>
          <w:color w:val="auto"/>
        </w:rPr>
      </w:pPr>
      <w:r>
        <w:rPr>
          <w:rFonts w:ascii="Arial" w:cs="Arial" w:eastAsia="Arial" w:hAnsi="Arial"/>
          <w:sz w:val="17"/>
          <w:szCs w:val="17"/>
          <w:color w:val="auto"/>
        </w:rPr>
        <w:t>shares of our Class A common stock that will become available for future issuance under our 2020 Equity Incentive Plan in connection with the effectiveness of the registration statement of which this prospectus forms a part; and</w:t>
      </w:r>
    </w:p>
    <w:p>
      <w:pPr>
        <w:spacing w:after="0" w:line="51" w:lineRule="exact"/>
        <w:rPr>
          <w:rFonts w:ascii="Arial" w:cs="Arial" w:eastAsia="Arial" w:hAnsi="Arial"/>
          <w:sz w:val="17"/>
          <w:szCs w:val="17"/>
          <w:color w:val="auto"/>
        </w:rPr>
      </w:pPr>
    </w:p>
    <w:p>
      <w:pPr>
        <w:ind w:left="1000" w:hanging="547"/>
        <w:spacing w:after="0" w:line="311" w:lineRule="auto"/>
        <w:tabs>
          <w:tab w:leader="none" w:pos="1585" w:val="left"/>
        </w:tabs>
        <w:numPr>
          <w:ilvl w:val="0"/>
          <w:numId w:val="37"/>
        </w:numPr>
        <w:rPr>
          <w:rFonts w:ascii="Arial" w:cs="Arial" w:eastAsia="Arial" w:hAnsi="Arial"/>
          <w:sz w:val="16"/>
          <w:szCs w:val="16"/>
          <w:color w:val="auto"/>
        </w:rPr>
      </w:pPr>
      <w:r>
        <w:rPr>
          <w:rFonts w:ascii="Arial" w:cs="Arial" w:eastAsia="Arial" w:hAnsi="Arial"/>
          <w:sz w:val="16"/>
          <w:szCs w:val="16"/>
          <w:color w:val="auto"/>
        </w:rPr>
        <w:t>additional shares of our Class A common stock reserved for future issuance under our 2020 Equity Incentive Plan, which will become effective in connection with the effectiveness of the registration statement of which this prospectus forms a part and will contain a provision that will automatically increase its share reserve each year, as more fully described in “Executive Compensation—Employee Benefit Plans.”</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320" w:top="459" w:right="3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ind w:right="140" w:firstLine="449"/>
        <w:spacing w:after="0" w:line="296" w:lineRule="auto"/>
        <w:rPr>
          <w:sz w:val="20"/>
          <w:szCs w:val="20"/>
          <w:color w:val="auto"/>
        </w:rPr>
      </w:pPr>
      <w:r>
        <w:rPr>
          <w:rFonts w:ascii="Arial" w:cs="Arial" w:eastAsia="Arial" w:hAnsi="Arial"/>
          <w:sz w:val="16"/>
          <w:szCs w:val="16"/>
          <w:i w:val="1"/>
          <w:iCs w:val="1"/>
          <w:color w:val="auto"/>
        </w:rPr>
        <w:t>The selected consolidated statement of operations data for the years ended January 31, 2019 and 2020 and consolidated balance sheet data as of January 31, 2019 and 2020 (except the pro forma share and net loss per share information) have been derived from our audited consolidated financial statements included elsewhere in this prospectus. Our historical results are not necessarily indicative of the results that may be expected in the future. You should read the following selected consolidated financial data below in conjunction with the section titled “Management’s Discussion and Analysis of Financial Condition and Results of Operations” and our consolidated financial statements included elsewhere in this prospectus.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3"/>
              </w:rPr>
              <w:t>Year Ended January 31,</w:t>
            </w:r>
          </w:p>
        </w:tc>
      </w:tr>
      <w:tr>
        <w:trPr>
          <w:trHeight w:val="142"/>
        </w:trPr>
        <w:tc>
          <w:tcPr>
            <w:tcW w:w="93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w w:val="83"/>
              </w:rPr>
              <w:t>2020</w:t>
            </w:r>
          </w:p>
        </w:tc>
        <w:tc>
          <w:tcPr>
            <w:tcW w:w="60" w:type="dxa"/>
            <w:vAlign w:val="bottom"/>
          </w:tcPr>
          <w:p>
            <w:pPr>
              <w:spacing w:after="0"/>
              <w:rPr>
                <w:sz w:val="12"/>
                <w:szCs w:val="12"/>
                <w:color w:val="auto"/>
              </w:rPr>
            </w:pPr>
          </w:p>
        </w:tc>
      </w:tr>
      <w:tr>
        <w:trPr>
          <w:trHeight w:val="119"/>
        </w:trPr>
        <w:tc>
          <w:tcPr>
            <w:tcW w:w="9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3"/>
          </w:tcPr>
          <w:p>
            <w:pPr>
              <w:jc w:val="center"/>
              <w:ind w:left="314"/>
              <w:spacing w:after="0" w:line="119" w:lineRule="exact"/>
              <w:rPr>
                <w:sz w:val="20"/>
                <w:szCs w:val="20"/>
                <w:color w:val="auto"/>
              </w:rPr>
            </w:pPr>
            <w:r>
              <w:rPr>
                <w:rFonts w:ascii="Arial" w:cs="Arial" w:eastAsia="Arial" w:hAnsi="Arial"/>
                <w:sz w:val="13"/>
                <w:szCs w:val="13"/>
                <w:b w:val="1"/>
                <w:bCs w:val="1"/>
                <w:color w:val="auto"/>
                <w:w w:val="98"/>
              </w:rPr>
              <w:t>(in thousands,</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85"/>
        </w:trPr>
        <w:tc>
          <w:tcPr>
            <w:tcW w:w="9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9"/>
              </w:rPr>
              <w:t>except per share amounts)</w:t>
            </w:r>
          </w:p>
        </w:tc>
      </w:tr>
      <w:tr>
        <w:trPr>
          <w:trHeight w:val="216"/>
        </w:trPr>
        <w:tc>
          <w:tcPr>
            <w:tcW w:w="9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3"/>
          </w:tcPr>
          <w:p>
            <w:pPr>
              <w:jc w:val="right"/>
              <w:ind w:right="660"/>
              <w:spacing w:after="0"/>
              <w:rPr>
                <w:sz w:val="20"/>
                <w:szCs w:val="20"/>
                <w:color w:val="auto"/>
              </w:rPr>
            </w:pPr>
            <w:r>
              <w:rPr>
                <w:rFonts w:ascii="Arial" w:cs="Arial" w:eastAsia="Arial" w:hAnsi="Arial"/>
                <w:sz w:val="18"/>
                <w:szCs w:val="18"/>
                <w:color w:val="auto"/>
              </w:rPr>
              <w:t>76,770</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13,832</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9300" w:type="dxa"/>
            <w:vAlign w:val="bottom"/>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62,938</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300" w:type="dxa"/>
            <w:vAlign w:val="bottom"/>
          </w:tcPr>
          <w:p>
            <w:pPr>
              <w:ind w:left="36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1280" w:type="dxa"/>
            <w:vAlign w:val="bottom"/>
            <w:gridSpan w:val="3"/>
          </w:tcPr>
          <w:p>
            <w:pPr>
              <w:jc w:val="right"/>
              <w:ind w:right="660"/>
              <w:spacing w:after="0"/>
              <w:rPr>
                <w:sz w:val="20"/>
                <w:szCs w:val="20"/>
                <w:color w:val="auto"/>
              </w:rPr>
            </w:pPr>
            <w:r>
              <w:rPr>
                <w:rFonts w:ascii="Arial" w:cs="Arial" w:eastAsia="Arial" w:hAnsi="Arial"/>
                <w:sz w:val="18"/>
                <w:szCs w:val="18"/>
                <w:color w:val="auto"/>
              </w:rPr>
              <w:t>42,585</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52,106</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300" w:type="dxa"/>
            <w:vAlign w:val="bottom"/>
          </w:tcPr>
          <w:p>
            <w:pPr>
              <w:ind w:left="36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1280" w:type="dxa"/>
            <w:vAlign w:val="bottom"/>
            <w:gridSpan w:val="3"/>
          </w:tcPr>
          <w:p>
            <w:pPr>
              <w:jc w:val="right"/>
              <w:ind w:right="660"/>
              <w:spacing w:after="0"/>
              <w:rPr>
                <w:sz w:val="20"/>
                <w:szCs w:val="20"/>
                <w:color w:val="auto"/>
              </w:rPr>
            </w:pPr>
            <w:r>
              <w:rPr>
                <w:rFonts w:ascii="Arial" w:cs="Arial" w:eastAsia="Arial" w:hAnsi="Arial"/>
                <w:sz w:val="18"/>
                <w:szCs w:val="18"/>
                <w:color w:val="auto"/>
              </w:rPr>
              <w:t>20,260</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7"/>
        </w:trPr>
        <w:tc>
          <w:tcPr>
            <w:tcW w:w="9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w w:val="92"/>
              </w:rPr>
              <w:t>114,951</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9300" w:type="dxa"/>
            <w:vAlign w:val="bottom"/>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(52,013)</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1,113</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930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(50,900)</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930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(50,900</w:t>
            </w:r>
          </w:p>
        </w:tc>
        <w:tc>
          <w:tcPr>
            <w:tcW w:w="660" w:type="dxa"/>
            <w:vAlign w:val="bottom"/>
            <w:gridSpan w:val="2"/>
          </w:tcPr>
          <w:p>
            <w:pPr>
              <w:jc w:val="right"/>
              <w:ind w:right="600"/>
              <w:spacing w:after="0"/>
              <w:rPr>
                <w:sz w:val="20"/>
                <w:szCs w:val="20"/>
                <w:color w:val="auto"/>
              </w:rPr>
            </w:pPr>
            <w:r>
              <w:rPr>
                <w:rFonts w:ascii="Arial" w:cs="Arial" w:eastAsia="Arial" w:hAnsi="Arial"/>
                <w:sz w:val="16"/>
                <w:szCs w:val="16"/>
                <w:color w:val="auto"/>
                <w:w w:val="74"/>
              </w:rPr>
              <w:t>)</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9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30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3"/>
          </w:tcPr>
          <w:p>
            <w:pPr>
              <w:jc w:val="right"/>
              <w:ind w:right="600"/>
              <w:spacing w:after="0"/>
              <w:rPr>
                <w:sz w:val="20"/>
                <w:szCs w:val="20"/>
                <w:color w:val="auto"/>
              </w:rPr>
            </w:pPr>
            <w:r>
              <w:rPr>
                <w:rFonts w:ascii="Arial" w:cs="Arial" w:eastAsia="Arial" w:hAnsi="Arial"/>
                <w:sz w:val="18"/>
                <w:szCs w:val="18"/>
                <w:color w:val="auto"/>
              </w:rPr>
              <w:t>(0.78)</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9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used in calculating net loss per share: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30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100" w:type="dxa"/>
            <w:vAlign w:val="bottom"/>
          </w:tcPr>
          <w:p>
            <w:pPr>
              <w:spacing w:after="0"/>
              <w:rPr>
                <w:sz w:val="18"/>
                <w:szCs w:val="18"/>
                <w:color w:val="auto"/>
              </w:rPr>
            </w:pPr>
          </w:p>
        </w:tc>
        <w:tc>
          <w:tcPr>
            <w:tcW w:w="1280" w:type="dxa"/>
            <w:vAlign w:val="bottom"/>
            <w:gridSpan w:val="3"/>
          </w:tcPr>
          <w:p>
            <w:pPr>
              <w:jc w:val="right"/>
              <w:ind w:right="660"/>
              <w:spacing w:after="0"/>
              <w:rPr>
                <w:sz w:val="20"/>
                <w:szCs w:val="20"/>
                <w:color w:val="auto"/>
              </w:rPr>
            </w:pPr>
            <w:r>
              <w:rPr>
                <w:rFonts w:ascii="Arial" w:cs="Arial" w:eastAsia="Arial" w:hAnsi="Arial"/>
                <w:sz w:val="18"/>
                <w:szCs w:val="18"/>
                <w:color w:val="auto"/>
              </w:rPr>
              <w:t>65,214</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9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30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3"/>
          </w:tcPr>
          <w:p>
            <w:pPr>
              <w:jc w:val="right"/>
              <w:ind w:right="600"/>
              <w:spacing w:after="0"/>
              <w:rPr>
                <w:sz w:val="20"/>
                <w:szCs w:val="20"/>
                <w:color w:val="auto"/>
              </w:rPr>
            </w:pPr>
            <w:r>
              <w:rPr>
                <w:rFonts w:ascii="Arial" w:cs="Arial" w:eastAsia="Arial" w:hAnsi="Arial"/>
                <w:sz w:val="18"/>
                <w:szCs w:val="18"/>
                <w:color w:val="auto"/>
              </w:rPr>
              <w:t>(0.38)</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9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used in calculating pro forma net loss per share: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30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133,845</w:t>
            </w: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9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886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64"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Amounts include stock-based compensation expense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3"/>
              </w:rPr>
              <w:t>Year Ended January 31,</w:t>
            </w:r>
          </w:p>
        </w:tc>
      </w:tr>
      <w:tr>
        <w:trPr>
          <w:trHeight w:val="142"/>
        </w:trPr>
        <w:tc>
          <w:tcPr>
            <w:tcW w:w="56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2019</w:t>
            </w:r>
          </w:p>
        </w:tc>
        <w:tc>
          <w:tcPr>
            <w:tcW w:w="8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r>
      <w:tr>
        <w:trPr>
          <w:trHeight w:val="142"/>
        </w:trPr>
        <w:tc>
          <w:tcPr>
            <w:tcW w:w="56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left="348"/>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5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 of revenues</w:t>
            </w:r>
          </w:p>
        </w:tc>
        <w:tc>
          <w:tcPr>
            <w:tcW w:w="3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20" w:type="dxa"/>
            <w:vAlign w:val="bottom"/>
            <w:gridSpan w:val="2"/>
            <w:shd w:val="clear" w:color="auto" w:fill="CCEEFF"/>
          </w:tcPr>
          <w:p>
            <w:pPr>
              <w:jc w:val="right"/>
              <w:ind w:right="840"/>
              <w:spacing w:after="0" w:line="149" w:lineRule="exact"/>
              <w:rPr>
                <w:sz w:val="20"/>
                <w:szCs w:val="20"/>
                <w:color w:val="auto"/>
              </w:rPr>
            </w:pPr>
            <w:r>
              <w:rPr>
                <w:rFonts w:ascii="Arial" w:cs="Arial" w:eastAsia="Arial" w:hAnsi="Arial"/>
                <w:sz w:val="14"/>
                <w:szCs w:val="14"/>
                <w:color w:val="auto"/>
              </w:rPr>
              <w:t>37</w:t>
            </w: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8"/>
        </w:trPr>
        <w:tc>
          <w:tcPr>
            <w:tcW w:w="5600" w:type="dxa"/>
            <w:vAlign w:val="bottom"/>
          </w:tcPr>
          <w:p>
            <w:pPr>
              <w:spacing w:after="0" w:line="149" w:lineRule="exact"/>
              <w:rPr>
                <w:sz w:val="20"/>
                <w:szCs w:val="20"/>
                <w:color w:val="auto"/>
              </w:rPr>
            </w:pPr>
            <w:r>
              <w:rPr>
                <w:rFonts w:ascii="Arial" w:cs="Arial" w:eastAsia="Arial" w:hAnsi="Arial"/>
                <w:sz w:val="14"/>
                <w:szCs w:val="14"/>
                <w:color w:val="auto"/>
              </w:rPr>
              <w:t>Research and development</w:t>
            </w:r>
          </w:p>
        </w:tc>
        <w:tc>
          <w:tcPr>
            <w:tcW w:w="3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right"/>
              <w:ind w:right="840"/>
              <w:spacing w:after="0" w:line="149" w:lineRule="exact"/>
              <w:rPr>
                <w:sz w:val="20"/>
                <w:szCs w:val="20"/>
                <w:color w:val="auto"/>
              </w:rPr>
            </w:pPr>
            <w:r>
              <w:rPr>
                <w:rFonts w:ascii="Arial" w:cs="Arial" w:eastAsia="Arial" w:hAnsi="Arial"/>
                <w:sz w:val="14"/>
                <w:szCs w:val="14"/>
                <w:color w:val="auto"/>
              </w:rPr>
              <w:t>5,160</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5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Sales and marketing</w:t>
            </w:r>
          </w:p>
        </w:tc>
        <w:tc>
          <w:tcPr>
            <w:tcW w:w="3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840"/>
              <w:spacing w:after="0" w:line="149" w:lineRule="exact"/>
              <w:rPr>
                <w:sz w:val="20"/>
                <w:szCs w:val="20"/>
                <w:color w:val="auto"/>
              </w:rPr>
            </w:pPr>
            <w:r>
              <w:rPr>
                <w:rFonts w:ascii="Arial" w:cs="Arial" w:eastAsia="Arial" w:hAnsi="Arial"/>
                <w:sz w:val="14"/>
                <w:szCs w:val="14"/>
                <w:color w:val="auto"/>
              </w:rPr>
              <w:t>2,108</w:t>
            </w: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55"/>
        </w:trPr>
        <w:tc>
          <w:tcPr>
            <w:tcW w:w="5600" w:type="dxa"/>
            <w:vAlign w:val="bottom"/>
          </w:tcPr>
          <w:p>
            <w:pPr>
              <w:spacing w:after="0" w:line="149" w:lineRule="exact"/>
              <w:rPr>
                <w:sz w:val="20"/>
                <w:szCs w:val="20"/>
                <w:color w:val="auto"/>
              </w:rPr>
            </w:pPr>
            <w:r>
              <w:rPr>
                <w:rFonts w:ascii="Arial" w:cs="Arial" w:eastAsia="Arial" w:hAnsi="Arial"/>
                <w:sz w:val="14"/>
                <w:szCs w:val="14"/>
                <w:color w:val="auto"/>
              </w:rPr>
              <w:t>General and administrative</w:t>
            </w:r>
          </w:p>
        </w:tc>
        <w:tc>
          <w:tcPr>
            <w:tcW w:w="34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1,242</w:t>
            </w:r>
          </w:p>
        </w:tc>
        <w:tc>
          <w:tcPr>
            <w:tcW w:w="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48"/>
        </w:trPr>
        <w:tc>
          <w:tcPr>
            <w:tcW w:w="56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stock-based compensation</w:t>
            </w:r>
          </w:p>
        </w:tc>
        <w:tc>
          <w:tcPr>
            <w:tcW w:w="3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20" w:type="dxa"/>
            <w:vAlign w:val="bottom"/>
            <w:gridSpan w:val="2"/>
            <w:shd w:val="clear" w:color="auto" w:fill="CCEEFF"/>
          </w:tcPr>
          <w:p>
            <w:pPr>
              <w:jc w:val="right"/>
              <w:ind w:right="840"/>
              <w:spacing w:after="0" w:line="149" w:lineRule="exact"/>
              <w:rPr>
                <w:sz w:val="20"/>
                <w:szCs w:val="20"/>
                <w:color w:val="auto"/>
              </w:rPr>
            </w:pPr>
            <w:r>
              <w:rPr>
                <w:rFonts w:ascii="Arial" w:cs="Arial" w:eastAsia="Arial" w:hAnsi="Arial"/>
                <w:sz w:val="14"/>
                <w:szCs w:val="14"/>
                <w:color w:val="auto"/>
              </w:rPr>
              <w:t>8,547</w:t>
            </w: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20"/>
        </w:trPr>
        <w:tc>
          <w:tcPr>
            <w:tcW w:w="56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16" w:lineRule="exact"/>
        <w:rPr>
          <w:sz w:val="20"/>
          <w:szCs w:val="20"/>
          <w:color w:val="auto"/>
        </w:rPr>
      </w:pPr>
    </w:p>
    <w:p>
      <w:pPr>
        <w:ind w:left="460" w:right="520"/>
        <w:spacing w:after="0" w:line="253" w:lineRule="auto"/>
        <w:rPr>
          <w:sz w:val="20"/>
          <w:szCs w:val="20"/>
          <w:color w:val="auto"/>
        </w:rPr>
      </w:pPr>
      <w:r>
        <w:rPr>
          <w:rFonts w:ascii="Arial" w:cs="Arial" w:eastAsia="Arial" w:hAnsi="Arial"/>
          <w:sz w:val="14"/>
          <w:szCs w:val="14"/>
          <w:color w:val="auto"/>
        </w:rPr>
        <w:t>Stock-based compensation expense for fiscal 2019 includes $3.8 million of compensation expense related to a tender offer that was consummated in fiscal 2019 (see Note 9 to our consolidated financial statements included elsewhere in this prospectus).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459" w:right="3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As of January 31,</w:t>
            </w:r>
          </w:p>
        </w:tc>
      </w:tr>
      <w:tr>
        <w:trPr>
          <w:trHeight w:val="142"/>
        </w:trPr>
        <w:tc>
          <w:tcPr>
            <w:tcW w:w="66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95"/>
              <w:spacing w:after="0" w:line="142" w:lineRule="exact"/>
              <w:rPr>
                <w:sz w:val="20"/>
                <w:szCs w:val="20"/>
                <w:color w:val="auto"/>
              </w:rPr>
            </w:pPr>
            <w:r>
              <w:rPr>
                <w:rFonts w:ascii="Arial" w:cs="Arial" w:eastAsia="Arial" w:hAnsi="Arial"/>
                <w:sz w:val="14"/>
                <w:szCs w:val="14"/>
                <w:b w:val="1"/>
                <w:bCs w:val="1"/>
                <w:color w:val="auto"/>
              </w:rPr>
              <w:t>2019</w:t>
            </w:r>
          </w:p>
        </w:tc>
        <w:tc>
          <w:tcPr>
            <w:tcW w:w="84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r>
      <w:tr>
        <w:trPr>
          <w:trHeight w:val="142"/>
        </w:trPr>
        <w:tc>
          <w:tcPr>
            <w:tcW w:w="66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gridSpan w:val="2"/>
          </w:tcPr>
          <w:p>
            <w:pPr>
              <w:jc w:val="center"/>
              <w:ind w:right="88"/>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60" w:type="dxa"/>
            <w:vAlign w:val="bottom"/>
          </w:tcPr>
          <w:p>
            <w:pPr>
              <w:spacing w:after="0"/>
              <w:rPr>
                <w:sz w:val="12"/>
                <w:szCs w:val="12"/>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Cash, cash equivalents, and marketable securities</w:t>
            </w:r>
          </w:p>
        </w:tc>
        <w:tc>
          <w:tcPr>
            <w:tcW w:w="27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5"/>
              <w:spacing w:after="0"/>
              <w:rPr>
                <w:sz w:val="20"/>
                <w:szCs w:val="20"/>
                <w:color w:val="auto"/>
              </w:rPr>
            </w:pPr>
            <w:r>
              <w:rPr>
                <w:rFonts w:ascii="Arial" w:cs="Arial" w:eastAsia="Arial" w:hAnsi="Arial"/>
                <w:sz w:val="18"/>
                <w:szCs w:val="18"/>
                <w:color w:val="auto"/>
              </w:rPr>
              <w:t>87,967</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(1)</w:t>
            </w:r>
          </w:p>
        </w:tc>
        <w:tc>
          <w:tcPr>
            <w:tcW w:w="2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59,662</w:t>
            </w: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Total assets</w:t>
            </w: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215"/>
              <w:spacing w:after="0"/>
              <w:rPr>
                <w:sz w:val="20"/>
                <w:szCs w:val="20"/>
                <w:color w:val="auto"/>
              </w:rPr>
            </w:pPr>
            <w:r>
              <w:rPr>
                <w:rFonts w:ascii="Arial" w:cs="Arial" w:eastAsia="Arial" w:hAnsi="Arial"/>
                <w:sz w:val="18"/>
                <w:szCs w:val="18"/>
                <w:color w:val="auto"/>
              </w:rPr>
              <w:t>113,749</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31,918</w:t>
            </w: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Convertible note payable</w:t>
            </w:r>
            <w:r>
              <w:rPr>
                <w:rFonts w:ascii="Arial" w:cs="Arial" w:eastAsia="Arial" w:hAnsi="Arial"/>
                <w:sz w:val="15"/>
                <w:szCs w:val="15"/>
                <w:color w:val="auto"/>
              </w:rPr>
              <w:t>(2)</w:t>
            </w: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215"/>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 warrant liability</w:t>
            </w:r>
          </w:p>
        </w:tc>
        <w:tc>
          <w:tcPr>
            <w:tcW w:w="2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94</w:t>
            </w: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Redeemable convertible preferred stock</w:t>
            </w: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215"/>
              <w:spacing w:after="0"/>
              <w:rPr>
                <w:sz w:val="20"/>
                <w:szCs w:val="20"/>
                <w:color w:val="auto"/>
              </w:rPr>
            </w:pPr>
            <w:r>
              <w:rPr>
                <w:rFonts w:ascii="Arial" w:cs="Arial" w:eastAsia="Arial" w:hAnsi="Arial"/>
                <w:sz w:val="18"/>
                <w:szCs w:val="18"/>
                <w:color w:val="auto"/>
              </w:rPr>
              <w:t>250,370</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deficit</w:t>
            </w:r>
          </w:p>
        </w:tc>
        <w:tc>
          <w:tcPr>
            <w:tcW w:w="2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w w:val="95"/>
              </w:rPr>
              <w:t>(181,011)</w:t>
            </w: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0"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Working capital is defined as current assets less current liabilities.</w:t>
      </w:r>
    </w:p>
    <w:p>
      <w:pPr>
        <w:ind w:left="460" w:hanging="452"/>
        <w:spacing w:after="0"/>
        <w:tabs>
          <w:tab w:leader="none" w:pos="4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3.5% senior mandatory convertible promissory note due 2025. For additional information, see “Description of Capital Stock—Senior Mandatory Convertible Promissory Note.”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400" w:firstLine="449"/>
        <w:spacing w:after="0" w:line="308" w:lineRule="auto"/>
        <w:rPr>
          <w:sz w:val="20"/>
          <w:szCs w:val="20"/>
          <w:color w:val="auto"/>
        </w:rPr>
      </w:pPr>
      <w:r>
        <w:rPr>
          <w:rFonts w:ascii="Arial" w:cs="Arial" w:eastAsia="Arial" w:hAnsi="Arial"/>
          <w:sz w:val="17"/>
          <w:szCs w:val="17"/>
          <w:color w:val="auto"/>
        </w:rPr>
        <w:t>The following table summarizes our non-GAAP financial measures for each fiscal year presented below. In addition to our results determined in accordance with GAAP, we believe these non-GAAP financial measures are useful in evaluating our operating performance.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 Ended January 31,</w:t>
            </w:r>
          </w:p>
        </w:tc>
      </w:tr>
      <w:tr>
        <w:trPr>
          <w:trHeight w:val="142"/>
        </w:trPr>
        <w:tc>
          <w:tcPr>
            <w:tcW w:w="58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2019</w:t>
            </w:r>
          </w:p>
        </w:tc>
        <w:tc>
          <w:tcPr>
            <w:tcW w:w="86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r>
      <w:tr>
        <w:trPr>
          <w:trHeight w:val="142"/>
        </w:trPr>
        <w:tc>
          <w:tcPr>
            <w:tcW w:w="58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gridSpan w:val="2"/>
          </w:tcPr>
          <w:p>
            <w:pPr>
              <w:ind w:left="380"/>
              <w:spacing w:after="0" w:line="142"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2"/>
                <w:szCs w:val="12"/>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Non-GAAP loss from operations</w:t>
            </w:r>
          </w:p>
        </w:tc>
        <w:tc>
          <w:tcPr>
            <w:tcW w:w="3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(43,466)</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Free cash flow</w:t>
            </w:r>
          </w:p>
        </w:tc>
        <w:tc>
          <w:tcPr>
            <w:tcW w:w="3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ind w:left="80"/>
              <w:spacing w:after="0"/>
              <w:rPr>
                <w:sz w:val="20"/>
                <w:szCs w:val="20"/>
                <w:color w:val="auto"/>
              </w:rPr>
            </w:pPr>
            <w:r>
              <w:rPr>
                <w:rFonts w:ascii="Arial" w:cs="Arial" w:eastAsia="Arial" w:hAnsi="Arial"/>
                <w:sz w:val="18"/>
                <w:szCs w:val="18"/>
                <w:color w:val="auto"/>
              </w:rPr>
              <w:t>(33,587)</w:t>
            </w: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187"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For additional information concerning the limitations and reconciliations of the non-GAAP financial measures to the most directly comparable financial measures stated in accordance with GAAP, see the section titled “Management’s Discussion and Analysis of Financial Condition and Results of Operations—Non-GAAP Financial Measures.”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459" w:right="3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section titled “Selected Consolidated Financial Data” and the consolidated financial statements included elsewhere in this prospectus. This discussion contains forward-looking statements that involve risks and uncertainties. Our actual results could differ materially from those discussed below. Factors that could cause or contribute to such differences include, but are not limited to, those identified below and those discussed in the section titled “Risk Factors” included elsewhere in this prospectus. Our fiscal year end is January 31, and references throughout this prospectus to a given fiscal year are to the 12 months ended on that date.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Asana is a work management platform that helps teams orchestrate work, from daily tasks to cross-functional strategic initiatives. Over 75,000 paying customers use Asana to manage everything from product launches to marketing campaigns to organization-wide goal setting. Our platform adds structure to unstructured work, creating clarity, transparency, and accountability to everyone within an organization—individuals, team leads, and executives—so they understand exactly who is doing what, by when.</w:t>
      </w:r>
    </w:p>
    <w:p>
      <w:pPr>
        <w:spacing w:after="0" w:line="18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Asana is flexible and applicable to virtually any use case across departments and organizations of all sizes. We designed our platform to be easy to use and intuitive to all users, regardless of role or technical proficiency. Users can start a project within minutes and onboard team members seamlessly without outside support. We allow users to work the way they want with the interface that is right for them using tasks, lists, calendars, boards, timelines, and workload.</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40"/>
          </w:cols>
          <w:pgMar w:left="320" w:top="459" w:right="5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Since the launch of the Premium level of Asana in 2012, we have achieved strong growth and the following key milestones: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 and company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94615</wp:posOffset>
            </wp:positionV>
            <wp:extent cx="5186045" cy="47574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86045" cy="4757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We have experienced rapid growth in recent periods. Our revenues were $76.8 million and $ million for fiscal 2019 and fiscal 2020, respectively, representing growth of %. Today, we have 703 employees, growing 65% since January 31, 2019. We had a net loss of $50.9 million and</w:t>
      </w:r>
    </w:p>
    <w:p>
      <w:pPr>
        <w:ind w:left="500" w:hanging="492"/>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million for fiscal 2019 and fiscal 2020, respectively.</w:t>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Business Model</w:t>
      </w:r>
    </w:p>
    <w:p>
      <w:pPr>
        <w:spacing w:after="0" w:line="117" w:lineRule="exact"/>
        <w:rPr>
          <w:sz w:val="20"/>
          <w:szCs w:val="20"/>
          <w:color w:val="auto"/>
        </w:rPr>
      </w:pPr>
    </w:p>
    <w:p>
      <w:pPr>
        <w:jc w:val="both"/>
        <w:ind w:right="20" w:firstLine="449"/>
        <w:spacing w:after="0" w:line="311" w:lineRule="auto"/>
        <w:rPr>
          <w:sz w:val="20"/>
          <w:szCs w:val="20"/>
          <w:color w:val="auto"/>
        </w:rPr>
      </w:pPr>
      <w:r>
        <w:rPr>
          <w:rFonts w:ascii="Arial" w:cs="Arial" w:eastAsia="Arial" w:hAnsi="Arial"/>
          <w:sz w:val="16"/>
          <w:szCs w:val="16"/>
          <w:color w:val="auto"/>
        </w:rPr>
        <w:t>We generate revenues from the sale of subscriptions to our cloud-based platform. We offer three levels of paid subscriptions to serve the varying needs of our customers: Premium, Business, and Enterprise. Pricing is based on the number of users and increases with each subscription level as more features and functionality are included. We introduced Enterprise subscriptions and Business subscriptions in December 2016 and</w:t>
      </w:r>
    </w:p>
    <w:p>
      <w:pPr>
        <w:spacing w:after="0" w:line="8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20"/>
          </w:cols>
          <w:pgMar w:left="320" w:top="459" w:right="6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November 2018, respectively. These subscriptions have grown to represent approximately % of our revenues during the three months ended January 31, 2020. Paying customers typically pay on a monthly or annual basis, with the majority of our Business and Enterprise level customers on annual plans. Additionally, we offer a free Basic version of Asana for teams of fewer than 15 people, with limited access to Premium features. We also offer a 30-day trial of our paid subscription plans. Of our 100 largest customers today, virtually all came to Asana using a free trial of our paid levels or through an upgrade from our Basic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145415</wp:posOffset>
            </wp:positionV>
            <wp:extent cx="5203190" cy="31457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203190" cy="3145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Nearly 25 million users have registered on Asana since our inception, representing a significant number of users associated with accounts that may convert to paying customers over time. As of January 31, 2020, we had over 1.2 million paid users on Asana. Our free-to-paid conversion rate of registered users, as measured by the number of paid users divided by the total number of then-registered users, has increased from 3.6% as of January 31, 2018 to over 4.8% as of January 31, 2020.</w:t>
      </w:r>
    </w:p>
    <w:p>
      <w:pPr>
        <w:spacing w:after="0" w:line="187" w:lineRule="exact"/>
        <w:rPr>
          <w:sz w:val="20"/>
          <w:szCs w:val="20"/>
          <w:color w:val="auto"/>
        </w:rPr>
      </w:pPr>
    </w:p>
    <w:p>
      <w:pPr>
        <w:ind w:right="100" w:firstLine="449"/>
        <w:spacing w:after="0" w:line="275" w:lineRule="auto"/>
        <w:rPr>
          <w:sz w:val="20"/>
          <w:szCs w:val="20"/>
          <w:color w:val="auto"/>
        </w:rPr>
      </w:pPr>
      <w:r>
        <w:rPr>
          <w:rFonts w:ascii="Arial" w:cs="Arial" w:eastAsia="Arial" w:hAnsi="Arial"/>
          <w:sz w:val="17"/>
          <w:szCs w:val="17"/>
          <w:color w:val="auto"/>
        </w:rPr>
        <w:t>We serve a large and diverse customer base, including over 75,000 paying customers, across all industry verticals and market segments, and over 30% of the Fortune 500. We define a paying customer as a distinct account, which could include a team, company, educational or government institution, organization, or distinct business unit of a company, that is on a paid subscription plan. No single customer accounted for more than % of our revenues, and our top 100 customers accounted for approximately % of our revenues for fiscal 2020. For fiscal 2020, approximately % of our revenues were generated outside the United States with limited international sales presence or major product customization.</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Go-To-Market Approach</w:t>
      </w:r>
    </w:p>
    <w:p>
      <w:pPr>
        <w:spacing w:after="0" w:line="117" w:lineRule="exact"/>
        <w:rPr>
          <w:sz w:val="20"/>
          <w:szCs w:val="20"/>
          <w:color w:val="auto"/>
        </w:rPr>
      </w:pPr>
    </w:p>
    <w:p>
      <w:pPr>
        <w:jc w:val="both"/>
        <w:ind w:right="160" w:firstLine="449"/>
        <w:spacing w:after="0" w:line="311" w:lineRule="auto"/>
        <w:rPr>
          <w:sz w:val="20"/>
          <w:szCs w:val="20"/>
          <w:color w:val="auto"/>
        </w:rPr>
      </w:pPr>
      <w:r>
        <w:rPr>
          <w:rFonts w:ascii="Arial" w:cs="Arial" w:eastAsia="Arial" w:hAnsi="Arial"/>
          <w:sz w:val="16"/>
          <w:szCs w:val="16"/>
          <w:color w:val="auto"/>
        </w:rPr>
        <w:t>Our hybrid self-service and direct sales model allows us to efficiently reach teams everywhere and then rapidly expand their adoption of Asana. A majority of our new customers initially adopted our platform through self-service and free trials. By providing a free version of Asana, a free trial option, and a feature where customers can invite guests outside of their organizations to use Asana, we are able to seed the market with Asana users.</w:t>
      </w:r>
    </w:p>
    <w:p>
      <w:pPr>
        <w:spacing w:after="0" w:line="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00"/>
          </w:cols>
          <w:pgMar w:left="320" w:top="459" w:right="3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Once individuals and teams within organizations adopt our platform, our direct sales team follows up with an opportunity to strategically expand our offerings across the organization. We are at the early stages of building our direct sales force to focus on the significant expansion opportunity we see within our customer base.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our growth and financial performance are dependent upon many factors, including the key factors described below.</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Continuing to Acquire New Paying Customers</w:t>
      </w:r>
    </w:p>
    <w:p>
      <w:pPr>
        <w:spacing w:after="0" w:line="117" w:lineRule="exact"/>
        <w:rPr>
          <w:sz w:val="20"/>
          <w:szCs w:val="20"/>
          <w:color w:val="auto"/>
        </w:rPr>
      </w:pPr>
    </w:p>
    <w:p>
      <w:pPr>
        <w:ind w:right="120" w:firstLine="449"/>
        <w:spacing w:after="0" w:line="257" w:lineRule="auto"/>
        <w:rPr>
          <w:sz w:val="20"/>
          <w:szCs w:val="20"/>
          <w:color w:val="auto"/>
        </w:rPr>
      </w:pPr>
      <w:r>
        <w:rPr>
          <w:rFonts w:ascii="Arial" w:cs="Arial" w:eastAsia="Arial" w:hAnsi="Arial"/>
          <w:sz w:val="18"/>
          <w:szCs w:val="18"/>
          <w:color w:val="auto"/>
        </w:rPr>
        <w:t>We are focused on continuing to grow the number of customers that use our platform. Our operating results and growth opportunity depend, in part, on our ability to attract new customers. While we currently have over 75,000 paying customers, we believe we have significant greenfield opportunities among addressable customers worldwide. We also have 3.2 million free activated accounts on our platform since inception, providing a significant conversion opportunity. We will need to continue to invest in our research and development and our sales and marketing organizations to address this opportunity.</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Retain and Expand Within Existing Customers</w:t>
      </w:r>
    </w:p>
    <w:p>
      <w:pPr>
        <w:spacing w:after="0" w:line="117"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We expect to derive a significant portion of our revenue growth from expansion within our customer base, where we have an opportunity to expand adoption of Asana across teams, departments, and organizations. We measure the rate of expansion within our customer base by calculating our dollar-based net retention rate. We believe that our dollar-based net retention rate demonstrates our large addressable market and high rate of net expansion within our customers, particularly those that generate higher levels of annual revenues.</w:t>
      </w:r>
    </w:p>
    <w:p>
      <w:pPr>
        <w:spacing w:after="0" w:line="92"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9320" w:type="dxa"/>
            <w:vAlign w:val="bottom"/>
            <w:gridSpan w:val="2"/>
          </w:tcPr>
          <w:p>
            <w:pPr>
              <w:ind w:left="240"/>
              <w:spacing w:after="0"/>
              <w:rPr>
                <w:sz w:val="20"/>
                <w:szCs w:val="20"/>
                <w:color w:val="auto"/>
              </w:rPr>
            </w:pPr>
            <w:r>
              <w:rPr>
                <w:rFonts w:ascii="Arial" w:cs="Arial" w:eastAsia="Arial" w:hAnsi="Arial"/>
                <w:sz w:val="18"/>
                <w:szCs w:val="18"/>
                <w:color w:val="auto"/>
              </w:rPr>
              <w:t>Our overall dollar-based net retention rate was 114% and   % for fiscal 2019 and fiscal 2020, respectively.</w:t>
            </w:r>
          </w:p>
        </w:tc>
        <w:tc>
          <w:tcPr>
            <w:tcW w:w="920" w:type="dxa"/>
            <w:vAlign w:val="bottom"/>
          </w:tcPr>
          <w:p>
            <w:pPr>
              <w:spacing w:after="0"/>
              <w:rPr>
                <w:sz w:val="20"/>
                <w:szCs w:val="20"/>
                <w:color w:val="auto"/>
              </w:rPr>
            </w:pPr>
          </w:p>
        </w:tc>
      </w:tr>
      <w:tr>
        <w:trPr>
          <w:trHeight w:val="323"/>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4880" w:type="dxa"/>
            <w:vAlign w:val="bottom"/>
          </w:tcPr>
          <w:p>
            <w:pPr>
              <w:ind w:left="240"/>
              <w:spacing w:after="0"/>
              <w:rPr>
                <w:sz w:val="20"/>
                <w:szCs w:val="20"/>
                <w:color w:val="auto"/>
              </w:rPr>
            </w:pPr>
            <w:r>
              <w:rPr>
                <w:rFonts w:ascii="Arial" w:cs="Arial" w:eastAsia="Arial" w:hAnsi="Arial"/>
                <w:sz w:val="18"/>
                <w:szCs w:val="18"/>
                <w:color w:val="auto"/>
                <w:w w:val="91"/>
              </w:rPr>
              <w:t>As of January 31, 2020, our dollar-based net retention rate was</w:t>
            </w:r>
          </w:p>
        </w:tc>
        <w:tc>
          <w:tcPr>
            <w:tcW w:w="5360" w:type="dxa"/>
            <w:vAlign w:val="bottom"/>
            <w:gridSpan w:val="2"/>
          </w:tcPr>
          <w:p>
            <w:pPr>
              <w:ind w:left="120"/>
              <w:spacing w:after="0"/>
              <w:rPr>
                <w:sz w:val="20"/>
                <w:szCs w:val="20"/>
                <w:color w:val="auto"/>
              </w:rPr>
            </w:pPr>
            <w:r>
              <w:rPr>
                <w:rFonts w:ascii="Arial" w:cs="Arial" w:eastAsia="Arial" w:hAnsi="Arial"/>
                <w:sz w:val="18"/>
                <w:szCs w:val="18"/>
                <w:color w:val="auto"/>
                <w:w w:val="91"/>
              </w:rPr>
              <w:t>% for customers who spent over $5,000 with us on an annualized basis,</w:t>
            </w:r>
          </w:p>
        </w:tc>
      </w:tr>
      <w:tr>
        <w:trPr>
          <w:trHeight w:val="216"/>
        </w:trPr>
        <w:tc>
          <w:tcPr>
            <w:tcW w:w="300" w:type="dxa"/>
            <w:vAlign w:val="bottom"/>
          </w:tcPr>
          <w:p>
            <w:pPr>
              <w:spacing w:after="0"/>
              <w:rPr>
                <w:sz w:val="18"/>
                <w:szCs w:val="18"/>
                <w:color w:val="auto"/>
              </w:rPr>
            </w:pPr>
          </w:p>
        </w:tc>
        <w:tc>
          <w:tcPr>
            <w:tcW w:w="9320" w:type="dxa"/>
            <w:vAlign w:val="bottom"/>
            <w:gridSpan w:val="2"/>
          </w:tcPr>
          <w:p>
            <w:pPr>
              <w:ind w:left="240"/>
              <w:spacing w:after="0"/>
              <w:rPr>
                <w:sz w:val="20"/>
                <w:szCs w:val="20"/>
                <w:color w:val="auto"/>
              </w:rPr>
            </w:pPr>
            <w:r>
              <w:rPr>
                <w:rFonts w:ascii="Arial" w:cs="Arial" w:eastAsia="Arial" w:hAnsi="Arial"/>
                <w:sz w:val="18"/>
                <w:szCs w:val="18"/>
                <w:color w:val="auto"/>
                <w:w w:val="92"/>
              </w:rPr>
              <w:t>calculated based on revenues recognized for the customer for the month ended January 31, 2019. These customers totaled</w:t>
            </w:r>
          </w:p>
        </w:tc>
        <w:tc>
          <w:tcPr>
            <w:tcW w:w="920" w:type="dxa"/>
            <w:vAlign w:val="bottom"/>
          </w:tcPr>
          <w:p>
            <w:pPr>
              <w:ind w:left="320"/>
              <w:spacing w:after="0"/>
              <w:rPr>
                <w:sz w:val="20"/>
                <w:szCs w:val="20"/>
                <w:color w:val="auto"/>
              </w:rPr>
            </w:pPr>
            <w:r>
              <w:rPr>
                <w:rFonts w:ascii="Arial" w:cs="Arial" w:eastAsia="Arial" w:hAnsi="Arial"/>
                <w:sz w:val="18"/>
                <w:szCs w:val="18"/>
                <w:color w:val="auto"/>
              </w:rPr>
              <w:t>as of</w:t>
            </w:r>
          </w:p>
        </w:tc>
      </w:tr>
      <w:tr>
        <w:trPr>
          <w:trHeight w:val="230"/>
        </w:trPr>
        <w:tc>
          <w:tcPr>
            <w:tcW w:w="300" w:type="dxa"/>
            <w:vAlign w:val="bottom"/>
          </w:tcPr>
          <w:p>
            <w:pPr>
              <w:spacing w:after="0"/>
              <w:rPr>
                <w:sz w:val="20"/>
                <w:szCs w:val="20"/>
                <w:color w:val="auto"/>
              </w:rPr>
            </w:pPr>
          </w:p>
        </w:tc>
        <w:tc>
          <w:tcPr>
            <w:tcW w:w="4880" w:type="dxa"/>
            <w:vAlign w:val="bottom"/>
          </w:tcPr>
          <w:p>
            <w:pPr>
              <w:ind w:left="240"/>
              <w:spacing w:after="0"/>
              <w:rPr>
                <w:sz w:val="20"/>
                <w:szCs w:val="20"/>
                <w:color w:val="auto"/>
              </w:rPr>
            </w:pPr>
            <w:r>
              <w:rPr>
                <w:rFonts w:ascii="Arial" w:cs="Arial" w:eastAsia="Arial" w:hAnsi="Arial"/>
                <w:sz w:val="18"/>
                <w:szCs w:val="18"/>
                <w:color w:val="auto"/>
              </w:rPr>
              <w:t>January 31, 2020.</w:t>
            </w:r>
          </w:p>
        </w:tc>
        <w:tc>
          <w:tcPr>
            <w:tcW w:w="4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23"/>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4880" w:type="dxa"/>
            <w:vAlign w:val="bottom"/>
          </w:tcPr>
          <w:p>
            <w:pPr>
              <w:ind w:left="240"/>
              <w:spacing w:after="0"/>
              <w:rPr>
                <w:sz w:val="20"/>
                <w:szCs w:val="20"/>
                <w:color w:val="auto"/>
              </w:rPr>
            </w:pPr>
            <w:r>
              <w:rPr>
                <w:rFonts w:ascii="Arial" w:cs="Arial" w:eastAsia="Arial" w:hAnsi="Arial"/>
                <w:sz w:val="18"/>
                <w:szCs w:val="18"/>
                <w:color w:val="auto"/>
                <w:w w:val="91"/>
              </w:rPr>
              <w:t>As of January 31, 2020, our dollar-based net retention rate was</w:t>
            </w:r>
          </w:p>
        </w:tc>
        <w:tc>
          <w:tcPr>
            <w:tcW w:w="5360" w:type="dxa"/>
            <w:vAlign w:val="bottom"/>
            <w:gridSpan w:val="2"/>
          </w:tcPr>
          <w:p>
            <w:pPr>
              <w:ind w:left="120"/>
              <w:spacing w:after="0"/>
              <w:rPr>
                <w:sz w:val="20"/>
                <w:szCs w:val="20"/>
                <w:color w:val="auto"/>
              </w:rPr>
            </w:pPr>
            <w:r>
              <w:rPr>
                <w:rFonts w:ascii="Arial" w:cs="Arial" w:eastAsia="Arial" w:hAnsi="Arial"/>
                <w:sz w:val="18"/>
                <w:szCs w:val="18"/>
                <w:color w:val="auto"/>
                <w:w w:val="89"/>
              </w:rPr>
              <w:t>% for customers who spent over $50,000 with us on an annualized basis,</w:t>
            </w:r>
          </w:p>
        </w:tc>
      </w:tr>
      <w:tr>
        <w:trPr>
          <w:trHeight w:val="216"/>
        </w:trPr>
        <w:tc>
          <w:tcPr>
            <w:tcW w:w="300" w:type="dxa"/>
            <w:vAlign w:val="bottom"/>
          </w:tcPr>
          <w:p>
            <w:pPr>
              <w:spacing w:after="0"/>
              <w:rPr>
                <w:sz w:val="18"/>
                <w:szCs w:val="18"/>
                <w:color w:val="auto"/>
              </w:rPr>
            </w:pPr>
          </w:p>
        </w:tc>
        <w:tc>
          <w:tcPr>
            <w:tcW w:w="9320" w:type="dxa"/>
            <w:vAlign w:val="bottom"/>
            <w:gridSpan w:val="2"/>
          </w:tcPr>
          <w:p>
            <w:pPr>
              <w:ind w:left="240"/>
              <w:spacing w:after="0"/>
              <w:rPr>
                <w:sz w:val="20"/>
                <w:szCs w:val="20"/>
                <w:color w:val="auto"/>
              </w:rPr>
            </w:pPr>
            <w:r>
              <w:rPr>
                <w:rFonts w:ascii="Arial" w:cs="Arial" w:eastAsia="Arial" w:hAnsi="Arial"/>
                <w:sz w:val="18"/>
                <w:szCs w:val="18"/>
                <w:color w:val="auto"/>
                <w:w w:val="92"/>
              </w:rPr>
              <w:t>calculated based on revenues recognized for the customer for the month ended January 31, 2019. These customers totaled</w:t>
            </w:r>
          </w:p>
        </w:tc>
        <w:tc>
          <w:tcPr>
            <w:tcW w:w="920" w:type="dxa"/>
            <w:vAlign w:val="bottom"/>
          </w:tcPr>
          <w:p>
            <w:pPr>
              <w:ind w:left="320"/>
              <w:spacing w:after="0"/>
              <w:rPr>
                <w:sz w:val="20"/>
                <w:szCs w:val="20"/>
                <w:color w:val="auto"/>
              </w:rPr>
            </w:pPr>
            <w:r>
              <w:rPr>
                <w:rFonts w:ascii="Arial" w:cs="Arial" w:eastAsia="Arial" w:hAnsi="Arial"/>
                <w:sz w:val="18"/>
                <w:szCs w:val="18"/>
                <w:color w:val="auto"/>
              </w:rPr>
              <w:t>as of</w:t>
            </w:r>
          </w:p>
        </w:tc>
      </w:tr>
      <w:tr>
        <w:trPr>
          <w:trHeight w:val="230"/>
        </w:trPr>
        <w:tc>
          <w:tcPr>
            <w:tcW w:w="300" w:type="dxa"/>
            <w:vAlign w:val="bottom"/>
          </w:tcPr>
          <w:p>
            <w:pPr>
              <w:spacing w:after="0"/>
              <w:rPr>
                <w:sz w:val="20"/>
                <w:szCs w:val="20"/>
                <w:color w:val="auto"/>
              </w:rPr>
            </w:pPr>
          </w:p>
        </w:tc>
        <w:tc>
          <w:tcPr>
            <w:tcW w:w="4880" w:type="dxa"/>
            <w:vAlign w:val="bottom"/>
          </w:tcPr>
          <w:p>
            <w:pPr>
              <w:ind w:left="240"/>
              <w:spacing w:after="0"/>
              <w:rPr>
                <w:sz w:val="20"/>
                <w:szCs w:val="20"/>
                <w:color w:val="auto"/>
              </w:rPr>
            </w:pPr>
            <w:r>
              <w:rPr>
                <w:rFonts w:ascii="Arial" w:cs="Arial" w:eastAsia="Arial" w:hAnsi="Arial"/>
                <w:sz w:val="18"/>
                <w:szCs w:val="18"/>
                <w:color w:val="auto"/>
              </w:rPr>
              <w:t>January 31, 2020.</w:t>
            </w:r>
          </w:p>
        </w:tc>
        <w:tc>
          <w:tcPr>
            <w:tcW w:w="4440" w:type="dxa"/>
            <w:vAlign w:val="bottom"/>
          </w:tcPr>
          <w:p>
            <w:pPr>
              <w:spacing w:after="0"/>
              <w:rPr>
                <w:sz w:val="20"/>
                <w:szCs w:val="20"/>
                <w:color w:val="auto"/>
              </w:rPr>
            </w:pPr>
          </w:p>
        </w:tc>
        <w:tc>
          <w:tcPr>
            <w:tcW w:w="920" w:type="dxa"/>
            <w:vAlign w:val="bottom"/>
          </w:tcPr>
          <w:p>
            <w:pPr>
              <w:spacing w:after="0"/>
              <w:rPr>
                <w:sz w:val="20"/>
                <w:szCs w:val="20"/>
                <w:color w:val="auto"/>
              </w:rPr>
            </w:pPr>
          </w:p>
        </w:tc>
      </w:tr>
    </w:tbl>
    <w:p>
      <w:pPr>
        <w:spacing w:after="0" w:line="202"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We calculate our dollar-based net retention rate by comparing our revenues from the same set of customers for the last month of a period such as a quarter or year, relative to the comparable prior year period. To calculate our dollar-based net retention rate for a given period, we start with the cohort of all customers for the last month of the prior comparable period. We then calculate the revenues that we recognized from these customers during the last month of such given period, or the current period revenues. We then calculate the revenues that we recognized from these customers during the last month of the prior comparable period, or the prior period revenues. We then divide the current period revenues by the prior period revenues to arrive at our dollar-based net retention rate. Current period revenues include any upsells and are net of contraction or attrition over the trailing 12 months, but exclude revenues from new customers in the current period. We expect our dollar-based net retention rate to fluctuate in future periods due to a number of factors, including the expected growth of our revenue base, the level of penetration within our customer base, and our ability to retain our customers.</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Continue to Invest in Product Development and Functionality</w:t>
      </w:r>
    </w:p>
    <w:p>
      <w:pPr>
        <w:spacing w:after="0" w:line="11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We intend to continue to improve our platform by developing new products and expanding the functionality of existing products. Since our initial release of Asana, we have released a variety of additional functionality and features that have increased capabilities and improved user experience, including our Rules automation functionality. We invest heavily in integrating our products with other major technologies so that our products can be easily adopted alongside existing communication, collaboration, and vertical tools. We believe that these integrations increase the value of our platform to our customers, as they allow our customers to leverage Asana</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20"/>
          </w:cols>
          <w:pgMar w:left="320" w:top="459" w:right="3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alongside their existing infrastructure. We intend to expend additional resources in the future to continue introducing new products, features, and functionality.</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Continue to Invest in Growth</w:t>
      </w:r>
    </w:p>
    <w:p>
      <w:pPr>
        <w:spacing w:after="0" w:line="11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Although we have invested significantly in our business to date, we believe that we are early in addressing our large market opportunity. We intend to continue to make investments to support the growth and expansion of our business. We are investing in our expansion efforts by growing our direct sales team, which has nearly doubled in size since January 31,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The following tables present certain non-GAAP financial measures for each fiscal year presented below. In addition to our results determined in accordance with GAAP, we believe these non-GAAP financial measures are useful in evaluating our operating performance. See below for a description of the non-GAAP financial measures and their limitations as an analytical tool.</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3"/>
          </w:tcPr>
          <w:p>
            <w:pPr>
              <w:ind w:left="220"/>
              <w:spacing w:after="0"/>
              <w:rPr>
                <w:sz w:val="20"/>
                <w:szCs w:val="20"/>
                <w:color w:val="auto"/>
              </w:rPr>
            </w:pPr>
            <w:r>
              <w:rPr>
                <w:rFonts w:ascii="Arial" w:cs="Arial" w:eastAsia="Arial" w:hAnsi="Arial"/>
                <w:sz w:val="14"/>
                <w:szCs w:val="14"/>
                <w:b w:val="1"/>
                <w:bCs w:val="1"/>
                <w:color w:val="auto"/>
              </w:rPr>
              <w:t>Year Ended January 31,</w:t>
            </w:r>
          </w:p>
        </w:tc>
      </w:tr>
      <w:tr>
        <w:trPr>
          <w:trHeight w:val="142"/>
        </w:trPr>
        <w:tc>
          <w:tcPr>
            <w:tcW w:w="57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480" w:type="dxa"/>
            <w:vAlign w:val="bottom"/>
            <w:tcBorders>
              <w:top w:val="single" w:sz="8" w:color="auto"/>
              <w:bottom w:val="single" w:sz="8" w:color="auto"/>
            </w:tcBorders>
          </w:tcPr>
          <w:p>
            <w:pPr>
              <w:jc w:val="right"/>
              <w:ind w:right="1021"/>
              <w:spacing w:after="0" w:line="142" w:lineRule="exact"/>
              <w:rPr>
                <w:sz w:val="20"/>
                <w:szCs w:val="20"/>
                <w:color w:val="auto"/>
              </w:rPr>
            </w:pPr>
            <w:r>
              <w:rPr>
                <w:rFonts w:ascii="Arial" w:cs="Arial" w:eastAsia="Arial" w:hAnsi="Arial"/>
                <w:sz w:val="14"/>
                <w:szCs w:val="14"/>
                <w:b w:val="1"/>
                <w:bCs w:val="1"/>
                <w:color w:val="auto"/>
              </w:rPr>
              <w:t>2019</w:t>
            </w:r>
          </w:p>
        </w:tc>
        <w:tc>
          <w:tcPr>
            <w:tcW w:w="58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r>
      <w:tr>
        <w:trPr>
          <w:trHeight w:val="142"/>
        </w:trPr>
        <w:tc>
          <w:tcPr>
            <w:tcW w:w="57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jc w:val="right"/>
              <w:ind w:right="1"/>
              <w:spacing w:after="0" w:line="142" w:lineRule="exact"/>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Non-GAAP loss from operations</w:t>
            </w:r>
          </w:p>
        </w:tc>
        <w:tc>
          <w:tcPr>
            <w:tcW w:w="3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741"/>
              <w:spacing w:after="0"/>
              <w:rPr>
                <w:sz w:val="20"/>
                <w:szCs w:val="20"/>
                <w:color w:val="auto"/>
              </w:rPr>
            </w:pPr>
            <w:r>
              <w:rPr>
                <w:rFonts w:ascii="Arial" w:cs="Arial" w:eastAsia="Arial" w:hAnsi="Arial"/>
                <w:sz w:val="18"/>
                <w:szCs w:val="18"/>
                <w:color w:val="auto"/>
                <w:w w:val="95"/>
              </w:rPr>
              <w:t>(43,466)</w:t>
            </w: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Free cash flow</w:t>
            </w:r>
          </w:p>
        </w:tc>
        <w:tc>
          <w:tcPr>
            <w:tcW w:w="3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741"/>
              <w:spacing w:after="0"/>
              <w:rPr>
                <w:sz w:val="20"/>
                <w:szCs w:val="20"/>
                <w:color w:val="auto"/>
              </w:rPr>
            </w:pPr>
            <w:r>
              <w:rPr>
                <w:rFonts w:ascii="Arial" w:cs="Arial" w:eastAsia="Arial" w:hAnsi="Arial"/>
                <w:sz w:val="18"/>
                <w:szCs w:val="18"/>
                <w:color w:val="auto"/>
                <w:w w:val="95"/>
              </w:rPr>
              <w:t>(33,587)</w:t>
            </w: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Non-GAAP Loss From Operations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define non-GAAP loss from operations as loss from operations plus stock-based compensation expense.</w:t>
      </w:r>
    </w:p>
    <w:p>
      <w:pPr>
        <w:spacing w:after="0" w:line="225"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We use non-GAAP loss from operations in conjunction with traditional GAAP measures to evaluate our financial performance. We believe that non-GAAP loss from operations provides our management and investors consistency and comparability with our past financial performance and facilitates period-to-period comparisons of operations by eliminating fluctuations in stock-based compensation expense.</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Free Cash Flow</w:t>
      </w:r>
    </w:p>
    <w:p>
      <w:pPr>
        <w:spacing w:after="0" w:line="117" w:lineRule="exact"/>
        <w:rPr>
          <w:sz w:val="20"/>
          <w:szCs w:val="20"/>
          <w:color w:val="auto"/>
        </w:rPr>
      </w:pPr>
    </w:p>
    <w:p>
      <w:pPr>
        <w:ind w:right="80" w:firstLine="449"/>
        <w:spacing w:after="0" w:line="311" w:lineRule="auto"/>
        <w:rPr>
          <w:sz w:val="20"/>
          <w:szCs w:val="20"/>
          <w:color w:val="auto"/>
        </w:rPr>
      </w:pPr>
      <w:r>
        <w:rPr>
          <w:rFonts w:ascii="Arial" w:cs="Arial" w:eastAsia="Arial" w:hAnsi="Arial"/>
          <w:sz w:val="16"/>
          <w:szCs w:val="16"/>
          <w:color w:val="auto"/>
        </w:rPr>
        <w:t>We define free cash flow as net cash used in operating activities less cash used for purchases of property and equipment and capitalized internal-use software costs. We believe that free cash flow is a useful indicator of liquidity that provides information to management and investors, even if negative, about the amount of cash used in our operations other than that used for investments in property and equipment and capitalized internal-use software costs.</w:t>
      </w:r>
    </w:p>
    <w:p>
      <w:pPr>
        <w:spacing w:after="0" w:line="2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Limitations and Reconciliations of Non-GAAP Financial Measures</w:t>
      </w:r>
    </w:p>
    <w:p>
      <w:pPr>
        <w:spacing w:after="0" w:line="117" w:lineRule="exact"/>
        <w:rPr>
          <w:sz w:val="20"/>
          <w:szCs w:val="20"/>
          <w:color w:val="auto"/>
        </w:rPr>
      </w:pPr>
    </w:p>
    <w:p>
      <w:pPr>
        <w:ind w:right="20" w:firstLine="449"/>
        <w:spacing w:after="0" w:line="291" w:lineRule="auto"/>
        <w:rPr>
          <w:sz w:val="20"/>
          <w:szCs w:val="20"/>
          <w:color w:val="auto"/>
        </w:rPr>
      </w:pPr>
      <w:r>
        <w:rPr>
          <w:rFonts w:ascii="Arial" w:cs="Arial" w:eastAsia="Arial" w:hAnsi="Arial"/>
          <w:sz w:val="16"/>
          <w:szCs w:val="16"/>
          <w:color w:val="auto"/>
        </w:rPr>
        <w:t>Non-GAAP financial measures have limitations as analytical tools and should not be considered in isolation or as substitutes for financial information presented under GAAP. There are a number of limitations related to the use of non-GAAP financial measures versus comparable financial measures determined under GAAP. For example, other companies in our industry may calculate these non-GAAP financial measures differently or may use other measures to evaluate their performance. In addition, free cash flow does not reflect our future contractual commitments and the total increase or decrease of our cash balance for a given period. All of these limitations could reduce the usefulness of these non-GAAP financial measures as analytical tools. Investors are encouraged to review the related GAAP financial measures and the reconciliations of these non-GAAP financial measures to their most directly comparable GAAP financial measures and to not rely on any single financial measure to evaluate our business.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459" w:right="3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reconcile the most directly comparable GAAP financial measure to each of these non-GAAP financial measures.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Non-GAAP Loss From Operations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rPr>
              <w:t>Year Ended January 31,</w:t>
            </w:r>
          </w:p>
        </w:tc>
        <w:tc>
          <w:tcPr>
            <w:tcW w:w="0" w:type="dxa"/>
            <w:vAlign w:val="bottom"/>
          </w:tcPr>
          <w:p>
            <w:pPr>
              <w:spacing w:after="0"/>
              <w:rPr>
                <w:sz w:val="1"/>
                <w:szCs w:val="1"/>
                <w:color w:val="auto"/>
              </w:rPr>
            </w:pPr>
          </w:p>
        </w:tc>
      </w:tr>
      <w:tr>
        <w:trPr>
          <w:trHeight w:val="142"/>
        </w:trPr>
        <w:tc>
          <w:tcPr>
            <w:tcW w:w="59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148"/>
              <w:spacing w:after="0" w:line="142" w:lineRule="exact"/>
              <w:rPr>
                <w:sz w:val="20"/>
                <w:szCs w:val="20"/>
                <w:color w:val="auto"/>
              </w:rPr>
            </w:pPr>
            <w:r>
              <w:rPr>
                <w:rFonts w:ascii="Arial" w:cs="Arial" w:eastAsia="Arial" w:hAnsi="Arial"/>
                <w:sz w:val="14"/>
                <w:szCs w:val="14"/>
                <w:b w:val="1"/>
                <w:bCs w:val="1"/>
                <w:color w:val="auto"/>
              </w:rPr>
              <w:t>2019</w:t>
            </w:r>
          </w:p>
        </w:tc>
        <w:tc>
          <w:tcPr>
            <w:tcW w:w="6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w w:val="83"/>
              </w:rPr>
              <w:t>2020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4"/>
            <w:shd w:val="clear" w:color="auto" w:fill="CCEEFF"/>
          </w:tcPr>
          <w:p>
            <w:pPr>
              <w:jc w:val="right"/>
              <w:ind w:right="521"/>
              <w:spacing w:after="0"/>
              <w:rPr>
                <w:sz w:val="20"/>
                <w:szCs w:val="20"/>
                <w:color w:val="auto"/>
              </w:rPr>
            </w:pPr>
            <w:r>
              <w:rPr>
                <w:rFonts w:ascii="Arial" w:cs="Arial" w:eastAsia="Arial" w:hAnsi="Arial"/>
                <w:sz w:val="18"/>
                <w:szCs w:val="18"/>
                <w:color w:val="auto"/>
              </w:rPr>
              <w:t>$ (52,013)</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Add:</w:t>
            </w: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3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4"/>
            <w:shd w:val="clear" w:color="auto" w:fill="CCEEFF"/>
          </w:tcPr>
          <w:p>
            <w:pPr>
              <w:jc w:val="right"/>
              <w:ind w:right="581"/>
              <w:spacing w:after="0"/>
              <w:rPr>
                <w:sz w:val="20"/>
                <w:szCs w:val="20"/>
                <w:color w:val="auto"/>
              </w:rPr>
            </w:pPr>
            <w:r>
              <w:rPr>
                <w:rFonts w:ascii="Arial" w:cs="Arial" w:eastAsia="Arial" w:hAnsi="Arial"/>
                <w:sz w:val="18"/>
                <w:szCs w:val="18"/>
                <w:color w:val="auto"/>
              </w:rPr>
              <w:t>8,547</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Non-GAAP loss from operations</w:t>
            </w:r>
          </w:p>
        </w:tc>
        <w:tc>
          <w:tcPr>
            <w:tcW w:w="3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 (43,466</w:t>
            </w:r>
          </w:p>
        </w:tc>
        <w:tc>
          <w:tcPr>
            <w:tcW w:w="660" w:type="dxa"/>
            <w:vAlign w:val="bottom"/>
          </w:tcPr>
          <w:p>
            <w:pPr>
              <w:jc w:val="right"/>
              <w:ind w:right="521"/>
              <w:spacing w:after="0"/>
              <w:rPr>
                <w:sz w:val="20"/>
                <w:szCs w:val="20"/>
                <w:color w:val="auto"/>
              </w:rPr>
            </w:pPr>
            <w:r>
              <w:rPr>
                <w:rFonts w:ascii="Arial" w:cs="Arial" w:eastAsia="Arial" w:hAnsi="Arial"/>
                <w:sz w:val="16"/>
                <w:szCs w:val="16"/>
                <w:color w:val="auto"/>
                <w:w w:val="74"/>
              </w:rPr>
              <w:t>)</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ind w:left="460"/>
              <w:spacing w:after="0"/>
              <w:rPr>
                <w:sz w:val="20"/>
                <w:szCs w:val="20"/>
                <w:color w:val="auto"/>
              </w:rPr>
            </w:pPr>
            <w:r>
              <w:rPr>
                <w:rFonts w:ascii="Arial" w:cs="Arial" w:eastAsia="Arial" w:hAnsi="Arial"/>
                <w:sz w:val="18"/>
                <w:szCs w:val="18"/>
                <w:i w:val="1"/>
                <w:iCs w:val="1"/>
                <w:color w:val="auto"/>
              </w:rPr>
              <w:t>Free Cash Flow</w:t>
            </w:r>
          </w:p>
        </w:tc>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980" w:type="dxa"/>
            <w:vAlign w:val="bottom"/>
            <w:vMerge w:val="continue"/>
          </w:tcPr>
          <w:p>
            <w:pPr>
              <w:spacing w:after="0"/>
              <w:rPr>
                <w:sz w:val="24"/>
                <w:szCs w:val="24"/>
                <w:color w:val="auto"/>
              </w:rPr>
            </w:pPr>
          </w:p>
        </w:tc>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9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40" w:type="dxa"/>
            <w:vAlign w:val="bottom"/>
            <w:gridSpan w:val="6"/>
          </w:tcPr>
          <w:p>
            <w:pPr>
              <w:ind w:left="60"/>
              <w:spacing w:after="0"/>
              <w:rPr>
                <w:sz w:val="20"/>
                <w:szCs w:val="20"/>
                <w:color w:val="auto"/>
              </w:rPr>
            </w:pPr>
            <w:r>
              <w:rPr>
                <w:rFonts w:ascii="Arial" w:cs="Arial" w:eastAsia="Arial" w:hAnsi="Arial"/>
                <w:sz w:val="14"/>
                <w:szCs w:val="14"/>
                <w:b w:val="1"/>
                <w:bCs w:val="1"/>
                <w:color w:val="auto"/>
              </w:rPr>
              <w:t>Year Ended January 31,</w:t>
            </w:r>
          </w:p>
        </w:tc>
        <w:tc>
          <w:tcPr>
            <w:tcW w:w="0" w:type="dxa"/>
            <w:vAlign w:val="bottom"/>
          </w:tcPr>
          <w:p>
            <w:pPr>
              <w:spacing w:after="0"/>
              <w:rPr>
                <w:sz w:val="1"/>
                <w:szCs w:val="1"/>
                <w:color w:val="auto"/>
              </w:rPr>
            </w:pPr>
          </w:p>
        </w:tc>
      </w:tr>
      <w:tr>
        <w:trPr>
          <w:trHeight w:val="142"/>
        </w:trPr>
        <w:tc>
          <w:tcPr>
            <w:tcW w:w="59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2"/>
          </w:tcPr>
          <w:p>
            <w:pPr>
              <w:jc w:val="right"/>
              <w:ind w:right="144"/>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w w:val="89"/>
              </w:rPr>
              <w:t>2020</w:t>
            </w:r>
          </w:p>
        </w:tc>
        <w:tc>
          <w:tcPr>
            <w:tcW w:w="20" w:type="dxa"/>
            <w:vAlign w:val="bottom"/>
            <w:tcBorders>
              <w:top w:val="single" w:sz="8" w:color="auto"/>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3"/>
          </w:tcPr>
          <w:p>
            <w:pPr>
              <w:jc w:val="right"/>
              <w:ind w:right="61"/>
              <w:spacing w:after="0" w:line="142" w:lineRule="exact"/>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4040" w:type="dxa"/>
            <w:vAlign w:val="bottom"/>
            <w:gridSpan w:val="5"/>
            <w:shd w:val="clear" w:color="auto" w:fill="CCEEFF"/>
          </w:tcPr>
          <w:p>
            <w:pPr>
              <w:jc w:val="right"/>
              <w:ind w:right="148"/>
              <w:spacing w:after="0"/>
              <w:rPr>
                <w:sz w:val="20"/>
                <w:szCs w:val="20"/>
                <w:color w:val="auto"/>
              </w:rPr>
            </w:pPr>
            <w:r>
              <w:rPr>
                <w:rFonts w:ascii="Arial" w:cs="Arial" w:eastAsia="Arial" w:hAnsi="Arial"/>
                <w:sz w:val="18"/>
                <w:szCs w:val="18"/>
                <w:color w:val="auto"/>
              </w:rPr>
              <w:t>$ (44,662)</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color w:val="auto"/>
              </w:rPr>
              <w:t>Net cash provided by financing activities</w:t>
            </w:r>
          </w:p>
        </w:tc>
        <w:tc>
          <w:tcPr>
            <w:tcW w:w="3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vMerge w:val="continue"/>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55,293</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w w:val="95"/>
              </w:rPr>
              <w:t>(30,180)</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Less:</w:t>
            </w: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3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(2,850)</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Capitalized internal-use software</w:t>
            </w: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148"/>
              <w:spacing w:after="0"/>
              <w:rPr>
                <w:sz w:val="20"/>
                <w:szCs w:val="20"/>
                <w:color w:val="auto"/>
              </w:rPr>
            </w:pPr>
            <w:r>
              <w:rPr>
                <w:rFonts w:ascii="Arial" w:cs="Arial" w:eastAsia="Arial" w:hAnsi="Arial"/>
                <w:sz w:val="18"/>
                <w:szCs w:val="18"/>
                <w:color w:val="auto"/>
              </w:rPr>
              <w:t>(557)</w:t>
            </w: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4040" w:type="dxa"/>
            <w:vAlign w:val="bottom"/>
            <w:gridSpan w:val="5"/>
            <w:shd w:val="clear" w:color="auto" w:fill="CCEEFF"/>
          </w:tcPr>
          <w:p>
            <w:pPr>
              <w:jc w:val="right"/>
              <w:ind w:right="148"/>
              <w:spacing w:after="0"/>
              <w:rPr>
                <w:sz w:val="20"/>
                <w:szCs w:val="20"/>
                <w:color w:val="auto"/>
              </w:rPr>
            </w:pPr>
            <w:r>
              <w:rPr>
                <w:rFonts w:ascii="Arial" w:cs="Arial" w:eastAsia="Arial" w:hAnsi="Arial"/>
                <w:sz w:val="18"/>
                <w:szCs w:val="18"/>
                <w:color w:val="auto"/>
              </w:rPr>
              <w:t>$ (33,587)</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jc w:val="both"/>
        <w:ind w:right="60" w:firstLine="449"/>
        <w:spacing w:after="0" w:line="263" w:lineRule="auto"/>
        <w:rPr>
          <w:sz w:val="20"/>
          <w:szCs w:val="20"/>
          <w:color w:val="auto"/>
        </w:rPr>
      </w:pPr>
      <w:r>
        <w:rPr>
          <w:rFonts w:ascii="Arial" w:cs="Arial" w:eastAsia="Arial" w:hAnsi="Arial"/>
          <w:sz w:val="18"/>
          <w:szCs w:val="18"/>
          <w:color w:val="auto"/>
        </w:rPr>
        <w:t>We generate subscription revenues from customers accessing our cloud-based platform. Subscription revenues are driven primarily by the number of paying customers, the number of paying users within the customer base, and the level of subscription plan. We recognize revenues ratably over the related contractual term beginning on the date that the platform is made available to a customer.</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Due to the ease of implementation of our platform, revenues from professional services have been immaterial to date.</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17"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color w:val="auto"/>
        </w:rPr>
        <w:t>Cost of revenues consists primarily of the cost of providing our platform to free users and paying customers and is comprised of third-party hosting fees, personnel-related expenses for our operations and support personnel, credit card processing fees, and amortization of our capitalized internal-use software costs.</w:t>
      </w:r>
    </w:p>
    <w:p>
      <w:pPr>
        <w:spacing w:after="0" w:line="184" w:lineRule="exact"/>
        <w:rPr>
          <w:sz w:val="20"/>
          <w:szCs w:val="20"/>
          <w:color w:val="auto"/>
        </w:rPr>
      </w:pPr>
    </w:p>
    <w:p>
      <w:pPr>
        <w:ind w:right="640" w:firstLine="449"/>
        <w:spacing w:after="0" w:line="277" w:lineRule="auto"/>
        <w:rPr>
          <w:sz w:val="20"/>
          <w:szCs w:val="20"/>
          <w:color w:val="auto"/>
        </w:rPr>
      </w:pPr>
      <w:r>
        <w:rPr>
          <w:rFonts w:ascii="Arial" w:cs="Arial" w:eastAsia="Arial" w:hAnsi="Arial"/>
          <w:sz w:val="18"/>
          <w:szCs w:val="18"/>
          <w:color w:val="auto"/>
        </w:rPr>
        <w:t>As we acquire new customers and existing customers increase their use of our cloud-based platform, we expect that our cost of revenues will continue to increase in dollar amount.</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17" w:lineRule="exact"/>
        <w:rPr>
          <w:sz w:val="20"/>
          <w:szCs w:val="20"/>
          <w:color w:val="auto"/>
        </w:rPr>
      </w:pPr>
    </w:p>
    <w:p>
      <w:pPr>
        <w:ind w:right="600" w:firstLine="449"/>
        <w:spacing w:after="0" w:line="277" w:lineRule="auto"/>
        <w:rPr>
          <w:sz w:val="20"/>
          <w:szCs w:val="20"/>
          <w:color w:val="auto"/>
        </w:rPr>
      </w:pPr>
      <w:r>
        <w:rPr>
          <w:rFonts w:ascii="Arial" w:cs="Arial" w:eastAsia="Arial" w:hAnsi="Arial"/>
          <w:sz w:val="18"/>
          <w:szCs w:val="18"/>
          <w:color w:val="auto"/>
        </w:rPr>
        <w:t>Gross profit, or revenues less cost of revenues, and gross margin, or gross profit as a percentage of revenues, has been and will continue to be affected by various factors, including the timing of our acquisition of new</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459" w:right="3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customers, renewals of and follow-on sales to existing customers, costs associated with operating our cloud-based platform, and the extent to which we expand our operations and customer support organizations. We expect our gross profit to increase in dollar amount and our gross margin to remain relatively consistent over the long term.</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Our operating expenses consist of research and development, sales and marketing, and general and administrative expenses. Personnel-related expenses are the most significant component of operating expenses and consist of salaries, benefits, stock-based compensation expense, and, in the case of sales and marketing expenses, sales commissions. Operating expenses also include an allocation of overhead costs for facilities and shared IT-related expenses, including depreciation expense.</w:t>
      </w:r>
    </w:p>
    <w:p>
      <w:pPr>
        <w:spacing w:after="0" w:line="187" w:lineRule="exact"/>
        <w:rPr>
          <w:sz w:val="20"/>
          <w:szCs w:val="20"/>
          <w:color w:val="auto"/>
        </w:rPr>
      </w:pPr>
    </w:p>
    <w:p>
      <w:pPr>
        <w:ind w:right="140" w:firstLine="449"/>
        <w:spacing w:after="0" w:line="257" w:lineRule="auto"/>
        <w:rPr>
          <w:sz w:val="20"/>
          <w:szCs w:val="20"/>
          <w:color w:val="auto"/>
        </w:rPr>
      </w:pPr>
      <w:r>
        <w:rPr>
          <w:rFonts w:ascii="Arial" w:cs="Arial" w:eastAsia="Arial" w:hAnsi="Arial"/>
          <w:sz w:val="18"/>
          <w:szCs w:val="18"/>
          <w:color w:val="auto"/>
        </w:rPr>
        <w:t>In April 2018, our board of directors approved a plan for a private trust whose sole trustee and grantor is our co-founder, President, Chief Executive Officer, and Chair to purchase up to 3.4 million shares of our Class A and Class B common stock from certain current and former employees for up to $15.9 million. The tender offer closed in May 2018, at which time we recorded $3.8 million in stock-based compensation expense related to the excess of the selling price per share paid to our employees and former employees over the fair value of each tendered share. A total of approximately 1.5 million shares were tendered in the offer.</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Research and development expenses consist primarily of personnel-related expenses. These expenses also include product design costs, third-party services and consulting expenses, depreciation expense related to equipment used in research and development activities, and allocated overhead costs. A substantial portion of our research and development efforts are focused on enhancing our software architecture and adding new features and functionality to our platform. We anticipate continuing to invest in innovation and technology development, and as a result, we expect research and development expenses to continue to increase in dollar amount but to decrease as a percentage of revenues over time.</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Sales and marketing expenses consist primarily of personnel-related expenses and expenses for performance marketing and lead generation, brand marketing, and sponsorship activities. These expenses also include allocated overhead costs and travel-related expenses. Sales commissions earned by our sales force that are considered incremental and recoverable costs of obtaining a subscription with a customer are deferred and amortized on a straight-line basis over the expected period of benefit of three years.</w:t>
      </w:r>
    </w:p>
    <w:p>
      <w:pPr>
        <w:spacing w:after="0" w:line="187" w:lineRule="exact"/>
        <w:rPr>
          <w:sz w:val="20"/>
          <w:szCs w:val="20"/>
          <w:color w:val="auto"/>
        </w:rPr>
      </w:pPr>
    </w:p>
    <w:p>
      <w:pPr>
        <w:ind w:right="40" w:firstLine="449"/>
        <w:spacing w:after="0" w:line="311" w:lineRule="auto"/>
        <w:rPr>
          <w:sz w:val="20"/>
          <w:szCs w:val="20"/>
          <w:color w:val="auto"/>
        </w:rPr>
      </w:pPr>
      <w:r>
        <w:rPr>
          <w:rFonts w:ascii="Arial" w:cs="Arial" w:eastAsia="Arial" w:hAnsi="Arial"/>
          <w:sz w:val="16"/>
          <w:szCs w:val="16"/>
          <w:color w:val="auto"/>
        </w:rPr>
        <w:t>We continue to make investments in our sales and marketing organization, and we expect sales and marketing expenses to remain our largest operating expense in dollar amount. We expect our sales and marketing expenses to continue to increase in dollar amount but to decrease as a percentage of revenues over time, although the percentage may fluctuate from quarter to quarter depending on the extent and timing of our marketing initiatives.</w:t>
      </w:r>
    </w:p>
    <w:p>
      <w:pPr>
        <w:spacing w:after="0" w:line="25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jc w:val="both"/>
        <w:ind w:right="60" w:firstLine="449"/>
        <w:spacing w:after="0" w:line="263" w:lineRule="auto"/>
        <w:rPr>
          <w:sz w:val="20"/>
          <w:szCs w:val="20"/>
          <w:color w:val="auto"/>
        </w:rPr>
      </w:pPr>
      <w:r>
        <w:rPr>
          <w:rFonts w:ascii="Arial" w:cs="Arial" w:eastAsia="Arial" w:hAnsi="Arial"/>
          <w:sz w:val="18"/>
          <w:szCs w:val="18"/>
          <w:color w:val="auto"/>
        </w:rPr>
        <w:t>General and administrative expenses consist primarily of personnel-related expenses for our finance, human resources, information technology, and legal organizations. These expenses also include non-personnel costs, such as outside legal, accounting, and other professional fees, hardware and software costs, certain tax, license, and insurance-related expenses, and allocated overhead costs.</w:t>
      </w:r>
    </w:p>
    <w:p>
      <w:pPr>
        <w:spacing w:after="0" w:line="184" w:lineRule="exact"/>
        <w:rPr>
          <w:sz w:val="20"/>
          <w:szCs w:val="20"/>
          <w:color w:val="auto"/>
        </w:rPr>
      </w:pPr>
    </w:p>
    <w:p>
      <w:pPr>
        <w:ind w:right="680" w:firstLine="449"/>
        <w:spacing w:after="0" w:line="277" w:lineRule="auto"/>
        <w:rPr>
          <w:sz w:val="20"/>
          <w:szCs w:val="20"/>
          <w:color w:val="auto"/>
        </w:rPr>
      </w:pPr>
      <w:r>
        <w:rPr>
          <w:rFonts w:ascii="Arial" w:cs="Arial" w:eastAsia="Arial" w:hAnsi="Arial"/>
          <w:sz w:val="18"/>
          <w:szCs w:val="18"/>
          <w:color w:val="auto"/>
        </w:rPr>
        <w:t>We also expect to recognize certain expenses as part of our transition to a publicly-traded company, consisting of professional fees and other expenses. In the quarter of the listing of our Class A common stock 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459" w:right="3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the , we expect to incur fees paid to our financial advisors in addition to other professional fees and expenses related to such listing. Following the listing of our Class A common stock on the , we expect to continue to incur additional expenses as a result of operating as a public company,</w:t>
      </w:r>
    </w:p>
    <w:p>
      <w:pPr>
        <w:spacing w:after="0" w:line="292" w:lineRule="auto"/>
        <w:rPr>
          <w:sz w:val="20"/>
          <w:szCs w:val="20"/>
          <w:color w:val="auto"/>
        </w:rPr>
      </w:pPr>
      <w:r>
        <w:rPr>
          <w:rFonts w:ascii="Arial" w:cs="Arial" w:eastAsia="Arial" w:hAnsi="Arial"/>
          <w:sz w:val="16"/>
          <w:szCs w:val="16"/>
          <w:color w:val="auto"/>
        </w:rPr>
        <w:t>including costs to comply with the rules and regulations applicable to companies listed on a U.S. securities exchange and costs related to compliance and reporting obligations pursuant to the rules and regulations of the SEC. In addition, as a public company, we expect to incur additional costs associated with accounting, compliance, insurance, and investor relations. As a result, we expect our general and administrative expenses to continue to increase in dollar amount for the foreseeable future but to generally decrease as a percentage of our revenues over the longer term, although the percentage may fluctuate from period to period depending on the timing and amount of our general and administrative expenses.</w:t>
      </w:r>
    </w:p>
    <w:p>
      <w:pPr>
        <w:spacing w:after="0" w:line="2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income (expense), net consists primarily of income earned on our marketable securities and foreign currency transaction gains and losses.</w:t>
      </w:r>
    </w:p>
    <w:p>
      <w:pPr>
        <w:spacing w:after="0" w:line="35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Provision for income taxes consists primarily of income taxes in certain foreign jurisdictions in which we conduct business. To date, we have not recorded any U.S. federal income tax expense, and our state and foreign income tax expenses have not been material. We have recorded deferred tax assets for which we provide a full valuation allowance, which primarily includes net operating loss carryforwards of $276.5 million and research and development tax credit carryforwards of $13.1 million, which begin expiring in 2029 and 2030, respectively. We expect to maintain this full valuation allowance for the foreseeable future as it is not more likely than not the deferred tax assets will be realized based on our history of losses.</w:t>
      </w:r>
    </w:p>
    <w:p>
      <w:pPr>
        <w:spacing w:after="0" w:line="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60"/>
          </w:cols>
          <w:pgMar w:left="320" w:top="459" w:right="4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800" w:firstLine="449"/>
        <w:spacing w:after="0" w:line="342" w:lineRule="auto"/>
        <w:rPr>
          <w:sz w:val="20"/>
          <w:szCs w:val="20"/>
          <w:color w:val="auto"/>
        </w:rPr>
      </w:pPr>
      <w:r>
        <w:rPr>
          <w:rFonts w:ascii="Arial" w:cs="Arial" w:eastAsia="Arial" w:hAnsi="Arial"/>
          <w:sz w:val="16"/>
          <w:szCs w:val="16"/>
          <w:color w:val="auto"/>
        </w:rPr>
        <w:t>The following tables set forth our results of operations for the periods presented and as a percentage of our revenues for those periods. The period-to-period comparison of financial results is not necessarily indicative of financial results to be achieved in future periods.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4"/>
              </w:rPr>
              <w:t>Year Ended January 31,</w:t>
            </w:r>
          </w:p>
        </w:tc>
      </w:tr>
      <w:tr>
        <w:trPr>
          <w:trHeight w:val="142"/>
        </w:trPr>
        <w:tc>
          <w:tcPr>
            <w:tcW w:w="90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2019</w:t>
            </w:r>
          </w:p>
        </w:tc>
        <w:tc>
          <w:tcPr>
            <w:tcW w:w="8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r>
      <w:tr>
        <w:trPr>
          <w:trHeight w:val="119"/>
        </w:trPr>
        <w:tc>
          <w:tcPr>
            <w:tcW w:w="9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60" w:type="dxa"/>
            <w:vAlign w:val="bottom"/>
            <w:gridSpan w:val="3"/>
          </w:tcPr>
          <w:p>
            <w:pPr>
              <w:jc w:val="center"/>
              <w:ind w:right="48"/>
              <w:spacing w:after="0" w:line="119" w:lineRule="exact"/>
              <w:rPr>
                <w:sz w:val="20"/>
                <w:szCs w:val="20"/>
                <w:color w:val="auto"/>
              </w:rPr>
            </w:pPr>
            <w:r>
              <w:rPr>
                <w:rFonts w:ascii="Arial" w:cs="Arial" w:eastAsia="Arial" w:hAnsi="Arial"/>
                <w:sz w:val="13"/>
                <w:szCs w:val="13"/>
                <w:b w:val="1"/>
                <w:bCs w:val="1"/>
                <w:color w:val="auto"/>
                <w:w w:val="97"/>
              </w:rPr>
              <w:t>(in thousands, except per</w:t>
            </w:r>
          </w:p>
        </w:tc>
        <w:tc>
          <w:tcPr>
            <w:tcW w:w="40" w:type="dxa"/>
            <w:vAlign w:val="bottom"/>
          </w:tcPr>
          <w:p>
            <w:pPr>
              <w:spacing w:after="0"/>
              <w:rPr>
                <w:sz w:val="10"/>
                <w:szCs w:val="10"/>
                <w:color w:val="auto"/>
              </w:rPr>
            </w:pPr>
          </w:p>
        </w:tc>
      </w:tr>
      <w:tr>
        <w:trPr>
          <w:trHeight w:val="171"/>
        </w:trPr>
        <w:tc>
          <w:tcPr>
            <w:tcW w:w="9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left="355"/>
              <w:spacing w:after="0"/>
              <w:rPr>
                <w:sz w:val="20"/>
                <w:szCs w:val="20"/>
                <w:color w:val="auto"/>
              </w:rPr>
            </w:pPr>
            <w:r>
              <w:rPr>
                <w:rFonts w:ascii="Arial" w:cs="Arial" w:eastAsia="Arial" w:hAnsi="Arial"/>
                <w:sz w:val="14"/>
                <w:szCs w:val="14"/>
                <w:b w:val="1"/>
                <w:bCs w:val="1"/>
                <w:color w:val="auto"/>
                <w:w w:val="90"/>
              </w:rPr>
              <w:t>share amounts)</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76,770</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9020" w:type="dxa"/>
            <w:vAlign w:val="bottom"/>
          </w:tcPr>
          <w:p>
            <w:pPr>
              <w:spacing w:after="0"/>
              <w:rPr>
                <w:sz w:val="20"/>
                <w:szCs w:val="20"/>
                <w:color w:val="auto"/>
              </w:rPr>
            </w:pPr>
            <w:r>
              <w:rPr>
                <w:rFonts w:ascii="Arial" w:cs="Arial" w:eastAsia="Arial" w:hAnsi="Arial"/>
                <w:sz w:val="18"/>
                <w:szCs w:val="18"/>
                <w:color w:val="auto"/>
              </w:rPr>
              <w:t>Cost of revenues</w:t>
            </w:r>
            <w:r>
              <w:rPr>
                <w:rFonts w:ascii="Arial" w:cs="Arial" w:eastAsia="Arial" w:hAnsi="Arial"/>
                <w:sz w:val="15"/>
                <w:szCs w:val="15"/>
                <w:color w:val="auto"/>
              </w:rPr>
              <w:t>(1)</w:t>
            </w: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13,832</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62,938</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902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15"/>
                <w:szCs w:val="15"/>
                <w:color w:val="auto"/>
              </w:rPr>
              <w:t>(1)</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42,585</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15"/>
                <w:szCs w:val="15"/>
                <w:color w:val="auto"/>
              </w:rPr>
              <w:t>(1)</w:t>
            </w:r>
          </w:p>
        </w:tc>
        <w:tc>
          <w:tcPr>
            <w:tcW w:w="120" w:type="dxa"/>
            <w:vAlign w:val="bottom"/>
          </w:tcPr>
          <w:p>
            <w:pPr>
              <w:spacing w:after="0"/>
              <w:rPr>
                <w:sz w:val="18"/>
                <w:szCs w:val="18"/>
                <w:color w:val="auto"/>
              </w:rPr>
            </w:pPr>
          </w:p>
        </w:tc>
        <w:tc>
          <w:tcPr>
            <w:tcW w:w="1500" w:type="dxa"/>
            <w:vAlign w:val="bottom"/>
            <w:gridSpan w:val="2"/>
          </w:tcPr>
          <w:p>
            <w:pPr>
              <w:jc w:val="right"/>
              <w:ind w:right="880"/>
              <w:spacing w:after="0"/>
              <w:rPr>
                <w:sz w:val="20"/>
                <w:szCs w:val="20"/>
                <w:color w:val="auto"/>
              </w:rPr>
            </w:pPr>
            <w:r>
              <w:rPr>
                <w:rFonts w:ascii="Arial" w:cs="Arial" w:eastAsia="Arial" w:hAnsi="Arial"/>
                <w:sz w:val="18"/>
                <w:szCs w:val="18"/>
                <w:color w:val="auto"/>
              </w:rPr>
              <w:t>52,106</w:t>
            </w: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15"/>
                <w:szCs w:val="15"/>
                <w:color w:val="auto"/>
              </w:rPr>
              <w:t>(1)</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20,260</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0"/>
        </w:trPr>
        <w:tc>
          <w:tcPr>
            <w:tcW w:w="90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114,951</w:t>
            </w:r>
          </w:p>
        </w:tc>
        <w:tc>
          <w:tcPr>
            <w:tcW w:w="8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w w:val="98"/>
              </w:rPr>
              <w:t>(52,013)</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90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w w:val="98"/>
              </w:rPr>
              <w:t>(50,900)</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90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w w:val="98"/>
              </w:rPr>
              <w:t>(50,928)</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0"/>
        </w:trPr>
        <w:tc>
          <w:tcPr>
            <w:tcW w:w="9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886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64"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Amounts include stock-based compensation expense as follows:</w:t>
      </w:r>
    </w:p>
    <w:p>
      <w:pPr>
        <w:spacing w:after="0" w:line="227"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8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4"/>
              </w:rPr>
              <w:t>Year Ended January 31,</w:t>
            </w:r>
          </w:p>
        </w:tc>
      </w:tr>
      <w:tr>
        <w:trPr>
          <w:trHeight w:val="142"/>
        </w:trPr>
        <w:tc>
          <w:tcPr>
            <w:tcW w:w="83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2019</w:t>
            </w:r>
          </w:p>
        </w:tc>
        <w:tc>
          <w:tcPr>
            <w:tcW w:w="9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r>
      <w:tr>
        <w:trPr>
          <w:trHeight w:val="142"/>
        </w:trPr>
        <w:tc>
          <w:tcPr>
            <w:tcW w:w="8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left="388"/>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8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 of revenues</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500" w:type="dxa"/>
            <w:vAlign w:val="bottom"/>
            <w:gridSpan w:val="2"/>
            <w:shd w:val="clear" w:color="auto" w:fill="CCEEFF"/>
          </w:tcPr>
          <w:p>
            <w:pPr>
              <w:jc w:val="right"/>
              <w:ind w:right="920"/>
              <w:spacing w:after="0" w:line="149" w:lineRule="exact"/>
              <w:rPr>
                <w:sz w:val="20"/>
                <w:szCs w:val="20"/>
                <w:color w:val="auto"/>
              </w:rPr>
            </w:pPr>
            <w:r>
              <w:rPr>
                <w:rFonts w:ascii="Arial" w:cs="Arial" w:eastAsia="Arial" w:hAnsi="Arial"/>
                <w:sz w:val="14"/>
                <w:szCs w:val="14"/>
                <w:color w:val="auto"/>
              </w:rPr>
              <w:t>37</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9"/>
        </w:trPr>
        <w:tc>
          <w:tcPr>
            <w:tcW w:w="8360" w:type="dxa"/>
            <w:vAlign w:val="bottom"/>
          </w:tcPr>
          <w:p>
            <w:pPr>
              <w:spacing w:after="0" w:line="149" w:lineRule="exact"/>
              <w:rPr>
                <w:sz w:val="20"/>
                <w:szCs w:val="20"/>
                <w:color w:val="auto"/>
              </w:rPr>
            </w:pPr>
            <w:r>
              <w:rPr>
                <w:rFonts w:ascii="Arial" w:cs="Arial" w:eastAsia="Arial" w:hAnsi="Arial"/>
                <w:sz w:val="14"/>
                <w:szCs w:val="14"/>
                <w:color w:val="auto"/>
              </w:rPr>
              <w:t>Research and development</w:t>
            </w:r>
          </w:p>
        </w:tc>
        <w:tc>
          <w:tcPr>
            <w:tcW w:w="160" w:type="dxa"/>
            <w:vAlign w:val="bottom"/>
          </w:tcPr>
          <w:p>
            <w:pPr>
              <w:spacing w:after="0"/>
              <w:rPr>
                <w:sz w:val="12"/>
                <w:szCs w:val="12"/>
                <w:color w:val="auto"/>
              </w:rPr>
            </w:pPr>
          </w:p>
        </w:tc>
        <w:tc>
          <w:tcPr>
            <w:tcW w:w="1500" w:type="dxa"/>
            <w:vAlign w:val="bottom"/>
            <w:gridSpan w:val="2"/>
          </w:tcPr>
          <w:p>
            <w:pPr>
              <w:jc w:val="right"/>
              <w:ind w:right="920"/>
              <w:spacing w:after="0" w:line="149" w:lineRule="exact"/>
              <w:rPr>
                <w:sz w:val="20"/>
                <w:szCs w:val="20"/>
                <w:color w:val="auto"/>
              </w:rPr>
            </w:pPr>
            <w:r>
              <w:rPr>
                <w:rFonts w:ascii="Arial" w:cs="Arial" w:eastAsia="Arial" w:hAnsi="Arial"/>
                <w:sz w:val="14"/>
                <w:szCs w:val="14"/>
                <w:color w:val="auto"/>
              </w:rPr>
              <w:t>5,160</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8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Sales and marketing</w:t>
            </w:r>
          </w:p>
        </w:tc>
        <w:tc>
          <w:tcPr>
            <w:tcW w:w="16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920"/>
              <w:spacing w:after="0" w:line="149" w:lineRule="exact"/>
              <w:rPr>
                <w:sz w:val="20"/>
                <w:szCs w:val="20"/>
                <w:color w:val="auto"/>
              </w:rPr>
            </w:pPr>
            <w:r>
              <w:rPr>
                <w:rFonts w:ascii="Arial" w:cs="Arial" w:eastAsia="Arial" w:hAnsi="Arial"/>
                <w:sz w:val="14"/>
                <w:szCs w:val="14"/>
                <w:color w:val="auto"/>
              </w:rPr>
              <w:t>2,108</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55"/>
        </w:trPr>
        <w:tc>
          <w:tcPr>
            <w:tcW w:w="8360" w:type="dxa"/>
            <w:vAlign w:val="bottom"/>
          </w:tcPr>
          <w:p>
            <w:pPr>
              <w:spacing w:after="0" w:line="149" w:lineRule="exact"/>
              <w:rPr>
                <w:sz w:val="20"/>
                <w:szCs w:val="20"/>
                <w:color w:val="auto"/>
              </w:rPr>
            </w:pPr>
            <w:r>
              <w:rPr>
                <w:rFonts w:ascii="Arial" w:cs="Arial" w:eastAsia="Arial" w:hAnsi="Arial"/>
                <w:sz w:val="14"/>
                <w:szCs w:val="14"/>
                <w:color w:val="auto"/>
              </w:rPr>
              <w:t>General and administrative</w:t>
            </w: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1,242</w:t>
            </w:r>
          </w:p>
        </w:tc>
        <w:tc>
          <w:tcPr>
            <w:tcW w:w="9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48"/>
        </w:trPr>
        <w:tc>
          <w:tcPr>
            <w:tcW w:w="8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stock-based compensation expense</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500" w:type="dxa"/>
            <w:vAlign w:val="bottom"/>
            <w:gridSpan w:val="2"/>
            <w:shd w:val="clear" w:color="auto" w:fill="CCEEFF"/>
          </w:tcPr>
          <w:p>
            <w:pPr>
              <w:jc w:val="right"/>
              <w:ind w:right="920"/>
              <w:spacing w:after="0" w:line="149" w:lineRule="exact"/>
              <w:rPr>
                <w:sz w:val="20"/>
                <w:szCs w:val="20"/>
                <w:color w:val="auto"/>
              </w:rPr>
            </w:pPr>
            <w:r>
              <w:rPr>
                <w:rFonts w:ascii="Arial" w:cs="Arial" w:eastAsia="Arial" w:hAnsi="Arial"/>
                <w:sz w:val="14"/>
                <w:szCs w:val="14"/>
                <w:color w:val="auto"/>
              </w:rPr>
              <w:t>8,547</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20"/>
        </w:trPr>
        <w:tc>
          <w:tcPr>
            <w:tcW w:w="8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16" w:lineRule="exact"/>
        <w:rPr>
          <w:sz w:val="20"/>
          <w:szCs w:val="20"/>
          <w:color w:val="auto"/>
        </w:rPr>
      </w:pPr>
    </w:p>
    <w:p>
      <w:pPr>
        <w:ind w:left="460" w:right="180"/>
        <w:spacing w:after="0" w:line="253" w:lineRule="auto"/>
        <w:rPr>
          <w:sz w:val="20"/>
          <w:szCs w:val="20"/>
          <w:color w:val="auto"/>
        </w:rPr>
      </w:pPr>
      <w:r>
        <w:rPr>
          <w:rFonts w:ascii="Arial" w:cs="Arial" w:eastAsia="Arial" w:hAnsi="Arial"/>
          <w:sz w:val="14"/>
          <w:szCs w:val="14"/>
          <w:color w:val="auto"/>
        </w:rPr>
        <w:t>Stock-based compensation expense for fiscal 2019 includes $3.8 million of compensation expense related to the tender offer described above and in Note 9 to our consolidated financial statements included elsewhere in this prospectus.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459" w:right="3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components of our statements of operations data, for each of the periods presented, as a percentage of revenues.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960" w:type="dxa"/>
            <w:vAlign w:val="bottom"/>
          </w:tcPr>
          <w:p>
            <w:pPr>
              <w:spacing w:after="0"/>
              <w:rPr>
                <w:sz w:val="14"/>
                <w:szCs w:val="14"/>
                <w:color w:val="auto"/>
              </w:rPr>
            </w:pPr>
          </w:p>
        </w:tc>
        <w:tc>
          <w:tcPr>
            <w:tcW w:w="2280" w:type="dxa"/>
            <w:vAlign w:val="bottom"/>
            <w:gridSpan w:val="4"/>
          </w:tcPr>
          <w:p>
            <w:pPr>
              <w:ind w:left="360"/>
              <w:spacing w:after="0"/>
              <w:rPr>
                <w:sz w:val="20"/>
                <w:szCs w:val="20"/>
                <w:color w:val="auto"/>
              </w:rPr>
            </w:pPr>
            <w:r>
              <w:rPr>
                <w:rFonts w:ascii="Arial" w:cs="Arial" w:eastAsia="Arial" w:hAnsi="Arial"/>
                <w:sz w:val="14"/>
                <w:szCs w:val="14"/>
                <w:b w:val="1"/>
                <w:bCs w:val="1"/>
                <w:color w:val="auto"/>
              </w:rPr>
              <w:t>Year Ended January 31,</w:t>
            </w:r>
          </w:p>
        </w:tc>
      </w:tr>
      <w:tr>
        <w:trPr>
          <w:trHeight w:val="142"/>
        </w:trPr>
        <w:tc>
          <w:tcPr>
            <w:tcW w:w="896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2019</w:t>
            </w:r>
          </w:p>
        </w:tc>
        <w:tc>
          <w:tcPr>
            <w:tcW w:w="6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r>
      <w:tr>
        <w:trPr>
          <w:trHeight w:val="142"/>
        </w:trPr>
        <w:tc>
          <w:tcPr>
            <w:tcW w:w="8960" w:type="dxa"/>
            <w:vAlign w:val="bottom"/>
          </w:tcPr>
          <w:p>
            <w:pPr>
              <w:spacing w:after="0"/>
              <w:rPr>
                <w:sz w:val="12"/>
                <w:szCs w:val="12"/>
                <w:color w:val="auto"/>
              </w:rPr>
            </w:pPr>
          </w:p>
        </w:tc>
        <w:tc>
          <w:tcPr>
            <w:tcW w:w="2220" w:type="dxa"/>
            <w:vAlign w:val="bottom"/>
            <w:gridSpan w:val="3"/>
          </w:tcPr>
          <w:p>
            <w:pPr>
              <w:ind w:left="460"/>
              <w:spacing w:after="0" w:line="142" w:lineRule="exact"/>
              <w:rPr>
                <w:sz w:val="20"/>
                <w:szCs w:val="20"/>
                <w:color w:val="auto"/>
              </w:rPr>
            </w:pPr>
            <w:r>
              <w:rPr>
                <w:rFonts w:ascii="Arial" w:cs="Arial" w:eastAsia="Arial" w:hAnsi="Arial"/>
                <w:sz w:val="14"/>
                <w:szCs w:val="14"/>
                <w:b w:val="1"/>
                <w:bCs w:val="1"/>
                <w:color w:val="auto"/>
              </w:rPr>
              <w:t>(percent of revenues)</w:t>
            </w:r>
          </w:p>
        </w:tc>
        <w:tc>
          <w:tcPr>
            <w:tcW w:w="60" w:type="dxa"/>
            <w:vAlign w:val="bottom"/>
          </w:tcPr>
          <w:p>
            <w:pPr>
              <w:spacing w:after="0"/>
              <w:rPr>
                <w:sz w:val="12"/>
                <w:szCs w:val="12"/>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w:t>
            </w: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Cost of revenues</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18</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7"/>
        </w:trPr>
        <w:tc>
          <w:tcPr>
            <w:tcW w:w="89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82</w:t>
            </w: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8960" w:type="dxa"/>
            <w:vAlign w:val="bottom"/>
          </w:tcPr>
          <w:p>
            <w:pPr>
              <w:spacing w:after="0"/>
              <w:rPr>
                <w:sz w:val="20"/>
                <w:szCs w:val="20"/>
                <w:color w:val="auto"/>
              </w:rPr>
            </w:pPr>
            <w:r>
              <w:rPr>
                <w:rFonts w:ascii="Arial" w:cs="Arial" w:eastAsia="Arial" w:hAnsi="Arial"/>
                <w:sz w:val="18"/>
                <w:szCs w:val="18"/>
                <w:color w:val="auto"/>
              </w:rPr>
              <w:t>Operating expenses:</w:t>
            </w:r>
          </w:p>
        </w:tc>
        <w:tc>
          <w:tcPr>
            <w:tcW w:w="72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55</w:t>
            </w: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96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68</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w:t>
            </w: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89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72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w w:val="79"/>
              </w:rPr>
              <w:t>150</w:t>
            </w:r>
          </w:p>
        </w:tc>
        <w:tc>
          <w:tcPr>
            <w:tcW w:w="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(68)</w:t>
            </w: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1</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7"/>
        </w:trPr>
        <w:tc>
          <w:tcPr>
            <w:tcW w:w="89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(66)</w:t>
            </w: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7"/>
        </w:trPr>
        <w:tc>
          <w:tcPr>
            <w:tcW w:w="89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w:t>
            </w: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
        </w:trPr>
        <w:tc>
          <w:tcPr>
            <w:tcW w:w="89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886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Note: Certain figures may not sum due to rounding.</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Fiscal 2019 and Fiscal 2020</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2"/>
          </w:tcPr>
          <w:p>
            <w:pPr>
              <w:jc w:val="center"/>
              <w:ind w:right="48"/>
              <w:spacing w:after="0"/>
              <w:rPr>
                <w:sz w:val="20"/>
                <w:szCs w:val="20"/>
                <w:color w:val="auto"/>
              </w:rPr>
            </w:pPr>
            <w:r>
              <w:rPr>
                <w:rFonts w:ascii="Arial" w:cs="Arial" w:eastAsia="Arial" w:hAnsi="Arial"/>
                <w:sz w:val="14"/>
                <w:szCs w:val="14"/>
                <w:b w:val="1"/>
                <w:bCs w:val="1"/>
                <w:color w:val="auto"/>
                <w:w w:val="94"/>
              </w:rPr>
              <w:t>Year Ended January 31,</w:t>
            </w: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 Change</w:t>
            </w:r>
          </w:p>
        </w:tc>
        <w:tc>
          <w:tcPr>
            <w:tcW w:w="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1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right"/>
              <w:ind w:right="682"/>
              <w:spacing w:after="0" w:line="142" w:lineRule="exact"/>
              <w:rPr>
                <w:sz w:val="20"/>
                <w:szCs w:val="20"/>
                <w:color w:val="auto"/>
              </w:rPr>
            </w:pPr>
            <w:r>
              <w:rPr>
                <w:rFonts w:ascii="Arial" w:cs="Arial" w:eastAsia="Arial" w:hAnsi="Arial"/>
                <w:sz w:val="14"/>
                <w:szCs w:val="14"/>
                <w:b w:val="1"/>
                <w:bCs w:val="1"/>
                <w:color w:val="auto"/>
              </w:rPr>
              <w:t>2019</w:t>
            </w:r>
          </w:p>
        </w:tc>
        <w:tc>
          <w:tcPr>
            <w:tcW w:w="960" w:type="dxa"/>
            <w:vAlign w:val="bottom"/>
          </w:tcPr>
          <w:p>
            <w:pPr>
              <w:jc w:val="right"/>
              <w:ind w:right="148"/>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40" w:type="dxa"/>
            <w:vAlign w:val="bottom"/>
            <w:gridSpan w:val="4"/>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100" w:type="dxa"/>
            <w:vAlign w:val="bottom"/>
            <w:tcBorders>
              <w:top w:val="single" w:sz="8" w:color="auto"/>
            </w:tcBorders>
            <w:gridSpan w:val="2"/>
          </w:tcPr>
          <w:p>
            <w:pPr>
              <w:jc w:val="center"/>
              <w:ind w:right="48"/>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7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462"/>
              <w:spacing w:after="0"/>
              <w:rPr>
                <w:sz w:val="20"/>
                <w:szCs w:val="20"/>
                <w:color w:val="auto"/>
              </w:rPr>
            </w:pPr>
            <w:r>
              <w:rPr>
                <w:rFonts w:ascii="Arial" w:cs="Arial" w:eastAsia="Arial" w:hAnsi="Arial"/>
                <w:sz w:val="18"/>
                <w:szCs w:val="18"/>
                <w:color w:val="auto"/>
              </w:rPr>
              <w:t>76,770</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2560" w:type="dxa"/>
            <w:vAlign w:val="bottom"/>
            <w:gridSpan w:val="2"/>
          </w:tcPr>
          <w:p>
            <w:pPr>
              <w:ind w:left="460"/>
              <w:spacing w:after="0"/>
              <w:rPr>
                <w:sz w:val="20"/>
                <w:szCs w:val="20"/>
                <w:color w:val="auto"/>
              </w:rPr>
            </w:pPr>
            <w:r>
              <w:rPr>
                <w:rFonts w:ascii="Arial" w:cs="Arial" w:eastAsia="Arial" w:hAnsi="Arial"/>
                <w:sz w:val="18"/>
                <w:szCs w:val="18"/>
                <w:color w:val="auto"/>
              </w:rPr>
              <w:t>Revenues increased $</w:t>
            </w:r>
          </w:p>
        </w:tc>
        <w:tc>
          <w:tcPr>
            <w:tcW w:w="8680" w:type="dxa"/>
            <w:vAlign w:val="bottom"/>
            <w:gridSpan w:val="14"/>
          </w:tcPr>
          <w:p>
            <w:pPr>
              <w:ind w:left="40"/>
              <w:spacing w:after="0"/>
              <w:rPr>
                <w:sz w:val="20"/>
                <w:szCs w:val="20"/>
                <w:color w:val="auto"/>
              </w:rPr>
            </w:pPr>
            <w:r>
              <w:rPr>
                <w:rFonts w:ascii="Arial" w:cs="Arial" w:eastAsia="Arial" w:hAnsi="Arial"/>
                <w:sz w:val="18"/>
                <w:szCs w:val="18"/>
                <w:color w:val="auto"/>
                <w:w w:val="93"/>
              </w:rPr>
              <w:t>million, or   %, for fiscal 2020 compared to fiscal 2019. The increase was primarily due to the addition of new paying</w:t>
            </w:r>
          </w:p>
        </w:tc>
        <w:tc>
          <w:tcPr>
            <w:tcW w:w="0" w:type="dxa"/>
            <w:vAlign w:val="bottom"/>
          </w:tcPr>
          <w:p>
            <w:pPr>
              <w:spacing w:after="0"/>
              <w:rPr>
                <w:sz w:val="1"/>
                <w:szCs w:val="1"/>
                <w:color w:val="auto"/>
              </w:rPr>
            </w:pPr>
          </w:p>
        </w:tc>
      </w:tr>
      <w:tr>
        <w:trPr>
          <w:trHeight w:val="216"/>
        </w:trPr>
        <w:tc>
          <w:tcPr>
            <w:tcW w:w="11240" w:type="dxa"/>
            <w:vAlign w:val="bottom"/>
            <w:gridSpan w:val="16"/>
          </w:tcPr>
          <w:p>
            <w:pPr>
              <w:spacing w:after="0"/>
              <w:rPr>
                <w:sz w:val="20"/>
                <w:szCs w:val="20"/>
                <w:color w:val="auto"/>
              </w:rPr>
            </w:pPr>
            <w:r>
              <w:rPr>
                <w:rFonts w:ascii="Arial" w:cs="Arial" w:eastAsia="Arial" w:hAnsi="Arial"/>
                <w:sz w:val="18"/>
                <w:szCs w:val="18"/>
                <w:color w:val="auto"/>
                <w:w w:val="95"/>
              </w:rPr>
              <w:t>customers, as the number of new paying customers increased by   % in fiscal 2020, and revenues generated from our existing paying customers as</w:t>
            </w:r>
          </w:p>
        </w:tc>
        <w:tc>
          <w:tcPr>
            <w:tcW w:w="0" w:type="dxa"/>
            <w:vAlign w:val="bottom"/>
          </w:tcPr>
          <w:p>
            <w:pPr>
              <w:spacing w:after="0"/>
              <w:rPr>
                <w:sz w:val="1"/>
                <w:szCs w:val="1"/>
                <w:color w:val="auto"/>
              </w:rPr>
            </w:pPr>
          </w:p>
        </w:tc>
      </w:tr>
      <w:tr>
        <w:trPr>
          <w:trHeight w:val="230"/>
        </w:trPr>
        <w:tc>
          <w:tcPr>
            <w:tcW w:w="3720" w:type="dxa"/>
            <w:vAlign w:val="bottom"/>
            <w:gridSpan w:val="3"/>
          </w:tcPr>
          <w:p>
            <w:pPr>
              <w:spacing w:after="0"/>
              <w:rPr>
                <w:sz w:val="20"/>
                <w:szCs w:val="20"/>
                <w:color w:val="auto"/>
              </w:rPr>
            </w:pPr>
            <w:r>
              <w:rPr>
                <w:rFonts w:ascii="Arial" w:cs="Arial" w:eastAsia="Arial" w:hAnsi="Arial"/>
                <w:sz w:val="18"/>
                <w:szCs w:val="18"/>
                <w:color w:val="auto"/>
                <w:w w:val="95"/>
              </w:rPr>
              <w:t>reflected by our dollar-based net retention rate of</w:t>
            </w:r>
          </w:p>
        </w:tc>
        <w:tc>
          <w:tcPr>
            <w:tcW w:w="2620" w:type="dxa"/>
            <w:vAlign w:val="bottom"/>
            <w:gridSpan w:val="3"/>
          </w:tcPr>
          <w:p>
            <w:pPr>
              <w:jc w:val="right"/>
              <w:ind w:right="720"/>
              <w:spacing w:after="0"/>
              <w:rPr>
                <w:sz w:val="20"/>
                <w:szCs w:val="20"/>
                <w:color w:val="auto"/>
              </w:rPr>
            </w:pPr>
            <w:r>
              <w:rPr>
                <w:rFonts w:ascii="Arial" w:cs="Arial" w:eastAsia="Arial" w:hAnsi="Arial"/>
                <w:sz w:val="18"/>
                <w:szCs w:val="18"/>
                <w:color w:val="auto"/>
                <w:w w:val="89"/>
              </w:rPr>
              <w:t>% as of January 31, 2020.</w:t>
            </w:r>
          </w:p>
        </w:tc>
        <w:tc>
          <w:tcPr>
            <w:tcW w:w="1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720" w:type="dxa"/>
            <w:vAlign w:val="bottom"/>
            <w:gridSpan w:val="3"/>
          </w:tcPr>
          <w:p>
            <w:pPr>
              <w:ind w:left="460"/>
              <w:spacing w:after="0"/>
              <w:rPr>
                <w:sz w:val="20"/>
                <w:szCs w:val="20"/>
                <w:color w:val="auto"/>
              </w:rPr>
            </w:pPr>
            <w:r>
              <w:rPr>
                <w:rFonts w:ascii="Arial" w:cs="Arial" w:eastAsia="Arial" w:hAnsi="Arial"/>
                <w:sz w:val="18"/>
                <w:szCs w:val="18"/>
                <w:b w:val="1"/>
                <w:bCs w:val="1"/>
                <w:i w:val="1"/>
                <w:iCs w:val="1"/>
                <w:color w:val="auto"/>
              </w:rPr>
              <w:t>Cost of Revenues and Gross Margin</w:t>
            </w:r>
          </w:p>
        </w:tc>
        <w:tc>
          <w:tcPr>
            <w:tcW w:w="2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2"/>
          </w:tcPr>
          <w:p>
            <w:pPr>
              <w:jc w:val="center"/>
              <w:ind w:right="68"/>
              <w:spacing w:after="0"/>
              <w:rPr>
                <w:sz w:val="20"/>
                <w:szCs w:val="20"/>
                <w:color w:val="auto"/>
              </w:rPr>
            </w:pPr>
            <w:r>
              <w:rPr>
                <w:rFonts w:ascii="Arial" w:cs="Arial" w:eastAsia="Arial" w:hAnsi="Arial"/>
                <w:sz w:val="14"/>
                <w:szCs w:val="14"/>
                <w:b w:val="1"/>
                <w:bCs w:val="1"/>
                <w:color w:val="auto"/>
                <w:w w:val="93"/>
              </w:rPr>
              <w:t>Year Ended January 31,</w:t>
            </w:r>
          </w:p>
        </w:tc>
        <w:tc>
          <w:tcPr>
            <w:tcW w:w="60" w:type="dxa"/>
            <w:vAlign w:val="bottom"/>
            <w:tcBorders>
              <w:bottom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Change</w:t>
            </w:r>
          </w:p>
        </w:tc>
        <w:tc>
          <w:tcPr>
            <w:tcW w:w="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1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right"/>
              <w:ind w:right="742"/>
              <w:spacing w:after="0" w:line="142" w:lineRule="exact"/>
              <w:rPr>
                <w:sz w:val="20"/>
                <w:szCs w:val="20"/>
                <w:color w:val="auto"/>
              </w:rPr>
            </w:pPr>
            <w:r>
              <w:rPr>
                <w:rFonts w:ascii="Arial" w:cs="Arial" w:eastAsia="Arial" w:hAnsi="Arial"/>
                <w:sz w:val="14"/>
                <w:szCs w:val="14"/>
                <w:b w:val="1"/>
                <w:bCs w:val="1"/>
                <w:color w:val="auto"/>
                <w:w w:val="96"/>
              </w:rPr>
              <w:t>2019</w:t>
            </w:r>
          </w:p>
        </w:tc>
        <w:tc>
          <w:tcPr>
            <w:tcW w:w="960" w:type="dxa"/>
            <w:vAlign w:val="bottom"/>
          </w:tcPr>
          <w:p>
            <w:pPr>
              <w:jc w:val="right"/>
              <w:ind w:right="88"/>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100" w:type="dxa"/>
            <w:vAlign w:val="bottom"/>
            <w:tcBorders>
              <w:top w:val="single" w:sz="8" w:color="auto"/>
            </w:tcBorders>
            <w:gridSpan w:val="2"/>
          </w:tcPr>
          <w:p>
            <w:pPr>
              <w:jc w:val="center"/>
              <w:ind w:right="48"/>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6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7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22"/>
              <w:spacing w:after="0"/>
              <w:rPr>
                <w:sz w:val="20"/>
                <w:szCs w:val="20"/>
                <w:color w:val="auto"/>
              </w:rPr>
            </w:pPr>
            <w:r>
              <w:rPr>
                <w:rFonts w:ascii="Arial" w:cs="Arial" w:eastAsia="Arial" w:hAnsi="Arial"/>
                <w:sz w:val="18"/>
                <w:szCs w:val="18"/>
                <w:color w:val="auto"/>
                <w:w w:val="94"/>
              </w:rPr>
              <w:t>13,832</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0" w:type="dxa"/>
            <w:vAlign w:val="bottom"/>
          </w:tcPr>
          <w:p>
            <w:pPr>
              <w:spacing w:after="0"/>
              <w:rPr>
                <w:sz w:val="20"/>
                <w:szCs w:val="20"/>
                <w:color w:val="auto"/>
              </w:rPr>
            </w:pPr>
            <w:r>
              <w:rPr>
                <w:rFonts w:ascii="Arial" w:cs="Arial" w:eastAsia="Arial" w:hAnsi="Arial"/>
                <w:sz w:val="18"/>
                <w:szCs w:val="18"/>
                <w:color w:val="auto"/>
              </w:rPr>
              <w:t>Gross margin</w:t>
            </w:r>
          </w:p>
        </w:tc>
        <w:tc>
          <w:tcPr>
            <w:tcW w:w="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82"/>
              <w:spacing w:after="0"/>
              <w:rPr>
                <w:sz w:val="20"/>
                <w:szCs w:val="20"/>
                <w:color w:val="auto"/>
              </w:rPr>
            </w:pPr>
            <w:r>
              <w:rPr>
                <w:rFonts w:ascii="Arial" w:cs="Arial" w:eastAsia="Arial" w:hAnsi="Arial"/>
                <w:sz w:val="18"/>
                <w:szCs w:val="18"/>
                <w:color w:val="auto"/>
              </w:rPr>
              <w:t>82%</w:t>
            </w: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3"/>
        </w:trPr>
        <w:tc>
          <w:tcPr>
            <w:tcW w:w="2560" w:type="dxa"/>
            <w:vAlign w:val="bottom"/>
            <w:gridSpan w:val="2"/>
          </w:tcPr>
          <w:p>
            <w:pPr>
              <w:ind w:left="460"/>
              <w:spacing w:after="0"/>
              <w:rPr>
                <w:sz w:val="20"/>
                <w:szCs w:val="20"/>
                <w:color w:val="auto"/>
              </w:rPr>
            </w:pPr>
            <w:r>
              <w:rPr>
                <w:rFonts w:ascii="Arial" w:cs="Arial" w:eastAsia="Arial" w:hAnsi="Arial"/>
                <w:sz w:val="18"/>
                <w:szCs w:val="18"/>
                <w:color w:val="auto"/>
                <w:w w:val="88"/>
              </w:rPr>
              <w:t>Cost of revenues increased $</w:t>
            </w:r>
          </w:p>
        </w:tc>
        <w:tc>
          <w:tcPr>
            <w:tcW w:w="1160" w:type="dxa"/>
            <w:vAlign w:val="bottom"/>
          </w:tcPr>
          <w:p>
            <w:pPr>
              <w:ind w:left="380"/>
              <w:spacing w:after="0"/>
              <w:rPr>
                <w:sz w:val="20"/>
                <w:szCs w:val="20"/>
                <w:color w:val="auto"/>
              </w:rPr>
            </w:pPr>
            <w:r>
              <w:rPr>
                <w:rFonts w:ascii="Arial" w:cs="Arial" w:eastAsia="Arial" w:hAnsi="Arial"/>
                <w:sz w:val="18"/>
                <w:szCs w:val="18"/>
                <w:color w:val="auto"/>
                <w:w w:val="98"/>
              </w:rPr>
              <w:t>million, or</w:t>
            </w:r>
          </w:p>
        </w:tc>
        <w:tc>
          <w:tcPr>
            <w:tcW w:w="7520" w:type="dxa"/>
            <w:vAlign w:val="bottom"/>
            <w:gridSpan w:val="13"/>
          </w:tcPr>
          <w:p>
            <w:pPr>
              <w:ind w:left="200"/>
              <w:spacing w:after="0"/>
              <w:rPr>
                <w:sz w:val="20"/>
                <w:szCs w:val="20"/>
                <w:color w:val="auto"/>
              </w:rPr>
            </w:pPr>
            <w:r>
              <w:rPr>
                <w:rFonts w:ascii="Arial" w:cs="Arial" w:eastAsia="Arial" w:hAnsi="Arial"/>
                <w:sz w:val="18"/>
                <w:szCs w:val="18"/>
                <w:color w:val="auto"/>
                <w:w w:val="97"/>
              </w:rPr>
              <w:t>%, for fiscal 2020 compared to fiscal 2019. The increase was primarily due to an increase of $</w:t>
            </w:r>
          </w:p>
        </w:tc>
        <w:tc>
          <w:tcPr>
            <w:tcW w:w="0" w:type="dxa"/>
            <w:vAlign w:val="bottom"/>
          </w:tcPr>
          <w:p>
            <w:pPr>
              <w:spacing w:after="0"/>
              <w:rPr>
                <w:sz w:val="1"/>
                <w:szCs w:val="1"/>
                <w:color w:val="auto"/>
              </w:rPr>
            </w:pPr>
          </w:p>
        </w:tc>
      </w:tr>
      <w:tr>
        <w:trPr>
          <w:trHeight w:val="216"/>
        </w:trPr>
        <w:tc>
          <w:tcPr>
            <w:tcW w:w="9200" w:type="dxa"/>
            <w:vAlign w:val="bottom"/>
            <w:gridSpan w:val="10"/>
          </w:tcPr>
          <w:p>
            <w:pPr>
              <w:spacing w:after="0"/>
              <w:rPr>
                <w:sz w:val="20"/>
                <w:szCs w:val="20"/>
                <w:color w:val="auto"/>
              </w:rPr>
            </w:pPr>
            <w:r>
              <w:rPr>
                <w:rFonts w:ascii="Arial" w:cs="Arial" w:eastAsia="Arial" w:hAnsi="Arial"/>
                <w:sz w:val="18"/>
                <w:szCs w:val="18"/>
                <w:color w:val="auto"/>
                <w:w w:val="93"/>
              </w:rPr>
              <w:t>million in third-party hosting costs as we increased capacity to support customer usage and growth of our customer base, $</w:t>
            </w:r>
          </w:p>
        </w:tc>
        <w:tc>
          <w:tcPr>
            <w:tcW w:w="20" w:type="dxa"/>
            <w:vAlign w:val="bottom"/>
          </w:tcPr>
          <w:p>
            <w:pPr>
              <w:spacing w:after="0"/>
              <w:rPr>
                <w:sz w:val="18"/>
                <w:szCs w:val="18"/>
                <w:color w:val="auto"/>
              </w:rPr>
            </w:pPr>
          </w:p>
        </w:tc>
        <w:tc>
          <w:tcPr>
            <w:tcW w:w="2020" w:type="dxa"/>
            <w:vAlign w:val="bottom"/>
            <w:gridSpan w:val="5"/>
          </w:tcPr>
          <w:p>
            <w:pPr>
              <w:ind w:left="20"/>
              <w:spacing w:after="0"/>
              <w:rPr>
                <w:sz w:val="20"/>
                <w:szCs w:val="20"/>
                <w:color w:val="auto"/>
              </w:rPr>
            </w:pPr>
            <w:r>
              <w:rPr>
                <w:rFonts w:ascii="Arial" w:cs="Arial" w:eastAsia="Arial" w:hAnsi="Arial"/>
                <w:sz w:val="18"/>
                <w:szCs w:val="18"/>
                <w:color w:val="auto"/>
              </w:rPr>
              <w:t>million in credit card</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w w:val="98"/>
              </w:rPr>
              <w:t>processing fees, and $</w:t>
            </w:r>
          </w:p>
        </w:tc>
        <w:tc>
          <w:tcPr>
            <w:tcW w:w="6640" w:type="dxa"/>
            <w:vAlign w:val="bottom"/>
            <w:gridSpan w:val="7"/>
          </w:tcPr>
          <w:p>
            <w:pPr>
              <w:jc w:val="right"/>
              <w:ind w:right="288"/>
              <w:spacing w:after="0"/>
              <w:rPr>
                <w:sz w:val="20"/>
                <w:szCs w:val="20"/>
                <w:color w:val="auto"/>
              </w:rPr>
            </w:pPr>
            <w:r>
              <w:rPr>
                <w:rFonts w:ascii="Arial" w:cs="Arial" w:eastAsia="Arial" w:hAnsi="Arial"/>
                <w:sz w:val="18"/>
                <w:szCs w:val="18"/>
                <w:color w:val="auto"/>
                <w:w w:val="93"/>
              </w:rPr>
              <w:t>million in personnel- related costs due to increased headcount, partially offset by a $</w:t>
            </w:r>
          </w:p>
        </w:tc>
        <w:tc>
          <w:tcPr>
            <w:tcW w:w="2800" w:type="dxa"/>
            <w:vAlign w:val="bottom"/>
            <w:gridSpan w:val="8"/>
          </w:tcPr>
          <w:p>
            <w:pPr>
              <w:ind w:left="40"/>
              <w:spacing w:after="0"/>
              <w:rPr>
                <w:sz w:val="20"/>
                <w:szCs w:val="20"/>
                <w:color w:val="auto"/>
              </w:rPr>
            </w:pPr>
            <w:r>
              <w:rPr>
                <w:rFonts w:ascii="Arial" w:cs="Arial" w:eastAsia="Arial" w:hAnsi="Arial"/>
                <w:sz w:val="18"/>
                <w:szCs w:val="18"/>
                <w:color w:val="auto"/>
              </w:rPr>
              <w:t>million decrease in amortization of</w:t>
            </w:r>
          </w:p>
        </w:tc>
        <w:tc>
          <w:tcPr>
            <w:tcW w:w="0" w:type="dxa"/>
            <w:vAlign w:val="bottom"/>
          </w:tcPr>
          <w:p>
            <w:pPr>
              <w:spacing w:after="0"/>
              <w:rPr>
                <w:sz w:val="1"/>
                <w:szCs w:val="1"/>
                <w:color w:val="auto"/>
              </w:rPr>
            </w:pPr>
          </w:p>
        </w:tc>
      </w:tr>
      <w:tr>
        <w:trPr>
          <w:trHeight w:val="230"/>
        </w:trPr>
        <w:tc>
          <w:tcPr>
            <w:tcW w:w="3720" w:type="dxa"/>
            <w:vAlign w:val="bottom"/>
            <w:gridSpan w:val="3"/>
          </w:tcPr>
          <w:p>
            <w:pPr>
              <w:spacing w:after="0"/>
              <w:rPr>
                <w:sz w:val="20"/>
                <w:szCs w:val="20"/>
                <w:color w:val="auto"/>
              </w:rPr>
            </w:pPr>
            <w:r>
              <w:rPr>
                <w:rFonts w:ascii="Arial" w:cs="Arial" w:eastAsia="Arial" w:hAnsi="Arial"/>
                <w:sz w:val="18"/>
                <w:szCs w:val="18"/>
                <w:color w:val="auto"/>
              </w:rPr>
              <w:t>capitalized internal-use software costs.</w:t>
            </w:r>
          </w:p>
        </w:tc>
        <w:tc>
          <w:tcPr>
            <w:tcW w:w="2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560" w:firstLine="449"/>
        <w:spacing w:after="0" w:line="277" w:lineRule="auto"/>
        <w:rPr>
          <w:sz w:val="20"/>
          <w:szCs w:val="20"/>
          <w:color w:val="auto"/>
        </w:rPr>
      </w:pPr>
      <w:r>
        <w:rPr>
          <w:rFonts w:ascii="Arial" w:cs="Arial" w:eastAsia="Arial" w:hAnsi="Arial"/>
          <w:sz w:val="18"/>
          <w:szCs w:val="18"/>
          <w:color w:val="auto"/>
        </w:rPr>
        <w:t>Our gross margin increased slightly for fiscal 2020 compared to fiscal 2019 as we more efficiently managed third-party hosting costs, realized benefits due to economies of scale resulting from increased efficiency with our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459" w:right="3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technology and infrastructure, and experienced a decrease in amortization of capitalized internal-use software costs.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center"/>
              <w:ind w:right="68"/>
              <w:spacing w:after="0"/>
              <w:rPr>
                <w:sz w:val="20"/>
                <w:szCs w:val="20"/>
                <w:color w:val="auto"/>
              </w:rPr>
            </w:pPr>
            <w:r>
              <w:rPr>
                <w:rFonts w:ascii="Arial" w:cs="Arial" w:eastAsia="Arial" w:hAnsi="Arial"/>
                <w:sz w:val="14"/>
                <w:szCs w:val="14"/>
                <w:b w:val="1"/>
                <w:bCs w:val="1"/>
                <w:color w:val="auto"/>
                <w:w w:val="94"/>
              </w:rPr>
              <w:t>Year Ended January 31,</w:t>
            </w:r>
          </w:p>
        </w:tc>
        <w:tc>
          <w:tcPr>
            <w:tcW w:w="380" w:type="dxa"/>
            <w:vAlign w:val="bottom"/>
          </w:tcPr>
          <w:p>
            <w:pPr>
              <w:spacing w:after="0"/>
              <w:rPr>
                <w:sz w:val="14"/>
                <w:szCs w:val="14"/>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7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178"/>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c>
          <w:tcPr>
            <w:tcW w:w="1140" w:type="dxa"/>
            <w:vAlign w:val="bottom"/>
          </w:tcPr>
          <w:p>
            <w:pPr>
              <w:jc w:val="right"/>
              <w:ind w:right="168"/>
              <w:spacing w:after="0" w:line="142" w:lineRule="exact"/>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gridSpan w:val="3"/>
          </w:tcPr>
          <w:p>
            <w:pPr>
              <w:jc w:val="center"/>
              <w:ind w:right="68"/>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3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42,585</w:t>
            </w: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Sales and marketing</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52,106</w:t>
            </w: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20,260</w:t>
            </w: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6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114,951</w:t>
            </w:r>
          </w:p>
        </w:tc>
        <w:tc>
          <w:tcPr>
            <w:tcW w:w="20" w:type="dxa"/>
            <w:vAlign w:val="bottom"/>
            <w:tcBorders>
              <w:bottom w:val="single" w:sz="8" w:color="auto"/>
            </w:tcBorders>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20" w:type="dxa"/>
            <w:vAlign w:val="bottom"/>
            <w:gridSpan w:val="2"/>
          </w:tcPr>
          <w:p>
            <w:pPr>
              <w:ind w:left="460"/>
              <w:spacing w:after="0"/>
              <w:rPr>
                <w:sz w:val="20"/>
                <w:szCs w:val="20"/>
                <w:color w:val="auto"/>
              </w:rPr>
            </w:pPr>
            <w:r>
              <w:rPr>
                <w:rFonts w:ascii="Arial" w:cs="Arial" w:eastAsia="Arial" w:hAnsi="Arial"/>
                <w:sz w:val="18"/>
                <w:szCs w:val="18"/>
                <w:i w:val="1"/>
                <w:iCs w:val="1"/>
                <w:color w:val="auto"/>
              </w:rPr>
              <w:t>Research and Development</w:t>
            </w: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160" w:type="dxa"/>
            <w:vAlign w:val="bottom"/>
            <w:gridSpan w:val="4"/>
          </w:tcPr>
          <w:p>
            <w:pPr>
              <w:ind w:left="460"/>
              <w:spacing w:after="0"/>
              <w:rPr>
                <w:sz w:val="20"/>
                <w:szCs w:val="20"/>
                <w:color w:val="auto"/>
              </w:rPr>
            </w:pPr>
            <w:r>
              <w:rPr>
                <w:rFonts w:ascii="Arial" w:cs="Arial" w:eastAsia="Arial" w:hAnsi="Arial"/>
                <w:sz w:val="18"/>
                <w:szCs w:val="18"/>
                <w:color w:val="auto"/>
                <w:w w:val="91"/>
              </w:rPr>
              <w:t>Research and development expenses increased $</w:t>
            </w:r>
          </w:p>
        </w:tc>
        <w:tc>
          <w:tcPr>
            <w:tcW w:w="1080" w:type="dxa"/>
            <w:vAlign w:val="bottom"/>
          </w:tcPr>
          <w:p>
            <w:pPr>
              <w:ind w:left="200"/>
              <w:spacing w:after="0"/>
              <w:rPr>
                <w:sz w:val="20"/>
                <w:szCs w:val="20"/>
                <w:color w:val="auto"/>
              </w:rPr>
            </w:pPr>
            <w:r>
              <w:rPr>
                <w:rFonts w:ascii="Arial" w:cs="Arial" w:eastAsia="Arial" w:hAnsi="Arial"/>
                <w:sz w:val="18"/>
                <w:szCs w:val="18"/>
                <w:color w:val="auto"/>
              </w:rPr>
              <w:t>million, or</w:t>
            </w:r>
          </w:p>
        </w:tc>
        <w:tc>
          <w:tcPr>
            <w:tcW w:w="6000" w:type="dxa"/>
            <w:vAlign w:val="bottom"/>
            <w:gridSpan w:val="10"/>
          </w:tcPr>
          <w:p>
            <w:pPr>
              <w:ind w:left="100"/>
              <w:spacing w:after="0"/>
              <w:rPr>
                <w:sz w:val="20"/>
                <w:szCs w:val="20"/>
                <w:color w:val="auto"/>
              </w:rPr>
            </w:pPr>
            <w:r>
              <w:rPr>
                <w:rFonts w:ascii="Arial" w:cs="Arial" w:eastAsia="Arial" w:hAnsi="Arial"/>
                <w:sz w:val="18"/>
                <w:szCs w:val="18"/>
                <w:color w:val="auto"/>
                <w:w w:val="92"/>
              </w:rPr>
              <w:t>%, for fiscal 2020 compared to fiscal 2019. The increase was primarily due to an</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increase of $</w:t>
            </w:r>
          </w:p>
        </w:tc>
        <w:tc>
          <w:tcPr>
            <w:tcW w:w="6600" w:type="dxa"/>
            <w:vAlign w:val="bottom"/>
            <w:gridSpan w:val="7"/>
          </w:tcPr>
          <w:p>
            <w:pPr>
              <w:ind w:left="220"/>
              <w:spacing w:after="0"/>
              <w:rPr>
                <w:sz w:val="20"/>
                <w:szCs w:val="20"/>
                <w:color w:val="auto"/>
              </w:rPr>
            </w:pPr>
            <w:r>
              <w:rPr>
                <w:rFonts w:ascii="Arial" w:cs="Arial" w:eastAsia="Arial" w:hAnsi="Arial"/>
                <w:sz w:val="18"/>
                <w:szCs w:val="18"/>
                <w:color w:val="auto"/>
                <w:w w:val="92"/>
              </w:rPr>
              <w:t>million in personnel-related expenses driven by higher headcount and an increase of $</w:t>
            </w:r>
          </w:p>
        </w:tc>
        <w:tc>
          <w:tcPr>
            <w:tcW w:w="3520" w:type="dxa"/>
            <w:vAlign w:val="bottom"/>
            <w:gridSpan w:val="7"/>
          </w:tcPr>
          <w:p>
            <w:pPr>
              <w:ind w:left="220"/>
              <w:spacing w:after="0"/>
              <w:rPr>
                <w:sz w:val="20"/>
                <w:szCs w:val="20"/>
                <w:color w:val="auto"/>
              </w:rPr>
            </w:pPr>
            <w:r>
              <w:rPr>
                <w:rFonts w:ascii="Arial" w:cs="Arial" w:eastAsia="Arial" w:hAnsi="Arial"/>
                <w:sz w:val="18"/>
                <w:szCs w:val="18"/>
                <w:color w:val="auto"/>
                <w:w w:val="90"/>
              </w:rPr>
              <w:t>million in allocated overhead costs as a result</w:t>
            </w:r>
          </w:p>
        </w:tc>
        <w:tc>
          <w:tcPr>
            <w:tcW w:w="0" w:type="dxa"/>
            <w:vAlign w:val="bottom"/>
          </w:tcPr>
          <w:p>
            <w:pPr>
              <w:spacing w:after="0"/>
              <w:rPr>
                <w:sz w:val="1"/>
                <w:szCs w:val="1"/>
                <w:color w:val="auto"/>
              </w:rPr>
            </w:pPr>
          </w:p>
        </w:tc>
      </w:tr>
      <w:tr>
        <w:trPr>
          <w:trHeight w:val="230"/>
        </w:trPr>
        <w:tc>
          <w:tcPr>
            <w:tcW w:w="7720" w:type="dxa"/>
            <w:vAlign w:val="bottom"/>
            <w:gridSpan w:val="8"/>
          </w:tcPr>
          <w:p>
            <w:pPr>
              <w:spacing w:after="0"/>
              <w:rPr>
                <w:sz w:val="20"/>
                <w:szCs w:val="20"/>
                <w:color w:val="auto"/>
              </w:rPr>
            </w:pPr>
            <w:r>
              <w:rPr>
                <w:rFonts w:ascii="Arial" w:cs="Arial" w:eastAsia="Arial" w:hAnsi="Arial"/>
                <w:sz w:val="18"/>
                <w:szCs w:val="18"/>
                <w:color w:val="auto"/>
              </w:rPr>
              <w:t>of increased overall costs to support the growth of our business and related infrastructure.</w:t>
            </w: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220" w:type="dxa"/>
            <w:vAlign w:val="bottom"/>
            <w:gridSpan w:val="2"/>
          </w:tcPr>
          <w:p>
            <w:pPr>
              <w:ind w:left="460"/>
              <w:spacing w:after="0"/>
              <w:rPr>
                <w:sz w:val="20"/>
                <w:szCs w:val="20"/>
                <w:color w:val="auto"/>
              </w:rPr>
            </w:pPr>
            <w:r>
              <w:rPr>
                <w:rFonts w:ascii="Arial" w:cs="Arial" w:eastAsia="Arial" w:hAnsi="Arial"/>
                <w:sz w:val="18"/>
                <w:szCs w:val="18"/>
                <w:i w:val="1"/>
                <w:iCs w:val="1"/>
                <w:color w:val="auto"/>
              </w:rPr>
              <w:t>Sales and Marketing</w:t>
            </w: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680" w:type="dxa"/>
            <w:vAlign w:val="bottom"/>
            <w:gridSpan w:val="3"/>
          </w:tcPr>
          <w:p>
            <w:pPr>
              <w:ind w:left="460"/>
              <w:spacing w:after="0"/>
              <w:rPr>
                <w:sz w:val="20"/>
                <w:szCs w:val="20"/>
                <w:color w:val="auto"/>
              </w:rPr>
            </w:pPr>
            <w:r>
              <w:rPr>
                <w:rFonts w:ascii="Arial" w:cs="Arial" w:eastAsia="Arial" w:hAnsi="Arial"/>
                <w:sz w:val="18"/>
                <w:szCs w:val="18"/>
                <w:color w:val="auto"/>
                <w:w w:val="92"/>
              </w:rPr>
              <w:t>Sales and marketing expenses increased $</w:t>
            </w:r>
          </w:p>
        </w:tc>
        <w:tc>
          <w:tcPr>
            <w:tcW w:w="7560" w:type="dxa"/>
            <w:vAlign w:val="bottom"/>
            <w:gridSpan w:val="12"/>
          </w:tcPr>
          <w:p>
            <w:pPr>
              <w:ind w:left="200"/>
              <w:spacing w:after="0"/>
              <w:rPr>
                <w:sz w:val="20"/>
                <w:szCs w:val="20"/>
                <w:color w:val="auto"/>
              </w:rPr>
            </w:pPr>
            <w:r>
              <w:rPr>
                <w:rFonts w:ascii="Arial" w:cs="Arial" w:eastAsia="Arial" w:hAnsi="Arial"/>
                <w:sz w:val="18"/>
                <w:szCs w:val="18"/>
                <w:color w:val="auto"/>
              </w:rPr>
              <w:t>million, or   %, for fiscal 2020 compared to fiscal 2019. The increase was primarily due to an</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increase of $</w:t>
            </w:r>
          </w:p>
        </w:tc>
        <w:tc>
          <w:tcPr>
            <w:tcW w:w="10120" w:type="dxa"/>
            <w:vAlign w:val="bottom"/>
            <w:gridSpan w:val="14"/>
          </w:tcPr>
          <w:p>
            <w:pPr>
              <w:ind w:left="220"/>
              <w:spacing w:after="0"/>
              <w:rPr>
                <w:sz w:val="20"/>
                <w:szCs w:val="20"/>
                <w:color w:val="auto"/>
              </w:rPr>
            </w:pPr>
            <w:r>
              <w:rPr>
                <w:rFonts w:ascii="Arial" w:cs="Arial" w:eastAsia="Arial" w:hAnsi="Arial"/>
                <w:sz w:val="18"/>
                <w:szCs w:val="18"/>
                <w:color w:val="auto"/>
                <w:w w:val="92"/>
              </w:rPr>
              <w:t>million in personnel-related expenses as a result of higher headcount and sales commissions for our sales personnel, an increase of $</w:t>
            </w:r>
          </w:p>
        </w:tc>
        <w:tc>
          <w:tcPr>
            <w:tcW w:w="0" w:type="dxa"/>
            <w:vAlign w:val="bottom"/>
          </w:tcPr>
          <w:p>
            <w:pPr>
              <w:spacing w:after="0"/>
              <w:rPr>
                <w:sz w:val="1"/>
                <w:szCs w:val="1"/>
                <w:color w:val="auto"/>
              </w:rPr>
            </w:pPr>
          </w:p>
        </w:tc>
      </w:tr>
      <w:tr>
        <w:trPr>
          <w:trHeight w:val="216"/>
        </w:trPr>
        <w:tc>
          <w:tcPr>
            <w:tcW w:w="5720" w:type="dxa"/>
            <w:vAlign w:val="bottom"/>
            <w:gridSpan w:val="6"/>
          </w:tcPr>
          <w:p>
            <w:pPr>
              <w:spacing w:after="0"/>
              <w:rPr>
                <w:sz w:val="20"/>
                <w:szCs w:val="20"/>
                <w:color w:val="auto"/>
              </w:rPr>
            </w:pPr>
            <w:r>
              <w:rPr>
                <w:rFonts w:ascii="Arial" w:cs="Arial" w:eastAsia="Arial" w:hAnsi="Arial"/>
                <w:sz w:val="18"/>
                <w:szCs w:val="18"/>
                <w:color w:val="auto"/>
                <w:w w:val="94"/>
              </w:rPr>
              <w:t>million in advertising expenses for our marketing programs, an increase of $</w:t>
            </w:r>
          </w:p>
        </w:tc>
        <w:tc>
          <w:tcPr>
            <w:tcW w:w="4540" w:type="dxa"/>
            <w:vAlign w:val="bottom"/>
            <w:gridSpan w:val="6"/>
          </w:tcPr>
          <w:p>
            <w:pPr>
              <w:ind w:left="200"/>
              <w:spacing w:after="0"/>
              <w:rPr>
                <w:sz w:val="20"/>
                <w:szCs w:val="20"/>
                <w:color w:val="auto"/>
              </w:rPr>
            </w:pPr>
            <w:r>
              <w:rPr>
                <w:rFonts w:ascii="Arial" w:cs="Arial" w:eastAsia="Arial" w:hAnsi="Arial"/>
                <w:sz w:val="18"/>
                <w:szCs w:val="18"/>
                <w:color w:val="auto"/>
                <w:w w:val="94"/>
              </w:rPr>
              <w:t>million in fees to marketing vendors, and an increase of $</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million in</w:t>
            </w:r>
          </w:p>
        </w:tc>
        <w:tc>
          <w:tcPr>
            <w:tcW w:w="0" w:type="dxa"/>
            <w:vAlign w:val="bottom"/>
          </w:tcPr>
          <w:p>
            <w:pPr>
              <w:spacing w:after="0"/>
              <w:rPr>
                <w:sz w:val="1"/>
                <w:szCs w:val="1"/>
                <w:color w:val="auto"/>
              </w:rPr>
            </w:pPr>
          </w:p>
        </w:tc>
      </w:tr>
      <w:tr>
        <w:trPr>
          <w:trHeight w:val="230"/>
        </w:trPr>
        <w:tc>
          <w:tcPr>
            <w:tcW w:w="9220" w:type="dxa"/>
            <w:vAlign w:val="bottom"/>
            <w:gridSpan w:val="10"/>
          </w:tcPr>
          <w:p>
            <w:pPr>
              <w:spacing w:after="0"/>
              <w:rPr>
                <w:sz w:val="20"/>
                <w:szCs w:val="20"/>
                <w:color w:val="auto"/>
              </w:rPr>
            </w:pPr>
            <w:r>
              <w:rPr>
                <w:rFonts w:ascii="Arial" w:cs="Arial" w:eastAsia="Arial" w:hAnsi="Arial"/>
                <w:sz w:val="18"/>
                <w:szCs w:val="18"/>
                <w:color w:val="auto"/>
                <w:w w:val="91"/>
              </w:rPr>
              <w:t>allocated overhead costs as a result of increased overall costs to support the growth of our business and related infrastructure.</w:t>
            </w: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220" w:type="dxa"/>
            <w:vAlign w:val="bottom"/>
            <w:gridSpan w:val="2"/>
          </w:tcPr>
          <w:p>
            <w:pPr>
              <w:ind w:left="460"/>
              <w:spacing w:after="0"/>
              <w:rPr>
                <w:sz w:val="20"/>
                <w:szCs w:val="20"/>
                <w:color w:val="auto"/>
              </w:rPr>
            </w:pPr>
            <w:r>
              <w:rPr>
                <w:rFonts w:ascii="Arial" w:cs="Arial" w:eastAsia="Arial" w:hAnsi="Arial"/>
                <w:sz w:val="18"/>
                <w:szCs w:val="18"/>
                <w:i w:val="1"/>
                <w:iCs w:val="1"/>
                <w:color w:val="auto"/>
              </w:rPr>
              <w:t>General and Administrative</w:t>
            </w: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160" w:type="dxa"/>
            <w:vAlign w:val="bottom"/>
            <w:gridSpan w:val="4"/>
          </w:tcPr>
          <w:p>
            <w:pPr>
              <w:ind w:left="460"/>
              <w:spacing w:after="0"/>
              <w:rPr>
                <w:sz w:val="20"/>
                <w:szCs w:val="20"/>
                <w:color w:val="auto"/>
              </w:rPr>
            </w:pPr>
            <w:r>
              <w:rPr>
                <w:rFonts w:ascii="Arial" w:cs="Arial" w:eastAsia="Arial" w:hAnsi="Arial"/>
                <w:sz w:val="18"/>
                <w:szCs w:val="18"/>
                <w:color w:val="auto"/>
                <w:w w:val="93"/>
              </w:rPr>
              <w:t>General and administrative expenses increased $</w:t>
            </w:r>
          </w:p>
        </w:tc>
        <w:tc>
          <w:tcPr>
            <w:tcW w:w="1080" w:type="dxa"/>
            <w:vAlign w:val="bottom"/>
          </w:tcPr>
          <w:p>
            <w:pPr>
              <w:ind w:left="200"/>
              <w:spacing w:after="0"/>
              <w:rPr>
                <w:sz w:val="20"/>
                <w:szCs w:val="20"/>
                <w:color w:val="auto"/>
              </w:rPr>
            </w:pPr>
            <w:r>
              <w:rPr>
                <w:rFonts w:ascii="Arial" w:cs="Arial" w:eastAsia="Arial" w:hAnsi="Arial"/>
                <w:sz w:val="18"/>
                <w:szCs w:val="18"/>
                <w:color w:val="auto"/>
              </w:rPr>
              <w:t>million, or</w:t>
            </w:r>
          </w:p>
        </w:tc>
        <w:tc>
          <w:tcPr>
            <w:tcW w:w="6000" w:type="dxa"/>
            <w:vAlign w:val="bottom"/>
            <w:gridSpan w:val="10"/>
          </w:tcPr>
          <w:p>
            <w:pPr>
              <w:jc w:val="right"/>
              <w:ind w:right="80"/>
              <w:spacing w:after="0"/>
              <w:rPr>
                <w:sz w:val="20"/>
                <w:szCs w:val="20"/>
                <w:color w:val="auto"/>
              </w:rPr>
            </w:pPr>
            <w:r>
              <w:rPr>
                <w:rFonts w:ascii="Arial" w:cs="Arial" w:eastAsia="Arial" w:hAnsi="Arial"/>
                <w:sz w:val="18"/>
                <w:szCs w:val="18"/>
                <w:color w:val="auto"/>
                <w:w w:val="92"/>
              </w:rPr>
              <w:t>%, for fiscal 2020 compared to fiscal 2019. The increase was primarily due to an</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increase of $</w:t>
            </w:r>
          </w:p>
        </w:tc>
        <w:tc>
          <w:tcPr>
            <w:tcW w:w="8680" w:type="dxa"/>
            <w:vAlign w:val="bottom"/>
            <w:gridSpan w:val="10"/>
          </w:tcPr>
          <w:p>
            <w:pPr>
              <w:ind w:left="220"/>
              <w:spacing w:after="0"/>
              <w:rPr>
                <w:sz w:val="20"/>
                <w:szCs w:val="20"/>
                <w:color w:val="auto"/>
              </w:rPr>
            </w:pPr>
            <w:r>
              <w:rPr>
                <w:rFonts w:ascii="Arial" w:cs="Arial" w:eastAsia="Arial" w:hAnsi="Arial"/>
                <w:sz w:val="18"/>
                <w:szCs w:val="18"/>
                <w:color w:val="auto"/>
                <w:w w:val="92"/>
              </w:rPr>
              <w:t>million in personnel-related expenses driven by higher headcount to support our continued growth, an increase of $</w:t>
            </w:r>
          </w:p>
        </w:tc>
        <w:tc>
          <w:tcPr>
            <w:tcW w:w="1440" w:type="dxa"/>
            <w:vAlign w:val="bottom"/>
            <w:gridSpan w:val="4"/>
          </w:tcPr>
          <w:p>
            <w:pPr>
              <w:ind w:left="240"/>
              <w:spacing w:after="0"/>
              <w:rPr>
                <w:sz w:val="20"/>
                <w:szCs w:val="20"/>
                <w:color w:val="auto"/>
              </w:rPr>
            </w:pPr>
            <w:r>
              <w:rPr>
                <w:rFonts w:ascii="Arial" w:cs="Arial" w:eastAsia="Arial" w:hAnsi="Arial"/>
                <w:sz w:val="18"/>
                <w:szCs w:val="18"/>
                <w:color w:val="auto"/>
              </w:rPr>
              <w:t>million in</w:t>
            </w:r>
          </w:p>
        </w:tc>
        <w:tc>
          <w:tcPr>
            <w:tcW w:w="0" w:type="dxa"/>
            <w:vAlign w:val="bottom"/>
          </w:tcPr>
          <w:p>
            <w:pPr>
              <w:spacing w:after="0"/>
              <w:rPr>
                <w:sz w:val="1"/>
                <w:szCs w:val="1"/>
                <w:color w:val="auto"/>
              </w:rPr>
            </w:pPr>
          </w:p>
        </w:tc>
      </w:tr>
      <w:tr>
        <w:trPr>
          <w:trHeight w:val="230"/>
        </w:trPr>
        <w:tc>
          <w:tcPr>
            <w:tcW w:w="3220" w:type="dxa"/>
            <w:vAlign w:val="bottom"/>
            <w:gridSpan w:val="2"/>
          </w:tcPr>
          <w:p>
            <w:pPr>
              <w:spacing w:after="0"/>
              <w:rPr>
                <w:sz w:val="20"/>
                <w:szCs w:val="20"/>
                <w:color w:val="auto"/>
              </w:rPr>
            </w:pPr>
            <w:r>
              <w:rPr>
                <w:rFonts w:ascii="Arial" w:cs="Arial" w:eastAsia="Arial" w:hAnsi="Arial"/>
                <w:sz w:val="18"/>
                <w:szCs w:val="18"/>
                <w:color w:val="auto"/>
                <w:w w:val="94"/>
              </w:rPr>
              <w:t>computer equipment, and an increase of $</w:t>
            </w:r>
          </w:p>
        </w:tc>
        <w:tc>
          <w:tcPr>
            <w:tcW w:w="4500" w:type="dxa"/>
            <w:vAlign w:val="bottom"/>
            <w:gridSpan w:val="6"/>
          </w:tcPr>
          <w:p>
            <w:pPr>
              <w:ind w:left="200"/>
              <w:spacing w:after="0"/>
              <w:rPr>
                <w:sz w:val="20"/>
                <w:szCs w:val="20"/>
                <w:color w:val="auto"/>
              </w:rPr>
            </w:pPr>
            <w:r>
              <w:rPr>
                <w:rFonts w:ascii="Arial" w:cs="Arial" w:eastAsia="Arial" w:hAnsi="Arial"/>
                <w:sz w:val="18"/>
                <w:szCs w:val="18"/>
                <w:color w:val="auto"/>
              </w:rPr>
              <w:t>million in fees for professional services.</w:t>
            </w: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220" w:type="dxa"/>
            <w:vAlign w:val="bottom"/>
            <w:gridSpan w:val="2"/>
          </w:tcPr>
          <w:p>
            <w:pPr>
              <w:ind w:left="460"/>
              <w:spacing w:after="0"/>
              <w:rPr>
                <w:sz w:val="20"/>
                <w:szCs w:val="20"/>
                <w:color w:val="auto"/>
              </w:rPr>
            </w:pPr>
            <w:r>
              <w:rPr>
                <w:rFonts w:ascii="Arial" w:cs="Arial" w:eastAsia="Arial" w:hAnsi="Arial"/>
                <w:sz w:val="18"/>
                <w:szCs w:val="18"/>
                <w:b w:val="1"/>
                <w:bCs w:val="1"/>
                <w:i w:val="1"/>
                <w:iCs w:val="1"/>
                <w:color w:val="auto"/>
              </w:rPr>
              <w:t>Other Income (Expense), Net</w:t>
            </w: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96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93"/>
              </w:rPr>
              <w:t>Year Ended January 31,</w:t>
            </w:r>
          </w:p>
        </w:tc>
        <w:tc>
          <w:tcPr>
            <w:tcW w:w="580" w:type="dxa"/>
            <w:vAlign w:val="bottom"/>
            <w:vMerge w:val="restart"/>
          </w:tcPr>
          <w:p>
            <w:pPr>
              <w:spacing w:after="0"/>
              <w:rPr>
                <w:sz w:val="20"/>
                <w:szCs w:val="20"/>
                <w:color w:val="auto"/>
              </w:rPr>
            </w:pPr>
            <w:r>
              <w:rPr>
                <w:rFonts w:ascii="Arial" w:cs="Arial" w:eastAsia="Arial" w:hAnsi="Arial"/>
                <w:sz w:val="14"/>
                <w:szCs w:val="14"/>
                <w:b w:val="1"/>
                <w:bCs w:val="1"/>
                <w:color w:val="auto"/>
                <w:w w:val="88"/>
              </w:rPr>
              <w:t>$ Change</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60" w:type="dxa"/>
            <w:vAlign w:val="bottom"/>
            <w:tcBorders>
              <w:top w:val="single" w:sz="8" w:color="auto"/>
            </w:tcBorders>
          </w:tcPr>
          <w:p>
            <w:pPr>
              <w:jc w:val="right"/>
              <w:ind w:right="888"/>
              <w:spacing w:after="0" w:line="142" w:lineRule="exact"/>
              <w:rPr>
                <w:sz w:val="20"/>
                <w:szCs w:val="20"/>
                <w:color w:val="auto"/>
              </w:rPr>
            </w:pPr>
            <w:r>
              <w:rPr>
                <w:rFonts w:ascii="Arial" w:cs="Arial" w:eastAsia="Arial" w:hAnsi="Arial"/>
                <w:sz w:val="14"/>
                <w:szCs w:val="14"/>
                <w:b w:val="1"/>
                <w:bCs w:val="1"/>
                <w:color w:val="auto"/>
              </w:rPr>
              <w:t>2019</w:t>
            </w:r>
          </w:p>
        </w:tc>
        <w:tc>
          <w:tcPr>
            <w:tcW w:w="76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2020</w:t>
            </w:r>
          </w:p>
        </w:tc>
        <w:tc>
          <w:tcPr>
            <w:tcW w:w="7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2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7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   1,113</w:t>
            </w: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firstLine="449"/>
        <w:spacing w:after="0" w:line="277" w:lineRule="auto"/>
        <w:rPr>
          <w:sz w:val="20"/>
          <w:szCs w:val="20"/>
          <w:color w:val="auto"/>
        </w:rPr>
      </w:pPr>
      <w:r>
        <w:rPr>
          <w:rFonts w:ascii="Arial" w:cs="Arial" w:eastAsia="Arial" w:hAnsi="Arial"/>
          <w:sz w:val="18"/>
          <w:szCs w:val="18"/>
          <w:color w:val="auto"/>
        </w:rPr>
        <w:t>Other income (expense), net increased $ million for fiscal 2020 compared to fiscal 2019. The increase was primarily driven by increased income from our investments as a result of our higher investment balances.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Since inception, we have financed operations primarily through the net proceeds we have received from the sales of our preferred stock and common stock, the issuance of the 2020 Note, and cash generated from the sale of subscriptions to our platform. We have generated losses from our operations as reflected in our accumulated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459" w:right="3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deficit of $ million as of January 31, 2020 and negative cash flows from operating activities. Our future capital requirements will depend on many factors, including revenue growth and costs incurred to support customer usage and growth in our customer base, increased research and development expenses to support the growth of our business and related infrastructure, and increased general and administrative expenses to support being a publicly traded company.</w:t>
      </w:r>
    </w:p>
    <w:p>
      <w:pPr>
        <w:sectPr>
          <w:pgSz w:w="11900" w:h="16838" w:orient="portrait"/>
          <w:cols w:equalWidth="0" w:num="1">
            <w:col w:w="11240"/>
          </w:cols>
          <w:pgMar w:left="320" w:top="459"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of $</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hanging="240"/>
        <w:spacing w:after="0" w:line="277" w:lineRule="auto"/>
        <w:rPr>
          <w:sz w:val="20"/>
          <w:szCs w:val="20"/>
          <w:color w:val="auto"/>
        </w:rPr>
      </w:pPr>
      <w:r>
        <w:rPr>
          <w:rFonts w:ascii="Arial" w:cs="Arial" w:eastAsia="Arial" w:hAnsi="Arial"/>
          <w:sz w:val="18"/>
          <w:szCs w:val="18"/>
          <w:color w:val="auto"/>
        </w:rPr>
        <w:t>As of January 31, 2020, our principal sources of liquidity were cash, cash equivalents, and marketable securities of $ million.</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million and restricted cash</w:t>
      </w:r>
    </w:p>
    <w:p>
      <w:pPr>
        <w:spacing w:after="0" w:line="463" w:lineRule="exact"/>
        <w:rPr>
          <w:sz w:val="20"/>
          <w:szCs w:val="20"/>
          <w:color w:val="auto"/>
        </w:rPr>
      </w:pPr>
    </w:p>
    <w:p>
      <w:pPr>
        <w:sectPr>
          <w:pgSz w:w="11900" w:h="16838" w:orient="portrait"/>
          <w:cols w:equalWidth="0" w:num="3">
            <w:col w:w="300" w:space="400"/>
            <w:col w:w="8160" w:space="400"/>
            <w:col w:w="1980"/>
          </w:cols>
          <w:pgMar w:left="320" w:top="459" w:right="339" w:bottom="1440" w:gutter="0" w:footer="0" w:header="0"/>
          <w:type w:val="continuous"/>
        </w:sectPr>
      </w:pPr>
    </w:p>
    <w:p>
      <w:pPr>
        <w:ind w:right="300" w:firstLine="449"/>
        <w:spacing w:after="0" w:line="291" w:lineRule="auto"/>
        <w:rPr>
          <w:sz w:val="20"/>
          <w:szCs w:val="20"/>
          <w:color w:val="auto"/>
        </w:rPr>
      </w:pPr>
      <w:r>
        <w:rPr>
          <w:rFonts w:ascii="Arial" w:cs="Arial" w:eastAsia="Arial" w:hAnsi="Arial"/>
          <w:sz w:val="16"/>
          <w:szCs w:val="16"/>
          <w:color w:val="auto"/>
        </w:rPr>
        <w:t>A substantial source of our cash provided by operating activities is our deferred revenue, which is included on our consolidated balance sheet as a liability. Deferred revenue consists of the unearned portion of billed fees for our subscriptions, which is recorded as revenues over the term of the</w:t>
      </w:r>
    </w:p>
    <w:p>
      <w:pPr>
        <w:ind w:right="220"/>
        <w:spacing w:after="0" w:line="260" w:lineRule="auto"/>
        <w:rPr>
          <w:sz w:val="20"/>
          <w:szCs w:val="20"/>
          <w:color w:val="auto"/>
        </w:rPr>
      </w:pPr>
      <w:r>
        <w:rPr>
          <w:rFonts w:ascii="Arial" w:cs="Arial" w:eastAsia="Arial" w:hAnsi="Arial"/>
          <w:sz w:val="18"/>
          <w:szCs w:val="18"/>
          <w:color w:val="auto"/>
        </w:rPr>
        <w:t>subscription agreement. As of January 31, 2019 and January 31, 2020, we had $31.9 million and $ million of deferred revenue recorded as a current liability. This deferred revenue will be recognized as revenues when all of the revenue recognition criteria are met.</w:t>
      </w:r>
    </w:p>
    <w:p>
      <w:pPr>
        <w:spacing w:after="0" w:line="185"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color w:val="auto"/>
        </w:rPr>
        <w:t>We assess our liquidity primarily through our cash on hand as well as the projected timing of billings under contract with our customers and related collection cycles. We believe our current cash, cash equivalents, and marketable securities will be sufficient to meet our working capital and capital expenditure requirements for at least the next 12 months.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a summary of our cash flows for the periods presented: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220" w:type="dxa"/>
            <w:vAlign w:val="bottom"/>
            <w:gridSpan w:val="3"/>
          </w:tcPr>
          <w:p>
            <w:pPr>
              <w:ind w:left="340"/>
              <w:spacing w:after="0"/>
              <w:rPr>
                <w:sz w:val="20"/>
                <w:szCs w:val="20"/>
                <w:color w:val="auto"/>
              </w:rPr>
            </w:pPr>
            <w:r>
              <w:rPr>
                <w:rFonts w:ascii="Arial" w:cs="Arial" w:eastAsia="Arial" w:hAnsi="Arial"/>
                <w:sz w:val="14"/>
                <w:szCs w:val="14"/>
                <w:b w:val="1"/>
                <w:bCs w:val="1"/>
                <w:color w:val="auto"/>
              </w:rPr>
              <w:t>Year Ended January 31,</w:t>
            </w:r>
          </w:p>
        </w:tc>
      </w:tr>
      <w:tr>
        <w:trPr>
          <w:trHeight w:val="142"/>
        </w:trPr>
        <w:tc>
          <w:tcPr>
            <w:tcW w:w="59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600" w:type="dxa"/>
            <w:vAlign w:val="bottom"/>
            <w:tcBorders>
              <w:top w:val="single" w:sz="8" w:color="auto"/>
              <w:bottom w:val="single" w:sz="8" w:color="auto"/>
            </w:tcBorders>
          </w:tcPr>
          <w:p>
            <w:pPr>
              <w:jc w:val="right"/>
              <w:ind w:right="1028"/>
              <w:spacing w:after="0" w:line="142" w:lineRule="exact"/>
              <w:rPr>
                <w:sz w:val="20"/>
                <w:szCs w:val="20"/>
                <w:color w:val="auto"/>
              </w:rPr>
            </w:pPr>
            <w:r>
              <w:rPr>
                <w:rFonts w:ascii="Arial" w:cs="Arial" w:eastAsia="Arial" w:hAnsi="Arial"/>
                <w:sz w:val="14"/>
                <w:szCs w:val="14"/>
                <w:b w:val="1"/>
                <w:bCs w:val="1"/>
                <w:color w:val="auto"/>
              </w:rPr>
              <w:t>2019</w:t>
            </w:r>
          </w:p>
        </w:tc>
        <w:tc>
          <w:tcPr>
            <w:tcW w:w="58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r>
      <w:tr>
        <w:trPr>
          <w:trHeight w:val="142"/>
        </w:trPr>
        <w:tc>
          <w:tcPr>
            <w:tcW w:w="59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600" w:type="dxa"/>
            <w:vAlign w:val="bottom"/>
          </w:tcPr>
          <w:p>
            <w:pPr>
              <w:jc w:val="right"/>
              <w:ind w:right="8"/>
              <w:spacing w:after="0" w:line="142" w:lineRule="exact"/>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4640" w:type="dxa"/>
            <w:vAlign w:val="bottom"/>
            <w:gridSpan w:val="2"/>
            <w:shd w:val="clear" w:color="auto" w:fill="CCEEFF"/>
          </w:tcPr>
          <w:p>
            <w:pPr>
              <w:jc w:val="right"/>
              <w:ind w:right="748"/>
              <w:spacing w:after="0"/>
              <w:rPr>
                <w:sz w:val="20"/>
                <w:szCs w:val="20"/>
                <w:color w:val="auto"/>
              </w:rPr>
            </w:pPr>
            <w:r>
              <w:rPr>
                <w:rFonts w:ascii="Arial" w:cs="Arial" w:eastAsia="Arial" w:hAnsi="Arial"/>
                <w:sz w:val="18"/>
                <w:szCs w:val="18"/>
                <w:color w:val="auto"/>
              </w:rPr>
              <w:t>$ (30,180)</w:t>
            </w: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4640" w:type="dxa"/>
            <w:vAlign w:val="bottom"/>
            <w:gridSpan w:val="2"/>
          </w:tcPr>
          <w:p>
            <w:pPr>
              <w:jc w:val="right"/>
              <w:ind w:right="748"/>
              <w:spacing w:after="0"/>
              <w:rPr>
                <w:sz w:val="20"/>
                <w:szCs w:val="20"/>
                <w:color w:val="auto"/>
              </w:rPr>
            </w:pPr>
            <w:r>
              <w:rPr>
                <w:rFonts w:ascii="Arial" w:cs="Arial" w:eastAsia="Arial" w:hAnsi="Arial"/>
                <w:sz w:val="18"/>
                <w:szCs w:val="18"/>
                <w:color w:val="auto"/>
              </w:rPr>
              <w:t>(44,662)</w:t>
            </w: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4640" w:type="dxa"/>
            <w:vAlign w:val="bottom"/>
            <w:gridSpan w:val="2"/>
            <w:shd w:val="clear" w:color="auto" w:fill="CCEEFF"/>
          </w:tcPr>
          <w:p>
            <w:pPr>
              <w:jc w:val="right"/>
              <w:ind w:right="808"/>
              <w:spacing w:after="0"/>
              <w:rPr>
                <w:sz w:val="20"/>
                <w:szCs w:val="20"/>
                <w:color w:val="auto"/>
              </w:rPr>
            </w:pPr>
            <w:r>
              <w:rPr>
                <w:rFonts w:ascii="Arial" w:cs="Arial" w:eastAsia="Arial" w:hAnsi="Arial"/>
                <w:sz w:val="18"/>
                <w:szCs w:val="18"/>
                <w:color w:val="auto"/>
              </w:rPr>
              <w:t>55,293</w:t>
            </w: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Our largest source of operating cash is cash collection from sales of subscriptions to our customers. Our primary uses of cash from operating activities are for personnel-related expenses, marketing expenses, and third-party hosting-related and software expenses. In the last several years, we have generated negative cash flows from operating activities and have supplemented working capital requirements through net proceeds from the sale of equity and equity-linked securities.</w:t>
      </w:r>
    </w:p>
    <w:p>
      <w:pPr>
        <w:spacing w:after="0" w:line="187" w:lineRule="exact"/>
        <w:rPr>
          <w:sz w:val="20"/>
          <w:szCs w:val="20"/>
          <w:color w:val="auto"/>
        </w:rPr>
      </w:pPr>
    </w:p>
    <w:p>
      <w:pPr>
        <w:ind w:right="60" w:firstLine="449"/>
        <w:spacing w:after="0" w:line="271" w:lineRule="auto"/>
        <w:rPr>
          <w:sz w:val="20"/>
          <w:szCs w:val="20"/>
          <w:color w:val="auto"/>
        </w:rPr>
      </w:pPr>
      <w:r>
        <w:rPr>
          <w:rFonts w:ascii="Arial" w:cs="Arial" w:eastAsia="Arial" w:hAnsi="Arial"/>
          <w:sz w:val="17"/>
          <w:szCs w:val="17"/>
          <w:color w:val="auto"/>
        </w:rPr>
        <w:t xml:space="preserve">Net cash used in operating activities of $30.2 million for fiscal 2019 reflects our net loss of $50.9 million, offset by non-cash items such as depreciation and amortization of $4.2 million, stock-based compensation expense of $8.5 million, and net cash inflows of $8.3 million from changes in our operating assets and liabilities. The net cash inflows from changes in operating assets and liabilities primarily consisted of a $15.1 million increase in deferred revenue, resulting from increased billings for subscriptions, and a $4.0 million increase in accrued expenses and other current liabilities, resulting primarily from increases in accrued payroll related to commissions and bonuses. These amounts were partially offset by a $4.5 million increase in prepaid expenses and other current assets related to prepayments made in advance for future services, a $3.7 million increase in other assets related to deferred contract acquisition costs resulting from the adoption of Accounting Standards Codification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or ASC 606, and a $3.4 million increase in accounts receivable due to higher customer billings.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459" w:right="33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420" w:firstLine="449"/>
        <w:spacing w:after="0" w:line="263" w:lineRule="auto"/>
        <w:rPr>
          <w:sz w:val="20"/>
          <w:szCs w:val="20"/>
          <w:color w:val="auto"/>
        </w:rPr>
      </w:pPr>
      <w:r>
        <w:rPr>
          <w:rFonts w:ascii="Arial" w:cs="Arial" w:eastAsia="Arial" w:hAnsi="Arial"/>
          <w:sz w:val="18"/>
          <w:szCs w:val="18"/>
          <w:color w:val="auto"/>
        </w:rPr>
        <w:t>Net cash used in investing activities of $44.7 million for fiscal 2019 consisted of $41.3 million in net purchases and maturities of marketable securities, $2.9 million in purchases of property and equipment from an increase in leasehold improvements and furniture and fixtures associated with supporting higher headcount, and $0.6 million in capitalized internal-use software costs.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Net cash provided by financing activities of $55.3 million for fiscal 2019 consisted of $51.0 million in net proceeds from the sale and issuance of Series E preferred stock and $4.3 million in proceeds from the exercise of stock options.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The contractual commitment amounts in the table below are associated with agreements that are enforceable and legally binding. Purchase orders issued in the ordinary course of business are not included in the table below, as our purchase orders represent authorizations to purchase rather than binding agreements.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contractual obligations at January 31, 2019:</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Payments Due by Period</w:t>
            </w:r>
          </w:p>
        </w:tc>
        <w:tc>
          <w:tcPr>
            <w:tcW w:w="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8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0"/>
                <w:szCs w:val="10"/>
                <w:color w:val="auto"/>
              </w:rPr>
            </w:pPr>
          </w:p>
        </w:tc>
        <w:tc>
          <w:tcPr>
            <w:tcW w:w="7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 1</w:t>
            </w:r>
          </w:p>
        </w:tc>
        <w:tc>
          <w:tcPr>
            <w:tcW w:w="500" w:type="dxa"/>
            <w:vAlign w:val="bottom"/>
          </w:tcPr>
          <w:p>
            <w:pPr>
              <w:spacing w:after="0"/>
              <w:rPr>
                <w:sz w:val="10"/>
                <w:szCs w:val="10"/>
                <w:color w:val="auto"/>
              </w:rPr>
            </w:pPr>
          </w:p>
        </w:tc>
        <w:tc>
          <w:tcPr>
            <w:tcW w:w="112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89"/>
              </w:rPr>
              <w:t>1-3 Years</w:t>
            </w:r>
          </w:p>
        </w:tc>
        <w:tc>
          <w:tcPr>
            <w:tcW w:w="40" w:type="dxa"/>
            <w:vAlign w:val="bottom"/>
          </w:tcPr>
          <w:p>
            <w:pPr>
              <w:spacing w:after="0"/>
              <w:rPr>
                <w:sz w:val="10"/>
                <w:szCs w:val="10"/>
                <w:color w:val="auto"/>
              </w:rPr>
            </w:pPr>
          </w:p>
        </w:tc>
        <w:tc>
          <w:tcPr>
            <w:tcW w:w="8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86"/>
              </w:rPr>
              <w:t>3-5 Years</w:t>
            </w:r>
          </w:p>
        </w:tc>
        <w:tc>
          <w:tcPr>
            <w:tcW w:w="280" w:type="dxa"/>
            <w:vAlign w:val="bottom"/>
          </w:tcPr>
          <w:p>
            <w:pPr>
              <w:spacing w:after="0"/>
              <w:rPr>
                <w:sz w:val="10"/>
                <w:szCs w:val="10"/>
                <w:color w:val="auto"/>
              </w:rPr>
            </w:pPr>
          </w:p>
        </w:tc>
        <w:tc>
          <w:tcPr>
            <w:tcW w:w="7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More than 5</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w:t>
            </w:r>
          </w:p>
        </w:tc>
        <w:tc>
          <w:tcPr>
            <w:tcW w:w="5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142"/>
        </w:trPr>
        <w:tc>
          <w:tcPr>
            <w:tcW w:w="40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commitments</w:t>
            </w:r>
            <w:r>
              <w:rPr>
                <w:rFonts w:ascii="Arial" w:cs="Arial" w:eastAsia="Arial" w:hAnsi="Arial"/>
                <w:sz w:val="15"/>
                <w:szCs w:val="15"/>
                <w:color w:val="auto"/>
              </w:rPr>
              <w:t>(1)</w:t>
            </w:r>
          </w:p>
        </w:tc>
        <w:tc>
          <w:tcPr>
            <w:tcW w:w="25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$29,802</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8,708</w:t>
            </w:r>
          </w:p>
        </w:tc>
        <w:tc>
          <w:tcPr>
            <w:tcW w:w="16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$19,346</w:t>
            </w: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6"/>
              </w:rPr>
              <w:t>$ 1,748</w:t>
            </w:r>
          </w:p>
        </w:tc>
        <w:tc>
          <w:tcPr>
            <w:tcW w:w="44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Purchase commitments</w:t>
            </w:r>
            <w:r>
              <w:rPr>
                <w:rFonts w:ascii="Arial" w:cs="Arial" w:eastAsia="Arial" w:hAnsi="Arial"/>
                <w:sz w:val="15"/>
                <w:szCs w:val="15"/>
                <w:color w:val="auto"/>
              </w:rPr>
              <w:t>(2)</w:t>
            </w:r>
          </w:p>
        </w:tc>
        <w:tc>
          <w:tcPr>
            <w:tcW w:w="164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20,000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9,000</w:t>
            </w:r>
          </w:p>
        </w:tc>
        <w:tc>
          <w:tcPr>
            <w:tcW w:w="1620" w:type="dxa"/>
            <w:vAlign w:val="bottom"/>
            <w:gridSpan w:val="3"/>
          </w:tcPr>
          <w:p>
            <w:pPr>
              <w:jc w:val="right"/>
              <w:ind w:right="520"/>
              <w:spacing w:after="0"/>
              <w:rPr>
                <w:sz w:val="20"/>
                <w:szCs w:val="20"/>
                <w:color w:val="auto"/>
              </w:rPr>
            </w:pPr>
            <w:r>
              <w:rPr>
                <w:rFonts w:ascii="Arial" w:cs="Arial" w:eastAsia="Arial" w:hAnsi="Arial"/>
                <w:sz w:val="18"/>
                <w:szCs w:val="18"/>
                <w:color w:val="auto"/>
              </w:rPr>
              <w:t>11,000</w:t>
            </w:r>
          </w:p>
        </w:tc>
        <w:tc>
          <w:tcPr>
            <w:tcW w:w="4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contractual obligations</w:t>
            </w:r>
          </w:p>
        </w:tc>
        <w:tc>
          <w:tcPr>
            <w:tcW w:w="25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49,802</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17,708</w:t>
            </w:r>
          </w:p>
        </w:tc>
        <w:tc>
          <w:tcPr>
            <w:tcW w:w="16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30,346</w:t>
            </w: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6"/>
              </w:rPr>
              <w:t>$ 1,748</w:t>
            </w:r>
          </w:p>
        </w:tc>
        <w:tc>
          <w:tcPr>
            <w:tcW w:w="44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886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63"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Consists of future non-cancelable minimum rental payments under operating leases for our offices.</w:t>
      </w:r>
    </w:p>
    <w:p>
      <w:pPr>
        <w:jc w:val="both"/>
        <w:ind w:left="460" w:right="540" w:hanging="452"/>
        <w:spacing w:after="0" w:line="232" w:lineRule="auto"/>
        <w:tabs>
          <w:tab w:leader="none" w:pos="4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 December 2018, we entered into a 27-month contract with Amazon Web Services for hosting-related services. Pursuant to the terms of the contract, we are required to spend a minimum of $9.0 million within the first year and an additional minimum of $11.0 million within the second year. As of January 31, 2019, we had $18.5 million remaining on the commitment.</w:t>
      </w:r>
    </w:p>
    <w:p>
      <w:pPr>
        <w:spacing w:after="0" w:line="187" w:lineRule="exact"/>
        <w:rPr>
          <w:sz w:val="20"/>
          <w:szCs w:val="20"/>
          <w:color w:val="auto"/>
        </w:rPr>
      </w:pPr>
    </w:p>
    <w:p>
      <w:pPr>
        <w:ind w:right="40" w:firstLine="449"/>
        <w:spacing w:after="0" w:line="287" w:lineRule="auto"/>
        <w:rPr>
          <w:sz w:val="20"/>
          <w:szCs w:val="20"/>
          <w:color w:val="auto"/>
        </w:rPr>
      </w:pPr>
      <w:r>
        <w:rPr>
          <w:rFonts w:ascii="Arial" w:cs="Arial" w:eastAsia="Arial" w:hAnsi="Arial"/>
          <w:sz w:val="16"/>
          <w:szCs w:val="16"/>
          <w:color w:val="auto"/>
        </w:rPr>
        <w:t>In February 2019, we entered into a new lease agreement for approximately 265,890 square feet of office space in San Francisco, California, to serve as our new corporate headquarters. As part of the agreement, we are required to issue a $17.0 million letter of credit upon access to the office space in April 2020. We expect to start making recurring rental payments under the lease in the third quarter of fiscal 2021. The lease expiration date is</w:t>
      </w:r>
    </w:p>
    <w:p>
      <w:pPr>
        <w:spacing w:after="0" w:line="2"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October 2033. Our Chief Executive Officer acts as a personal guarantor to the lease for the full rent payments over the 148-month term should we default on our obligations. Future minimum payments and capital commitments for the lease, including the tenant improvement allowances of $26.6 million, total $466.0 million. These amounts are not included in the table above.</w:t>
      </w:r>
    </w:p>
    <w:p>
      <w:pPr>
        <w:spacing w:after="0" w:line="190"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Additionally, subsequent to January 31, 2019, we entered into several other lease agreements with commitments totaling approximately $13.0 million through fiscal 2024.</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17" w:lineRule="exact"/>
        <w:rPr>
          <w:sz w:val="20"/>
          <w:szCs w:val="20"/>
          <w:color w:val="auto"/>
        </w:rPr>
      </w:pPr>
    </w:p>
    <w:p>
      <w:pPr>
        <w:ind w:right="260" w:firstLine="449"/>
        <w:spacing w:after="0" w:line="287" w:lineRule="auto"/>
        <w:rPr>
          <w:sz w:val="20"/>
          <w:szCs w:val="20"/>
          <w:color w:val="auto"/>
        </w:rPr>
      </w:pPr>
      <w:r>
        <w:rPr>
          <w:rFonts w:ascii="Arial" w:cs="Arial" w:eastAsia="Arial" w:hAnsi="Arial"/>
          <w:sz w:val="16"/>
          <w:szCs w:val="16"/>
          <w:color w:val="auto"/>
        </w:rPr>
        <w:t>In the ordinary course of business, we enter into agreements of varying scope and terms pursuant to which we agree to indemnify customers, vendors, lessors, business partners, and other parties with respect to certain matters, including, but not limited to, losses arising out of the breach of such agreements, services to be provided by us, or from intellectual property infringement claims made by third parties. Additionally, in connection with the</w:t>
      </w:r>
    </w:p>
    <w:p>
      <w:pPr>
        <w:spacing w:after="0" w:line="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listing of our Class A common stock on the , we have entered into indemnification agreements with our directors and certain officers and employees that will require us, among other things, to indemnify them against certain liabilities that may arise by reason of their status or service as directors, officers, or employees. No demands have been made upon us to provide indemnification under such agreements, and there are no claims that we are aware of that could have a material effect on our financial position, results of operations, or cash flows.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459" w:right="3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right="120" w:firstLine="449"/>
        <w:spacing w:after="0" w:line="263" w:lineRule="auto"/>
        <w:rPr>
          <w:sz w:val="20"/>
          <w:szCs w:val="20"/>
          <w:color w:val="auto"/>
        </w:rPr>
      </w:pPr>
      <w:r>
        <w:rPr>
          <w:rFonts w:ascii="Arial" w:cs="Arial" w:eastAsia="Arial" w:hAnsi="Arial"/>
          <w:sz w:val="18"/>
          <w:szCs w:val="18"/>
          <w:color w:val="auto"/>
        </w:rPr>
        <w:t>As of January 31, 2020, we did not have any relationships with unconsolidated organizations or financial partnerships, such as structured finance or special purpose entities, which would have been established for the purpose of facilitating off-balance sheet arrangements or other contractually narrow or limited purposes.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operations in the United States and internationally, and we are exposed to market risk in the ordinary course of our business.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cash, cash equivalents, and marketable securities primarily consist of cash on hand and highly liquid investments in money market funds and</w:t>
      </w:r>
    </w:p>
    <w:p>
      <w:pPr>
        <w:spacing w:after="0" w:line="46"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U.S. government securities. As of January 31, 2020, we had cash and cash equivalents of $ million and marketable securities of $ million. We do not enter into investments for trading or speculative purposes. Our investments are exposed to market risk due to fluctuations in interest rates, which may affect our interest income and the fair market value of our investments. However, due to the short-term nature of our investment portfolio, we do not believe an immediate 10% increase or decrease in interest rates would have a material effect on the fair market value of our portfolio. We therefore do not expect our operating results or cash flows to be materially affected by a sudden change in market interest rates.</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The vast majority of our subscription agreements are denominated in U.S. dollars, with a small number of subscription agreements denominated in foreign currencies. A portion of our operating expenses are incurred outside the United States, denominated in foreign currencies, and subject to fluctuations due to changes in foreign currency exchange rates, particularly changes in the Euro, British Pound, Canadian Dollar, Australian Dollar, Japanese Yen, and Icelandic Krona. Additionally, fluctuations in foreign currency exchange rates may cause us to recognize transaction gains and losses in our consolidated statement of operations. As the impact of foreign currency exchange rates has not been material to our historical operating results, we have not entered into derivative or hedging transactions, but we may do so in the future if our exposure to foreign currency becomes more significant.</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Our financial statements are prepared in accordance with U.S. GAAP. The preparation of these financial statements requires us to make estimates and assumptions that affect the reported amounts of assets, liabilities, revenues, and expenses, as well as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87" w:lineRule="exact"/>
        <w:rPr>
          <w:sz w:val="20"/>
          <w:szCs w:val="20"/>
          <w:color w:val="auto"/>
        </w:rPr>
      </w:pPr>
    </w:p>
    <w:p>
      <w:pPr>
        <w:ind w:right="620" w:firstLine="449"/>
        <w:spacing w:after="0" w:line="277" w:lineRule="auto"/>
        <w:rPr>
          <w:sz w:val="20"/>
          <w:szCs w:val="20"/>
          <w:color w:val="auto"/>
        </w:rPr>
      </w:pPr>
      <w:r>
        <w:rPr>
          <w:rFonts w:ascii="Arial" w:cs="Arial" w:eastAsia="Arial" w:hAnsi="Arial"/>
          <w:sz w:val="18"/>
          <w:szCs w:val="18"/>
          <w:color w:val="auto"/>
        </w:rPr>
        <w:t>The critical accounting estimates, assumptions, and judgments that we believe have the most significant impact on our consolidated financial statements are described below.</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right="60" w:firstLine="449"/>
        <w:spacing w:after="0" w:line="263" w:lineRule="auto"/>
        <w:rPr>
          <w:sz w:val="20"/>
          <w:szCs w:val="20"/>
          <w:color w:val="auto"/>
        </w:rPr>
      </w:pPr>
      <w:r>
        <w:rPr>
          <w:rFonts w:ascii="Arial" w:cs="Arial" w:eastAsia="Arial" w:hAnsi="Arial"/>
          <w:sz w:val="18"/>
          <w:szCs w:val="18"/>
          <w:color w:val="auto"/>
        </w:rPr>
        <w:t>We derive our revenues from monthly and annual subscription fees earned from customers accessing the platform. Our policy is to exclude sales and other indirect taxes when measuring the transaction price of our subscription agreements. We account for revenue contracts with customers by applying the requirements of ASC 606, which includes the following steps:</w:t>
      </w:r>
    </w:p>
    <w:p>
      <w:pPr>
        <w:spacing w:after="0" w:line="89" w:lineRule="exact"/>
        <w:rPr>
          <w:sz w:val="20"/>
          <w:szCs w:val="20"/>
          <w:color w:val="auto"/>
        </w:rPr>
      </w:pPr>
    </w:p>
    <w:p>
      <w:pPr>
        <w:ind w:left="1000" w:hanging="547"/>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Identification of the contract, or contracts, with the customer;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459" w:right="3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Recognition of the revenues when, or as, we satisfy a performance obligation.</w:t>
      </w:r>
    </w:p>
    <w:p>
      <w:pPr>
        <w:spacing w:after="0" w:line="225" w:lineRule="exact"/>
        <w:rPr>
          <w:sz w:val="20"/>
          <w:szCs w:val="20"/>
          <w:color w:val="auto"/>
        </w:rPr>
      </w:pPr>
    </w:p>
    <w:p>
      <w:pPr>
        <w:ind w:right="120" w:firstLine="449"/>
        <w:spacing w:after="0" w:line="279" w:lineRule="auto"/>
        <w:rPr>
          <w:sz w:val="20"/>
          <w:szCs w:val="20"/>
          <w:color w:val="auto"/>
        </w:rPr>
      </w:pPr>
      <w:r>
        <w:rPr>
          <w:rFonts w:ascii="Arial" w:cs="Arial" w:eastAsia="Arial" w:hAnsi="Arial"/>
          <w:sz w:val="17"/>
          <w:szCs w:val="17"/>
          <w:color w:val="auto"/>
        </w:rPr>
        <w:t>Our subscription agreements generally have monthly or annual contractual terms. We recognize revenues ratably over the related contractual term beginning on the date that the platform is made available to a customer, as the customer receives and consumes the benefits of the platform throughout the contractual period. Access to the platform represents a series of distinct services that comprise a single performance obligation that is satisfied over time. Our contracts are generally non-cancelable and do not provide for refunds to customers in the event of cancellations.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Future revenues related to performance obligations that are unsatisfied or partially unsatisfied at the end of the reporting period were</w:t>
      </w:r>
    </w:p>
    <w:p>
      <w:pPr>
        <w:spacing w:after="0" w:line="23"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$31.9 million, presented as deferred revenue in the consolidated balance sheet as of January 31, 2019. We expect the unsatisfied performance obligations to be satisfied over the next 12 months.</w:t>
      </w:r>
    </w:p>
    <w:p>
      <w:pPr>
        <w:spacing w:after="0" w:line="29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Deferred Contract Acquisition Costs</w:t>
      </w:r>
    </w:p>
    <w:p>
      <w:pPr>
        <w:spacing w:after="0" w:line="117"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Deferred contract acquisition costs represent gross deferred contract acquisition costs less accumulated amortization. Sales commissions earned by our sales force and bonuses earned by executives, as well as related payroll taxes, are considered to be incremental and recoverable costs of obtaining a contract with a customer. As a result, these amounts have been capitalized as deferred contract acquisition costs within prepaid and other current assets and other assets on the consolidated balance sheet.</w:t>
      </w:r>
    </w:p>
    <w:p>
      <w:pPr>
        <w:spacing w:after="0" w:line="187" w:lineRule="exact"/>
        <w:rPr>
          <w:sz w:val="20"/>
          <w:szCs w:val="20"/>
          <w:color w:val="auto"/>
        </w:rPr>
      </w:pPr>
    </w:p>
    <w:p>
      <w:pPr>
        <w:jc w:val="both"/>
        <w:ind w:right="20" w:firstLine="449"/>
        <w:spacing w:after="0" w:line="263" w:lineRule="auto"/>
        <w:rPr>
          <w:sz w:val="20"/>
          <w:szCs w:val="20"/>
          <w:color w:val="auto"/>
        </w:rPr>
      </w:pPr>
      <w:r>
        <w:rPr>
          <w:rFonts w:ascii="Arial" w:cs="Arial" w:eastAsia="Arial" w:hAnsi="Arial"/>
          <w:sz w:val="18"/>
          <w:szCs w:val="18"/>
          <w:color w:val="auto"/>
        </w:rPr>
        <w:t>We amortize deferred contract acquisition costs over a period of benefit of three years. We estimated the period of benefit by considering factors such as historical customer attrition rates, the useful life of our technology, and the impact of competition in the software-as-a-service industry. As a result, these amounts have been capitalized as deferred contract acquisition costs.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We record stock-based compensation expense for all stock-based awards made to employees, non-employees, and directors based on estimated fair values recognized over the requisite service period. We estimate the fair value of options granted to employees for purposes of calculating stock-based compensation expense on the grant date using the Black-Scholes pricing model. The Black-Scholes pricing model requires us to make assumptions and judgments about the inputs used in the calculation, including the expected term (weighted-average period of time that the options granted are expected to be outstanding), the volatility of our common stock, risk-free interest rate, and expected dividend yield. The expected term represents the period that we expect our stock-based awards to be outstanding. We determine the expected term assumptions based on the vesting terms, exercise terms, and contractual lives of the options. The volatility is based on an average of the historical volatilities of the common stock of comparable public companies with characteristics similar to ours. The risk-free rate is based on the U.S. Treasury yield curve in effect at the time of grant for periods corresponding with the expected life of the option. Our expected dividend yield input is zero as we have not historically paid, nor do we expect in the future to pay, cash dividends. We recognize stock-based compensation expense over the requisite service period, which is generally the vesting period of the respective award. We use the straight-line method for expense attribution. We account for forfeitures as they occur.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459" w:right="3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assumptions were used for each respective period to calculate our stock-based compensation: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60" w:type="dxa"/>
            <w:vAlign w:val="bottom"/>
          </w:tcPr>
          <w:p>
            <w:pPr>
              <w:spacing w:after="0"/>
              <w:rPr>
                <w:sz w:val="14"/>
                <w:szCs w:val="14"/>
                <w:color w:val="auto"/>
              </w:rPr>
            </w:pPr>
          </w:p>
        </w:tc>
        <w:tc>
          <w:tcPr>
            <w:tcW w:w="2480" w:type="dxa"/>
            <w:vAlign w:val="bottom"/>
            <w:gridSpan w:val="4"/>
          </w:tcPr>
          <w:p>
            <w:pPr>
              <w:ind w:left="460"/>
              <w:spacing w:after="0"/>
              <w:rPr>
                <w:sz w:val="20"/>
                <w:szCs w:val="20"/>
                <w:color w:val="auto"/>
              </w:rPr>
            </w:pPr>
            <w:r>
              <w:rPr>
                <w:rFonts w:ascii="Arial" w:cs="Arial" w:eastAsia="Arial" w:hAnsi="Arial"/>
                <w:sz w:val="14"/>
                <w:szCs w:val="14"/>
                <w:b w:val="1"/>
                <w:bCs w:val="1"/>
                <w:color w:val="auto"/>
              </w:rPr>
              <w:t>Year Ended January 31,</w:t>
            </w:r>
          </w:p>
        </w:tc>
      </w:tr>
      <w:tr>
        <w:trPr>
          <w:trHeight w:val="142"/>
        </w:trPr>
        <w:tc>
          <w:tcPr>
            <w:tcW w:w="876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top w:val="single" w:sz="8" w:color="auto"/>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r>
      <w:tr>
        <w:trPr>
          <w:trHeight w:val="209"/>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 - 3.1%</w:t>
            </w: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760" w:type="dxa"/>
            <w:vAlign w:val="bottom"/>
          </w:tcPr>
          <w:p>
            <w:pPr>
              <w:spacing w:after="0"/>
              <w:rPr>
                <w:sz w:val="20"/>
                <w:szCs w:val="20"/>
                <w:color w:val="auto"/>
              </w:rPr>
            </w:pPr>
            <w:r>
              <w:rPr>
                <w:rFonts w:ascii="Arial" w:cs="Arial" w:eastAsia="Arial" w:hAnsi="Arial"/>
                <w:sz w:val="18"/>
                <w:szCs w:val="18"/>
                <w:color w:val="auto"/>
              </w:rPr>
              <w:t>Expected term</w:t>
            </w: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8 years</w:t>
            </w: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8760" w:type="dxa"/>
            <w:vAlign w:val="bottom"/>
          </w:tcPr>
          <w:p>
            <w:pPr>
              <w:spacing w:after="0"/>
              <w:rPr>
                <w:sz w:val="20"/>
                <w:szCs w:val="20"/>
                <w:color w:val="auto"/>
              </w:rPr>
            </w:pPr>
            <w:r>
              <w:rPr>
                <w:rFonts w:ascii="Arial" w:cs="Arial" w:eastAsia="Arial" w:hAnsi="Arial"/>
                <w:sz w:val="18"/>
                <w:szCs w:val="18"/>
                <w:color w:val="auto"/>
              </w:rPr>
              <w:t>Expected volatility</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w w:val="96"/>
              </w:rPr>
              <w:t>41.6% - 46.6%</w:t>
            </w: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assumptions are based on the following for each of the years presented:</w:t>
      </w:r>
    </w:p>
    <w:p>
      <w:pPr>
        <w:spacing w:after="0" w:line="131" w:lineRule="exact"/>
        <w:rPr>
          <w:sz w:val="20"/>
          <w:szCs w:val="20"/>
          <w:color w:val="auto"/>
        </w:rPr>
      </w:pPr>
    </w:p>
    <w:p>
      <w:pPr>
        <w:ind w:left="1000" w:right="300" w:hanging="547"/>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Because our common stock is not yet publicly traded, we must estimate the fair value of common stock; see</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Valuations” below.</w:t>
      </w:r>
    </w:p>
    <w:p>
      <w:pPr>
        <w:spacing w:after="0" w:line="75" w:lineRule="exact"/>
        <w:rPr>
          <w:rFonts w:ascii="Arial" w:cs="Arial" w:eastAsia="Arial" w:hAnsi="Arial"/>
          <w:sz w:val="18"/>
          <w:szCs w:val="18"/>
          <w:color w:val="auto"/>
        </w:rPr>
      </w:pPr>
    </w:p>
    <w:p>
      <w:pPr>
        <w:ind w:left="1000" w:right="20" w:hanging="547"/>
        <w:spacing w:after="0" w:line="311" w:lineRule="auto"/>
        <w:tabs>
          <w:tab w:leader="none" w:pos="1000"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Expected volatility—</w:t>
      </w:r>
      <w:r>
        <w:rPr>
          <w:rFonts w:ascii="Arial" w:cs="Arial" w:eastAsia="Arial" w:hAnsi="Arial"/>
          <w:sz w:val="16"/>
          <w:szCs w:val="16"/>
          <w:color w:val="auto"/>
        </w:rPr>
        <w:t>Expected volatility is a measure of the amount by which the stock price is expected to fluctuate. Since we do not have</w:t>
      </w:r>
      <w:r>
        <w:rPr>
          <w:rFonts w:ascii="Arial" w:cs="Arial" w:eastAsia="Arial" w:hAnsi="Arial"/>
          <w:sz w:val="16"/>
          <w:szCs w:val="16"/>
          <w:i w:val="1"/>
          <w:iCs w:val="1"/>
          <w:color w:val="auto"/>
        </w:rPr>
        <w:t xml:space="preserve"> </w:t>
      </w:r>
      <w:r>
        <w:rPr>
          <w:rFonts w:ascii="Arial" w:cs="Arial" w:eastAsia="Arial" w:hAnsi="Arial"/>
          <w:sz w:val="16"/>
          <w:szCs w:val="16"/>
          <w:color w:val="auto"/>
        </w:rPr>
        <w:t>sufficient trading history of our common stock, we estimate the expected volatility of our stock options at the grant date by taking the average historical volatility of a group of comparable publicly-traded companies over a period equal to the expected life of the options.</w:t>
      </w:r>
    </w:p>
    <w:p>
      <w:pPr>
        <w:spacing w:after="0" w:line="54" w:lineRule="exact"/>
        <w:rPr>
          <w:rFonts w:ascii="Arial" w:cs="Arial" w:eastAsia="Arial" w:hAnsi="Arial"/>
          <w:sz w:val="16"/>
          <w:szCs w:val="16"/>
          <w:color w:val="auto"/>
        </w:rPr>
      </w:pPr>
    </w:p>
    <w:p>
      <w:pPr>
        <w:ind w:left="1000" w:right="740" w:hanging="547"/>
        <w:spacing w:after="0" w:line="308" w:lineRule="auto"/>
        <w:tabs>
          <w:tab w:leader="none" w:pos="1000"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Expected term—</w:t>
      </w:r>
      <w:r>
        <w:rPr>
          <w:rFonts w:ascii="Arial" w:cs="Arial" w:eastAsia="Arial" w:hAnsi="Arial"/>
          <w:sz w:val="17"/>
          <w:szCs w:val="17"/>
          <w:color w:val="auto"/>
        </w:rPr>
        <w:t>Expected term represents the period that our stock-based awards are expected to be outstanding. The expected term</w:t>
      </w:r>
      <w:r>
        <w:rPr>
          <w:rFonts w:ascii="Arial" w:cs="Arial" w:eastAsia="Arial" w:hAnsi="Arial"/>
          <w:sz w:val="17"/>
          <w:szCs w:val="17"/>
          <w:i w:val="1"/>
          <w:iCs w:val="1"/>
          <w:color w:val="auto"/>
        </w:rPr>
        <w:t xml:space="preserve"> </w:t>
      </w:r>
      <w:r>
        <w:rPr>
          <w:rFonts w:ascii="Arial" w:cs="Arial" w:eastAsia="Arial" w:hAnsi="Arial"/>
          <w:sz w:val="17"/>
          <w:szCs w:val="17"/>
          <w:color w:val="auto"/>
        </w:rPr>
        <w:t>assumptions are determined based on the vesting terms, exercise terms, and contractual lives of the options.</w:t>
      </w:r>
    </w:p>
    <w:p>
      <w:pPr>
        <w:spacing w:after="0" w:line="51" w:lineRule="exact"/>
        <w:rPr>
          <w:rFonts w:ascii="Arial" w:cs="Arial" w:eastAsia="Arial" w:hAnsi="Arial"/>
          <w:sz w:val="17"/>
          <w:szCs w:val="17"/>
          <w:color w:val="auto"/>
        </w:rPr>
      </w:pPr>
    </w:p>
    <w:p>
      <w:pPr>
        <w:ind w:left="1000" w:hanging="547"/>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Risk-free rate—</w:t>
      </w:r>
      <w:r>
        <w:rPr>
          <w:rFonts w:ascii="Arial" w:cs="Arial" w:eastAsia="Arial" w:hAnsi="Arial"/>
          <w:sz w:val="18"/>
          <w:szCs w:val="18"/>
          <w:color w:val="auto"/>
        </w:rPr>
        <w:t>We use the U.S. Treasury yield for our risk-free interest rate that corresponds with the expected term.</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Dividend yield—</w:t>
      </w:r>
      <w:r>
        <w:rPr>
          <w:rFonts w:ascii="Arial" w:cs="Arial" w:eastAsia="Arial" w:hAnsi="Arial"/>
          <w:sz w:val="17"/>
          <w:szCs w:val="17"/>
          <w:color w:val="auto"/>
        </w:rPr>
        <w:t>We utilize a dividend yield of zero, as we do not currently issue dividends, nor do we expect to do so in the future.</w:t>
      </w:r>
    </w:p>
    <w:p>
      <w:pPr>
        <w:spacing w:after="0" w:line="34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Common Stock Valuations</w:t>
      </w:r>
    </w:p>
    <w:p>
      <w:pPr>
        <w:spacing w:after="0" w:line="117"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Given the absence of an active market for our common stock, our board of directors was required to estimate the fair value of our common stock at the time of each option grant based upon several factors, including its consideration of input from management and contemporaneous third-party valuations.</w:t>
      </w:r>
    </w:p>
    <w:p>
      <w:pPr>
        <w:spacing w:after="0" w:line="184" w:lineRule="exact"/>
        <w:rPr>
          <w:sz w:val="20"/>
          <w:szCs w:val="20"/>
          <w:color w:val="auto"/>
        </w:rPr>
      </w:pPr>
    </w:p>
    <w:p>
      <w:pPr>
        <w:ind w:right="40" w:firstLine="449"/>
        <w:spacing w:after="0" w:line="311" w:lineRule="auto"/>
        <w:rPr>
          <w:sz w:val="20"/>
          <w:szCs w:val="20"/>
          <w:color w:val="auto"/>
        </w:rPr>
      </w:pPr>
      <w:r>
        <w:rPr>
          <w:rFonts w:ascii="Arial" w:cs="Arial" w:eastAsia="Arial" w:hAnsi="Arial"/>
          <w:sz w:val="16"/>
          <w:szCs w:val="16"/>
          <w:color w:val="auto"/>
        </w:rPr>
        <w:t xml:space="preserve">The exercise price for all stock options granted was the estimated fair value of the underlying common stock, as estimated on the date of grant by our board of directors in accordance with the guidelines outlined in the </w:t>
      </w:r>
      <w:r>
        <w:rPr>
          <w:rFonts w:ascii="Arial" w:cs="Arial" w:eastAsia="Arial" w:hAnsi="Arial"/>
          <w:sz w:val="16"/>
          <w:szCs w:val="16"/>
          <w:i w:val="1"/>
          <w:iCs w:val="1"/>
          <w:color w:val="auto"/>
        </w:rPr>
        <w:t xml:space="preserve">American Institute of Certified Public Accountants, Valuation of Privately-Held-Company Equity Securities Issued as Compensation </w:t>
      </w:r>
      <w:r>
        <w:rPr>
          <w:rFonts w:ascii="Arial" w:cs="Arial" w:eastAsia="Arial" w:hAnsi="Arial"/>
          <w:sz w:val="16"/>
          <w:szCs w:val="16"/>
          <w:color w:val="auto"/>
        </w:rPr>
        <w:t>guide. Each fair value estimate was based on a variety of factors, which included the following:</w:t>
      </w:r>
    </w:p>
    <w:p>
      <w:pPr>
        <w:spacing w:after="0" w:line="54" w:lineRule="exact"/>
        <w:rPr>
          <w:sz w:val="20"/>
          <w:szCs w:val="20"/>
          <w:color w:val="auto"/>
        </w:rPr>
      </w:pPr>
    </w:p>
    <w:p>
      <w:pPr>
        <w:ind w:left="1000" w:hanging="547"/>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contemporaneous valuations performed by an unrelated third-party valuation firm;</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prices, rights, preferences, and privileges of our preferred stock relative to those of our common stock;</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lack of marketability of our common stock;</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operating and financial performance;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current business conditions and outlook;</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hiring of key personnel and the experience of our management;</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history and the timing of the introduction of new applications and capabilities;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stage of development;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459" w:right="3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380" w:hanging="547"/>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initial public offering or a merger or acquisition of our business given prevailing market conditions;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market performance of comparable publicly-traded companies;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U.S. and global capital market conditions.</w:t>
      </w:r>
    </w:p>
    <w:p>
      <w:pPr>
        <w:spacing w:after="0" w:line="225"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In valuing our common stock, our board of directors determined the equity value of our business using valuation methods they deemed appropriate under the circumstances applicable at the valuation date.</w:t>
      </w:r>
    </w:p>
    <w:p>
      <w:pPr>
        <w:spacing w:after="0" w:line="170"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One method, the market approach, estimates value based on a comparison of our company to comparable public companies in a similar line of business. To determine our peer group of companies, we considered public enterprise cloud-based application providers and selected those that are similar to us in size, economic drivers, and operating characteristics. From the comparable companies, a representative market value multiple was determined, which was applied to our operating results to estimate the enterprise value of our company. We also used the option pricing model to backsolve the value of the security from our most recent round of financing, which implies a total equity value as well as a per share common stock value.</w:t>
      </w:r>
    </w:p>
    <w:p>
      <w:pPr>
        <w:spacing w:after="0" w:line="161" w:lineRule="exact"/>
        <w:rPr>
          <w:sz w:val="20"/>
          <w:szCs w:val="20"/>
          <w:color w:val="auto"/>
        </w:rPr>
      </w:pPr>
    </w:p>
    <w:p>
      <w:pPr>
        <w:ind w:right="360" w:firstLine="449"/>
        <w:spacing w:after="0" w:line="277" w:lineRule="auto"/>
        <w:rPr>
          <w:sz w:val="20"/>
          <w:szCs w:val="20"/>
          <w:color w:val="auto"/>
        </w:rPr>
      </w:pPr>
      <w:r>
        <w:rPr>
          <w:rFonts w:ascii="Arial" w:cs="Arial" w:eastAsia="Arial" w:hAnsi="Arial"/>
          <w:sz w:val="18"/>
          <w:szCs w:val="18"/>
          <w:color w:val="auto"/>
        </w:rPr>
        <w:t>Once the enterprise value was determined under the market approach, we used the option pricing model to allocate that value among the various classes of securities to arrive at the fair value of the common stock.</w:t>
      </w:r>
    </w:p>
    <w:p>
      <w:pPr>
        <w:spacing w:after="0" w:line="170"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In addition, we also considered any secondary transactions involving our capital stock. In our evaluation of those transactions, we considered the facts and circumstances of each transaction to determine the extent to which they represented a fair value exchange. Factors considered include transaction volume, timing, whether the transactions occurred among willing and unrelated parties, and whether the transactions involved investors with access to our financial information.</w:t>
      </w:r>
    </w:p>
    <w:p>
      <w:pPr>
        <w:spacing w:after="0" w:line="187" w:lineRule="exact"/>
        <w:rPr>
          <w:sz w:val="20"/>
          <w:szCs w:val="20"/>
          <w:color w:val="auto"/>
        </w:rPr>
      </w:pPr>
    </w:p>
    <w:p>
      <w:pPr>
        <w:ind w:right="340" w:firstLine="449"/>
        <w:spacing w:after="0" w:line="263" w:lineRule="auto"/>
        <w:rPr>
          <w:sz w:val="20"/>
          <w:szCs w:val="20"/>
          <w:color w:val="auto"/>
        </w:rPr>
      </w:pPr>
      <w:r>
        <w:rPr>
          <w:rFonts w:ascii="Arial" w:cs="Arial" w:eastAsia="Arial" w:hAnsi="Arial"/>
          <w:sz w:val="18"/>
          <w:szCs w:val="18"/>
          <w:color w:val="auto"/>
        </w:rPr>
        <w:t>Upon the listing of our Class A common stock on the , our common stock will be publicly traded and will therefore be subject to potentially significant fluctuations in the market price. Increases and decreases in the market price of our Class A common stock will also increase and decrease the fair value of our stock-based awards granted in future periods.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ind w:right="580" w:firstLine="449"/>
        <w:spacing w:after="0" w:line="277" w:lineRule="auto"/>
        <w:rPr>
          <w:sz w:val="20"/>
          <w:szCs w:val="20"/>
          <w:color w:val="auto"/>
        </w:rPr>
      </w:pPr>
      <w:r>
        <w:rPr>
          <w:rFonts w:ascii="Arial" w:cs="Arial" w:eastAsia="Arial" w:hAnsi="Arial"/>
          <w:sz w:val="18"/>
          <w:szCs w:val="18"/>
          <w:color w:val="auto"/>
        </w:rPr>
        <w:t>Refer to Note 2 to our consolidated financial statements included elsewhere in this prospectus for more information regarding recently issued accounting pronouncements.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We are an emerging growth company, as defined in the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00"/>
          </w:cols>
          <w:pgMar w:left="320" w:top="459" w:right="3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mission is to help humanity thrive by enabling the world’s teams to work together effortlessly.</w:t>
      </w:r>
    </w:p>
    <w:p>
      <w:pPr>
        <w:spacing w:after="0" w:line="225" w:lineRule="exact"/>
        <w:rPr>
          <w:sz w:val="20"/>
          <w:szCs w:val="20"/>
          <w:color w:val="auto"/>
        </w:rPr>
      </w:pPr>
    </w:p>
    <w:p>
      <w:pPr>
        <w:ind w:right="320" w:firstLine="449"/>
        <w:spacing w:after="0" w:line="259" w:lineRule="auto"/>
        <w:rPr>
          <w:sz w:val="20"/>
          <w:szCs w:val="20"/>
          <w:color w:val="auto"/>
        </w:rPr>
      </w:pPr>
      <w:r>
        <w:rPr>
          <w:rFonts w:ascii="Arial" w:cs="Arial" w:eastAsia="Arial" w:hAnsi="Arial"/>
          <w:sz w:val="18"/>
          <w:szCs w:val="18"/>
          <w:color w:val="auto"/>
        </w:rPr>
        <w:t>Asana is a work management platform that helps teams orchestrate work, from daily tasks to cross-functional strategic initiatives. Over 75,000 paying customers use Asana to manage everything from product launches to marketing campaigns to organization-wide goal setting. Our platform adds structure to unstructured work, creating clarity, transparency, and accountability to everyone within an organization—individuals, team leads, and executives—so they understand exactly who is doing what, by when.</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History</w:t>
      </w:r>
    </w:p>
    <w:p>
      <w:pPr>
        <w:spacing w:after="0" w:line="117"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We started Asana because our co-founders experienced firsthand the growing problem of work about work. While at Facebook, they saw the coordination challenges the company faced as it scaled. Instead of spending time on work that generated results, they were spending time in status meetings and long email threads trying to figure out who was responsible for what. They recognized the pain of work about work was universal to teams that need to coordinate their work effectively to achieve their objectives. Yet there were no products in the market that adequately addressed this pain. As a result of that frustration, they were inspired to create Asana to solve this problem for the world’s teams.</w:t>
      </w:r>
    </w:p>
    <w:p>
      <w:pPr>
        <w:spacing w:after="0" w:line="176" w:lineRule="exact"/>
        <w:rPr>
          <w:sz w:val="20"/>
          <w:szCs w:val="20"/>
          <w:color w:val="auto"/>
        </w:rPr>
      </w:pPr>
    </w:p>
    <w:p>
      <w:pPr>
        <w:ind w:right="340" w:firstLine="449"/>
        <w:spacing w:after="0" w:line="342" w:lineRule="auto"/>
        <w:rPr>
          <w:sz w:val="20"/>
          <w:szCs w:val="20"/>
          <w:color w:val="auto"/>
        </w:rPr>
      </w:pPr>
      <w:r>
        <w:rPr>
          <w:rFonts w:ascii="Arial" w:cs="Arial" w:eastAsia="Arial" w:hAnsi="Arial"/>
          <w:sz w:val="16"/>
          <w:szCs w:val="16"/>
          <w:color w:val="auto"/>
        </w:rPr>
        <w:t>Since our inception, millions of teams in virtually every country around the world have used Asana. With Asana, users experience higher productivity, which has led to rapid adoption across teams, departments, and organizations. As of January 31, 2020, we had over 1.2 million paid users.</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Teams Spend Too Much Time on Work About Work</w:t>
      </w:r>
    </w:p>
    <w:p>
      <w:pPr>
        <w:spacing w:after="0" w:line="117" w:lineRule="exact"/>
        <w:rPr>
          <w:sz w:val="20"/>
          <w:szCs w:val="20"/>
          <w:color w:val="auto"/>
        </w:rPr>
      </w:pPr>
    </w:p>
    <w:p>
      <w:pPr>
        <w:ind w:right="80" w:firstLine="449"/>
        <w:spacing w:after="0" w:line="254" w:lineRule="auto"/>
        <w:rPr>
          <w:sz w:val="20"/>
          <w:szCs w:val="20"/>
          <w:color w:val="auto"/>
        </w:rPr>
      </w:pPr>
      <w:r>
        <w:rPr>
          <w:rFonts w:ascii="Arial" w:cs="Arial" w:eastAsia="Arial" w:hAnsi="Arial"/>
          <w:sz w:val="18"/>
          <w:szCs w:val="18"/>
          <w:color w:val="auto"/>
        </w:rPr>
        <w:t>Work continues to get harder to manage as organizations try to move faster to accomplish ambitious goals and respond to changing market demands. Today, 60% of knowledge workers’ time is spent on work about work. Moreover, coordinating work within and across teams is chaotic. Without a system of record, teams move slowly, miss deadlines, and fail to live up to their full potential. At work, people face an overwhelming volume of communications from email and messaging applications, many of which are asking for status updates. These messages often provide limited clarity around what steps need to be taken and by when, and limited accountability around who owns the action. As a result, requests go unanswered, and employees spend more time searching and responding to messages in an attempt to provide clarity and accountability to their teams. These emails and messages only give teams momentary clarity about specific deliverables or actions, and as such they do not provide a holistic, persistent, and referenceable plan of record that can be easily or quickly accessed.</w:t>
      </w:r>
    </w:p>
    <w:p>
      <w:pPr>
        <w:spacing w:after="0" w:line="192" w:lineRule="exact"/>
        <w:rPr>
          <w:sz w:val="20"/>
          <w:szCs w:val="20"/>
          <w:color w:val="auto"/>
        </w:rPr>
      </w:pPr>
    </w:p>
    <w:p>
      <w:pPr>
        <w:ind w:right="220" w:firstLine="449"/>
        <w:spacing w:after="0" w:line="263" w:lineRule="auto"/>
        <w:rPr>
          <w:sz w:val="20"/>
          <w:szCs w:val="20"/>
          <w:color w:val="auto"/>
        </w:rPr>
      </w:pPr>
      <w:r>
        <w:rPr>
          <w:rFonts w:ascii="Arial" w:cs="Arial" w:eastAsia="Arial" w:hAnsi="Arial"/>
          <w:sz w:val="18"/>
          <w:szCs w:val="18"/>
          <w:color w:val="auto"/>
        </w:rPr>
        <w:t>To minimize work about work, reduce chaos, and give individuals time back to focus on the work that matters, teams need a purpose-built solution for coordination. Despite the growth in collaboration technology such as content tools and messaging apps, there has been little innovation in work management—systems that help teams to plan, manage, and execute their work.</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How Asana Helps Teams</w:t>
      </w:r>
    </w:p>
    <w:p>
      <w:pPr>
        <w:spacing w:after="0" w:line="117"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Asana is a system of record for work. This system collects and structures institutional knowledge about how past work was completed and provides a real-time plan and roadmap for current and future initiatives. Our platform is built on our proprietary, multi-dimensional data model, which we call the work graph. The work graph captures and associates:</w:t>
      </w:r>
    </w:p>
    <w:p>
      <w:pPr>
        <w:spacing w:after="0" w:line="89" w:lineRule="exact"/>
        <w:rPr>
          <w:sz w:val="20"/>
          <w:szCs w:val="20"/>
          <w:color w:val="auto"/>
        </w:rPr>
      </w:pPr>
    </w:p>
    <w:p>
      <w:pPr>
        <w:ind w:left="1000" w:hanging="547"/>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units of work—tasks, projects, milestones, and portfolios;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people responsible for executing those units of work;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459" w:right="3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processes in which work gets done—rules and templates;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information about that work—files, comments, status, and metadata;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relationships across and within this data.</w:t>
      </w:r>
    </w:p>
    <w:p>
      <w:pPr>
        <w:spacing w:after="0" w:line="225" w:lineRule="exact"/>
        <w:rPr>
          <w:sz w:val="20"/>
          <w:szCs w:val="20"/>
          <w:color w:val="auto"/>
        </w:rPr>
      </w:pPr>
    </w:p>
    <w:p>
      <w:pPr>
        <w:ind w:right="100" w:firstLine="449"/>
        <w:spacing w:after="0" w:line="279" w:lineRule="auto"/>
        <w:rPr>
          <w:sz w:val="20"/>
          <w:szCs w:val="20"/>
          <w:color w:val="auto"/>
        </w:rPr>
      </w:pPr>
      <w:r>
        <w:rPr>
          <w:rFonts w:ascii="Arial" w:cs="Arial" w:eastAsia="Arial" w:hAnsi="Arial"/>
          <w:sz w:val="17"/>
          <w:szCs w:val="17"/>
          <w:color w:val="auto"/>
        </w:rPr>
        <w:t>Our data model provides individuals, team leads, and executives with dynamic views into the work that is most relevant to them—across multiple people and projects—all based on the same underlying data in the work graph. Individuals can manage and prioritize their daily tasks and collaborate with team members on shared projects, gaining visibility into who is doing what and when each piece of work is due. Team leads can plan work and optimize team workload across multiple projects, and executives can track progress towards company objectives in real time.</w:t>
      </w:r>
    </w:p>
    <w:p>
      <w:pPr>
        <w:spacing w:after="0" w:line="171"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Asana is flexible and applicable to virtually any use case across departments and organizations of all sizes. We designed our platform to be easy to use and intuitive to all users, regardless of role or technical proficiency. Users can start a project within minutes and onboard team members seamlessly without external support. We allow users to work the way they want with the interface that is right for them, using tasks, lists, calendars, boards, timelines, and workload.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Examples of ways our customers use Asana include:</w:t>
      </w:r>
    </w:p>
    <w:p>
      <w:pPr>
        <w:spacing w:after="0" w:line="131" w:lineRule="exact"/>
        <w:rPr>
          <w:sz w:val="20"/>
          <w:szCs w:val="20"/>
          <w:color w:val="auto"/>
        </w:rPr>
      </w:pPr>
    </w:p>
    <w:p>
      <w:pPr>
        <w:ind w:left="1000" w:hanging="547"/>
        <w:spacing w:after="0"/>
        <w:tabs>
          <w:tab w:leader="none" w:pos="10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 top music production company relies on Asana to manage its creative production and digital campaigns in support of prominent artists.</w:t>
      </w:r>
    </w:p>
    <w:p>
      <w:pPr>
        <w:spacing w:after="0" w:line="153" w:lineRule="exact"/>
        <w:rPr>
          <w:rFonts w:ascii="Arial" w:cs="Arial" w:eastAsia="Arial" w:hAnsi="Arial"/>
          <w:sz w:val="16"/>
          <w:szCs w:val="16"/>
          <w:color w:val="auto"/>
        </w:rPr>
      </w:pPr>
    </w:p>
    <w:p>
      <w:pPr>
        <w:ind w:left="1000" w:right="100" w:hanging="547"/>
        <w:spacing w:after="0" w:line="277"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global manufacturer of heating and cooling systems uses Asana to manage its organization-wide digital transformation initiatives so it can respond quickly to customers’ changing needs.</w:t>
      </w:r>
    </w:p>
    <w:p>
      <w:pPr>
        <w:spacing w:after="0" w:line="75" w:lineRule="exact"/>
        <w:rPr>
          <w:rFonts w:ascii="Arial" w:cs="Arial" w:eastAsia="Arial" w:hAnsi="Arial"/>
          <w:sz w:val="18"/>
          <w:szCs w:val="18"/>
          <w:color w:val="auto"/>
        </w:rPr>
      </w:pPr>
    </w:p>
    <w:p>
      <w:pPr>
        <w:ind w:left="1000" w:right="320" w:hanging="547"/>
        <w:spacing w:after="0" w:line="277"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multinational software business manages its editorial calendars and production of its premier owned-media site in Asana, enabling it to publish more content each month and add seven additional languages.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 software services review platform uses Asana to manage everything from strategic planning to global events and marketing campaigns.</w:t>
      </w:r>
    </w:p>
    <w:p>
      <w:pPr>
        <w:spacing w:after="0" w:line="153" w:lineRule="exact"/>
        <w:rPr>
          <w:rFonts w:ascii="Arial" w:cs="Arial" w:eastAsia="Arial" w:hAnsi="Arial"/>
          <w:sz w:val="16"/>
          <w:szCs w:val="16"/>
          <w:color w:val="auto"/>
        </w:rPr>
      </w:pPr>
    </w:p>
    <w:p>
      <w:pPr>
        <w:ind w:left="1000" w:hanging="547"/>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marine conservation entity uses Asana to manage policy and fundraising work to create healthier seas.</w:t>
      </w:r>
    </w:p>
    <w:p>
      <w:pPr>
        <w:spacing w:after="0" w:line="130" w:lineRule="exact"/>
        <w:rPr>
          <w:rFonts w:ascii="Arial" w:cs="Arial" w:eastAsia="Arial" w:hAnsi="Arial"/>
          <w:sz w:val="18"/>
          <w:szCs w:val="18"/>
          <w:color w:val="auto"/>
        </w:rPr>
      </w:pPr>
    </w:p>
    <w:p>
      <w:pPr>
        <w:ind w:left="1000" w:right="420" w:hanging="547"/>
        <w:spacing w:after="0" w:line="277"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hotel booking platform uses Asana to manage its critical business operations work like company objectives and key focuses, strategic planning, global billings, and collections.</w:t>
      </w:r>
    </w:p>
    <w:p>
      <w:pPr>
        <w:spacing w:after="0" w:line="75" w:lineRule="exact"/>
        <w:rPr>
          <w:rFonts w:ascii="Arial" w:cs="Arial" w:eastAsia="Arial" w:hAnsi="Arial"/>
          <w:sz w:val="18"/>
          <w:szCs w:val="18"/>
          <w:color w:val="auto"/>
        </w:rPr>
      </w:pPr>
    </w:p>
    <w:p>
      <w:pPr>
        <w:ind w:left="1000" w:right="60" w:hanging="547"/>
        <w:spacing w:after="0" w:line="277"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large, world-renowned fashion brand uses Asana to coordinate its global fragrance launches with collaborators across numerous functions, including marketing, consumer experience, product, and finance.</w:t>
      </w:r>
    </w:p>
    <w:p>
      <w:pPr>
        <w:spacing w:after="0" w:line="75" w:lineRule="exact"/>
        <w:rPr>
          <w:rFonts w:ascii="Arial" w:cs="Arial" w:eastAsia="Arial" w:hAnsi="Arial"/>
          <w:sz w:val="18"/>
          <w:szCs w:val="18"/>
          <w:color w:val="auto"/>
        </w:rPr>
      </w:pPr>
    </w:p>
    <w:p>
      <w:pPr>
        <w:ind w:left="1000" w:right="560" w:hanging="547"/>
        <w:spacing w:after="0" w:line="277"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charitable cancer foundation’s marketing team relies on Asana as its end-to-end solution for campaigns to increase awareness of the charity’s services and research.</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Business Model</w:t>
      </w:r>
    </w:p>
    <w:p>
      <w:pPr>
        <w:spacing w:after="0" w:line="117"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Our hybrid self-service and direct sales model allows us to efficiently reach teams everywhere and then rapidly expand the use of our platform within their organizations. A majority of our new customers initially adopt our platform through self-service and free trials. Once adopted, customers can expand through self-service or with the assistance of our direct sales team, which is focused on promoting new use cases of Asana. As customers realize the productivity benefits we provide, our platform often becomes critical to managing their work and achieving their objectives, which drives further adoption and expansion opportunities. This is evidenced by our dollar-based net retention rate, which generally increases with greater organizational spend. As of January 31, 2020, our dollar-based net retention rate within organizations spending $5,000 or more with us 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20"/>
          </w:cols>
          <w:pgMar w:left="320" w:top="459" w:right="359" w:bottom="1440" w:gutter="0" w:footer="0" w:header="0"/>
        </w:sectPr>
      </w:pPr>
    </w:p>
    <w:bookmarkStart w:id="76" w:name="page77"/>
    <w:bookmarkEnd w:id="7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00"/>
          </w:cols>
          <w:pgMar w:left="320" w:top="459" w:right="379" w:bottom="1440" w:gutter="0" w:footer="0" w:header="0"/>
        </w:sectPr>
      </w:pPr>
    </w:p>
    <w:p>
      <w:pPr>
        <w:spacing w:after="0" w:line="332" w:lineRule="exact"/>
        <w:rPr>
          <w:sz w:val="20"/>
          <w:szCs w:val="20"/>
          <w:color w:val="auto"/>
        </w:rPr>
      </w:pPr>
    </w:p>
    <w:p>
      <w:pPr>
        <w:spacing w:after="0" w:line="381" w:lineRule="auto"/>
        <w:rPr>
          <w:sz w:val="20"/>
          <w:szCs w:val="20"/>
          <w:color w:val="auto"/>
        </w:rPr>
      </w:pPr>
      <w:r>
        <w:rPr>
          <w:rFonts w:ascii="Arial" w:cs="Arial" w:eastAsia="Arial" w:hAnsi="Arial"/>
          <w:sz w:val="15"/>
          <w:szCs w:val="15"/>
          <w:color w:val="auto"/>
        </w:rPr>
        <w:t>an annualized basis was on an annualized basis was</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 consisting of</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consisting of</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ind w:right="140" w:hanging="44"/>
        <w:spacing w:after="0" w:line="308" w:lineRule="auto"/>
        <w:rPr>
          <w:sz w:val="20"/>
          <w:szCs w:val="20"/>
          <w:color w:val="auto"/>
        </w:rPr>
      </w:pPr>
      <w:r>
        <w:rPr>
          <w:rFonts w:ascii="Arial" w:cs="Arial" w:eastAsia="Arial" w:hAnsi="Arial"/>
          <w:sz w:val="17"/>
          <w:szCs w:val="17"/>
          <w:color w:val="auto"/>
        </w:rPr>
        <w:t>customers. Our dollar-based net retention rate within organizations spending $50,000 or more with us customers. Our overall dollar-based net retention rate as of January 31, 2020 was %.</w:t>
      </w:r>
    </w:p>
    <w:p>
      <w:pPr>
        <w:spacing w:after="0" w:line="245" w:lineRule="exact"/>
        <w:rPr>
          <w:sz w:val="20"/>
          <w:szCs w:val="20"/>
          <w:color w:val="auto"/>
        </w:rPr>
      </w:pPr>
    </w:p>
    <w:p>
      <w:pPr>
        <w:sectPr>
          <w:pgSz w:w="11900" w:h="16838" w:orient="portrait"/>
          <w:cols w:equalWidth="0" w:num="3">
            <w:col w:w="1960" w:space="0"/>
            <w:col w:w="1380" w:space="460"/>
            <w:col w:w="7400"/>
          </w:cols>
          <w:pgMar w:left="320" w:top="459" w:right="379" w:bottom="1440" w:gutter="0" w:footer="0" w:header="0"/>
          <w:type w:val="continuous"/>
        </w:sectPr>
      </w:pPr>
    </w:p>
    <w:p>
      <w:pPr>
        <w:spacing w:after="0" w:line="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Company Culture</w:t>
      </w:r>
    </w:p>
    <w:p>
      <w:pPr>
        <w:spacing w:after="0" w:line="117" w:lineRule="exact"/>
        <w:rPr>
          <w:sz w:val="20"/>
          <w:szCs w:val="20"/>
          <w:color w:val="auto"/>
        </w:rPr>
      </w:pPr>
    </w:p>
    <w:p>
      <w:pPr>
        <w:ind w:right="160" w:firstLine="449"/>
        <w:spacing w:after="0" w:line="301" w:lineRule="auto"/>
        <w:rPr>
          <w:sz w:val="20"/>
          <w:szCs w:val="20"/>
          <w:color w:val="auto"/>
        </w:rPr>
      </w:pPr>
      <w:r>
        <w:rPr>
          <w:rFonts w:ascii="Arial" w:cs="Arial" w:eastAsia="Arial" w:hAnsi="Arial"/>
          <w:sz w:val="16"/>
          <w:szCs w:val="16"/>
          <w:color w:val="auto"/>
        </w:rPr>
        <w:t>We believe that our company culture enables us to achieve our mission and is a core driver of our business success. We endeavor to make product, business, and people decisions that allow us to carry out our mission while staying true to our values. We are a mission-driven organization first and have designed our values, along with our programs and processes, to help us maximize the potential of every individual in our company. Our values and processes also give us credibility when we share best practices for teamwork in the market and allow us to build those practices into our product.</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Rapid Growth</w:t>
      </w:r>
    </w:p>
    <w:p>
      <w:pPr>
        <w:spacing w:after="0" w:line="117" w:lineRule="exact"/>
        <w:rPr>
          <w:sz w:val="20"/>
          <w:szCs w:val="20"/>
          <w:color w:val="auto"/>
        </w:rPr>
      </w:pPr>
    </w:p>
    <w:p>
      <w:pPr>
        <w:ind w:left="460"/>
        <w:spacing w:after="0"/>
        <w:tabs>
          <w:tab w:leader="none" w:pos="7500" w:val="left"/>
        </w:tabs>
        <w:rPr>
          <w:sz w:val="20"/>
          <w:szCs w:val="20"/>
          <w:color w:val="auto"/>
        </w:rPr>
      </w:pPr>
      <w:r>
        <w:rPr>
          <w:rFonts w:ascii="Arial" w:cs="Arial" w:eastAsia="Arial" w:hAnsi="Arial"/>
          <w:sz w:val="18"/>
          <w:szCs w:val="18"/>
          <w:color w:val="auto"/>
        </w:rPr>
        <w:t>We have experienced rapid growth in recent periods. Our revenues were $76.8 million and $</w:t>
      </w:r>
      <w:r>
        <w:rPr>
          <w:sz w:val="20"/>
          <w:szCs w:val="20"/>
          <w:color w:val="auto"/>
        </w:rPr>
        <w:tab/>
      </w:r>
      <w:r>
        <w:rPr>
          <w:rFonts w:ascii="Arial" w:cs="Arial" w:eastAsia="Arial" w:hAnsi="Arial"/>
          <w:sz w:val="16"/>
          <w:szCs w:val="16"/>
          <w:color w:val="auto"/>
        </w:rPr>
        <w:t>million for fiscal 2019 and fiscal 2020,</w:t>
      </w:r>
    </w:p>
    <w:p>
      <w:pPr>
        <w:spacing w:after="0" w:line="23" w:lineRule="exact"/>
        <w:rPr>
          <w:sz w:val="20"/>
          <w:szCs w:val="20"/>
          <w:color w:val="auto"/>
        </w:rPr>
      </w:pPr>
    </w:p>
    <w:p>
      <w:pPr>
        <w:spacing w:after="0"/>
        <w:tabs>
          <w:tab w:leader="none" w:pos="2800" w:val="left"/>
        </w:tabs>
        <w:rPr>
          <w:sz w:val="20"/>
          <w:szCs w:val="20"/>
          <w:color w:val="auto"/>
        </w:rPr>
      </w:pPr>
      <w:r>
        <w:rPr>
          <w:rFonts w:ascii="Arial" w:cs="Arial" w:eastAsia="Arial" w:hAnsi="Arial"/>
          <w:sz w:val="18"/>
          <w:szCs w:val="18"/>
          <w:color w:val="auto"/>
        </w:rPr>
        <w:t>respectively, representing growth of</w:t>
      </w:r>
      <w:r>
        <w:rPr>
          <w:sz w:val="20"/>
          <w:szCs w:val="20"/>
          <w:color w:val="auto"/>
        </w:rPr>
        <w:tab/>
      </w:r>
      <w:r>
        <w:rPr>
          <w:rFonts w:ascii="Arial" w:cs="Arial" w:eastAsia="Arial" w:hAnsi="Arial"/>
          <w:sz w:val="16"/>
          <w:szCs w:val="16"/>
          <w:color w:val="auto"/>
        </w:rPr>
        <w:t>%. Today, we have 703 employees, growing 65% since January 31, 2019. We had a net loss of $50.9 million and</w:t>
      </w:r>
    </w:p>
    <w:p>
      <w:pPr>
        <w:spacing w:after="0" w:line="9" w:lineRule="exact"/>
        <w:rPr>
          <w:sz w:val="20"/>
          <w:szCs w:val="20"/>
          <w:color w:val="auto"/>
        </w:rPr>
      </w:pPr>
    </w:p>
    <w:p>
      <w:pPr>
        <w:ind w:left="500" w:hanging="492"/>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million for fiscal 2019 and fiscal 2020, respectively.</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Teams must be coordinated and move quickly to be successful</w:t>
      </w:r>
    </w:p>
    <w:p>
      <w:pPr>
        <w:spacing w:after="0" w:line="117" w:lineRule="exact"/>
        <w:rPr>
          <w:sz w:val="20"/>
          <w:szCs w:val="20"/>
          <w:color w:val="auto"/>
        </w:rPr>
      </w:pPr>
    </w:p>
    <w:p>
      <w:pPr>
        <w:ind w:right="40" w:firstLine="449"/>
        <w:spacing w:after="0" w:line="272" w:lineRule="auto"/>
        <w:rPr>
          <w:sz w:val="20"/>
          <w:szCs w:val="20"/>
          <w:color w:val="auto"/>
        </w:rPr>
      </w:pPr>
      <w:r>
        <w:rPr>
          <w:rFonts w:ascii="Arial" w:cs="Arial" w:eastAsia="Arial" w:hAnsi="Arial"/>
          <w:sz w:val="17"/>
          <w:szCs w:val="17"/>
          <w:color w:val="auto"/>
        </w:rPr>
        <w:t>Teams today must navigate work that is increasingly cross-functional, matrixed, and distributed, while also moving quickly to meet the objectives of their organizations. For example, a product launch typically requires coordination across multiple departments—product management, engineering, marketing, sales, and customer support. However, traditional hierarchical processes, where centralized managers make decisions and disseminate information down to team members, mean that weeks and months may go by before contributors have the clarity they need to execute on work. With product lifecycles now measured in months and weeks rather than years, organizations cannot afford to be slowed down by inefficient processes. Individuals and teams need to be empowered to design their own processes, manage their work and change course when needed, and make autonomous decisions aligned with organizational goals to ensure business agility in rapidly changing markets.</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Communication overload hurts productivity</w:t>
      </w:r>
    </w:p>
    <w:p>
      <w:pPr>
        <w:spacing w:after="0" w:line="117"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Businesses have adopted a number of applications to improve communication. Starting with email in the 1990s, the communications category has expanded to include Skype, WeChat, WhatsApp, Microsoft Teams, and Slack, among others. While these applications help teams communicate, they were not designed to provide a system of record to track and coordinate units of work or set up processes to quickly execute that work. The average knowledge worker receives 121 emails per day—70% of which are opened within six seconds. Instead of becoming more productive, people have become prisoners to email and messaging applications, using their inboxes as makeshift to-do lists.</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Teams spend more time coordinating work than actually doing work</w:t>
      </w:r>
    </w:p>
    <w:p>
      <w:pPr>
        <w:spacing w:after="0" w:line="117"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Productivity gains can occur when individuals and teams have the opportunity to focus uninterrupted and do the skilled work they were hired to do, such as creating a brand campaign, developing a new product, negotiating a sales agreement, onboarding customers, recruiting new employees, or writing code. However, employees spend less than half of their time during the day on the work that is critical to generating results. According to a survey conducted by McKinsey Global Institute of a broad set of knowledge workers:</w:t>
      </w:r>
    </w:p>
    <w:p>
      <w:pPr>
        <w:spacing w:after="0" w:line="92" w:lineRule="exact"/>
        <w:rPr>
          <w:sz w:val="20"/>
          <w:szCs w:val="20"/>
          <w:color w:val="auto"/>
        </w:rPr>
      </w:pPr>
    </w:p>
    <w:p>
      <w:pPr>
        <w:ind w:left="1000" w:hanging="547"/>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28% of time is spent answering email;</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00"/>
          </w:cols>
          <w:pgMar w:left="320" w:top="459" w:right="379" w:bottom="1440" w:gutter="0" w:footer="0" w:header="0"/>
          <w:type w:val="continuous"/>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19% of time is spent gathering information;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14% of time is spent on internal communication.</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Teams need more effective tools to orchestrate work</w:t>
      </w:r>
    </w:p>
    <w:p>
      <w:pPr>
        <w:spacing w:after="0" w:line="117"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The primary methods for managing work today—across any department, any sized team, and any project—consist of a combination of spreadsheets and email, in addition to handwritten notes, calls, and meetings. Over time, communication tools (like email and messaging) and content applications (such as file sharing and storage services) have been repurposed for coordinating work because they are familiar and accessible. However, these tools lack the purpose-built functionality required for teams to collaboratively plan, manage, and execute work. Spreadsheets require much more work about work to create, quickly become outdated, lack automation capabilities, and cannot provide multi-dimensional views of multiple projects or real-time insight into how work is getting done. Email cannot build workflows, assign tasks, or track progress across individuals or teams. Teams need better tools designed specifically to orchestrate work.</w:t>
      </w:r>
    </w:p>
    <w:p>
      <w:pPr>
        <w:spacing w:after="0" w:line="30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Clarity drives employee engagement that improves business results</w:t>
      </w:r>
    </w:p>
    <w:p>
      <w:pPr>
        <w:spacing w:after="0" w:line="117" w:lineRule="exact"/>
        <w:rPr>
          <w:sz w:val="20"/>
          <w:szCs w:val="20"/>
          <w:color w:val="auto"/>
        </w:rPr>
      </w:pPr>
    </w:p>
    <w:p>
      <w:pPr>
        <w:ind w:right="20" w:firstLine="449"/>
        <w:spacing w:after="0" w:line="293" w:lineRule="auto"/>
        <w:rPr>
          <w:sz w:val="20"/>
          <w:szCs w:val="20"/>
          <w:color w:val="auto"/>
        </w:rPr>
      </w:pPr>
      <w:r>
        <w:rPr>
          <w:rFonts w:ascii="Arial" w:cs="Arial" w:eastAsia="Arial" w:hAnsi="Arial"/>
          <w:sz w:val="16"/>
          <w:szCs w:val="16"/>
          <w:color w:val="auto"/>
        </w:rPr>
        <w:t>Employee engagement—the extent to which employees are invested in their job and contribute the effort needed to do their job well—is critical to high-performing businesses. According to Gallup, organizations with high employee engagement experience improved customer experience, greater innovation, higher employee retention, and 21% higher productivity than organizations with low employee engagement. With median employee tenure now at only approximately four years, and 71% of millennials—the largest population of U.S. workers—not engaged at work, keeping employees engaged is all the more important. Individuals are more engaged at work when they have clarity. Clarity helps individuals better understand how their work connects to the organization’s objectives so they know where to focus their energy for maximum impact and find their work more rewarding and engaging.</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Organizations need new, purpose-built solutions for work management</w:t>
      </w:r>
    </w:p>
    <w:p>
      <w:pPr>
        <w:spacing w:after="0" w:line="117"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Organizations need a work management solution that provides transparency, clarity, and accountability so that individuals and teams know what work needs to get done, who is doing that work, and when that work will be done. This solution needs to scale across people, projects, and portfolios of projects across an entire organization so individuals, team leads, and executives can understand why and how work is getting done and quickly take action on opportunities and inefficiencies in real time.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Existing offerings fall short of delivering on these imperatives:</w:t>
      </w:r>
    </w:p>
    <w:p>
      <w:pPr>
        <w:spacing w:after="0" w:line="117" w:lineRule="exact"/>
        <w:rPr>
          <w:sz w:val="20"/>
          <w:szCs w:val="20"/>
          <w:color w:val="auto"/>
        </w:rPr>
      </w:pPr>
    </w:p>
    <w:p>
      <w:pPr>
        <w:ind w:right="180" w:firstLine="449"/>
        <w:spacing w:after="0" w:line="286" w:lineRule="auto"/>
        <w:rPr>
          <w:sz w:val="20"/>
          <w:szCs w:val="20"/>
          <w:color w:val="auto"/>
        </w:rPr>
      </w:pPr>
      <w:r>
        <w:rPr>
          <w:rFonts w:ascii="Arial" w:cs="Arial" w:eastAsia="Arial" w:hAnsi="Arial"/>
          <w:sz w:val="17"/>
          <w:szCs w:val="17"/>
          <w:b w:val="1"/>
          <w:bCs w:val="1"/>
          <w:i w:val="1"/>
          <w:iCs w:val="1"/>
          <w:color w:val="auto"/>
        </w:rPr>
        <w:t>Spreadsheets and email</w:t>
      </w:r>
      <w:r>
        <w:rPr>
          <w:rFonts w:ascii="Arial" w:cs="Arial" w:eastAsia="Arial" w:hAnsi="Arial"/>
          <w:sz w:val="17"/>
          <w:szCs w:val="17"/>
          <w:color w:val="auto"/>
        </w:rPr>
        <w:t>. Spreadsheets and email are poor tools for project management. These tools lack the required capabilities to help teams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effectively plan, manage, and orchestrate work at scale. Captured information quickly becomes out of date because it is not connected to the workstreams happening outside of these tools, requiring constant work about work to ensure teams stay on the same page.</w:t>
      </w:r>
    </w:p>
    <w:p>
      <w:pPr>
        <w:spacing w:after="0" w:line="165" w:lineRule="exact"/>
        <w:rPr>
          <w:sz w:val="20"/>
          <w:szCs w:val="20"/>
          <w:color w:val="auto"/>
        </w:rPr>
      </w:pPr>
    </w:p>
    <w:p>
      <w:pPr>
        <w:ind w:right="180" w:firstLine="449"/>
        <w:spacing w:after="0" w:line="301" w:lineRule="auto"/>
        <w:rPr>
          <w:sz w:val="20"/>
          <w:szCs w:val="20"/>
          <w:color w:val="auto"/>
        </w:rPr>
      </w:pPr>
      <w:r>
        <w:rPr>
          <w:rFonts w:ascii="Arial" w:cs="Arial" w:eastAsia="Arial" w:hAnsi="Arial"/>
          <w:sz w:val="16"/>
          <w:szCs w:val="16"/>
          <w:b w:val="1"/>
          <w:bCs w:val="1"/>
          <w:i w:val="1"/>
          <w:iCs w:val="1"/>
          <w:color w:val="auto"/>
        </w:rPr>
        <w:t>Legacy project management tools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Legacy project management tools are difficult for many users to adopt. These tools were primarily designed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dedicated project managers, not everyday users who also need to coordinate work as part of their jobs. Everyday users often lack the skills to design a project, make customizations for a specific use case or integrate third-party applications with these difficult-to-use legacy project management tools. Additionally, they create information silos because they are not linked to the underlying work and communications about that work.</w:t>
      </w:r>
    </w:p>
    <w:p>
      <w:pPr>
        <w:spacing w:after="0" w:line="15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b w:val="1"/>
          <w:bCs w:val="1"/>
          <w:i w:val="1"/>
          <w:iCs w:val="1"/>
          <w:color w:val="auto"/>
        </w:rPr>
        <w:t>Vertical applications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Vertical applications are purpose-built for specific use cases, such as software development, ticketing, and financial planning.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These generally operate in departmental silos and are not designed for teams to collaborate cross-functionally. These tools are also difficult to adapt to other use cases, either at all or without coding.</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459" w:right="3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ind w:right="420" w:firstLine="449"/>
        <w:spacing w:after="0" w:line="263" w:lineRule="auto"/>
        <w:rPr>
          <w:sz w:val="20"/>
          <w:szCs w:val="20"/>
          <w:color w:val="auto"/>
        </w:rPr>
      </w:pPr>
      <w:r>
        <w:rPr>
          <w:rFonts w:ascii="Arial" w:cs="Arial" w:eastAsia="Arial" w:hAnsi="Arial"/>
          <w:sz w:val="18"/>
          <w:szCs w:val="18"/>
          <w:color w:val="auto"/>
        </w:rPr>
        <w:t>We provide a work management platform that enables individuals and teams to get work done faster while improving employee engagement by allowing everyone to see how their work—whether it is a task, process, project, or portfolio of projects—connects to the broader mission of an organization.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Asana:</w:t>
      </w:r>
    </w:p>
    <w:p>
      <w:pPr>
        <w:spacing w:after="0" w:line="131" w:lineRule="exact"/>
        <w:rPr>
          <w:sz w:val="20"/>
          <w:szCs w:val="20"/>
          <w:color w:val="auto"/>
        </w:rPr>
      </w:pPr>
    </w:p>
    <w:p>
      <w:pPr>
        <w:ind w:left="1000" w:hanging="547"/>
        <w:spacing w:after="0" w:line="296" w:lineRule="auto"/>
        <w:tabs>
          <w:tab w:leader="none" w:pos="1000" w:val="left"/>
        </w:tabs>
        <w:numPr>
          <w:ilvl w:val="0"/>
          <w:numId w:val="5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Individuals </w:t>
      </w:r>
      <w:r>
        <w:rPr>
          <w:rFonts w:ascii="Arial" w:cs="Arial" w:eastAsia="Arial" w:hAnsi="Arial"/>
          <w:sz w:val="16"/>
          <w:szCs w:val="16"/>
          <w:color w:val="auto"/>
        </w:rPr>
        <w:t>can manage and prioritize across each of their projects to maximize their effectiveness and reduce distractions. They can see their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 view of tasks that need to be done, how their dependencies owned by teammates are tracking, and how their work contributes to the overall team and organization-wide goals. A new brand campaign, for example, may include daily tasks such as drafting an internal presentation, setting up a client meeting, designing a layout, updating social media channels, and preparing a budget. Individuals can also see their daily tasks across every project they are working on and can plan and prioritize their work in Asana.</w:t>
      </w:r>
    </w:p>
    <w:p>
      <w:pPr>
        <w:spacing w:after="0" w:line="66" w:lineRule="exact"/>
        <w:rPr>
          <w:rFonts w:ascii="Arial" w:cs="Arial" w:eastAsia="Arial" w:hAnsi="Arial"/>
          <w:sz w:val="16"/>
          <w:szCs w:val="16"/>
          <w:color w:val="auto"/>
        </w:rPr>
      </w:pPr>
    </w:p>
    <w:p>
      <w:pPr>
        <w:ind w:left="1000" w:right="20" w:hanging="547"/>
        <w:spacing w:after="0" w:line="275" w:lineRule="auto"/>
        <w:tabs>
          <w:tab w:leader="none" w:pos="1000" w:val="left"/>
        </w:tabs>
        <w:numPr>
          <w:ilvl w:val="0"/>
          <w:numId w:val="5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Teams </w:t>
      </w:r>
      <w:r>
        <w:rPr>
          <w:rFonts w:ascii="Arial" w:cs="Arial" w:eastAsia="Arial" w:hAnsi="Arial"/>
          <w:sz w:val="17"/>
          <w:szCs w:val="17"/>
          <w:color w:val="auto"/>
        </w:rPr>
        <w:t>can collaborate on a project with visibility into each team member’s responsibilities and progress. Team members can assign tasks,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map out steps to completion, define requirements and dependencies, and track project status and progress against due dates. When teammates are operating off a single, real-time plan of record, they do not need to ping each other for updates or sit through status meetings. They can get their work done faster, reducing time spent on work about work. When inevitable surprises or disruptions occur, it is easy for a team lead to adjust the plan, reallocate resources, and communicate updates in real time.</w:t>
      </w:r>
    </w:p>
    <w:p>
      <w:pPr>
        <w:spacing w:after="0" w:line="81" w:lineRule="exact"/>
        <w:rPr>
          <w:rFonts w:ascii="Arial" w:cs="Arial" w:eastAsia="Arial" w:hAnsi="Arial"/>
          <w:sz w:val="17"/>
          <w:szCs w:val="17"/>
          <w:color w:val="auto"/>
        </w:rPr>
      </w:pPr>
    </w:p>
    <w:p>
      <w:pPr>
        <w:ind w:left="1000" w:right="20" w:hanging="547"/>
        <w:spacing w:after="0" w:line="259"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Team leads </w:t>
      </w:r>
      <w:r>
        <w:rPr>
          <w:rFonts w:ascii="Arial" w:cs="Arial" w:eastAsia="Arial" w:hAnsi="Arial"/>
          <w:sz w:val="18"/>
          <w:szCs w:val="18"/>
          <w:color w:val="auto"/>
        </w:rPr>
        <w:t>can manage work across a portfolio of projects or processes. A portfolio could include the new brand campaign, a user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conference, a holiday promotion, and a product launch, all happening simultaneously, involving various cross-functional project teams. Team leads see progress, bottlenecks, resource constraints, and milestones without having to create work about work for teams to come up with this information in spreadsheets, email, or via a status meeting.</w:t>
      </w:r>
    </w:p>
    <w:p>
      <w:pPr>
        <w:spacing w:after="0" w:line="92" w:lineRule="exact"/>
        <w:rPr>
          <w:rFonts w:ascii="Arial" w:cs="Arial" w:eastAsia="Arial" w:hAnsi="Arial"/>
          <w:sz w:val="18"/>
          <w:szCs w:val="18"/>
          <w:color w:val="auto"/>
        </w:rPr>
      </w:pPr>
    </w:p>
    <w:p>
      <w:pPr>
        <w:ind w:left="1000" w:hanging="547"/>
        <w:spacing w:after="0" w:line="263"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Executives </w:t>
      </w:r>
      <w:r>
        <w:rPr>
          <w:rFonts w:ascii="Arial" w:cs="Arial" w:eastAsia="Arial" w:hAnsi="Arial"/>
          <w:sz w:val="18"/>
          <w:szCs w:val="18"/>
          <w:color w:val="auto"/>
        </w:rPr>
        <w:t>can oversee work across projects to gain real-time insights into which initiatives are on track or at risk. With this visibility, they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can proactively address inefficiencies, manage team workload, and reallocate work among teams or departments so that the company can stay on track to achieve its objectives.</w:t>
      </w:r>
    </w:p>
    <w:p>
      <w:pPr>
        <w:spacing w:after="0" w:line="184"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As the system of record of past, current, and future work, Asana is powered by a proprietary, multi-dimensional data model called the work graph. The work graph captures and associates units of work (tasks, projects, milestones, and portfolios), the people responsible for executing those units of work, the processes in which work gets done (rules and templates), information about that work (files, comments, status, and metadata), and the relationships across and within this data. The work graph provides individuals, team leads, and executives with dynamic, up-to-date views into the work that is most relevant to them, across multiple people and projects.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core tenet of our platform is to bring clarity, transparency, and accountability to the process of getting work done.</w:t>
      </w:r>
    </w:p>
    <w:p>
      <w:pPr>
        <w:spacing w:after="0" w:line="225"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b w:val="1"/>
          <w:bCs w:val="1"/>
          <w:i w:val="1"/>
          <w:iCs w:val="1"/>
          <w:color w:val="auto"/>
        </w:rPr>
        <w:t xml:space="preserve">Clarity. </w:t>
      </w:r>
      <w:r>
        <w:rPr>
          <w:rFonts w:ascii="Arial" w:cs="Arial" w:eastAsia="Arial" w:hAnsi="Arial"/>
          <w:sz w:val="18"/>
          <w:szCs w:val="18"/>
          <w:color w:val="auto"/>
        </w:rPr>
        <w:t>Our platform adds structure to unstructured work so everyone on a team has clarity into exactly what needs to be done, who is doing it,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it is due. Our multi-dimensional data model provides different views into a project or process, so individuals can not only see the tasks they are working on, but also understand how their individual work contributes to a broader project goal.</w:t>
      </w:r>
    </w:p>
    <w:p>
      <w:pPr>
        <w:spacing w:after="0" w:line="184"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b w:val="1"/>
          <w:bCs w:val="1"/>
          <w:i w:val="1"/>
          <w:iCs w:val="1"/>
          <w:color w:val="auto"/>
        </w:rPr>
        <w:t xml:space="preserve">Transparency. </w:t>
      </w:r>
      <w:r>
        <w:rPr>
          <w:rFonts w:ascii="Arial" w:cs="Arial" w:eastAsia="Arial" w:hAnsi="Arial"/>
          <w:sz w:val="18"/>
          <w:szCs w:val="18"/>
          <w:color w:val="auto"/>
        </w:rPr>
        <w:t>Our platform provides transparency into the work being done across a project or portfolio of projects so everyone can see progress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completion, manage deadlines, identify and resolve bottlenecks, and rebalance workloads if needed. Everyone has consistent access to the same data, so team members are on the same page all the time in real time.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20"/>
          </w:cols>
          <w:pgMar w:left="320" w:top="459" w:right="3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520" w:firstLine="449"/>
        <w:spacing w:after="0" w:line="277" w:lineRule="auto"/>
        <w:rPr>
          <w:sz w:val="20"/>
          <w:szCs w:val="20"/>
          <w:color w:val="auto"/>
        </w:rPr>
      </w:pPr>
      <w:r>
        <w:rPr>
          <w:rFonts w:ascii="Arial" w:cs="Arial" w:eastAsia="Arial" w:hAnsi="Arial"/>
          <w:sz w:val="18"/>
          <w:szCs w:val="18"/>
          <w:b w:val="1"/>
          <w:bCs w:val="1"/>
          <w:i w:val="1"/>
          <w:iCs w:val="1"/>
          <w:color w:val="auto"/>
        </w:rPr>
        <w:t xml:space="preserve">Accountability. </w:t>
      </w:r>
      <w:r>
        <w:rPr>
          <w:rFonts w:ascii="Arial" w:cs="Arial" w:eastAsia="Arial" w:hAnsi="Arial"/>
          <w:sz w:val="18"/>
          <w:szCs w:val="18"/>
          <w:color w:val="auto"/>
        </w:rPr>
        <w:t>Our platform enables teams to assign work to individuals with completion dates and requirements, eliminating ambiguity 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responsibilities. Individuals can track their action items across projects and manage their time more effectively.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Benefits of Our Solution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platform provides the following benefits for our customers: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Teams get work done faster</w:t>
      </w:r>
    </w:p>
    <w:p>
      <w:pPr>
        <w:spacing w:after="0" w:line="117"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Teams get work done faster using Asana. Organizations are more agile because they are able to respond to changing demands quickly, accelerate the pace of new offerings, and quickly align resources to achieve their goals. When structure is added to work, creating greater clarity, transparency, and accountability, teams are able to take action and be more efficient. By adopting our platform, our customers experience increased productivity, reduced costs for dedicated project management, and reduced costs from project delays.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Streamlined processes</w:t>
      </w:r>
    </w:p>
    <w:p>
      <w:pPr>
        <w:spacing w:after="0" w:line="117"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Our horizontal application allows individuals to easily customize projects across a breadth of specific use cases. Once a process is defined, it can be templatized and scaled across an organization for consistent, repeatable process management. In October 2019, we launched Rules as part of our suite of automation features. Using Rules, individuals can auto-assign and triage tasks, trigger actions and notifications, and automatically populate due dates for templated projects. Rules can also be triggered from third-party applications such as Outlook, Gmail, and Slack. In the first 60 days of launching Rules, we automated over two million steps for our users.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Increased employee engagement</w:t>
      </w:r>
    </w:p>
    <w:p>
      <w:pPr>
        <w:spacing w:after="0" w:line="117" w:lineRule="exact"/>
        <w:rPr>
          <w:sz w:val="20"/>
          <w:szCs w:val="20"/>
          <w:color w:val="auto"/>
        </w:rPr>
      </w:pPr>
    </w:p>
    <w:p>
      <w:pPr>
        <w:jc w:val="both"/>
        <w:ind w:firstLine="449"/>
        <w:spacing w:after="0" w:line="311" w:lineRule="auto"/>
        <w:rPr>
          <w:sz w:val="20"/>
          <w:szCs w:val="20"/>
          <w:color w:val="auto"/>
        </w:rPr>
      </w:pPr>
      <w:r>
        <w:rPr>
          <w:rFonts w:ascii="Arial" w:cs="Arial" w:eastAsia="Arial" w:hAnsi="Arial"/>
          <w:sz w:val="16"/>
          <w:szCs w:val="16"/>
          <w:color w:val="auto"/>
        </w:rPr>
        <w:t>Our users love Asana because they gain clarity into what they need to do and why their contribution is important to their organization. Employees are able to see that the work they do matters and understand how it connects to broader organizational goals. By eliminating much of the work about work, we give them back valuable hours in their day to focus on the work that matters, leading to higher productivity, higher engagement, and improved retention.</w:t>
      </w:r>
    </w:p>
    <w:p>
      <w:pPr>
        <w:spacing w:after="0" w:line="2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Improved confidence and execution</w:t>
      </w:r>
    </w:p>
    <w:p>
      <w:pPr>
        <w:spacing w:after="0" w:line="117" w:lineRule="exact"/>
        <w:rPr>
          <w:sz w:val="20"/>
          <w:szCs w:val="20"/>
          <w:color w:val="auto"/>
        </w:rPr>
      </w:pPr>
    </w:p>
    <w:p>
      <w:pPr>
        <w:ind w:right="80" w:firstLine="449"/>
        <w:spacing w:after="0" w:line="279" w:lineRule="auto"/>
        <w:rPr>
          <w:sz w:val="20"/>
          <w:szCs w:val="20"/>
          <w:color w:val="auto"/>
        </w:rPr>
      </w:pPr>
      <w:r>
        <w:rPr>
          <w:rFonts w:ascii="Arial" w:cs="Arial" w:eastAsia="Arial" w:hAnsi="Arial"/>
          <w:sz w:val="17"/>
          <w:szCs w:val="17"/>
          <w:color w:val="auto"/>
        </w:rPr>
        <w:t>Using Asana, individuals reduce their anxiety about missing deadlines and having work fall through the cracks. Many people keep mental to-do lists and spend days and nights worrying about everything that needs to get done. As a system of record for work, Asana stores all task and project information on past and present initiatives so people have greater confidence in meeting deliverables. Individuals, team leads, and executives gain real-time visibility into all the work that is happening in their organization, enabling them to feel organized and in control.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121" w:lineRule="exact"/>
        <w:rPr>
          <w:sz w:val="20"/>
          <w:szCs w:val="20"/>
          <w:color w:val="auto"/>
        </w:rPr>
      </w:pPr>
    </w:p>
    <w:p>
      <w:pPr>
        <w:jc w:val="both"/>
        <w:ind w:right="100" w:firstLine="449"/>
        <w:spacing w:after="0" w:line="301" w:lineRule="auto"/>
        <w:rPr>
          <w:sz w:val="20"/>
          <w:szCs w:val="20"/>
          <w:color w:val="auto"/>
        </w:rPr>
      </w:pPr>
      <w:r>
        <w:rPr>
          <w:rFonts w:ascii="Arial" w:cs="Arial" w:eastAsia="Arial" w:hAnsi="Arial"/>
          <w:sz w:val="16"/>
          <w:szCs w:val="16"/>
          <w:b w:val="1"/>
          <w:bCs w:val="1"/>
          <w:i w:val="1"/>
          <w:iCs w:val="1"/>
          <w:color w:val="auto"/>
        </w:rPr>
        <w:t xml:space="preserve">Easy for an entire team to adopt. </w:t>
      </w:r>
      <w:r>
        <w:rPr>
          <w:rFonts w:ascii="Arial" w:cs="Arial" w:eastAsia="Arial" w:hAnsi="Arial"/>
          <w:sz w:val="16"/>
          <w:szCs w:val="16"/>
          <w:color w:val="auto"/>
        </w:rPr>
        <w:t>We designed our platform to be easy to adopt and transition away from legacy project management tools without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friction. For example, new users can import existing workflows from spreadsheets into Asana in a few clicks. We provide an intuitive interface that allows users, across any role or level of technical proficiency, to easily set up and navigate a process or project. We designed our platform with the everyday user in mind, incorporating common language navigation, flexible views, and easy point-and-click and drag-and-drop functionalities.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20"/>
          </w:cols>
          <w:pgMar w:left="320" w:top="459" w:right="3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20" w:firstLine="449"/>
        <w:spacing w:after="0" w:line="263" w:lineRule="auto"/>
        <w:rPr>
          <w:sz w:val="20"/>
          <w:szCs w:val="20"/>
          <w:color w:val="auto"/>
        </w:rPr>
      </w:pPr>
      <w:r>
        <w:rPr>
          <w:rFonts w:ascii="Arial" w:cs="Arial" w:eastAsia="Arial" w:hAnsi="Arial"/>
          <w:sz w:val="18"/>
          <w:szCs w:val="18"/>
          <w:b w:val="1"/>
          <w:bCs w:val="1"/>
          <w:i w:val="1"/>
          <w:iCs w:val="1"/>
          <w:color w:val="auto"/>
        </w:rPr>
        <w:t xml:space="preserve">Applicable to individuals, team leads, and executives. </w:t>
      </w:r>
      <w:r>
        <w:rPr>
          <w:rFonts w:ascii="Arial" w:cs="Arial" w:eastAsia="Arial" w:hAnsi="Arial"/>
          <w:sz w:val="18"/>
          <w:szCs w:val="18"/>
          <w:color w:val="auto"/>
        </w:rPr>
        <w:t>Our multi-dimensional data model allows individuals, team leads, and executives to work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way they want, in the interface that is most applicable to them. Users across an organization realize different benefits from our platform, depending on their role:</w:t>
      </w:r>
    </w:p>
    <w:p>
      <w:pPr>
        <w:spacing w:after="0" w:line="89" w:lineRule="exact"/>
        <w:rPr>
          <w:sz w:val="20"/>
          <w:szCs w:val="20"/>
          <w:color w:val="auto"/>
        </w:rPr>
      </w:pPr>
    </w:p>
    <w:p>
      <w:pPr>
        <w:ind w:left="1000" w:hanging="547"/>
        <w:spacing w:after="0"/>
        <w:tabs>
          <w:tab w:leader="none" w:pos="10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individuals can view a task list to prioritize their work across projects and see how the work they depend on is progressing in real time;</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team leads can view the status of a project to identify dependencies or bottlenecks and manage workloads;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executives can see real-time updates on how their organization is tracking toward strategic objectives.</w:t>
      </w:r>
    </w:p>
    <w:p>
      <w:pPr>
        <w:spacing w:after="0" w:line="225" w:lineRule="exact"/>
        <w:rPr>
          <w:sz w:val="20"/>
          <w:szCs w:val="20"/>
          <w:color w:val="auto"/>
        </w:rPr>
      </w:pPr>
    </w:p>
    <w:p>
      <w:pPr>
        <w:ind w:right="40" w:firstLine="449"/>
        <w:spacing w:after="0" w:line="273" w:lineRule="auto"/>
        <w:rPr>
          <w:sz w:val="20"/>
          <w:szCs w:val="20"/>
          <w:color w:val="auto"/>
        </w:rPr>
      </w:pPr>
      <w:r>
        <w:rPr>
          <w:rFonts w:ascii="Arial" w:cs="Arial" w:eastAsia="Arial" w:hAnsi="Arial"/>
          <w:sz w:val="17"/>
          <w:szCs w:val="17"/>
          <w:b w:val="1"/>
          <w:bCs w:val="1"/>
          <w:i w:val="1"/>
          <w:iCs w:val="1"/>
          <w:color w:val="auto"/>
        </w:rPr>
        <w:t xml:space="preserve">Adaptable to virtually any use case. </w:t>
      </w:r>
      <w:r>
        <w:rPr>
          <w:rFonts w:ascii="Arial" w:cs="Arial" w:eastAsia="Arial" w:hAnsi="Arial"/>
          <w:sz w:val="17"/>
          <w:szCs w:val="17"/>
          <w:color w:val="auto"/>
        </w:rPr>
        <w:t>Asana has broad applicability to thousands of use cases, across many departments and industries. We have seen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strong initial adoption in our customer base particularly in marketing, sales, operations, human resources, product management, and design where there are many workstreams requiring cross-functional collaboration. Customers typically adopt Asana for a specific need within a department where there is no standardized solution in place. After initial adoption, teams often extend their usage of Asana to new use cases and departments as a result of collaborating on cross-functional projects. Organizations can also use Asana for organization-wide processes such as new employee onboarding, goal setting, and meeting agendas, which can lead to rapid expansion as employees see their peers using the platform.</w:t>
      </w:r>
    </w:p>
    <w:p>
      <w:pPr>
        <w:spacing w:after="0" w:line="178" w:lineRule="exact"/>
        <w:rPr>
          <w:sz w:val="20"/>
          <w:szCs w:val="20"/>
          <w:color w:val="auto"/>
        </w:rPr>
      </w:pPr>
    </w:p>
    <w:p>
      <w:pPr>
        <w:ind w:right="160" w:firstLine="449"/>
        <w:spacing w:after="0" w:line="279" w:lineRule="auto"/>
        <w:rPr>
          <w:sz w:val="20"/>
          <w:szCs w:val="20"/>
          <w:color w:val="auto"/>
        </w:rPr>
      </w:pPr>
      <w:r>
        <w:rPr>
          <w:rFonts w:ascii="Arial" w:cs="Arial" w:eastAsia="Arial" w:hAnsi="Arial"/>
          <w:sz w:val="17"/>
          <w:szCs w:val="17"/>
          <w:b w:val="1"/>
          <w:bCs w:val="1"/>
          <w:i w:val="1"/>
          <w:iCs w:val="1"/>
          <w:color w:val="auto"/>
        </w:rPr>
        <w:t xml:space="preserve">Loved by customers. </w:t>
      </w:r>
      <w:r>
        <w:rPr>
          <w:rFonts w:ascii="Arial" w:cs="Arial" w:eastAsia="Arial" w:hAnsi="Arial"/>
          <w:sz w:val="17"/>
          <w:szCs w:val="17"/>
          <w:color w:val="auto"/>
        </w:rPr>
        <w:t>We are intensely focused on customer experience, and in turn our customers love using Asana. We have fostered a vibrant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global user community that is passionate about using Asana to orchestrate their work and is active in our Asana Together programs, which include our online forum, Asana Ambassadors, and Asana Certified Pros. We believe we have high levels of customer satisfaction, and our large, loyal customer base often shares their experiences, helping us acquire new customers through word of mouth.</w:t>
      </w:r>
    </w:p>
    <w:p>
      <w:pPr>
        <w:spacing w:after="0" w:line="171"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b w:val="1"/>
          <w:bCs w:val="1"/>
          <w:i w:val="1"/>
          <w:iCs w:val="1"/>
          <w:color w:val="auto"/>
        </w:rPr>
        <w:t xml:space="preserve">Efficient hybrid go-to-market model. </w:t>
      </w:r>
      <w:r>
        <w:rPr>
          <w:rFonts w:ascii="Arial" w:cs="Arial" w:eastAsia="Arial" w:hAnsi="Arial"/>
          <w:sz w:val="18"/>
          <w:szCs w:val="18"/>
          <w:color w:val="auto"/>
        </w:rPr>
        <w:t>Our hybrid self-service and direct sales model allows us to efficiently reach teams everywhere and then rapidly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expand within our customer base. A majority of our new customers initially adopt our platform through self-service and free trials. Individuals can try our products using a limited functionality free version or a free trial of one of our paid subscription plans for a limited period of time. This allows us to reach a broad user base in organizations of all sizes and across international markets, with a limited sales presence. Our adoption model has allowed us to efficiently turn non-paying customers into paying customers and in some cases, enterprise-wide paid deployments. Our free-to-paid conversion rate of registered users, as measured by the number of paid users divided by the total number of then-registered users, has increased from 3.6% as of January 31, 2018 to over 4.8% as of January 31, 2020.</w:t>
      </w:r>
    </w:p>
    <w:p>
      <w:pPr>
        <w:spacing w:after="0" w:line="195" w:lineRule="exact"/>
        <w:rPr>
          <w:sz w:val="20"/>
          <w:szCs w:val="20"/>
          <w:color w:val="auto"/>
        </w:rPr>
      </w:pPr>
    </w:p>
    <w:p>
      <w:pPr>
        <w:ind w:right="60" w:firstLine="449"/>
        <w:spacing w:after="0" w:line="279" w:lineRule="auto"/>
        <w:rPr>
          <w:sz w:val="20"/>
          <w:szCs w:val="20"/>
          <w:color w:val="auto"/>
        </w:rPr>
      </w:pPr>
      <w:r>
        <w:rPr>
          <w:rFonts w:ascii="Arial" w:cs="Arial" w:eastAsia="Arial" w:hAnsi="Arial"/>
          <w:sz w:val="17"/>
          <w:szCs w:val="17"/>
          <w:b w:val="1"/>
          <w:bCs w:val="1"/>
          <w:i w:val="1"/>
          <w:iCs w:val="1"/>
          <w:color w:val="auto"/>
        </w:rPr>
        <w:t xml:space="preserve">High performance. </w:t>
      </w:r>
      <w:r>
        <w:rPr>
          <w:rFonts w:ascii="Arial" w:cs="Arial" w:eastAsia="Arial" w:hAnsi="Arial"/>
          <w:sz w:val="17"/>
          <w:szCs w:val="17"/>
          <w:color w:val="auto"/>
        </w:rPr>
        <w:t>We have architected our platform to be easy to use, extremely fast, and powerful. We have a modern architecture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proprietary intellectual property that enables flexible and fast queries that allow users to edit workflows, change views, and retrieve results. All user data is maintained in our cloud-native platform and changes are immediately synchronized to allow real-time collaboration. We have optimized the communication between the client application and servers to create a responsive experience with low latency and network utilization.</w:t>
      </w:r>
    </w:p>
    <w:p>
      <w:pPr>
        <w:spacing w:after="0" w:line="171" w:lineRule="exact"/>
        <w:rPr>
          <w:sz w:val="20"/>
          <w:szCs w:val="20"/>
          <w:color w:val="auto"/>
        </w:rPr>
      </w:pPr>
    </w:p>
    <w:p>
      <w:pPr>
        <w:ind w:right="60" w:firstLine="449"/>
        <w:spacing w:after="0" w:line="272" w:lineRule="auto"/>
        <w:rPr>
          <w:sz w:val="20"/>
          <w:szCs w:val="20"/>
          <w:color w:val="auto"/>
        </w:rPr>
      </w:pPr>
      <w:r>
        <w:rPr>
          <w:rFonts w:ascii="Arial" w:cs="Arial" w:eastAsia="Arial" w:hAnsi="Arial"/>
          <w:sz w:val="17"/>
          <w:szCs w:val="17"/>
          <w:b w:val="1"/>
          <w:bCs w:val="1"/>
          <w:i w:val="1"/>
          <w:iCs w:val="1"/>
          <w:color w:val="auto"/>
        </w:rPr>
        <w:t xml:space="preserve">Strong company culture. </w:t>
      </w:r>
      <w:r>
        <w:rPr>
          <w:rFonts w:ascii="Arial" w:cs="Arial" w:eastAsia="Arial" w:hAnsi="Arial"/>
          <w:sz w:val="17"/>
          <w:szCs w:val="17"/>
          <w:color w:val="auto"/>
        </w:rPr>
        <w:t>Our culture has been a critical component of our success since our founding. Our commitment to transparency, distributed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responsibility, and employee growth helps us attract and retain top quality talent from diverse backgrounds. We have seen strong retention rates overall, particularly across our engineering department, where our annual retention is over 90% despite competition for talent among software companies. We believe our diverse workforce helps us better understand the needs of our diverse user base and innovate in new and creative ways. We take pride in our industry recognition as a top workplace, such as being named one of the top 10 Best Small &amp; Medium Workplaces for the third year in a row by Fortune in 2019, which helps drive our recruiting efforts. Our strong culture has led to high employee engagement as demonstrated by a survey conducted by Culture Amp, placing us in the top quartile of our peers.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20"/>
          </w:cols>
          <w:pgMar w:left="320" w:top="459" w:right="3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b w:val="1"/>
          <w:bCs w:val="1"/>
          <w:i w:val="1"/>
          <w:iCs w:val="1"/>
          <w:color w:val="auto"/>
        </w:rPr>
        <w:t xml:space="preserve">Scalable and secure. </w:t>
      </w:r>
      <w:r>
        <w:rPr>
          <w:rFonts w:ascii="Arial" w:cs="Arial" w:eastAsia="Arial" w:hAnsi="Arial"/>
          <w:sz w:val="17"/>
          <w:szCs w:val="17"/>
          <w:color w:val="auto"/>
        </w:rPr>
        <w:t>We have built our platform using best practices for cloud-based, highly available, scalable, and secure applications.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leverage tooling and automation to enable rapid feature deployment, with frequent code releases to production. We use horizontal-scaling as an architectural pattern across our servers and data storage, which allows us to easily add capacity for a growing customer base, and our systems can easily scale to millions of users. We have demonstrated reliability with over 99.9% average up-time during fiscal 2020 so that our customers can depend on Asana to manage critical projects. We have built security checks and mechanisms into all parts of our technology stack and embraced security practices, like a public bug bounty program and third-party penetration testing, to ensure we are protecting our customers’ data. We are SOC 2 Type II compliant and have implemented robust safeguards to protect the security of data uploaded to and shared within our platform.</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 Opportunity</w:t>
      </w:r>
    </w:p>
    <w:p>
      <w:pPr>
        <w:spacing w:after="0" w:line="121"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We believe every team can benefit from improved coordination. Individuals and teams alike share a universal need for greater clarity, transparency, and accountability. As work continues to get more complex, we believe the shift to using work management solutions like Asana is inevitable. We are primarily replacing tools like spreadsheets and email that were not originally designed for project management, as well as a number of manual processes including phone calls and in-person meetings that people use today to get work done.</w:t>
      </w:r>
    </w:p>
    <w:p>
      <w:pPr>
        <w:spacing w:after="0" w:line="187" w:lineRule="exact"/>
        <w:rPr>
          <w:sz w:val="20"/>
          <w:szCs w:val="20"/>
          <w:color w:val="auto"/>
        </w:rPr>
      </w:pPr>
    </w:p>
    <w:p>
      <w:pPr>
        <w:ind w:right="400" w:firstLine="449"/>
        <w:spacing w:after="0" w:line="342" w:lineRule="auto"/>
        <w:rPr>
          <w:sz w:val="20"/>
          <w:szCs w:val="20"/>
          <w:color w:val="auto"/>
        </w:rPr>
      </w:pPr>
      <w:r>
        <w:rPr>
          <w:rFonts w:ascii="Arial" w:cs="Arial" w:eastAsia="Arial" w:hAnsi="Arial"/>
          <w:sz w:val="16"/>
          <w:szCs w:val="16"/>
          <w:color w:val="auto"/>
        </w:rPr>
        <w:t>The work management market that we address is large and rapidly growing. According to a June 2019 IDC report, the markets for collaborative applications and project and portfolio management, in aggregate, are expected to grow from $23 billion in 2020 to $32 billion in 2023.</w:t>
      </w:r>
    </w:p>
    <w:p>
      <w:pPr>
        <w:spacing w:after="0" w:line="124" w:lineRule="exact"/>
        <w:rPr>
          <w:sz w:val="20"/>
          <w:szCs w:val="20"/>
          <w:color w:val="auto"/>
        </w:rPr>
      </w:pPr>
    </w:p>
    <w:p>
      <w:pPr>
        <w:ind w:right="100" w:firstLine="449"/>
        <w:spacing w:after="0" w:line="286" w:lineRule="auto"/>
        <w:rPr>
          <w:sz w:val="20"/>
          <w:szCs w:val="20"/>
          <w:color w:val="auto"/>
        </w:rPr>
      </w:pPr>
      <w:r>
        <w:rPr>
          <w:rFonts w:ascii="Arial" w:cs="Arial" w:eastAsia="Arial" w:hAnsi="Arial"/>
          <w:sz w:val="17"/>
          <w:szCs w:val="17"/>
          <w:color w:val="auto"/>
        </w:rPr>
        <w:t>We believe we have the opportunity to address the 1.25 billion global information workers, estimated by a September 2019 report by Forrester Research, Inc., or Forrester. We believe we are less than 3% penetrated among addressable employees in our existing customer base, indicating significant whitespace opportunity. Additionally, we believe we have significant greenfield opportunities among addressable customers worldwide.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Strategies</w:t>
      </w:r>
    </w:p>
    <w:p>
      <w:pPr>
        <w:spacing w:after="0" w:line="121" w:lineRule="exact"/>
        <w:rPr>
          <w:sz w:val="20"/>
          <w:szCs w:val="20"/>
          <w:color w:val="auto"/>
        </w:rPr>
      </w:pPr>
    </w:p>
    <w:p>
      <w:pPr>
        <w:ind w:right="620" w:firstLine="449"/>
        <w:spacing w:after="0" w:line="277" w:lineRule="auto"/>
        <w:rPr>
          <w:sz w:val="20"/>
          <w:szCs w:val="20"/>
          <w:color w:val="auto"/>
        </w:rPr>
      </w:pPr>
      <w:r>
        <w:rPr>
          <w:rFonts w:ascii="Arial" w:cs="Arial" w:eastAsia="Arial" w:hAnsi="Arial"/>
          <w:sz w:val="18"/>
          <w:szCs w:val="18"/>
          <w:color w:val="auto"/>
        </w:rPr>
        <w:t>We have driven rapid adoption of our platform and intend to continue to promote our platform and its adoption through the following growth strategies:</w:t>
      </w:r>
    </w:p>
    <w:p>
      <w:pPr>
        <w:spacing w:after="0" w:line="58" w:lineRule="exact"/>
        <w:rPr>
          <w:sz w:val="20"/>
          <w:szCs w:val="20"/>
          <w:color w:val="auto"/>
        </w:rPr>
      </w:pPr>
    </w:p>
    <w:p>
      <w:pPr>
        <w:ind w:firstLine="449"/>
        <w:spacing w:after="0" w:line="294" w:lineRule="auto"/>
        <w:rPr>
          <w:sz w:val="20"/>
          <w:szCs w:val="20"/>
          <w:color w:val="auto"/>
        </w:rPr>
      </w:pPr>
      <w:r>
        <w:rPr>
          <w:rFonts w:ascii="Arial" w:cs="Arial" w:eastAsia="Arial" w:hAnsi="Arial"/>
          <w:sz w:val="16"/>
          <w:szCs w:val="16"/>
          <w:b w:val="1"/>
          <w:bCs w:val="1"/>
          <w:i w:val="1"/>
          <w:iCs w:val="1"/>
          <w:color w:val="auto"/>
        </w:rPr>
        <w:t>Add more customers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have over 75,000 paying customers as of January 31, 2020 and over 3.2 million free activated accounts since inception,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we believe we have a large opportunity to convert these accounts into paying customers. An activated account represents an organization or individual that has collaborated with another user. We also plan to acquire new customers through word of mouth, marketing activities, self-service, and direct sales efforts. Separately, we also see a large opportunity to expand our international customer base. For fiscal 2020, % of our revenues came from international regions, with limited dedicated sales effort and no product customization outside of limited language translation and multi-currency capabilities. Within the past 12 months, we have opened offices in key regions across Europe and Asia, and expect to grow our customer base within these areas.</w:t>
      </w:r>
    </w:p>
    <w:p>
      <w:pPr>
        <w:spacing w:after="0" w:line="160" w:lineRule="exact"/>
        <w:rPr>
          <w:sz w:val="20"/>
          <w:szCs w:val="20"/>
          <w:color w:val="auto"/>
        </w:rPr>
      </w:pPr>
    </w:p>
    <w:p>
      <w:pPr>
        <w:ind w:right="20" w:firstLine="449"/>
        <w:spacing w:after="0" w:line="256" w:lineRule="auto"/>
        <w:rPr>
          <w:sz w:val="20"/>
          <w:szCs w:val="20"/>
          <w:color w:val="auto"/>
        </w:rPr>
      </w:pPr>
      <w:r>
        <w:rPr>
          <w:rFonts w:ascii="Arial" w:cs="Arial" w:eastAsia="Arial" w:hAnsi="Arial"/>
          <w:sz w:val="18"/>
          <w:szCs w:val="18"/>
          <w:b w:val="1"/>
          <w:bCs w:val="1"/>
          <w:i w:val="1"/>
          <w:iCs w:val="1"/>
          <w:color w:val="auto"/>
        </w:rPr>
        <w:t>Expand within our existing customer base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typically adopt Asana for a specific use case within a department. After initial adoption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one team, customers frequently expand to new use cases across departments and, in some instances, across an entire organization. As such, we have a significant opportunity to expand usage within our customer base. We believe we are less than 3% penetrated among addressable employees in our existing customer base. We are investing in our expansion efforts by growing our direct sales team, which has nearly doubled in size since January 31, 2019, promoting department-specific use cases, targeting organization-wide use cases such as employee onboarding and goal setting, and continually improving our interface to ease cross-team adoption.</w:t>
      </w:r>
    </w:p>
    <w:p>
      <w:pPr>
        <w:spacing w:after="0" w:line="191" w:lineRule="exact"/>
        <w:rPr>
          <w:sz w:val="20"/>
          <w:szCs w:val="20"/>
          <w:color w:val="auto"/>
        </w:rPr>
      </w:pPr>
    </w:p>
    <w:p>
      <w:pPr>
        <w:ind w:right="540" w:firstLine="449"/>
        <w:spacing w:after="0" w:line="277" w:lineRule="auto"/>
        <w:rPr>
          <w:sz w:val="20"/>
          <w:szCs w:val="20"/>
          <w:color w:val="auto"/>
        </w:rPr>
      </w:pPr>
      <w:r>
        <w:rPr>
          <w:rFonts w:ascii="Arial" w:cs="Arial" w:eastAsia="Arial" w:hAnsi="Arial"/>
          <w:sz w:val="18"/>
          <w:szCs w:val="18"/>
          <w:b w:val="1"/>
          <w:bCs w:val="1"/>
          <w:i w:val="1"/>
          <w:iCs w:val="1"/>
          <w:color w:val="auto"/>
        </w:rPr>
        <w:t xml:space="preserve">Continue to innovate. </w:t>
      </w:r>
      <w:r>
        <w:rPr>
          <w:rFonts w:ascii="Arial" w:cs="Arial" w:eastAsia="Arial" w:hAnsi="Arial"/>
          <w:sz w:val="18"/>
          <w:szCs w:val="18"/>
          <w:color w:val="auto"/>
        </w:rPr>
        <w:t>Product innovation is critical to maintaining our success as a leader in work management. We will continue to invest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expanding our product offerings and enhancing the features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20"/>
          </w:cols>
          <w:pgMar w:left="320" w:top="459" w:right="3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functionality of our platform, particularly in the areas of integrations, automation, functional workflows, security, and organization-wide use cases. While we add new capabilities to our platform, we are also focused on simplifying our platform so that it becomes easier for teams to adopt with the added functionality. Since January 31, 2019, we have grown our engineering team by over 80% to drive product innovation.</w:t>
      </w:r>
    </w:p>
    <w:p>
      <w:pPr>
        <w:spacing w:after="0" w:line="165"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b w:val="1"/>
          <w:bCs w:val="1"/>
          <w:i w:val="1"/>
          <w:iCs w:val="1"/>
          <w:color w:val="auto"/>
        </w:rPr>
        <w:t xml:space="preserve">Keep building a high value brand. </w:t>
      </w:r>
      <w:r>
        <w:rPr>
          <w:rFonts w:ascii="Arial" w:cs="Arial" w:eastAsia="Arial" w:hAnsi="Arial"/>
          <w:sz w:val="18"/>
          <w:szCs w:val="18"/>
          <w:color w:val="auto"/>
        </w:rPr>
        <w:t>Our goal is to be the leader in work management. The work management market is still in the early stages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with greenfield opportunities for adoption among companies of all sizes. We will continue to invest in building our brand through customer experience, marketing, industry and analyst education, and broad customer engagement. In 2018, we were recognized by Forrester as a Leader in Collaborative Work Management Tools for the Enterprise based on a range of criteria, including the highest scores possible in the customer satisfaction and pace of innovation criteria. In addition, G2 ranks Asana as the top Project Management software platform, leading the industry in market presence and customer satisfaction.</w:t>
      </w:r>
    </w:p>
    <w:p>
      <w:pPr>
        <w:spacing w:after="0" w:line="192"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b w:val="1"/>
          <w:bCs w:val="1"/>
          <w:i w:val="1"/>
          <w:iCs w:val="1"/>
          <w:color w:val="auto"/>
        </w:rPr>
        <w:t xml:space="preserve">Develop functional workflows. </w:t>
      </w:r>
      <w:r>
        <w:rPr>
          <w:rFonts w:ascii="Arial" w:cs="Arial" w:eastAsia="Arial" w:hAnsi="Arial"/>
          <w:sz w:val="18"/>
          <w:szCs w:val="18"/>
          <w:color w:val="auto"/>
        </w:rPr>
        <w:t>We have seen strong initial adoption in our customer base particularly in marketing, sales, operations, human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resources, product management, and design where there are many workstreams requiring cross-functional collaboration. We have developed purpose-built templates and premium functionality that focuses on common projects and processes within these groups. We will continue to find ways to develop specific functional workflows where we see an opportunity for early and broad adoption of our platform.</w:t>
      </w:r>
    </w:p>
    <w:p>
      <w:pPr>
        <w:spacing w:after="0" w:line="187" w:lineRule="exact"/>
        <w:rPr>
          <w:sz w:val="20"/>
          <w:szCs w:val="20"/>
          <w:color w:val="auto"/>
        </w:rPr>
      </w:pPr>
    </w:p>
    <w:p>
      <w:pPr>
        <w:ind w:right="60" w:firstLine="449"/>
        <w:spacing w:after="0" w:line="279" w:lineRule="auto"/>
        <w:rPr>
          <w:sz w:val="20"/>
          <w:szCs w:val="20"/>
          <w:color w:val="auto"/>
        </w:rPr>
      </w:pPr>
      <w:r>
        <w:rPr>
          <w:rFonts w:ascii="Arial" w:cs="Arial" w:eastAsia="Arial" w:hAnsi="Arial"/>
          <w:sz w:val="17"/>
          <w:szCs w:val="17"/>
          <w:b w:val="1"/>
          <w:bCs w:val="1"/>
          <w:i w:val="1"/>
          <w:iCs w:val="1"/>
          <w:color w:val="auto"/>
        </w:rPr>
        <w:t xml:space="preserve">Develop organization-wide use cases. </w:t>
      </w:r>
      <w:r>
        <w:rPr>
          <w:rFonts w:ascii="Arial" w:cs="Arial" w:eastAsia="Arial" w:hAnsi="Arial"/>
          <w:sz w:val="17"/>
          <w:szCs w:val="17"/>
          <w:color w:val="auto"/>
        </w:rPr>
        <w:t>Customers use Asana for a number of use cases, from departmental projects to organization-wide initiatives,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employee goal management, new employee onboarding, one-on-ones, and meeting agendas. Organization-wide initiatives represent a significant opportunity to expand our presence further within our customer base. Today, our customers can develop and implement organization-wide use cases on their own. Over time, we intend to productize and monetize organization-specific use cases on our platform.</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20"/>
          </w:cols>
          <w:pgMar w:left="320" w:top="459" w:right="3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Culture</w:t>
      </w:r>
    </w:p>
    <w:p>
      <w:pPr>
        <w:spacing w:after="0" w:line="121" w:lineRule="exact"/>
        <w:rPr>
          <w:sz w:val="20"/>
          <w:szCs w:val="20"/>
          <w:color w:val="auto"/>
        </w:rPr>
      </w:pPr>
    </w:p>
    <w:p>
      <w:pPr>
        <w:ind w:right="180" w:firstLine="449"/>
        <w:spacing w:after="0" w:line="275" w:lineRule="auto"/>
        <w:rPr>
          <w:sz w:val="20"/>
          <w:szCs w:val="20"/>
          <w:color w:val="auto"/>
        </w:rPr>
      </w:pPr>
      <w:r>
        <w:rPr>
          <w:rFonts w:ascii="Arial" w:cs="Arial" w:eastAsia="Arial" w:hAnsi="Arial"/>
          <w:sz w:val="17"/>
          <w:szCs w:val="17"/>
          <w:color w:val="auto"/>
        </w:rPr>
        <w:t>Our company culture is a core driver of our business success and enables us to work towards achieving our mission. A core tenet of our culture is a shared commitment to mindfulness, which informs our product, business, and people decisions and shapes how we interact with each other daily. By investing in diversity and inclusion programs, we help ensure that everyone can thrive and feel a sense of belonging, enabling us to better understand the needs of our diverse customer base and innovate in new and creative ways. We also use Asana ourselves, providing our employees with clarity into how their work contributes to our mission and enabling them to do their most impactful work.</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171450</wp:posOffset>
            </wp:positionV>
            <wp:extent cx="4543425" cy="22371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543425"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100" w:firstLine="449"/>
        <w:spacing w:after="0" w:line="301" w:lineRule="auto"/>
        <w:rPr>
          <w:sz w:val="20"/>
          <w:szCs w:val="20"/>
          <w:color w:val="auto"/>
        </w:rPr>
      </w:pPr>
      <w:r>
        <w:rPr>
          <w:rFonts w:ascii="Arial" w:cs="Arial" w:eastAsia="Arial" w:hAnsi="Arial"/>
          <w:sz w:val="16"/>
          <w:szCs w:val="16"/>
          <w:color w:val="auto"/>
        </w:rPr>
        <w:t>On Glassdoor, we have a 4.8 out of 5.0 score and a 97% CEO approval rating. For four consecutive years, we have received industry recognition for being a top workplace. In 2019, we were named a top 10 Best Small &amp; Medium Workplace by Fortune and Great Place to Work for the third year in a row, the #1 Best Workplace in the Bay Area, the #3 Best Workplace in Technology, and the #11 Best Workplace for Women; were certified as a Great Place to Work in Ireland; and earned placement on the Inc. Best Places to Work Award list. Today, we have 703 employees, growing 65% since January 31, 2019.</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Features of our Platform</w:t>
      </w:r>
    </w:p>
    <w:p>
      <w:pPr>
        <w:spacing w:after="0" w:line="121" w:lineRule="exact"/>
        <w:rPr>
          <w:sz w:val="20"/>
          <w:szCs w:val="20"/>
          <w:color w:val="auto"/>
        </w:rPr>
      </w:pPr>
    </w:p>
    <w:p>
      <w:pPr>
        <w:ind w:right="320" w:firstLine="449"/>
        <w:spacing w:after="0" w:line="279" w:lineRule="auto"/>
        <w:rPr>
          <w:sz w:val="20"/>
          <w:szCs w:val="20"/>
          <w:color w:val="auto"/>
        </w:rPr>
      </w:pPr>
      <w:r>
        <w:rPr>
          <w:rFonts w:ascii="Arial" w:cs="Arial" w:eastAsia="Arial" w:hAnsi="Arial"/>
          <w:sz w:val="17"/>
          <w:szCs w:val="17"/>
          <w:color w:val="auto"/>
        </w:rPr>
        <w:t>Asana is a single unified platform that provides clarity at every level of an organization for individuals, team leads, and executives. Powered by a proprietary, multi-dimensional data model called the work graph, which captures and associates units of work, Asana provides dynamic views—List, Calendar, Board, Timeline, Portfolio, Reports—so that individuals can see work data in whatever way makes most sense to them. Any changes made to underlying data through one view is automatically updated in real time to all other views.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 Graph Hierarchy</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Tasks</w:t>
      </w:r>
    </w:p>
    <w:p>
      <w:pPr>
        <w:spacing w:after="0" w:line="117" w:lineRule="exact"/>
        <w:rPr>
          <w:sz w:val="20"/>
          <w:szCs w:val="20"/>
          <w:color w:val="auto"/>
        </w:rPr>
      </w:pPr>
    </w:p>
    <w:p>
      <w:pPr>
        <w:ind w:firstLine="449"/>
        <w:spacing w:after="0" w:line="311" w:lineRule="auto"/>
        <w:rPr>
          <w:sz w:val="20"/>
          <w:szCs w:val="20"/>
          <w:color w:val="auto"/>
        </w:rPr>
      </w:pPr>
      <w:r>
        <w:rPr>
          <w:rFonts w:ascii="Arial" w:cs="Arial" w:eastAsia="Arial" w:hAnsi="Arial"/>
          <w:sz w:val="16"/>
          <w:szCs w:val="16"/>
          <w:color w:val="auto"/>
        </w:rPr>
        <w:t>Tasks are the atomic unit of work within the Asana work graph. Within tasks, users can assign owners, set due dates and times, attach documents, and define custom fields for information about the task so that everyone knows who is doing what by when and has the information needed to complete the work. Custom fields are metadata that help users plan, sort, and organize work. Collaboration including comments, sharing, @-mentions,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459" w:right="3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and image markup are natively built into tasks, ensuring that relevant updates and context stay with the work at hand. Changes in task information made in one view are automatically updated across all views where the task is visible so that users don’t have to re-enter information.</w:t>
      </w:r>
    </w:p>
    <w:p>
      <w:pPr>
        <w:spacing w:after="0" w:line="25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Projects</w:t>
      </w:r>
    </w:p>
    <w:p>
      <w:pPr>
        <w:spacing w:after="0" w:line="117"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A project consists of a set of tasks, which can be organized into sections and arranged into dependencies that give teams clarity on plan and process. Projects can be used to accomplish a specific goal, such as delivering a presentation or campaign, or can be used to intake and process requests, such as a help desk or creative production. If the project is a workflow the team normally follows, it can be converted into a template, making it easy to set up a repeatable workflow so that teams do not have to start from scratch or miss any steps.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Portfolios</w:t>
      </w:r>
    </w:p>
    <w:p>
      <w:pPr>
        <w:spacing w:after="0" w:line="117"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Portfolio lets users organize projects into one centralized location, acting as the mission control so that team leads and executives have real-time visibility into how work is progressing across projects. Users can add or remove projects, check the status and progress of each project, view priorities, and assign relevant project owners. Individuals can click on any project to see a full summary overview of the project with the ability to edit due dates, view key milestones, link to the tasks and resources available, check or add status updates, and add comments for the team. They can also see all projects within the Portfolio on a Timeline to get a bird’s-eye view of when initiatives are kicking off and when they will be completed. Like many of the views in Asana, the layout of Portfolio can be customized based on individual preference. Portfolios can be made public or private, or can be shared only with specific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149860</wp:posOffset>
            </wp:positionV>
            <wp:extent cx="5194935" cy="30607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94935" cy="3060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80"/>
          </w:cols>
          <w:pgMar w:left="320" w:top="459" w:right="39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Dynamic Views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My Tasks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168910</wp:posOffset>
            </wp:positionV>
            <wp:extent cx="5186045" cy="31718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86045" cy="317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My Tasks provides a single, clear view of every deliverable and due date assigned to individuals so that they start their day knowing exactly what they need to do, by when. Items can be organized and dragged and dropped into different categories so that individuals can prioritize their part of a project or any process-related tasks.</w:t>
      </w:r>
    </w:p>
    <w:p>
      <w:pPr>
        <w:spacing w:after="0" w:line="184" w:lineRule="exact"/>
        <w:rPr>
          <w:sz w:val="20"/>
          <w:szCs w:val="20"/>
          <w:color w:val="auto"/>
        </w:rPr>
      </w:pPr>
    </w:p>
    <w:p>
      <w:pPr>
        <w:ind w:firstLine="449"/>
        <w:spacing w:after="0" w:line="308" w:lineRule="auto"/>
        <w:rPr>
          <w:sz w:val="20"/>
          <w:szCs w:val="20"/>
          <w:color w:val="auto"/>
        </w:rPr>
      </w:pPr>
      <w:r>
        <w:rPr>
          <w:rFonts w:ascii="Arial" w:cs="Arial" w:eastAsia="Arial" w:hAnsi="Arial"/>
          <w:sz w:val="17"/>
          <w:szCs w:val="17"/>
          <w:color w:val="auto"/>
        </w:rPr>
        <w:t>All individuals have their own My Tasks. Team members can view other team members’ tasks to see what they are working on. Individuals also have the option to create private tasks, which are only visible to themselves and the people they have explicitly added as collaborators.</w:t>
      </w:r>
    </w:p>
    <w:p>
      <w:pPr>
        <w:spacing w:after="0" w:line="25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Inbox</w:t>
      </w:r>
    </w:p>
    <w:p>
      <w:pPr>
        <w:spacing w:after="0" w:line="117"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Inbox is the notification center for Asana. It displays updates on all projects that individuals are a member of and tasks that they follow or are assigned so that they can stay on top of the work that matters. Task and project updates—such as when a task is marked complete, a comment is added, or the status of a project is updated—triggers a notification that appears in the Inbox of anyone who follows the task or belongs to the project. Individuals can filter their Inbox based on assigned tasks and @-mentions so they can focus on their top priorities.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20"/>
          </w:cols>
          <w:pgMar w:left="320" w:top="459" w:right="3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List View</w:t>
      </w:r>
    </w:p>
    <w:p>
      <w:pPr>
        <w:spacing w:after="0" w:line="117" w:lineRule="exact"/>
        <w:rPr>
          <w:sz w:val="20"/>
          <w:szCs w:val="20"/>
          <w:color w:val="auto"/>
        </w:rPr>
      </w:pPr>
    </w:p>
    <w:p>
      <w:pPr>
        <w:ind w:firstLine="449"/>
        <w:spacing w:after="0" w:line="286" w:lineRule="auto"/>
        <w:rPr>
          <w:sz w:val="20"/>
          <w:szCs w:val="20"/>
          <w:color w:val="auto"/>
        </w:rPr>
      </w:pPr>
      <w:r>
        <w:rPr>
          <w:rFonts w:ascii="Arial" w:cs="Arial" w:eastAsia="Arial" w:hAnsi="Arial"/>
          <w:sz w:val="17"/>
          <w:szCs w:val="17"/>
          <w:color w:val="auto"/>
        </w:rPr>
        <w:t>The List view of a project lets individuals sort, organize into sections, and filter a list of tasks. Tasks can be dragged and dropped, and filtered and sorted according to what matters most so project teams can see all the work needed to complete a project and easily drill down into details. Keyboard shortcuts can be used to move tasks up or down the list, and a project toolbar allows users to adjust their project 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130810</wp:posOffset>
            </wp:positionV>
            <wp:extent cx="5186045" cy="31889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86045" cy="318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960"/>
          </w:cols>
          <w:pgMar w:left="320" w:top="459" w:right="61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Calendar View</w:t>
      </w:r>
    </w:p>
    <w:p>
      <w:pPr>
        <w:spacing w:after="0" w:line="117"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Calendar view displays tasks within the project on a calendar based on due date and, optionally, start and end dates, so that individuals can see how many tasks are due within a time period and stay on top of their deadlines. Individuals can contribute tasks to a team calendar, plan their work on a schedule, and then easily drag and drop tasks to make adjustments. Individuals can see their personal task list, all the tasks within a specific project, as well as all tasks across projects relevant to a team on a calendar.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144780</wp:posOffset>
            </wp:positionV>
            <wp:extent cx="5186045" cy="3566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86045" cy="3566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Board View</w:t>
      </w:r>
    </w:p>
    <w:p>
      <w:pPr>
        <w:spacing w:after="0" w:line="117"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Boards provide individuals with a kanban-style display. Individuals use boards to plan and organize their work as if they were organizing sticky notes in columns on a wall so that they can quickly visualize the current stage of each task within a workstream. Tasks in the project are represented as cards within the columns and individuals commonly use the columns to represent stages in a workflow. As a task makes its way through the workflow, it moves from the left to the right. The tasks display due dates, assignee, custom fields, and previews of the latest attached files.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20"/>
          </w:cols>
          <w:pgMar w:left="320" w:top="459" w:right="3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420" w:firstLine="449"/>
        <w:spacing w:after="0" w:line="263" w:lineRule="auto"/>
        <w:rPr>
          <w:sz w:val="20"/>
          <w:szCs w:val="20"/>
          <w:color w:val="auto"/>
        </w:rPr>
      </w:pPr>
      <w:r>
        <w:rPr>
          <w:rFonts w:ascii="Arial" w:cs="Arial" w:eastAsia="Arial" w:hAnsi="Arial"/>
          <w:sz w:val="18"/>
          <w:szCs w:val="18"/>
          <w:color w:val="auto"/>
        </w:rPr>
        <w:t>Boards can be customized to what matters most to the user, with the ability to add custom fields, filter, and sort by task, assignee, or due date. Additionally, tasks appearing in one board can be added to other projects so that work stays connected and up to date across initiatives without team members having to re-enter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142875</wp:posOffset>
            </wp:positionV>
            <wp:extent cx="5186045" cy="319722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86045" cy="319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Timeline View</w:t>
      </w:r>
    </w:p>
    <w:p>
      <w:pPr>
        <w:spacing w:after="0" w:line="117"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Timeline allows teams to create and visualize project plans over time so that individuals can identify bottlenecks and task dependencies and make real-time adjustments as needed. Our Timeline view is more powerful than a static Gantt chart because it is connected to the underlying work and updates dynamically as work progresses. When a deadline shifts, all subsequent deadlines can shift accordingly. Timeline helps ensure work stays on track and all team members have clear visibility over the steps involved and progress towards the end goal.</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80"/>
          </w:cols>
          <w:pgMar w:left="320" w:top="459" w:right="49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Timeline is particularly relevant for time-bounded initiatives which have timing and sequencing dependencies. Timeline gives executives and project stakeholders an at-a-glance view of project plans and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133985</wp:posOffset>
            </wp:positionV>
            <wp:extent cx="5186045" cy="31972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86045" cy="319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80"/>
          </w:cols>
          <w:pgMar w:left="320" w:top="459" w:right="39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Workload</w:t>
      </w:r>
    </w:p>
    <w:p>
      <w:pPr>
        <w:spacing w:after="0" w:line="117" w:lineRule="exact"/>
        <w:rPr>
          <w:sz w:val="20"/>
          <w:szCs w:val="20"/>
          <w:color w:val="auto"/>
        </w:rPr>
      </w:pPr>
    </w:p>
    <w:p>
      <w:pPr>
        <w:ind w:right="180" w:firstLine="449"/>
        <w:spacing w:after="0" w:line="259" w:lineRule="auto"/>
        <w:rPr>
          <w:sz w:val="20"/>
          <w:szCs w:val="20"/>
          <w:color w:val="auto"/>
        </w:rPr>
      </w:pPr>
      <w:r>
        <w:rPr>
          <w:rFonts w:ascii="Arial" w:cs="Arial" w:eastAsia="Arial" w:hAnsi="Arial"/>
          <w:sz w:val="18"/>
          <w:szCs w:val="18"/>
          <w:color w:val="auto"/>
        </w:rPr>
        <w:t>Workload visualizes the work, capacity, and trendline of each team member so that team leads have accurate and up-to-date information into the workload of their team members. The trendline is generated by number of tasks or numerical custom field values such as estimated hours or effort. Team leads can set capacity and be notified when team members are overloaded. Individuals can reallocate work from one team member to another with a drag-and-drop interface.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144780</wp:posOffset>
            </wp:positionV>
            <wp:extent cx="5186045" cy="26231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86045"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Automated Workflows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Processes</w:t>
      </w:r>
    </w:p>
    <w:p>
      <w:pPr>
        <w:spacing w:after="0" w:line="11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A process, or workflow, is the sequence of stages a piece of work passes through from initiation to completion. Asana provides pre-made templates for common processes around ongoing work within marketing, design, operations, sales, HR, product, engineering, and IT functions so that individuals and teams have a starting point for planning, managing, and executing their work.</w:t>
      </w:r>
    </w:p>
    <w:p>
      <w:pPr>
        <w:spacing w:after="0" w:line="184"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Teams have the ability to create and save custom templates so that they can standardize and provide clarity on all the necessary steps of their unique workflows. Additionally, teams can implement rules to automate repetitive, manual tasks in a workflow, such as auto-assigning a task based on custom field status or moving a task from one column to another in Board view.</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Rules</w:t>
      </w:r>
    </w:p>
    <w:p>
      <w:pPr>
        <w:spacing w:after="0" w:line="117" w:lineRule="exact"/>
        <w:rPr>
          <w:sz w:val="20"/>
          <w:szCs w:val="20"/>
          <w:color w:val="auto"/>
        </w:rPr>
      </w:pPr>
    </w:p>
    <w:p>
      <w:pPr>
        <w:ind w:right="240" w:firstLine="449"/>
        <w:spacing w:after="0" w:line="301" w:lineRule="auto"/>
        <w:rPr>
          <w:sz w:val="20"/>
          <w:szCs w:val="20"/>
          <w:color w:val="auto"/>
        </w:rPr>
      </w:pPr>
      <w:r>
        <w:rPr>
          <w:rFonts w:ascii="Arial" w:cs="Arial" w:eastAsia="Arial" w:hAnsi="Arial"/>
          <w:sz w:val="16"/>
          <w:szCs w:val="16"/>
          <w:color w:val="auto"/>
        </w:rPr>
        <w:t>Rules help automate tedious and repetitive tasks so that teams can reduce manual work and spend more time on the work that matters. Individuals can select from suggested pre-built rules from the rules gallery or they can create a custom rule. A rule consists of one or more triggers and actions, enabling an individual to create logic and multiple actions around business scenarios. Actions in third-party applications that are integrated with Asana, such as Outlook, Gmail, and Slack, can also trigger rules, making it easy to automate manual work across applications.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00"/>
          </w:cols>
          <w:pgMar w:left="320" w:top="459" w:right="3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Reporting</w:t>
      </w:r>
    </w:p>
    <w:p>
      <w:pPr>
        <w:spacing w:after="0" w:line="117" w:lineRule="exact"/>
        <w:rPr>
          <w:sz w:val="20"/>
          <w:szCs w:val="20"/>
          <w:color w:val="auto"/>
        </w:rPr>
      </w:pPr>
    </w:p>
    <w:p>
      <w:pPr>
        <w:ind w:right="160" w:firstLine="449"/>
        <w:spacing w:after="0" w:line="279" w:lineRule="auto"/>
        <w:rPr>
          <w:sz w:val="20"/>
          <w:szCs w:val="20"/>
          <w:color w:val="auto"/>
        </w:rPr>
      </w:pPr>
      <w:r>
        <w:rPr>
          <w:rFonts w:ascii="Arial" w:cs="Arial" w:eastAsia="Arial" w:hAnsi="Arial"/>
          <w:sz w:val="17"/>
          <w:szCs w:val="17"/>
          <w:color w:val="auto"/>
        </w:rPr>
        <w:t>Asana provides reporting capabilities that automate and simplify the process of creating status reports and give individuals and teams a searchable history of their work data. Advanced Search allows individuals to specify search parameters to find data and conversations quickly and easily. The work graph enables users to find work based on various attributes, including who is involved, what projects a task may belong to, and even the status of dependencies. Search criteria can be saved as reports, and results can be viewed in a list or calendar.</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Integrations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Asana platform integrates with many third-party applications including:</w:t>
      </w:r>
    </w:p>
    <w:p>
      <w:pPr>
        <w:spacing w:after="0" w:line="131" w:lineRule="exact"/>
        <w:rPr>
          <w:sz w:val="20"/>
          <w:szCs w:val="20"/>
          <w:color w:val="auto"/>
        </w:rPr>
      </w:pPr>
    </w:p>
    <w:p>
      <w:pPr>
        <w:ind w:left="1000" w:hanging="547"/>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Microsoft apps such as Teams, Outlook, OneDrive, SharePoint, and Power Automate;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G-suite apps such as Gmail, Calendar, Chrome, Sheets, and Drive;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Functional tools such as Salesforce and Adobe Creative Cloud;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Communication apps such as Slack;</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File sharing apps such as Box and Dropbox;</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Development apps such as GitHub and Jira;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Reporting apps such as Tableau.</w:t>
      </w:r>
    </w:p>
    <w:p>
      <w:pPr>
        <w:spacing w:after="0" w:line="225" w:lineRule="exact"/>
        <w:rPr>
          <w:sz w:val="20"/>
          <w:szCs w:val="20"/>
          <w:color w:val="auto"/>
        </w:rPr>
      </w:pPr>
    </w:p>
    <w:p>
      <w:pPr>
        <w:ind w:right="300" w:firstLine="449"/>
        <w:spacing w:after="0" w:line="308" w:lineRule="auto"/>
        <w:rPr>
          <w:sz w:val="20"/>
          <w:szCs w:val="20"/>
          <w:color w:val="auto"/>
        </w:rPr>
      </w:pPr>
      <w:r>
        <w:rPr>
          <w:rFonts w:ascii="Arial" w:cs="Arial" w:eastAsia="Arial" w:hAnsi="Arial"/>
          <w:sz w:val="17"/>
          <w:szCs w:val="17"/>
          <w:color w:val="auto"/>
        </w:rPr>
        <w:t>Integrations connect applications to Asana, which provides a central hub for managing work. Teams save time by eliminating the need to switch between various sites and tools. By providing this centralized hub, Asana ensures that work in other tools is tracked and completed.</w:t>
      </w:r>
    </w:p>
    <w:p>
      <w:pPr>
        <w:spacing w:after="0" w:line="146"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color w:val="auto"/>
        </w:rPr>
        <w:t>Integrations with third-party applications are achieved through Asana Connect without sharing any usernames or passwords. Asana Connect enables seamless integration with third-party applications and gives users the ability to manage all of their work streams through a single platform. Asana Connect uses OAuth 2.0, an industry standard for authentication.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142875</wp:posOffset>
            </wp:positionV>
            <wp:extent cx="5186045" cy="31032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86045" cy="3103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40"/>
          </w:cols>
          <w:pgMar w:left="32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w:t>
      </w:r>
    </w:p>
    <w:p>
      <w:pPr>
        <w:spacing w:after="0" w:line="121"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The architecture we have built to power Asana is secure and scalable offering users a customized experience that is easy to navigate while handling complex data management behind the scenes. We designed our systems to allow flexible access to the work graph data, allowing us to build rich new functionality quickly and innovate in the work management space.</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Extensible, Efficient Technology Platform</w:t>
      </w:r>
    </w:p>
    <w:p>
      <w:pPr>
        <w:spacing w:after="0" w:line="117" w:lineRule="exact"/>
        <w:rPr>
          <w:sz w:val="20"/>
          <w:szCs w:val="20"/>
          <w:color w:val="auto"/>
        </w:rPr>
      </w:pPr>
    </w:p>
    <w:p>
      <w:pPr>
        <w:ind w:right="200" w:firstLine="449"/>
        <w:spacing w:after="0" w:line="293" w:lineRule="auto"/>
        <w:rPr>
          <w:sz w:val="20"/>
          <w:szCs w:val="20"/>
          <w:color w:val="auto"/>
        </w:rPr>
      </w:pPr>
      <w:r>
        <w:rPr>
          <w:rFonts w:ascii="Arial" w:cs="Arial" w:eastAsia="Arial" w:hAnsi="Arial"/>
          <w:sz w:val="16"/>
          <w:szCs w:val="16"/>
          <w:color w:val="auto"/>
        </w:rPr>
        <w:t>Our cloud-native platform includes proprietary software services built on top of infrastructure provided by Amazon Web Services. We shard customer data in our distributed datastore to scale horizontally and provide high performance, and redundancy across multiple third-party data centers in several locations in the United States and Europe to protect against data loss and provide high availability. The distributed datastore allows flexible indexing across single or multiple attributes of the objects stored in it, thus efficiently supporting a wide variety of queries. Our platform services keep track of connected devices and data requests, automatically sending updates to devices as data is updated. This allows our client software to surface real-time information with minimal data transfer and round-trips to the servers, and provides a fast, responsive experience to our customers.</w:t>
      </w:r>
    </w:p>
    <w:p>
      <w:pPr>
        <w:spacing w:after="0" w:line="164"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We provide our software as a service to customers, so the technology we build includes deployment tools to ensure we can publish software updates rapidly and safely, as well as monitoring and automation tools.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Commitment to Security and Privacy</w:t>
      </w:r>
    </w:p>
    <w:p>
      <w:pPr>
        <w:spacing w:after="0" w:line="117"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Upholding the trust that we have established with our customers and gaining the trust of new customers remains a priority for us and as a result, we have implemented robust safeguards to protect the security of customer data. Our security program includes conducting risk assessments of all systems and networks that process customer data; monitoring for security events; maintaining incident response, disaster recovery, and business continuity plans that explicitly address and provide guidance to our personnel in furtherance of the security, confidentiality, integrity, and availability of customer data; and having a qualified third party perform security assessments on a periodic basis to test against widely recognized security standards and practices.</w:t>
      </w:r>
    </w:p>
    <w:p>
      <w:pPr>
        <w:spacing w:after="0" w:line="161" w:lineRule="exact"/>
        <w:rPr>
          <w:sz w:val="20"/>
          <w:szCs w:val="20"/>
          <w:color w:val="auto"/>
        </w:rPr>
      </w:pPr>
    </w:p>
    <w:p>
      <w:pPr>
        <w:ind w:right="80" w:firstLine="449"/>
        <w:spacing w:after="0" w:line="271" w:lineRule="auto"/>
        <w:rPr>
          <w:sz w:val="20"/>
          <w:szCs w:val="20"/>
          <w:color w:val="auto"/>
        </w:rPr>
      </w:pPr>
      <w:r>
        <w:rPr>
          <w:rFonts w:ascii="Arial" w:cs="Arial" w:eastAsia="Arial" w:hAnsi="Arial"/>
          <w:sz w:val="17"/>
          <w:szCs w:val="17"/>
          <w:color w:val="auto"/>
        </w:rPr>
        <w:t>We have achieved and actively maintain certification of compliance to the SOC 2 (Type II) information security standard for the controls relevant to security, availability, and confidentiality. Service Organization Controls, or SOC, are standards established by the American Institute of Certified Public Accountants for reporting on internal control environments implemented within an organization. This means that an independent third party has both validated our processes and practices with respect to these criteria and confirmed our ability to maintain compliance with the controls we have implemented. We have built our platform with security features that are designed to be scalable as we develop and introduce new functionality, including but not limited to supporting encryption of user data in transit and at rest within our platform, and implementing strong access controls and multi-factor authentication to prevent unauthorized access to customer data. Additionally, our platform allows customers to implement their own granular access controls by giving them the ability to restrict access on a per task, per project, and per team basis.</w:t>
      </w:r>
    </w:p>
    <w:p>
      <w:pPr>
        <w:spacing w:after="0" w:line="178"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In addition to security, we are deeply committed to privacy and to protecting and honoring the privacy rights of our customers. We have established a comprehensive privacy compliance program, aligning our practices with regulations such as the General Data Protection Regulation and the California Consumer Privacy Act, including by delivering periodic training to our employees on privacy best practices, reviewing and mapping the data we collect, use, and share, and creating a customer rights program and response process to honor the requests of our customers exercising their privacy rights. Above all, we strive to be transparent about our privacy practices, independent of legal obligations.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00"/>
          </w:cols>
          <w:pgMar w:left="320" w:top="459" w:right="3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121" w:lineRule="exact"/>
        <w:rPr>
          <w:sz w:val="20"/>
          <w:szCs w:val="20"/>
          <w:color w:val="auto"/>
        </w:rPr>
      </w:pPr>
    </w:p>
    <w:p>
      <w:pPr>
        <w:ind w:right="120" w:firstLine="449"/>
        <w:spacing w:after="0" w:line="311" w:lineRule="auto"/>
        <w:rPr>
          <w:sz w:val="20"/>
          <w:szCs w:val="20"/>
          <w:color w:val="auto"/>
        </w:rPr>
      </w:pPr>
      <w:r>
        <w:rPr>
          <w:rFonts w:ascii="Arial" w:cs="Arial" w:eastAsia="Arial" w:hAnsi="Arial"/>
          <w:sz w:val="16"/>
          <w:szCs w:val="16"/>
          <w:color w:val="auto"/>
        </w:rPr>
        <w:t>We have customers of all sizes ranging from individuals to global organizations. We define a paying customer as a distinct account, which could include a team, company, educational or government institution, organization, or distinct business unit of a company, that is on a paid subscription plan. A single organization may have multiple paying customers. As of January 31, 2020, we had over 75,000 paying customers globally.</w:t>
      </w:r>
    </w:p>
    <w:p>
      <w:pPr>
        <w:spacing w:after="0" w:line="149" w:lineRule="exact"/>
        <w:rPr>
          <w:sz w:val="20"/>
          <w:szCs w:val="20"/>
          <w:color w:val="auto"/>
        </w:rPr>
      </w:pPr>
    </w:p>
    <w:p>
      <w:pPr>
        <w:ind w:right="220" w:firstLine="449"/>
        <w:spacing w:after="0" w:line="308" w:lineRule="auto"/>
        <w:rPr>
          <w:sz w:val="20"/>
          <w:szCs w:val="20"/>
          <w:color w:val="auto"/>
        </w:rPr>
      </w:pPr>
      <w:r>
        <w:rPr>
          <w:rFonts w:ascii="Arial" w:cs="Arial" w:eastAsia="Arial" w:hAnsi="Arial"/>
          <w:sz w:val="17"/>
          <w:szCs w:val="17"/>
          <w:color w:val="auto"/>
        </w:rPr>
        <w:t>Our current customer base spans numerous industry categories, including technology, retail, education, non-profit, government, healthcare, media, and financial services. No individual customer represented more than 1% of our revenues in the years ended January 31, 2019 and 2020.</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We employ a hybrid go-to-market approach, combining a self-service model with direct sales efforts. We are focused on landing teams worldwide and expanding across use cases, both within and between organizations, to ensure the success of our customers. This in turn creates positive word-of-mouth marketing, driving adoption, expansion and ultimately our business results.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Self-Service Model</w:t>
      </w:r>
    </w:p>
    <w:p>
      <w:pPr>
        <w:spacing w:after="0" w:line="117"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A majority of our customers initially adopt our platform through self-service and free trials. To demonstrate the value of our platform to potential customers, we provide free trials of our paid Asana Premium and Business offerings in addition to our free Basic offering for teams of up to 15 people. As individuals, teams and their guests realize the productivity benefits we provide, Asana becomes an increasingly integral part of their day-to-day work and critical to helping them achieve their objectives.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Direct Sales</w:t>
      </w:r>
    </w:p>
    <w:p>
      <w:pPr>
        <w:spacing w:after="0" w:line="117" w:lineRule="exact"/>
        <w:rPr>
          <w:sz w:val="20"/>
          <w:szCs w:val="20"/>
          <w:color w:val="auto"/>
        </w:rPr>
      </w:pPr>
    </w:p>
    <w:p>
      <w:pPr>
        <w:ind w:right="280" w:firstLine="449"/>
        <w:spacing w:after="0" w:line="279" w:lineRule="auto"/>
        <w:rPr>
          <w:sz w:val="20"/>
          <w:szCs w:val="20"/>
          <w:color w:val="auto"/>
        </w:rPr>
      </w:pPr>
      <w:r>
        <w:rPr>
          <w:rFonts w:ascii="Arial" w:cs="Arial" w:eastAsia="Arial" w:hAnsi="Arial"/>
          <w:sz w:val="17"/>
          <w:szCs w:val="17"/>
          <w:color w:val="auto"/>
        </w:rPr>
        <w:t>In conjunction with our self-service model, we have a targeted direct sales team focused on promoting new use cases and expanding our footprint within our existing customer base. Our direct sales force has a global presence, and consists primarily of solutions sales teams focused primarily on strategic accounts with expansion opportunities including department-specific and organization-wide use cases such as employee onboarding and goal setting. Our direct sales team has nearly doubled in size since January 31, 2019.</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Marketing and Customer Success</w:t>
      </w:r>
    </w:p>
    <w:p>
      <w:pPr>
        <w:spacing w:after="0" w:line="117" w:lineRule="exact"/>
        <w:rPr>
          <w:sz w:val="20"/>
          <w:szCs w:val="20"/>
          <w:color w:val="auto"/>
        </w:rPr>
      </w:pPr>
    </w:p>
    <w:p>
      <w:pPr>
        <w:jc w:val="both"/>
        <w:ind w:right="280" w:firstLine="449"/>
        <w:spacing w:after="0" w:line="263" w:lineRule="auto"/>
        <w:rPr>
          <w:sz w:val="20"/>
          <w:szCs w:val="20"/>
          <w:color w:val="auto"/>
        </w:rPr>
      </w:pPr>
      <w:r>
        <w:rPr>
          <w:rFonts w:ascii="Arial" w:cs="Arial" w:eastAsia="Arial" w:hAnsi="Arial"/>
          <w:sz w:val="18"/>
          <w:szCs w:val="18"/>
          <w:color w:val="auto"/>
        </w:rPr>
        <w:t>We market our platform through owned properties, such as our website and social media channels, media coverage, paid acquisition, and word of mouth to promote discovery and adoption. Our customers also have the ability to invite external parties to collaborate on specific Asana projects, which supports viral adoption of our platform.</w:t>
      </w:r>
    </w:p>
    <w:p>
      <w:pPr>
        <w:spacing w:after="0" w:line="184"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Our dedicated efforts to deliver remarkable customer and community experiences creates success stories that drive word of mouth. We offer on-demand education available in-product and online, and via live learning courses as well as robust customer support available in six languages. We also offer our customers the option to partner with a list of managed service providers, consulting firms, and system integrators to help customize their account, onboard teams and run onsite training.</w:t>
      </w:r>
    </w:p>
    <w:p>
      <w:pPr>
        <w:spacing w:after="0" w:line="187"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Our global community of customers and experts, Asana Together, connects customers, both online and offline, and creates champions. Through Asana Together, customers have access to our community Forum to ask questions and connect with peers. We also certify and support Asana Ambassadors (go-to enthusiasts who assist with and promote adoption within their networks) and Certified Pros (independent third-party Asana consultants who offer their services for a discretionary fee to help teams make the most of their experience on our platform). Through Asana Together, we have hosted multiple in-person events on five different continents.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20"/>
          </w:cols>
          <w:pgMar w:left="320" w:top="459" w:right="3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40" w:firstLine="449"/>
        <w:spacing w:after="0" w:line="272" w:lineRule="auto"/>
        <w:rPr>
          <w:sz w:val="20"/>
          <w:szCs w:val="20"/>
          <w:color w:val="auto"/>
        </w:rPr>
      </w:pPr>
      <w:r>
        <w:rPr>
          <w:rFonts w:ascii="Arial" w:cs="Arial" w:eastAsia="Arial" w:hAnsi="Arial"/>
          <w:sz w:val="17"/>
          <w:szCs w:val="17"/>
          <w:color w:val="auto"/>
        </w:rPr>
        <w:t>Key to our success is the time, attention and investment we place on continued innovation in our platform. We will continue to invest in expanding our product offerings and enhancing the features and functionality of our platform, particularly in the areas of integrations, automation, functional workflows, security, and organization-wide use cases. We leverage the breadth of our customer base, and the diverse ways in which they use our platform, to recognize their needs quickly and guide future innovation. Further, we ourselves are users—all of our employees are committed to using Asana internally, every single day—ensuring our entire organization is in touch with the platform’s capabilities and can rapidly identify or suggest improvements. Our research and development team is responsible for the design, development, testing, and delivery of solutions for our platform. Since January 31, 2019, we have grown our engineering department by over 80% to drive product innovation.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Competition</w:t>
      </w:r>
    </w:p>
    <w:p>
      <w:pPr>
        <w:spacing w:after="0" w:line="121" w:lineRule="exact"/>
        <w:rPr>
          <w:sz w:val="20"/>
          <w:szCs w:val="20"/>
          <w:color w:val="auto"/>
        </w:rPr>
      </w:pPr>
    </w:p>
    <w:p>
      <w:pPr>
        <w:ind w:right="140" w:firstLine="449"/>
        <w:spacing w:after="0" w:line="272" w:lineRule="auto"/>
        <w:rPr>
          <w:sz w:val="20"/>
          <w:szCs w:val="20"/>
          <w:color w:val="auto"/>
        </w:rPr>
      </w:pPr>
      <w:r>
        <w:rPr>
          <w:rFonts w:ascii="Arial" w:cs="Arial" w:eastAsia="Arial" w:hAnsi="Arial"/>
          <w:sz w:val="17"/>
          <w:szCs w:val="17"/>
          <w:color w:val="auto"/>
        </w:rPr>
        <w:t>The market for work management platforms is increasingly competitive, fragmented and subject to rapidly changing technology, shifting user and customer needs, new market entrants, and frequent introductions of new products and services. We compete with companies that range in size, from large and diversified with significant spending resources to smaller companies. The work management solutions market is rapidly evolving and highly competitive, with relatively low barriers to entry, and in the future there will likely be an increasing number of similar solutions offered by additional competitors. Our competition addresses the project management and work management categories, including, but not limited to, solutions around email, messaging, and spreadsheets. Our competitors fall into the following groups: companies specifically offering work management solutions; companies offering productivity suites; and companies specializing in vertical solutions.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we compete favorably based on the following competitive factors:</w:t>
      </w:r>
    </w:p>
    <w:p>
      <w:pPr>
        <w:spacing w:after="0" w:line="131" w:lineRule="exact"/>
        <w:rPr>
          <w:sz w:val="20"/>
          <w:szCs w:val="20"/>
          <w:color w:val="auto"/>
        </w:rPr>
      </w:pPr>
    </w:p>
    <w:p>
      <w:pPr>
        <w:ind w:left="1000" w:hanging="547"/>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adaptability to a broad range of use cases;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features and functionality of platform capabilities;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developments and enhancements of work management solutions;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customer service and support efforts;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efficient hybrid go-to-market model;</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ease of use, performance, price, and reliability of solutions;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scalability and security;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brand strength;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ability to create easy to use integrations for, and robust, effective partnerships with, other larger enterprise software solutions and tools.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Our intellectual property is an important aspect of our business. To establish and protect our proprietary rights, we rely upon a combination of patent, copyright, trade secret and trademark laws, and contractual restrictions such as confidentiality agreements, licenses, and intellectual property assignment agreements. We maintain a policy requiring our employees, contractors, consultants, and other third parties to enter into confidentiality and proprietary rights agreements to control access to our proprietary information. These laws, procedures, and restrictions provide only limited protection, and any of our intellectual property rights may be challenged, invalidated, circumvented, infringed, or misappropriated. Furthermore, the laws of certain countries do not protect proprietary rights to the same extent as the laws of the United States, and we therefore may be unable to protect our proprietary technology in certain jurisdictions. Moreover, our platform incorporates software components licensed to the general public under open source software licenses. We obtain many</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00"/>
          </w:cols>
          <w:pgMar w:left="320" w:top="459" w:right="3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components from software developed and released by contributors to independent open source components of our platform. Open source licenses grant licensees broad permissions to use, copy, modify, and redistribute our platform. As a result, open source development and licensing practices can limit the value of our software copyright assets.</w:t>
      </w:r>
    </w:p>
    <w:p>
      <w:pPr>
        <w:spacing w:after="0" w:line="184"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As of January 31, 2020, we had been granted five U.S. patents, had 19 U.S. patent applications pending, and one notice of allowance. Our issued patents expire between January 2031 and December 2034. We have not applied for patents in foreign jurisdictions. We continually review our development efforts to assess the existence and patentability of new intellectual property. We pursue the registration of our domain names, trademarks, and service marks in the United States and in certain locations outside the United States.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Facilities</w:t>
      </w:r>
    </w:p>
    <w:p>
      <w:pPr>
        <w:spacing w:after="0" w:line="121"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Our current corporate headquarters, consisting of approximately 110,000 square feet of office space in San Francisco, California, is leased through October 2021. In February 2019, we entered into a new lease agreement, pursuant to which we will lease office space located in San Francisco, California consisting of 265,890 square feet for an initial term of 148 months commencing in April 2020. This new office building will house our new corporate headquarters, which we expect to begin occupying in the third quarter of fiscal 2021.</w:t>
      </w:r>
    </w:p>
    <w:p>
      <w:pPr>
        <w:spacing w:after="0" w:line="187" w:lineRule="exact"/>
        <w:rPr>
          <w:sz w:val="20"/>
          <w:szCs w:val="20"/>
          <w:color w:val="auto"/>
        </w:rPr>
      </w:pPr>
    </w:p>
    <w:p>
      <w:pPr>
        <w:ind w:right="780" w:firstLine="449"/>
        <w:spacing w:after="0" w:line="277" w:lineRule="auto"/>
        <w:rPr>
          <w:sz w:val="20"/>
          <w:szCs w:val="20"/>
          <w:color w:val="auto"/>
        </w:rPr>
      </w:pPr>
      <w:r>
        <w:rPr>
          <w:rFonts w:ascii="Arial" w:cs="Arial" w:eastAsia="Arial" w:hAnsi="Arial"/>
          <w:sz w:val="18"/>
          <w:szCs w:val="18"/>
          <w:color w:val="auto"/>
        </w:rPr>
        <w:t>We lease additional offices in multiple locations in the United States and internationally, including in Dublin, London, Munich, New York, Reykjavik, Sydney, Tokyo, and Vancouver.</w:t>
      </w:r>
    </w:p>
    <w:p>
      <w:pPr>
        <w:spacing w:after="0" w:line="170" w:lineRule="exact"/>
        <w:rPr>
          <w:sz w:val="20"/>
          <w:szCs w:val="20"/>
          <w:color w:val="auto"/>
        </w:rPr>
      </w:pPr>
    </w:p>
    <w:p>
      <w:pPr>
        <w:ind w:right="400" w:firstLine="449"/>
        <w:spacing w:after="0" w:line="263" w:lineRule="auto"/>
        <w:rPr>
          <w:sz w:val="20"/>
          <w:szCs w:val="20"/>
          <w:color w:val="auto"/>
        </w:rPr>
      </w:pPr>
      <w:r>
        <w:rPr>
          <w:rFonts w:ascii="Arial" w:cs="Arial" w:eastAsia="Arial" w:hAnsi="Arial"/>
          <w:sz w:val="18"/>
          <w:szCs w:val="18"/>
          <w:color w:val="auto"/>
        </w:rPr>
        <w:t>We intend to procure additional space in the future as we continue to add employees and expand geographically. We believe our facilities are adequate and suitable for our current needs and that, should it be needed, suitable additional or alternative space will be available to accommodate our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Employees</w:t>
      </w:r>
    </w:p>
    <w:p>
      <w:pPr>
        <w:spacing w:after="0" w:line="121" w:lineRule="exact"/>
        <w:rPr>
          <w:sz w:val="20"/>
          <w:szCs w:val="20"/>
          <w:color w:val="auto"/>
        </w:rPr>
      </w:pPr>
    </w:p>
    <w:p>
      <w:pPr>
        <w:jc w:val="both"/>
        <w:ind w:right="460" w:firstLine="449"/>
        <w:spacing w:after="0" w:line="263" w:lineRule="auto"/>
        <w:rPr>
          <w:sz w:val="20"/>
          <w:szCs w:val="20"/>
          <w:color w:val="auto"/>
        </w:rPr>
      </w:pPr>
      <w:r>
        <w:rPr>
          <w:rFonts w:ascii="Arial" w:cs="Arial" w:eastAsia="Arial" w:hAnsi="Arial"/>
          <w:sz w:val="18"/>
          <w:szCs w:val="18"/>
          <w:color w:val="auto"/>
        </w:rPr>
        <w:t>As of January 31, 2020, we had 703 full-time employees. Of these employees, 575 were in the United States and 128 were in our international locations. None of our employees is represented by a labor union or covered by collective bargaining agreements. We have not experienced any work stoppages. We consider our relationship with our employees to be good.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we may receive unfavorable preliminary or interim rulings in the course of litigation, and there can be no assurances that favorable final outcomes will be obtained.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20"/>
          </w:cols>
          <w:pgMar w:left="320" w:top="459" w:right="3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regarding our executive officers, key employees, and directors as of January 31, 2020:</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 w:type="dxa"/>
            <w:vAlign w:val="bottom"/>
          </w:tcPr>
          <w:p>
            <w:pPr>
              <w:spacing w:after="0"/>
              <w:rPr>
                <w:sz w:val="20"/>
                <w:szCs w:val="20"/>
                <w:color w:val="auto"/>
              </w:rPr>
            </w:pPr>
            <w:r>
              <w:rPr>
                <w:rFonts w:ascii="Arial" w:cs="Arial" w:eastAsia="Arial" w:hAnsi="Arial"/>
                <w:sz w:val="14"/>
                <w:szCs w:val="14"/>
                <w:b w:val="1"/>
                <w:bCs w:val="1"/>
                <w:color w:val="auto"/>
                <w:w w:val="94"/>
              </w:rPr>
              <w:t>Name</w:t>
            </w:r>
          </w:p>
        </w:tc>
        <w:tc>
          <w:tcPr>
            <w:tcW w:w="256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rPr>
              <w:t>Age</w:t>
            </w:r>
          </w:p>
        </w:tc>
        <w:tc>
          <w:tcPr>
            <w:tcW w:w="4380" w:type="dxa"/>
            <w:vAlign w:val="bottom"/>
            <w:gridSpan w:val="3"/>
          </w:tcPr>
          <w:p>
            <w:pPr>
              <w:ind w:left="160"/>
              <w:spacing w:after="0"/>
              <w:rPr>
                <w:sz w:val="20"/>
                <w:szCs w:val="20"/>
                <w:color w:val="auto"/>
              </w:rPr>
            </w:pPr>
            <w:r>
              <w:rPr>
                <w:rFonts w:ascii="Arial" w:cs="Arial" w:eastAsia="Arial" w:hAnsi="Arial"/>
                <w:sz w:val="14"/>
                <w:szCs w:val="14"/>
                <w:b w:val="1"/>
                <w:bCs w:val="1"/>
                <w:color w:val="auto"/>
              </w:rPr>
              <w:t>Position(s)</w:t>
            </w:r>
          </w:p>
        </w:tc>
      </w:tr>
      <w:tr>
        <w:trPr>
          <w:trHeight w:val="20"/>
        </w:trPr>
        <w:tc>
          <w:tcPr>
            <w:tcW w:w="38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224"/>
        </w:trPr>
        <w:tc>
          <w:tcPr>
            <w:tcW w:w="29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Executive Officers</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560" w:type="dxa"/>
            <w:vAlign w:val="bottom"/>
          </w:tcPr>
          <w:p>
            <w:pPr>
              <w:spacing w:after="0"/>
              <w:rPr>
                <w:sz w:val="19"/>
                <w:szCs w:val="19"/>
                <w:color w:val="auto"/>
              </w:rPr>
            </w:pPr>
          </w:p>
        </w:tc>
      </w:tr>
      <w:tr>
        <w:trPr>
          <w:trHeight w:val="269"/>
        </w:trPr>
        <w:tc>
          <w:tcPr>
            <w:tcW w:w="2940" w:type="dxa"/>
            <w:vAlign w:val="bottom"/>
            <w:gridSpan w:val="2"/>
          </w:tcPr>
          <w:p>
            <w:pPr>
              <w:spacing w:after="0"/>
              <w:rPr>
                <w:sz w:val="20"/>
                <w:szCs w:val="20"/>
                <w:color w:val="auto"/>
              </w:rPr>
            </w:pPr>
            <w:r>
              <w:rPr>
                <w:rFonts w:ascii="Arial" w:cs="Arial" w:eastAsia="Arial" w:hAnsi="Arial"/>
                <w:sz w:val="18"/>
                <w:szCs w:val="18"/>
                <w:color w:val="auto"/>
              </w:rPr>
              <w:t>Dustin Moskovitz</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4380" w:type="dxa"/>
            <w:vAlign w:val="bottom"/>
            <w:gridSpan w:val="3"/>
          </w:tcPr>
          <w:p>
            <w:pPr>
              <w:ind w:left="160"/>
              <w:spacing w:after="0"/>
              <w:rPr>
                <w:sz w:val="20"/>
                <w:szCs w:val="20"/>
                <w:color w:val="auto"/>
              </w:rPr>
            </w:pPr>
            <w:r>
              <w:rPr>
                <w:rFonts w:ascii="Arial" w:cs="Arial" w:eastAsia="Arial" w:hAnsi="Arial"/>
                <w:sz w:val="18"/>
                <w:szCs w:val="18"/>
                <w:color w:val="auto"/>
                <w:w w:val="90"/>
              </w:rPr>
              <w:t>Co-Founder, President, Chief Executive Officer, and Chair</w:t>
            </w:r>
          </w:p>
        </w:tc>
      </w:tr>
      <w:tr>
        <w:trPr>
          <w:trHeight w:val="283"/>
        </w:trPr>
        <w:tc>
          <w:tcPr>
            <w:tcW w:w="2940" w:type="dxa"/>
            <w:vAlign w:val="bottom"/>
            <w:gridSpan w:val="2"/>
          </w:tcPr>
          <w:p>
            <w:pPr>
              <w:spacing w:after="0"/>
              <w:rPr>
                <w:sz w:val="20"/>
                <w:szCs w:val="20"/>
                <w:color w:val="auto"/>
              </w:rPr>
            </w:pPr>
            <w:r>
              <w:rPr>
                <w:rFonts w:ascii="Arial" w:cs="Arial" w:eastAsia="Arial" w:hAnsi="Arial"/>
                <w:sz w:val="18"/>
                <w:szCs w:val="18"/>
                <w:color w:val="auto"/>
              </w:rPr>
              <w:t>Chris Farinacci</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4380" w:type="dxa"/>
            <w:vAlign w:val="bottom"/>
            <w:gridSpan w:val="3"/>
          </w:tcPr>
          <w:p>
            <w:pPr>
              <w:ind w:left="160"/>
              <w:spacing w:after="0"/>
              <w:rPr>
                <w:sz w:val="20"/>
                <w:szCs w:val="20"/>
                <w:color w:val="auto"/>
              </w:rPr>
            </w:pPr>
            <w:r>
              <w:rPr>
                <w:rFonts w:ascii="Arial" w:cs="Arial" w:eastAsia="Arial" w:hAnsi="Arial"/>
                <w:sz w:val="18"/>
                <w:szCs w:val="18"/>
                <w:color w:val="auto"/>
              </w:rPr>
              <w:t>Chief Operating Officer</w:t>
            </w:r>
          </w:p>
        </w:tc>
      </w:tr>
      <w:tr>
        <w:trPr>
          <w:trHeight w:val="283"/>
        </w:trPr>
        <w:tc>
          <w:tcPr>
            <w:tcW w:w="2940" w:type="dxa"/>
            <w:vAlign w:val="bottom"/>
            <w:gridSpan w:val="2"/>
          </w:tcPr>
          <w:p>
            <w:pPr>
              <w:spacing w:after="0"/>
              <w:rPr>
                <w:sz w:val="20"/>
                <w:szCs w:val="20"/>
                <w:color w:val="auto"/>
              </w:rPr>
            </w:pPr>
            <w:r>
              <w:rPr>
                <w:rFonts w:ascii="Arial" w:cs="Arial" w:eastAsia="Arial" w:hAnsi="Arial"/>
                <w:sz w:val="18"/>
                <w:szCs w:val="18"/>
                <w:color w:val="auto"/>
              </w:rPr>
              <w:t>Eleanor Lacey</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4380" w:type="dxa"/>
            <w:vAlign w:val="bottom"/>
            <w:gridSpan w:val="3"/>
          </w:tcPr>
          <w:p>
            <w:pPr>
              <w:ind w:left="160"/>
              <w:spacing w:after="0"/>
              <w:rPr>
                <w:sz w:val="20"/>
                <w:szCs w:val="20"/>
                <w:color w:val="auto"/>
              </w:rPr>
            </w:pPr>
            <w:r>
              <w:rPr>
                <w:rFonts w:ascii="Arial" w:cs="Arial" w:eastAsia="Arial" w:hAnsi="Arial"/>
                <w:sz w:val="18"/>
                <w:szCs w:val="18"/>
                <w:color w:val="auto"/>
              </w:rPr>
              <w:t>General Counsel and Corporate Secretary</w:t>
            </w:r>
          </w:p>
        </w:tc>
      </w:tr>
      <w:tr>
        <w:trPr>
          <w:trHeight w:val="283"/>
        </w:trPr>
        <w:tc>
          <w:tcPr>
            <w:tcW w:w="2940" w:type="dxa"/>
            <w:vAlign w:val="bottom"/>
            <w:gridSpan w:val="2"/>
          </w:tcPr>
          <w:p>
            <w:pPr>
              <w:spacing w:after="0"/>
              <w:rPr>
                <w:sz w:val="20"/>
                <w:szCs w:val="20"/>
                <w:color w:val="auto"/>
              </w:rPr>
            </w:pPr>
            <w:r>
              <w:rPr>
                <w:rFonts w:ascii="Arial" w:cs="Arial" w:eastAsia="Arial" w:hAnsi="Arial"/>
                <w:sz w:val="18"/>
                <w:szCs w:val="18"/>
                <w:color w:val="auto"/>
              </w:rPr>
              <w:t>Tim Wan</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4380" w:type="dxa"/>
            <w:vAlign w:val="bottom"/>
            <w:gridSpan w:val="3"/>
          </w:tcPr>
          <w:p>
            <w:pPr>
              <w:ind w:left="160"/>
              <w:spacing w:after="0"/>
              <w:rPr>
                <w:sz w:val="20"/>
                <w:szCs w:val="20"/>
                <w:color w:val="auto"/>
              </w:rPr>
            </w:pPr>
            <w:r>
              <w:rPr>
                <w:rFonts w:ascii="Arial" w:cs="Arial" w:eastAsia="Arial" w:hAnsi="Arial"/>
                <w:sz w:val="18"/>
                <w:szCs w:val="18"/>
                <w:color w:val="auto"/>
              </w:rPr>
              <w:t>Chief Financial Officer</w:t>
            </w:r>
          </w:p>
        </w:tc>
      </w:tr>
      <w:tr>
        <w:trPr>
          <w:trHeight w:val="324"/>
        </w:trPr>
        <w:tc>
          <w:tcPr>
            <w:tcW w:w="29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Key Employees</w:t>
            </w: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83"/>
        </w:trPr>
        <w:tc>
          <w:tcPr>
            <w:tcW w:w="2940" w:type="dxa"/>
            <w:vAlign w:val="bottom"/>
            <w:gridSpan w:val="2"/>
          </w:tcPr>
          <w:p>
            <w:pPr>
              <w:spacing w:after="0"/>
              <w:rPr>
                <w:sz w:val="20"/>
                <w:szCs w:val="20"/>
                <w:color w:val="auto"/>
              </w:rPr>
            </w:pPr>
            <w:r>
              <w:rPr>
                <w:rFonts w:ascii="Arial" w:cs="Arial" w:eastAsia="Arial" w:hAnsi="Arial"/>
                <w:sz w:val="18"/>
                <w:szCs w:val="18"/>
                <w:color w:val="auto"/>
              </w:rPr>
              <w:t>Anna Binder</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4380" w:type="dxa"/>
            <w:vAlign w:val="bottom"/>
            <w:gridSpan w:val="3"/>
          </w:tcPr>
          <w:p>
            <w:pPr>
              <w:ind w:left="160"/>
              <w:spacing w:after="0"/>
              <w:rPr>
                <w:sz w:val="20"/>
                <w:szCs w:val="20"/>
                <w:color w:val="auto"/>
              </w:rPr>
            </w:pPr>
            <w:r>
              <w:rPr>
                <w:rFonts w:ascii="Arial" w:cs="Arial" w:eastAsia="Arial" w:hAnsi="Arial"/>
                <w:sz w:val="18"/>
                <w:szCs w:val="18"/>
                <w:color w:val="auto"/>
              </w:rPr>
              <w:t>Head of People</w:t>
            </w:r>
          </w:p>
        </w:tc>
      </w:tr>
      <w:tr>
        <w:trPr>
          <w:trHeight w:val="283"/>
        </w:trPr>
        <w:tc>
          <w:tcPr>
            <w:tcW w:w="2940" w:type="dxa"/>
            <w:vAlign w:val="bottom"/>
            <w:gridSpan w:val="2"/>
          </w:tcPr>
          <w:p>
            <w:pPr>
              <w:spacing w:after="0"/>
              <w:rPr>
                <w:sz w:val="20"/>
                <w:szCs w:val="20"/>
                <w:color w:val="auto"/>
              </w:rPr>
            </w:pPr>
            <w:r>
              <w:rPr>
                <w:rFonts w:ascii="Arial" w:cs="Arial" w:eastAsia="Arial" w:hAnsi="Arial"/>
                <w:sz w:val="18"/>
                <w:szCs w:val="18"/>
                <w:color w:val="auto"/>
              </w:rPr>
              <w:t>Alex Hood</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4380" w:type="dxa"/>
            <w:vAlign w:val="bottom"/>
            <w:gridSpan w:val="3"/>
          </w:tcPr>
          <w:p>
            <w:pPr>
              <w:ind w:left="160"/>
              <w:spacing w:after="0"/>
              <w:rPr>
                <w:sz w:val="20"/>
                <w:szCs w:val="20"/>
                <w:color w:val="auto"/>
              </w:rPr>
            </w:pPr>
            <w:r>
              <w:rPr>
                <w:rFonts w:ascii="Arial" w:cs="Arial" w:eastAsia="Arial" w:hAnsi="Arial"/>
                <w:sz w:val="18"/>
                <w:szCs w:val="18"/>
                <w:color w:val="auto"/>
              </w:rPr>
              <w:t>Head of Product</w:t>
            </w:r>
          </w:p>
        </w:tc>
      </w:tr>
      <w:tr>
        <w:trPr>
          <w:trHeight w:val="284"/>
        </w:trPr>
        <w:tc>
          <w:tcPr>
            <w:tcW w:w="2940" w:type="dxa"/>
            <w:vAlign w:val="bottom"/>
            <w:gridSpan w:val="2"/>
          </w:tcPr>
          <w:p>
            <w:pPr>
              <w:spacing w:after="0"/>
              <w:rPr>
                <w:sz w:val="20"/>
                <w:szCs w:val="20"/>
                <w:color w:val="auto"/>
              </w:rPr>
            </w:pPr>
            <w:r>
              <w:rPr>
                <w:rFonts w:ascii="Arial" w:cs="Arial" w:eastAsia="Arial" w:hAnsi="Arial"/>
                <w:sz w:val="18"/>
                <w:szCs w:val="18"/>
                <w:color w:val="auto"/>
              </w:rPr>
              <w:t>Oliver Jay</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4380" w:type="dxa"/>
            <w:vAlign w:val="bottom"/>
            <w:gridSpan w:val="3"/>
          </w:tcPr>
          <w:p>
            <w:pPr>
              <w:ind w:left="160"/>
              <w:spacing w:after="0"/>
              <w:rPr>
                <w:sz w:val="20"/>
                <w:szCs w:val="20"/>
                <w:color w:val="auto"/>
              </w:rPr>
            </w:pPr>
            <w:r>
              <w:rPr>
                <w:rFonts w:ascii="Arial" w:cs="Arial" w:eastAsia="Arial" w:hAnsi="Arial"/>
                <w:sz w:val="18"/>
                <w:szCs w:val="18"/>
                <w:color w:val="auto"/>
              </w:rPr>
              <w:t>Head of Sales and Business Development</w:t>
            </w:r>
          </w:p>
        </w:tc>
      </w:tr>
      <w:tr>
        <w:trPr>
          <w:trHeight w:val="283"/>
        </w:trPr>
        <w:tc>
          <w:tcPr>
            <w:tcW w:w="2940" w:type="dxa"/>
            <w:vAlign w:val="bottom"/>
            <w:gridSpan w:val="2"/>
          </w:tcPr>
          <w:p>
            <w:pPr>
              <w:spacing w:after="0"/>
              <w:rPr>
                <w:sz w:val="20"/>
                <w:szCs w:val="20"/>
                <w:color w:val="auto"/>
              </w:rPr>
            </w:pPr>
            <w:r>
              <w:rPr>
                <w:rFonts w:ascii="Arial" w:cs="Arial" w:eastAsia="Arial" w:hAnsi="Arial"/>
                <w:sz w:val="18"/>
                <w:szCs w:val="18"/>
                <w:color w:val="auto"/>
              </w:rPr>
              <w:t>Dave King</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4380" w:type="dxa"/>
            <w:vAlign w:val="bottom"/>
            <w:gridSpan w:val="3"/>
          </w:tcPr>
          <w:p>
            <w:pPr>
              <w:ind w:left="160"/>
              <w:spacing w:after="0"/>
              <w:rPr>
                <w:sz w:val="20"/>
                <w:szCs w:val="20"/>
                <w:color w:val="auto"/>
              </w:rPr>
            </w:pPr>
            <w:r>
              <w:rPr>
                <w:rFonts w:ascii="Arial" w:cs="Arial" w:eastAsia="Arial" w:hAnsi="Arial"/>
                <w:sz w:val="18"/>
                <w:szCs w:val="18"/>
                <w:color w:val="auto"/>
              </w:rPr>
              <w:t>Head of Marketing</w:t>
            </w:r>
          </w:p>
        </w:tc>
      </w:tr>
      <w:tr>
        <w:trPr>
          <w:trHeight w:val="283"/>
        </w:trPr>
        <w:tc>
          <w:tcPr>
            <w:tcW w:w="2940" w:type="dxa"/>
            <w:vAlign w:val="bottom"/>
            <w:gridSpan w:val="2"/>
          </w:tcPr>
          <w:p>
            <w:pPr>
              <w:spacing w:after="0"/>
              <w:rPr>
                <w:sz w:val="20"/>
                <w:szCs w:val="20"/>
                <w:color w:val="auto"/>
              </w:rPr>
            </w:pPr>
            <w:r>
              <w:rPr>
                <w:rFonts w:ascii="Arial" w:cs="Arial" w:eastAsia="Arial" w:hAnsi="Arial"/>
                <w:sz w:val="18"/>
                <w:szCs w:val="18"/>
                <w:color w:val="auto"/>
              </w:rPr>
              <w:t>Prashant Pandey</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4380" w:type="dxa"/>
            <w:vAlign w:val="bottom"/>
            <w:gridSpan w:val="3"/>
          </w:tcPr>
          <w:p>
            <w:pPr>
              <w:ind w:left="160"/>
              <w:spacing w:after="0"/>
              <w:rPr>
                <w:sz w:val="20"/>
                <w:szCs w:val="20"/>
                <w:color w:val="auto"/>
              </w:rPr>
            </w:pPr>
            <w:r>
              <w:rPr>
                <w:rFonts w:ascii="Arial" w:cs="Arial" w:eastAsia="Arial" w:hAnsi="Arial"/>
                <w:sz w:val="18"/>
                <w:szCs w:val="18"/>
                <w:color w:val="auto"/>
              </w:rPr>
              <w:t>Head of Engineering</w:t>
            </w:r>
          </w:p>
        </w:tc>
      </w:tr>
      <w:tr>
        <w:trPr>
          <w:trHeight w:val="324"/>
        </w:trPr>
        <w:tc>
          <w:tcPr>
            <w:tcW w:w="29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Non-Employee Directors</w:t>
            </w: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83"/>
        </w:trPr>
        <w:tc>
          <w:tcPr>
            <w:tcW w:w="2940" w:type="dxa"/>
            <w:vAlign w:val="bottom"/>
            <w:gridSpan w:val="2"/>
          </w:tcPr>
          <w:p>
            <w:pPr>
              <w:spacing w:after="0"/>
              <w:rPr>
                <w:sz w:val="20"/>
                <w:szCs w:val="20"/>
                <w:color w:val="auto"/>
              </w:rPr>
            </w:pPr>
            <w:r>
              <w:rPr>
                <w:rFonts w:ascii="Arial" w:cs="Arial" w:eastAsia="Arial" w:hAnsi="Arial"/>
                <w:sz w:val="18"/>
                <w:szCs w:val="18"/>
                <w:color w:val="auto"/>
              </w:rPr>
              <w:t>Sydney Carey</w:t>
            </w:r>
            <w:r>
              <w:rPr>
                <w:rFonts w:ascii="Arial" w:cs="Arial" w:eastAsia="Arial" w:hAnsi="Arial"/>
                <w:sz w:val="15"/>
                <w:szCs w:val="15"/>
                <w:color w:val="auto"/>
              </w:rPr>
              <w:t>(1)(2)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438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r>
      <w:tr>
        <w:trPr>
          <w:trHeight w:val="283"/>
        </w:trPr>
        <w:tc>
          <w:tcPr>
            <w:tcW w:w="2940" w:type="dxa"/>
            <w:vAlign w:val="bottom"/>
            <w:gridSpan w:val="2"/>
          </w:tcPr>
          <w:p>
            <w:pPr>
              <w:spacing w:after="0"/>
              <w:rPr>
                <w:sz w:val="20"/>
                <w:szCs w:val="20"/>
                <w:color w:val="auto"/>
              </w:rPr>
            </w:pPr>
            <w:r>
              <w:rPr>
                <w:rFonts w:ascii="Arial" w:cs="Arial" w:eastAsia="Arial" w:hAnsi="Arial"/>
                <w:sz w:val="18"/>
                <w:szCs w:val="18"/>
                <w:color w:val="auto"/>
              </w:rPr>
              <w:t>Matthew Cohler</w:t>
            </w:r>
            <w:r>
              <w:rPr>
                <w:rFonts w:ascii="Arial" w:cs="Arial" w:eastAsia="Arial" w:hAnsi="Arial"/>
                <w:sz w:val="15"/>
                <w:szCs w:val="15"/>
                <w:color w:val="auto"/>
              </w:rPr>
              <w:t>(1)(3)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438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r>
      <w:tr>
        <w:trPr>
          <w:trHeight w:val="283"/>
        </w:trPr>
        <w:tc>
          <w:tcPr>
            <w:tcW w:w="2940" w:type="dxa"/>
            <w:vAlign w:val="bottom"/>
            <w:gridSpan w:val="2"/>
          </w:tcPr>
          <w:p>
            <w:pPr>
              <w:spacing w:after="0"/>
              <w:rPr>
                <w:sz w:val="20"/>
                <w:szCs w:val="20"/>
                <w:color w:val="auto"/>
              </w:rPr>
            </w:pPr>
            <w:r>
              <w:rPr>
                <w:rFonts w:ascii="Arial" w:cs="Arial" w:eastAsia="Arial" w:hAnsi="Arial"/>
                <w:sz w:val="18"/>
                <w:szCs w:val="18"/>
                <w:color w:val="auto"/>
              </w:rPr>
              <w:t>Adam D’Angelo</w:t>
            </w:r>
            <w:r>
              <w:rPr>
                <w:rFonts w:ascii="Arial" w:cs="Arial" w:eastAsia="Arial" w:hAnsi="Arial"/>
                <w:sz w:val="15"/>
                <w:szCs w:val="15"/>
                <w:color w:val="auto"/>
              </w:rPr>
              <w:t>(2)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438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r>
      <w:tr>
        <w:trPr>
          <w:trHeight w:val="284"/>
        </w:trPr>
        <w:tc>
          <w:tcPr>
            <w:tcW w:w="2940" w:type="dxa"/>
            <w:vAlign w:val="bottom"/>
            <w:gridSpan w:val="2"/>
          </w:tcPr>
          <w:p>
            <w:pPr>
              <w:spacing w:after="0"/>
              <w:rPr>
                <w:sz w:val="20"/>
                <w:szCs w:val="20"/>
                <w:color w:val="auto"/>
              </w:rPr>
            </w:pPr>
            <w:r>
              <w:rPr>
                <w:rFonts w:ascii="Arial" w:cs="Arial" w:eastAsia="Arial" w:hAnsi="Arial"/>
                <w:sz w:val="18"/>
                <w:szCs w:val="18"/>
                <w:color w:val="auto"/>
              </w:rPr>
              <w:t>Lorrie Norrington</w:t>
            </w:r>
            <w:r>
              <w:rPr>
                <w:rFonts w:ascii="Arial" w:cs="Arial" w:eastAsia="Arial" w:hAnsi="Arial"/>
                <w:sz w:val="15"/>
                <w:szCs w:val="15"/>
                <w:color w:val="auto"/>
              </w:rPr>
              <w:t>(1)(3)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438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r>
      <w:tr>
        <w:trPr>
          <w:trHeight w:val="283"/>
        </w:trPr>
        <w:tc>
          <w:tcPr>
            <w:tcW w:w="2940" w:type="dxa"/>
            <w:vAlign w:val="bottom"/>
            <w:gridSpan w:val="2"/>
          </w:tcPr>
          <w:p>
            <w:pPr>
              <w:spacing w:after="0"/>
              <w:rPr>
                <w:sz w:val="20"/>
                <w:szCs w:val="20"/>
                <w:color w:val="auto"/>
              </w:rPr>
            </w:pPr>
            <w:r>
              <w:rPr>
                <w:rFonts w:ascii="Arial" w:cs="Arial" w:eastAsia="Arial" w:hAnsi="Arial"/>
                <w:sz w:val="18"/>
                <w:szCs w:val="18"/>
                <w:color w:val="auto"/>
              </w:rPr>
              <w:t>Anne Raimondi</w:t>
            </w:r>
            <w:r>
              <w:rPr>
                <w:rFonts w:ascii="Arial" w:cs="Arial" w:eastAsia="Arial" w:hAnsi="Arial"/>
                <w:sz w:val="15"/>
                <w:szCs w:val="15"/>
                <w:color w:val="auto"/>
              </w:rPr>
              <w:t>(2)(3)</w:t>
            </w: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438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r>
      <w:tr>
        <w:trPr>
          <w:trHeight w:val="284"/>
        </w:trPr>
        <w:tc>
          <w:tcPr>
            <w:tcW w:w="2940" w:type="dxa"/>
            <w:vAlign w:val="bottom"/>
            <w:gridSpan w:val="2"/>
          </w:tcPr>
          <w:p>
            <w:pPr>
              <w:spacing w:after="0"/>
              <w:rPr>
                <w:sz w:val="20"/>
                <w:szCs w:val="20"/>
                <w:color w:val="auto"/>
              </w:rPr>
            </w:pPr>
            <w:r>
              <w:rPr>
                <w:rFonts w:ascii="Arial" w:cs="Arial" w:eastAsia="Arial" w:hAnsi="Arial"/>
                <w:sz w:val="18"/>
                <w:szCs w:val="18"/>
                <w:color w:val="auto"/>
              </w:rPr>
              <w:t>Justin Rosenstein</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4380" w:type="dxa"/>
            <w:vAlign w:val="bottom"/>
            <w:gridSpan w:val="3"/>
          </w:tcPr>
          <w:p>
            <w:pPr>
              <w:ind w:left="160"/>
              <w:spacing w:after="0"/>
              <w:rPr>
                <w:sz w:val="20"/>
                <w:szCs w:val="20"/>
                <w:color w:val="auto"/>
              </w:rPr>
            </w:pPr>
            <w:r>
              <w:rPr>
                <w:rFonts w:ascii="Arial" w:cs="Arial" w:eastAsia="Arial" w:hAnsi="Arial"/>
                <w:sz w:val="18"/>
                <w:szCs w:val="18"/>
                <w:color w:val="auto"/>
              </w:rPr>
              <w:t>Co-Founder and 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59"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Member of the audit committee</w:t>
      </w:r>
    </w:p>
    <w:p>
      <w:pPr>
        <w:spacing w:after="0" w:line="22" w:lineRule="exact"/>
        <w:rPr>
          <w:rFonts w:ascii="Arial" w:cs="Arial" w:eastAsia="Arial" w:hAnsi="Arial"/>
          <w:sz w:val="16"/>
          <w:szCs w:val="16"/>
          <w:color w:val="auto"/>
        </w:rPr>
      </w:pPr>
    </w:p>
    <w:p>
      <w:pPr>
        <w:ind w:left="460" w:hanging="452"/>
        <w:spacing w:after="0"/>
        <w:tabs>
          <w:tab w:leader="none" w:pos="4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Member of the compensation committee</w:t>
      </w:r>
    </w:p>
    <w:p>
      <w:pPr>
        <w:spacing w:after="0" w:line="18" w:lineRule="exact"/>
        <w:rPr>
          <w:rFonts w:ascii="Arial" w:cs="Arial" w:eastAsia="Arial" w:hAnsi="Arial"/>
          <w:sz w:val="16"/>
          <w:szCs w:val="16"/>
          <w:color w:val="auto"/>
        </w:rPr>
      </w:pPr>
    </w:p>
    <w:p>
      <w:pPr>
        <w:ind w:left="460" w:hanging="452"/>
        <w:spacing w:after="0"/>
        <w:tabs>
          <w:tab w:leader="none" w:pos="4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Member of the nominating and corporate governance committee</w:t>
      </w:r>
    </w:p>
    <w:p>
      <w:pPr>
        <w:spacing w:after="0" w:line="1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4"/>
          <w:szCs w:val="14"/>
          <w:color w:val="auto"/>
        </w:rPr>
        <w:t>Lead independent director</w:t>
      </w:r>
    </w:p>
    <w:p>
      <w:pPr>
        <w:spacing w:after="0" w:line="33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17"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b w:val="1"/>
          <w:bCs w:val="1"/>
          <w:i w:val="1"/>
          <w:iCs w:val="1"/>
          <w:color w:val="auto"/>
        </w:rPr>
        <w:t xml:space="preserve">Dustin Moskovitz </w:t>
      </w:r>
      <w:r>
        <w:rPr>
          <w:rFonts w:ascii="Arial" w:cs="Arial" w:eastAsia="Arial" w:hAnsi="Arial"/>
          <w:sz w:val="16"/>
          <w:szCs w:val="16"/>
          <w:color w:val="auto"/>
        </w:rPr>
        <w:t>co-founded Asana and has served as a member of our board of directors since December 2008, as our Chief Executive Officer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October 2010, as our President since February 2019, and as our Chair since December 2019. Previously, Mr. Moskovitz served as our Chief Financial Officer from February 2009 to January 2017, and as our Secretary from February 2009 to October 2017. Prior to Asana, Mr. Moskovitz co-founded Facebook, Inc., a social media and networking company, and from February 2004 to November 2008, he served in a variety of senior roles, including Chief Technology Officer and Vice President of Engineering. Mr. Moskovitz attended Harvard University where he studied economics.</w:t>
      </w:r>
    </w:p>
    <w:p>
      <w:pPr>
        <w:spacing w:after="0" w:line="161" w:lineRule="exact"/>
        <w:rPr>
          <w:sz w:val="20"/>
          <w:szCs w:val="20"/>
          <w:color w:val="auto"/>
        </w:rPr>
      </w:pPr>
    </w:p>
    <w:p>
      <w:pPr>
        <w:ind w:right="360" w:firstLine="449"/>
        <w:spacing w:after="0" w:line="277" w:lineRule="auto"/>
        <w:rPr>
          <w:sz w:val="20"/>
          <w:szCs w:val="20"/>
          <w:color w:val="auto"/>
        </w:rPr>
      </w:pPr>
      <w:r>
        <w:rPr>
          <w:rFonts w:ascii="Arial" w:cs="Arial" w:eastAsia="Arial" w:hAnsi="Arial"/>
          <w:sz w:val="18"/>
          <w:szCs w:val="18"/>
          <w:color w:val="auto"/>
        </w:rPr>
        <w:t>We believe that Mr. Moskovitz is qualified to serve as a member of our board of directors due to the perspective and experience he brings as our Chief Executive Officer and a co-founder and due to his extensive experience managing technology companies.</w:t>
      </w:r>
    </w:p>
    <w:p>
      <w:pPr>
        <w:spacing w:after="0" w:line="170"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b w:val="1"/>
          <w:bCs w:val="1"/>
          <w:i w:val="1"/>
          <w:iCs w:val="1"/>
          <w:color w:val="auto"/>
        </w:rPr>
        <w:t xml:space="preserve">Chris Farinacci </w:t>
      </w:r>
      <w:r>
        <w:rPr>
          <w:rFonts w:ascii="Arial" w:cs="Arial" w:eastAsia="Arial" w:hAnsi="Arial"/>
          <w:sz w:val="18"/>
          <w:szCs w:val="18"/>
          <w:color w:val="auto"/>
        </w:rPr>
        <w:t>has served as our Chief Operating Officer since September 2015. Prior to joining Asana, Mr. Farinacci served as Senior Director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Marketing for Google for Work and Google for Education, Alphabet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00"/>
          </w:cols>
          <w:pgMar w:left="320" w:top="459" w:right="3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color w:val="auto"/>
        </w:rPr>
        <w:t>Inc.’s enterprise and education businesses, from January 2011 to September 2015. From May 2009 to December 2010, Mr. Farinacci served as Chief Marketing Officer at Hara Software, Inc., an environmental and energy management software company. Prior to that, he served as Vice President, Application Marketing at Oracle Corporation, a provider of business software, from October 2007 until April 2009. Mr. Farinacci holds a B.S. in mechanical engineering from The Ohio State University.</w:t>
      </w:r>
    </w:p>
    <w:p>
      <w:pPr>
        <w:spacing w:after="0" w:line="187"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b w:val="1"/>
          <w:bCs w:val="1"/>
          <w:i w:val="1"/>
          <w:iCs w:val="1"/>
          <w:color w:val="auto"/>
        </w:rPr>
        <w:t xml:space="preserve">Eleanor Lacey </w:t>
      </w:r>
      <w:r>
        <w:rPr>
          <w:rFonts w:ascii="Arial" w:cs="Arial" w:eastAsia="Arial" w:hAnsi="Arial"/>
          <w:sz w:val="18"/>
          <w:szCs w:val="18"/>
          <w:color w:val="auto"/>
        </w:rPr>
        <w:t>has served as our General Counsel since July 2019 and as our Corporate Secretary since September 2019. Prior to joining Asana,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November 2016 to July 2019, Ms. Lacey served as the Executive Vice President and Chief Legal Officer of Sophos, Inc., an affiliated entity of Sophos Group plc, a security software and hardware company, and Group Company Secretary at Sophos Group plc. From July 2012 to November 2016, Ms. Lacey led the legal department of SurveyMonkey, Inc., an affiliated entity of SVMK Inc., a SaaS survey company, serving as Vice President, General Counsel, and Corporate Secretary from July 2012 to August 2016, and as Senior Vice President, General Counsel, and Corporate Secretary from August 2016 to November 2016. Ms. Lacey holds a B.A. in English literature and history from the University of Massachusetts, Amherst and a J.D. from Yale Law School.</w:t>
      </w:r>
    </w:p>
    <w:p>
      <w:pPr>
        <w:spacing w:after="0" w:line="195" w:lineRule="exact"/>
        <w:rPr>
          <w:sz w:val="20"/>
          <w:szCs w:val="20"/>
          <w:color w:val="auto"/>
        </w:rPr>
      </w:pPr>
    </w:p>
    <w:p>
      <w:pPr>
        <w:ind w:right="100" w:firstLine="449"/>
        <w:spacing w:after="0" w:line="254" w:lineRule="auto"/>
        <w:rPr>
          <w:sz w:val="20"/>
          <w:szCs w:val="20"/>
          <w:color w:val="auto"/>
        </w:rPr>
      </w:pPr>
      <w:r>
        <w:rPr>
          <w:rFonts w:ascii="Arial" w:cs="Arial" w:eastAsia="Arial" w:hAnsi="Arial"/>
          <w:sz w:val="18"/>
          <w:szCs w:val="18"/>
          <w:b w:val="1"/>
          <w:bCs w:val="1"/>
          <w:i w:val="1"/>
          <w:iCs w:val="1"/>
          <w:color w:val="auto"/>
        </w:rPr>
        <w:t xml:space="preserve">Tim Wan </w:t>
      </w:r>
      <w:r>
        <w:rPr>
          <w:rFonts w:ascii="Arial" w:cs="Arial" w:eastAsia="Arial" w:hAnsi="Arial"/>
          <w:sz w:val="18"/>
          <w:szCs w:val="18"/>
          <w:color w:val="auto"/>
        </w:rPr>
        <w:t>has served as our Chief Financial Officer since January 2017, and he previously served as our Secretary from May 2018 to September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2019. Prior to joining Asana, Mr. Wan served as the Chief Financial Officer of Apigee Corporation, an API platform technology company, from March 2015 to January 2017. From June 2000 to February 2015, Mr. Wan served in a variety of senior roles at RealNetworks, Inc., a digital media and applications company, including as Senior Vice President, Chief Financial Officer, and Treasurer from April 2012 to February 2015, Vice President, Finance from September 2009 to April 2012, and various leadership positions from June 2000 to August 2009. Additionally, Mr. Wan has served on the board of directors of RealNetworks, Inc. since December 2019. Mr. Wan holds a B.A. in economics from the University of California, Los Angeles and an M.B.A. from the University of Southern California.</w:t>
      </w:r>
    </w:p>
    <w:p>
      <w:pPr>
        <w:spacing w:after="0" w:line="30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Key Employees</w:t>
      </w:r>
    </w:p>
    <w:p>
      <w:pPr>
        <w:spacing w:after="0" w:line="117" w:lineRule="exact"/>
        <w:rPr>
          <w:sz w:val="20"/>
          <w:szCs w:val="20"/>
          <w:color w:val="auto"/>
        </w:rPr>
      </w:pPr>
    </w:p>
    <w:p>
      <w:pPr>
        <w:jc w:val="both"/>
        <w:ind w:right="160" w:firstLine="449"/>
        <w:spacing w:after="0" w:line="275" w:lineRule="auto"/>
        <w:rPr>
          <w:sz w:val="20"/>
          <w:szCs w:val="20"/>
          <w:color w:val="auto"/>
        </w:rPr>
      </w:pPr>
      <w:r>
        <w:rPr>
          <w:rFonts w:ascii="Arial" w:cs="Arial" w:eastAsia="Arial" w:hAnsi="Arial"/>
          <w:sz w:val="17"/>
          <w:szCs w:val="17"/>
          <w:b w:val="1"/>
          <w:bCs w:val="1"/>
          <w:i w:val="1"/>
          <w:iCs w:val="1"/>
          <w:color w:val="auto"/>
        </w:rPr>
        <w:t xml:space="preserve">Anna Binder </w:t>
      </w:r>
      <w:r>
        <w:rPr>
          <w:rFonts w:ascii="Arial" w:cs="Arial" w:eastAsia="Arial" w:hAnsi="Arial"/>
          <w:sz w:val="17"/>
          <w:szCs w:val="17"/>
          <w:color w:val="auto"/>
        </w:rPr>
        <w:t>has served as our Head of People since May 2016. Prior to joining Asana, Ms. Binder was the Vice President of People at MuleSoft,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 a software company, from August 2014 to February 2016. From May 2010 to June 2013, Ms. Binder served as Vice President of Client Services and Human Resources at ReadyForce, Inc., an information technology and services company, and before that, as the VP, People at IronPort Systems, Inc., an email and web security products provider acquired by Cisco Systems in 2007. Ms. Binder holds a B.A. in political science from the University of Oregon and an M.B.A. from IESE Business School at the University of Navarra.</w:t>
      </w:r>
    </w:p>
    <w:p>
      <w:pPr>
        <w:spacing w:after="0" w:line="176"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b w:val="1"/>
          <w:bCs w:val="1"/>
          <w:i w:val="1"/>
          <w:iCs w:val="1"/>
          <w:color w:val="auto"/>
        </w:rPr>
        <w:t xml:space="preserve">Alex Hood </w:t>
      </w:r>
      <w:r>
        <w:rPr>
          <w:rFonts w:ascii="Arial" w:cs="Arial" w:eastAsia="Arial" w:hAnsi="Arial"/>
          <w:sz w:val="18"/>
          <w:szCs w:val="18"/>
          <w:color w:val="auto"/>
        </w:rPr>
        <w:t>has served as our Head of Product since January 2018. Prior to joining Asana, Mr. Hood served as the Vice President of Product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and Small Business Segment Leader at Intuit Inc., a business and financial software company, from January 2016 to October 2017. From March 2014 to December 2015, Mr. Hood served as the Vice President of Products at TubeMogul Inc., an advertising software company. Mr. Hood holds a B.A. in economics and international relations from American University and an M.B.A. from Haas School of Business at the University of California, Berkeley.</w:t>
      </w:r>
    </w:p>
    <w:p>
      <w:pPr>
        <w:spacing w:after="0" w:line="188"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b w:val="1"/>
          <w:bCs w:val="1"/>
          <w:i w:val="1"/>
          <w:iCs w:val="1"/>
          <w:color w:val="auto"/>
        </w:rPr>
        <w:t xml:space="preserve">Oliver Jay </w:t>
      </w:r>
      <w:r>
        <w:rPr>
          <w:rFonts w:ascii="Arial" w:cs="Arial" w:eastAsia="Arial" w:hAnsi="Arial"/>
          <w:sz w:val="18"/>
          <w:szCs w:val="18"/>
          <w:color w:val="auto"/>
        </w:rPr>
        <w:t>has served as our Head of Sales and Business Development since November 2016. Prior to joining Asana, Mr. Jay was Head of APAC &amp;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LATAM at Dropbox, Inc., a file hosting service company, from January 2014 to April 2016, and Head of Online Sales &amp; Inside Sales from September 2012 to January 2014. From August 2011 to September 2012, Mr. Jay served as Sales &amp; Partnerships Principal at Scientific Conservation, Inc., an analytics software company. Mr. Jay holds a B.A. in Philosophy, Politics &amp; Economics from the University of Pennsylvania and an M.B.A. from Harvard Business School.</w:t>
      </w:r>
    </w:p>
    <w:p>
      <w:pPr>
        <w:spacing w:after="0" w:line="188"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b w:val="1"/>
          <w:bCs w:val="1"/>
          <w:i w:val="1"/>
          <w:iCs w:val="1"/>
          <w:color w:val="auto"/>
        </w:rPr>
        <w:t xml:space="preserve">Dave King </w:t>
      </w:r>
      <w:r>
        <w:rPr>
          <w:rFonts w:ascii="Arial" w:cs="Arial" w:eastAsia="Arial" w:hAnsi="Arial"/>
          <w:sz w:val="18"/>
          <w:szCs w:val="18"/>
          <w:color w:val="auto"/>
        </w:rPr>
        <w:t>has served as our Head of Marketing since May 2017. Prior to joining Asana, Mr. King was Vice President of Marketing at Percolate Inc.,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marketing software company, from October 2015 to January 2017.</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20"/>
          </w:cols>
          <w:pgMar w:left="320" w:top="459" w:right="3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From February 2013 to February 2015, Mr. King led marketing teams at Highfive, Inc., a video conferencing company, and Salesforce.com, a customer relationship management software company, from June 2008 to October 2012. Mr. King holds a B.S. in psychology from Duke University and an M.B.A. from Stanford Graduate School of Business.</w:t>
      </w:r>
    </w:p>
    <w:p>
      <w:pPr>
        <w:spacing w:after="0" w:line="184"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b w:val="1"/>
          <w:bCs w:val="1"/>
          <w:i w:val="1"/>
          <w:iCs w:val="1"/>
          <w:color w:val="auto"/>
        </w:rPr>
        <w:t xml:space="preserve">Prashant Pandey </w:t>
      </w:r>
      <w:r>
        <w:rPr>
          <w:rFonts w:ascii="Arial" w:cs="Arial" w:eastAsia="Arial" w:hAnsi="Arial"/>
          <w:sz w:val="18"/>
          <w:szCs w:val="18"/>
          <w:color w:val="auto"/>
        </w:rPr>
        <w:t>has served as our Head of Engineering since July 2015, and previously as our Head of Infrastructure since May 2014. Prior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joining Asana, Mr. Pandey served as an Engineering Leader at Amazon.com, Inc., a multinational technology company, from October 2012 to May 2014. Mr. Pandey holds a Bachelor of Technology in computer science from the Birla Institute of Technology and Science, Pilani and an M.S. in computer science from the University of Illinois, Urbana Champaign.</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17" w:lineRule="exact"/>
        <w:rPr>
          <w:sz w:val="20"/>
          <w:szCs w:val="20"/>
          <w:color w:val="auto"/>
        </w:rPr>
      </w:pPr>
    </w:p>
    <w:p>
      <w:pPr>
        <w:ind w:right="60" w:firstLine="449"/>
        <w:spacing w:after="0" w:line="272" w:lineRule="auto"/>
        <w:rPr>
          <w:sz w:val="20"/>
          <w:szCs w:val="20"/>
          <w:color w:val="auto"/>
        </w:rPr>
      </w:pPr>
      <w:r>
        <w:rPr>
          <w:rFonts w:ascii="Arial" w:cs="Arial" w:eastAsia="Arial" w:hAnsi="Arial"/>
          <w:sz w:val="17"/>
          <w:szCs w:val="17"/>
          <w:b w:val="1"/>
          <w:bCs w:val="1"/>
          <w:i w:val="1"/>
          <w:iCs w:val="1"/>
          <w:color w:val="auto"/>
        </w:rPr>
        <w:t xml:space="preserve">Sydney Carey </w:t>
      </w:r>
      <w:r>
        <w:rPr>
          <w:rFonts w:ascii="Arial" w:cs="Arial" w:eastAsia="Arial" w:hAnsi="Arial"/>
          <w:sz w:val="17"/>
          <w:szCs w:val="17"/>
          <w:color w:val="auto"/>
        </w:rPr>
        <w:t>has served as a member of our board of directors since July 2019. Since November 2018, Ms. Carey has served as the Chief Financial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 of Sumo Logic, Inc., a data analytics company. From December 2017 to October 2018, Ms. Carey served as the Chief Financial Officer for Duo Security, Inc., a software security company. From June 2016 to December 2017, she served as the Chief Financial Officer of Apttus Corporation, a business-to-business software company. From February 2015 to June 2016, she served as the Chief Financial Officer of ZScaler, Inc., an information security company, and from April 2013 to February 2015, she served as the Chief Financial Officer of MongoDB Inc., a software company. Ms. Carey served as a member of the board of directors of Bazaarvoice, Inc. from April 2012 to September 2017, and Proofpoint, Inc. from January 2014 to March 2015. Ms. Carey holds a B.A. in economics from Stanford University.</w:t>
      </w:r>
    </w:p>
    <w:p>
      <w:pPr>
        <w:spacing w:after="0" w:line="177" w:lineRule="exact"/>
        <w:rPr>
          <w:sz w:val="20"/>
          <w:szCs w:val="20"/>
          <w:color w:val="auto"/>
        </w:rPr>
      </w:pPr>
    </w:p>
    <w:p>
      <w:pPr>
        <w:ind w:right="40" w:firstLine="449"/>
        <w:spacing w:after="0" w:line="308" w:lineRule="auto"/>
        <w:rPr>
          <w:sz w:val="20"/>
          <w:szCs w:val="20"/>
          <w:color w:val="auto"/>
        </w:rPr>
      </w:pPr>
      <w:r>
        <w:rPr>
          <w:rFonts w:ascii="Arial" w:cs="Arial" w:eastAsia="Arial" w:hAnsi="Arial"/>
          <w:sz w:val="17"/>
          <w:szCs w:val="17"/>
          <w:color w:val="auto"/>
        </w:rPr>
        <w:t>We believe that Ms. Carey is qualified to serve as a member of our board of directors because of her extensive finance background, including service as a chief financial officer of several companies, her experience as a director of public companies, and her knowledge of our industry.</w:t>
      </w:r>
    </w:p>
    <w:p>
      <w:pPr>
        <w:spacing w:after="0" w:line="146"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b w:val="1"/>
          <w:bCs w:val="1"/>
          <w:i w:val="1"/>
          <w:iCs w:val="1"/>
          <w:color w:val="auto"/>
        </w:rPr>
        <w:t xml:space="preserve">Matthew Cohler </w:t>
      </w:r>
      <w:r>
        <w:rPr>
          <w:rFonts w:ascii="Arial" w:cs="Arial" w:eastAsia="Arial" w:hAnsi="Arial"/>
          <w:sz w:val="18"/>
          <w:szCs w:val="18"/>
          <w:color w:val="auto"/>
        </w:rPr>
        <w:t>has served as a member of our board of directors since November 2009. Mr. Cohler has been a Partner at Benchmark Capital,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venture capital firm, since June 2008. Before Benchmark Capital, Mr. Cohler served as the Vice President of Product Management at Facebook, Inc., a social media and networking company, from 2005 to June 2008, and as the Vice President of LinkedIn Corporation, an internet software company, from 2003 to 2005. Mr. Cohler previously served on the boards of directors of Domo, Inc. from July 2011 to March 2019, and Uber Technologies, Inc. from June 2017 to July 2019. Mr. Cohler holds a B.A. in music from Yale University.</w:t>
      </w:r>
    </w:p>
    <w:p>
      <w:pPr>
        <w:spacing w:after="0" w:line="188" w:lineRule="exact"/>
        <w:rPr>
          <w:sz w:val="20"/>
          <w:szCs w:val="20"/>
          <w:color w:val="auto"/>
        </w:rPr>
      </w:pPr>
    </w:p>
    <w:p>
      <w:pPr>
        <w:ind w:right="80" w:firstLine="449"/>
        <w:spacing w:after="0" w:line="342" w:lineRule="auto"/>
        <w:rPr>
          <w:sz w:val="20"/>
          <w:szCs w:val="20"/>
          <w:color w:val="auto"/>
        </w:rPr>
      </w:pPr>
      <w:r>
        <w:rPr>
          <w:rFonts w:ascii="Arial" w:cs="Arial" w:eastAsia="Arial" w:hAnsi="Arial"/>
          <w:sz w:val="16"/>
          <w:szCs w:val="16"/>
          <w:color w:val="auto"/>
        </w:rPr>
        <w:t>We believe that Mr. Cohler is qualified to serve as a member of our board of directors because of his extensive experience as an executive and board member of many technology, high-growth, consumer and digital companies, his investment experience, and his knowledge of our industry.</w:t>
      </w:r>
    </w:p>
    <w:p>
      <w:pPr>
        <w:spacing w:after="0" w:line="124"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b w:val="1"/>
          <w:bCs w:val="1"/>
          <w:i w:val="1"/>
          <w:iCs w:val="1"/>
          <w:color w:val="auto"/>
        </w:rPr>
        <w:t xml:space="preserve">Adam D’Angelo </w:t>
      </w:r>
      <w:r>
        <w:rPr>
          <w:rFonts w:ascii="Arial" w:cs="Arial" w:eastAsia="Arial" w:hAnsi="Arial"/>
          <w:sz w:val="18"/>
          <w:szCs w:val="18"/>
          <w:color w:val="auto"/>
        </w:rPr>
        <w:t>has served as a member of our board of directors since December 2008. Mr. D’Angelo founded Quora Inc., a question-and-answer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website, and since June 2009, has served as its Chief Executive Officer. From June 2005 to June 2008, Mr. D’Angelo served in a variety of senior roles at Facebook, Inc., a social media and networking company, including Chief Technology Officer, from November 2006 to June 2008. Mr. D’Angelo holds a B.S. in computer science from the California Institute of Technology.</w:t>
      </w:r>
    </w:p>
    <w:p>
      <w:pPr>
        <w:spacing w:after="0" w:line="187" w:lineRule="exact"/>
        <w:rPr>
          <w:sz w:val="20"/>
          <w:szCs w:val="20"/>
          <w:color w:val="auto"/>
        </w:rPr>
      </w:pPr>
    </w:p>
    <w:p>
      <w:pPr>
        <w:ind w:right="260" w:firstLine="449"/>
        <w:spacing w:after="0" w:line="308" w:lineRule="auto"/>
        <w:rPr>
          <w:sz w:val="20"/>
          <w:szCs w:val="20"/>
          <w:color w:val="auto"/>
        </w:rPr>
      </w:pPr>
      <w:r>
        <w:rPr>
          <w:rFonts w:ascii="Arial" w:cs="Arial" w:eastAsia="Arial" w:hAnsi="Arial"/>
          <w:sz w:val="17"/>
          <w:szCs w:val="17"/>
          <w:color w:val="auto"/>
        </w:rPr>
        <w:t>We believe that Mr. D’Angelo is qualified to serve as a member of our board of directors because of his significant knowledge of and history with our company, his extensive experience as an executive and board member of technology companies, and his knowledge of our industry.</w:t>
      </w:r>
    </w:p>
    <w:p>
      <w:pPr>
        <w:spacing w:after="0" w:line="146" w:lineRule="exact"/>
        <w:rPr>
          <w:sz w:val="20"/>
          <w:szCs w:val="20"/>
          <w:color w:val="auto"/>
        </w:rPr>
      </w:pPr>
    </w:p>
    <w:p>
      <w:pPr>
        <w:ind w:right="300" w:firstLine="449"/>
        <w:spacing w:after="0" w:line="263" w:lineRule="auto"/>
        <w:rPr>
          <w:sz w:val="20"/>
          <w:szCs w:val="20"/>
          <w:color w:val="auto"/>
        </w:rPr>
      </w:pPr>
      <w:r>
        <w:rPr>
          <w:rFonts w:ascii="Arial" w:cs="Arial" w:eastAsia="Arial" w:hAnsi="Arial"/>
          <w:sz w:val="18"/>
          <w:szCs w:val="18"/>
          <w:b w:val="1"/>
          <w:bCs w:val="1"/>
          <w:i w:val="1"/>
          <w:iCs w:val="1"/>
          <w:color w:val="auto"/>
        </w:rPr>
        <w:t xml:space="preserve">Lorrie Norrington </w:t>
      </w:r>
      <w:r>
        <w:rPr>
          <w:rFonts w:ascii="Arial" w:cs="Arial" w:eastAsia="Arial" w:hAnsi="Arial"/>
          <w:sz w:val="18"/>
          <w:szCs w:val="18"/>
          <w:color w:val="auto"/>
        </w:rPr>
        <w:t>has served as a member of our board of directors since July 2019. Ms. Norrington has served as an operating partner of Lead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Edge Capital LLC, a growth equity investment firm, since October 2012. Ms. Norrington previously served in several senior management roles at eBay Inc., a multinational e-commerce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20"/>
          </w:cols>
          <w:pgMar w:left="320" w:top="459" w:right="3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publicly-traded company, from July 2006 to September 2010, including President of Global eBay Marketplaces, Chief Operating Officer of eBay Marketplaces, and President of eBay International. Ms. Norrington currently serves on the boards of directors of Autodesk, Inc., HubSpot, Inc., Colgate-Palmolive Company, and Eventbrite, Inc., and she also previously served on the board of directors of DirectTV, LLC from February 2011 to August 2015. Ms. Norrington holds a B.A. in business administration from the University of Maryland, College Park and an M.B.A. from Harvard University.</w:t>
      </w:r>
    </w:p>
    <w:p>
      <w:pPr>
        <w:spacing w:after="0" w:line="157" w:lineRule="exact"/>
        <w:rPr>
          <w:sz w:val="20"/>
          <w:szCs w:val="20"/>
          <w:color w:val="auto"/>
        </w:rPr>
      </w:pPr>
    </w:p>
    <w:p>
      <w:pPr>
        <w:ind w:right="180" w:firstLine="449"/>
        <w:spacing w:after="0" w:line="342" w:lineRule="auto"/>
        <w:rPr>
          <w:sz w:val="20"/>
          <w:szCs w:val="20"/>
          <w:color w:val="auto"/>
        </w:rPr>
      </w:pPr>
      <w:r>
        <w:rPr>
          <w:rFonts w:ascii="Arial" w:cs="Arial" w:eastAsia="Arial" w:hAnsi="Arial"/>
          <w:sz w:val="16"/>
          <w:szCs w:val="16"/>
          <w:color w:val="auto"/>
        </w:rPr>
        <w:t>We believe that Ms. Norrington is qualified to serve as a member of our board of directors because of her extensive experience as an executive and board member of many publicly-traded companies, including her business acumen and extensive global expertise, and her knowledge of our industry.</w:t>
      </w:r>
    </w:p>
    <w:p>
      <w:pPr>
        <w:spacing w:after="0" w:line="124" w:lineRule="exact"/>
        <w:rPr>
          <w:sz w:val="20"/>
          <w:szCs w:val="20"/>
          <w:color w:val="auto"/>
        </w:rPr>
      </w:pPr>
    </w:p>
    <w:p>
      <w:pPr>
        <w:ind w:firstLine="449"/>
        <w:spacing w:after="0" w:line="285" w:lineRule="auto"/>
        <w:rPr>
          <w:sz w:val="20"/>
          <w:szCs w:val="20"/>
          <w:color w:val="auto"/>
        </w:rPr>
      </w:pPr>
      <w:r>
        <w:rPr>
          <w:rFonts w:ascii="Arial" w:cs="Arial" w:eastAsia="Arial" w:hAnsi="Arial"/>
          <w:sz w:val="16"/>
          <w:szCs w:val="16"/>
          <w:b w:val="1"/>
          <w:bCs w:val="1"/>
          <w:i w:val="1"/>
          <w:iCs w:val="1"/>
          <w:color w:val="auto"/>
        </w:rPr>
        <w:t xml:space="preserve">Anne Raimondi </w:t>
      </w:r>
      <w:r>
        <w:rPr>
          <w:rFonts w:ascii="Arial" w:cs="Arial" w:eastAsia="Arial" w:hAnsi="Arial"/>
          <w:sz w:val="16"/>
          <w:szCs w:val="16"/>
          <w:color w:val="auto"/>
        </w:rPr>
        <w:t>has served as a member of our board of directors since February 2019 and as our lead independent director since December 2019.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Ms. Raimondi has served as the Chief Customer Officer of Guru Technologies, Inc., a knowledge management solution company, since May 2019. Prior to joining Guru, from August 2013 to November 2017, Ms. Raimondi served several roles at Zendesk, Inc., a customer service platform provider, including as Senior Vice President, Strategy, Senior Vice President, Operations, and Vice President, People Operations. Ms. Raimondi has also served on the board of directors of several other companies, including SendGrid, Inc. from February 2018 to February 2019, and Bloc, Inc. from June 2017 to April 2018.</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Ms. Raimondi holds a B.A. in economics and sociology and an M.B.A. from Stanford University.</w:t>
      </w:r>
    </w:p>
    <w:p>
      <w:pPr>
        <w:spacing w:after="0" w:line="211"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We believe that Ms. Raimondi is qualified to serve as a member of our board of directors because of her extensive experience as an executive and board member of many technology, high-growth companies and her knowledge of our industry.</w:t>
      </w:r>
    </w:p>
    <w:p>
      <w:pPr>
        <w:spacing w:after="0" w:line="170"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b w:val="1"/>
          <w:bCs w:val="1"/>
          <w:i w:val="1"/>
          <w:iCs w:val="1"/>
          <w:color w:val="auto"/>
        </w:rPr>
        <w:t xml:space="preserve">Justin Rosenstein </w:t>
      </w:r>
      <w:r>
        <w:rPr>
          <w:rFonts w:ascii="Arial" w:cs="Arial" w:eastAsia="Arial" w:hAnsi="Arial"/>
          <w:sz w:val="18"/>
          <w:szCs w:val="18"/>
          <w:color w:val="auto"/>
        </w:rPr>
        <w:t>co-founded Asana and has served as a member of our board of directors since December 2008. Mr. Rosenstein served as our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Officer from February 2009 to October 2010, and as our President from October 2010 to February 2019. Previously, Mr. Rosenstein served as an Engineer and Engineering Manager at Facebook, Inc., a social media and networking company, from May 2007 to November 2008, and as a Product Manager at Google Inc., a multinational technology company, from March 2004 to April 2007. Mr. Rosenstein holds a B.S. in mathematics from Stanford University.</w:t>
      </w:r>
    </w:p>
    <w:p>
      <w:pPr>
        <w:spacing w:after="0" w:line="188" w:lineRule="exact"/>
        <w:rPr>
          <w:sz w:val="20"/>
          <w:szCs w:val="20"/>
          <w:color w:val="auto"/>
        </w:rPr>
      </w:pPr>
    </w:p>
    <w:p>
      <w:pPr>
        <w:ind w:right="360" w:firstLine="449"/>
        <w:spacing w:after="0" w:line="277" w:lineRule="auto"/>
        <w:rPr>
          <w:sz w:val="20"/>
          <w:szCs w:val="20"/>
          <w:color w:val="auto"/>
        </w:rPr>
      </w:pPr>
      <w:r>
        <w:rPr>
          <w:rFonts w:ascii="Arial" w:cs="Arial" w:eastAsia="Arial" w:hAnsi="Arial"/>
          <w:sz w:val="18"/>
          <w:szCs w:val="18"/>
          <w:color w:val="auto"/>
        </w:rPr>
        <w:t>We believe that Mr. Rosenstein is qualified to serve as a member of our board of directors due to the perspective and experience he brings as our co-founder and former President.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family relationships among any of our executive officers or directors.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Our Board of Directors</w:t>
      </w:r>
    </w:p>
    <w:p>
      <w:pPr>
        <w:spacing w:after="0" w:line="121" w:lineRule="exact"/>
        <w:rPr>
          <w:sz w:val="20"/>
          <w:szCs w:val="20"/>
          <w:color w:val="auto"/>
        </w:rPr>
      </w:pPr>
    </w:p>
    <w:p>
      <w:pPr>
        <w:ind w:right="280" w:firstLine="449"/>
        <w:spacing w:after="0" w:line="293" w:lineRule="auto"/>
        <w:rPr>
          <w:sz w:val="20"/>
          <w:szCs w:val="20"/>
          <w:color w:val="auto"/>
        </w:rPr>
      </w:pPr>
      <w:r>
        <w:rPr>
          <w:rFonts w:ascii="Arial" w:cs="Arial" w:eastAsia="Arial" w:hAnsi="Arial"/>
          <w:sz w:val="16"/>
          <w:szCs w:val="16"/>
          <w:color w:val="auto"/>
        </w:rPr>
        <w:t>Pursuant to a voting agreement, Messrs. Cohler, Moskovitz, Rosenstein, and D’Angelo have been designated to serve as members of our board of directors. Mr. Cohler was designated as a representative of holders of our Series A preferred stock, and Mr. Moskovitz and Mr. Rosenstein were each designated as a representative of the holders of the common stock and Series 1 preferred stock. Mr. D’Angelo was designated by unanimous consent of Mr. Moskovitz and Mr. Rosenstein. Mmes. Carey, Raimondi, and Norrington were appointed by our board of directors as independent directors. The provisions of the voting agreement by which the directors are currently elected will terminate, and there will be no contractual obligations regarding the election of our directors, upon the effectiveness of the registration statement of which this prospectus forms a part.</w:t>
      </w:r>
    </w:p>
    <w:p>
      <w:pPr>
        <w:spacing w:after="0" w:line="164" w:lineRule="exact"/>
        <w:rPr>
          <w:sz w:val="20"/>
          <w:szCs w:val="20"/>
          <w:color w:val="auto"/>
        </w:rPr>
      </w:pPr>
    </w:p>
    <w:p>
      <w:pPr>
        <w:jc w:val="both"/>
        <w:ind w:right="460" w:firstLine="449"/>
        <w:spacing w:after="0" w:line="263" w:lineRule="auto"/>
        <w:rPr>
          <w:sz w:val="20"/>
          <w:szCs w:val="20"/>
          <w:color w:val="auto"/>
        </w:rPr>
      </w:pPr>
      <w:r>
        <w:rPr>
          <w:rFonts w:ascii="Arial" w:cs="Arial" w:eastAsia="Arial" w:hAnsi="Arial"/>
          <w:sz w:val="18"/>
          <w:szCs w:val="18"/>
          <w:color w:val="auto"/>
        </w:rPr>
        <w:t>After the effectiveness of the registration statement of which this prospectus forms a part, the number of directors will be fixed by our board of directors, subject to the terms of our amended and restated bylaws and amended and restated certificate of incorporation that will become effective in connection with the effectiveness of the registration statement of which this prospectus forms a part.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20"/>
          </w:cols>
          <w:pgMar w:left="320" w:top="459" w:right="3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40" w:firstLine="449"/>
        <w:spacing w:after="0" w:line="257" w:lineRule="auto"/>
        <w:rPr>
          <w:sz w:val="20"/>
          <w:szCs w:val="20"/>
          <w:color w:val="auto"/>
        </w:rPr>
      </w:pPr>
      <w:r>
        <w:rPr>
          <w:rFonts w:ascii="Arial" w:cs="Arial" w:eastAsia="Arial" w:hAnsi="Arial"/>
          <w:sz w:val="18"/>
          <w:szCs w:val="18"/>
          <w:color w:val="auto"/>
        </w:rPr>
        <w:t>Our board of directors may establish the authorized number of directors from time to time by resolution. In accordance with our amended and restated certificate of incorporation, which will be in effect upon the effectiveness of the registration statement of which this prospectus forms a part, our board of directors will be divided into three classes with staggered three-year terms. At each annual meeting of stockholders, the successors to directors whose terms then expire will be elected to serve from the time of election and qualification until the third annual meeting of stockholders following election. Our directors will be divided among the three classes as follows:</w:t>
      </w:r>
    </w:p>
    <w:p>
      <w:pPr>
        <w:spacing w:after="0" w:line="93"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2580" w:type="dxa"/>
            <w:vAlign w:val="bottom"/>
          </w:tcPr>
          <w:p>
            <w:pPr>
              <w:ind w:left="240"/>
              <w:spacing w:after="0"/>
              <w:rPr>
                <w:sz w:val="20"/>
                <w:szCs w:val="20"/>
                <w:color w:val="auto"/>
              </w:rPr>
            </w:pPr>
            <w:r>
              <w:rPr>
                <w:rFonts w:ascii="Arial" w:cs="Arial" w:eastAsia="Arial" w:hAnsi="Arial"/>
                <w:sz w:val="18"/>
                <w:szCs w:val="18"/>
                <w:color w:val="auto"/>
              </w:rPr>
              <w:t>the Class I directors will be</w:t>
            </w:r>
          </w:p>
        </w:tc>
        <w:tc>
          <w:tcPr>
            <w:tcW w:w="7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460" w:type="dxa"/>
            <w:vAlign w:val="bottom"/>
          </w:tcPr>
          <w:p>
            <w:pPr>
              <w:ind w:left="100"/>
              <w:spacing w:after="0"/>
              <w:rPr>
                <w:sz w:val="20"/>
                <w:szCs w:val="20"/>
                <w:color w:val="auto"/>
              </w:rPr>
            </w:pPr>
            <w:r>
              <w:rPr>
                <w:rFonts w:ascii="Arial" w:cs="Arial" w:eastAsia="Arial" w:hAnsi="Arial"/>
                <w:sz w:val="18"/>
                <w:szCs w:val="18"/>
                <w:color w:val="auto"/>
                <w:w w:val="84"/>
              </w:rPr>
              <w:t>, and</w:t>
            </w:r>
          </w:p>
        </w:tc>
        <w:tc>
          <w:tcPr>
            <w:tcW w:w="6660" w:type="dxa"/>
            <w:vAlign w:val="bottom"/>
          </w:tcPr>
          <w:p>
            <w:pPr>
              <w:ind w:left="560"/>
              <w:spacing w:after="0"/>
              <w:rPr>
                <w:sz w:val="20"/>
                <w:szCs w:val="20"/>
                <w:color w:val="auto"/>
              </w:rPr>
            </w:pPr>
            <w:r>
              <w:rPr>
                <w:rFonts w:ascii="Arial" w:cs="Arial" w:eastAsia="Arial" w:hAnsi="Arial"/>
                <w:sz w:val="18"/>
                <w:szCs w:val="18"/>
                <w:color w:val="auto"/>
                <w:w w:val="92"/>
              </w:rPr>
              <w:t>, and their terms will expire at our first annual meeting of stockholders following the</w:t>
            </w:r>
          </w:p>
        </w:tc>
      </w:tr>
      <w:tr>
        <w:trPr>
          <w:trHeight w:val="230"/>
        </w:trPr>
        <w:tc>
          <w:tcPr>
            <w:tcW w:w="300" w:type="dxa"/>
            <w:vAlign w:val="bottom"/>
          </w:tcPr>
          <w:p>
            <w:pPr>
              <w:spacing w:after="0"/>
              <w:rPr>
                <w:sz w:val="20"/>
                <w:szCs w:val="20"/>
                <w:color w:val="auto"/>
              </w:rPr>
            </w:pPr>
          </w:p>
        </w:tc>
        <w:tc>
          <w:tcPr>
            <w:tcW w:w="10460" w:type="dxa"/>
            <w:vAlign w:val="bottom"/>
            <w:gridSpan w:val="4"/>
          </w:tcPr>
          <w:p>
            <w:pPr>
              <w:ind w:left="240"/>
              <w:spacing w:after="0"/>
              <w:rPr>
                <w:sz w:val="20"/>
                <w:szCs w:val="20"/>
                <w:color w:val="auto"/>
              </w:rPr>
            </w:pPr>
            <w:r>
              <w:rPr>
                <w:rFonts w:ascii="Arial" w:cs="Arial" w:eastAsia="Arial" w:hAnsi="Arial"/>
                <w:sz w:val="18"/>
                <w:szCs w:val="18"/>
                <w:color w:val="auto"/>
              </w:rPr>
              <w:t>effectiveness of the registration statement of which this prospectus forms a part;</w:t>
            </w:r>
          </w:p>
        </w:tc>
      </w:tr>
      <w:tr>
        <w:trPr>
          <w:trHeight w:val="323"/>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2580" w:type="dxa"/>
            <w:vAlign w:val="bottom"/>
          </w:tcPr>
          <w:p>
            <w:pPr>
              <w:ind w:left="240"/>
              <w:spacing w:after="0"/>
              <w:rPr>
                <w:sz w:val="20"/>
                <w:szCs w:val="20"/>
                <w:color w:val="auto"/>
              </w:rPr>
            </w:pPr>
            <w:r>
              <w:rPr>
                <w:rFonts w:ascii="Arial" w:cs="Arial" w:eastAsia="Arial" w:hAnsi="Arial"/>
                <w:sz w:val="18"/>
                <w:szCs w:val="18"/>
                <w:color w:val="auto"/>
              </w:rPr>
              <w:t>the Class II directors will be</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and</w:t>
            </w:r>
          </w:p>
        </w:tc>
        <w:tc>
          <w:tcPr>
            <w:tcW w:w="7120" w:type="dxa"/>
            <w:vAlign w:val="bottom"/>
            <w:gridSpan w:val="2"/>
          </w:tcPr>
          <w:p>
            <w:pPr>
              <w:jc w:val="center"/>
              <w:spacing w:after="0"/>
              <w:rPr>
                <w:sz w:val="20"/>
                <w:szCs w:val="20"/>
                <w:color w:val="auto"/>
              </w:rPr>
            </w:pPr>
            <w:r>
              <w:rPr>
                <w:rFonts w:ascii="Arial" w:cs="Arial" w:eastAsia="Arial" w:hAnsi="Arial"/>
                <w:sz w:val="18"/>
                <w:szCs w:val="18"/>
                <w:color w:val="auto"/>
                <w:w w:val="91"/>
              </w:rPr>
              <w:t>, and their terms will expire at our second annual meeting of stockholders following the</w:t>
            </w:r>
          </w:p>
        </w:tc>
      </w:tr>
      <w:tr>
        <w:trPr>
          <w:trHeight w:val="230"/>
        </w:trPr>
        <w:tc>
          <w:tcPr>
            <w:tcW w:w="300" w:type="dxa"/>
            <w:vAlign w:val="bottom"/>
          </w:tcPr>
          <w:p>
            <w:pPr>
              <w:spacing w:after="0"/>
              <w:rPr>
                <w:sz w:val="20"/>
                <w:szCs w:val="20"/>
                <w:color w:val="auto"/>
              </w:rPr>
            </w:pPr>
          </w:p>
        </w:tc>
        <w:tc>
          <w:tcPr>
            <w:tcW w:w="10460" w:type="dxa"/>
            <w:vAlign w:val="bottom"/>
            <w:gridSpan w:val="4"/>
          </w:tcPr>
          <w:p>
            <w:pPr>
              <w:ind w:left="240"/>
              <w:spacing w:after="0"/>
              <w:rPr>
                <w:sz w:val="20"/>
                <w:szCs w:val="20"/>
                <w:color w:val="auto"/>
              </w:rPr>
            </w:pPr>
            <w:r>
              <w:rPr>
                <w:rFonts w:ascii="Arial" w:cs="Arial" w:eastAsia="Arial" w:hAnsi="Arial"/>
                <w:sz w:val="18"/>
                <w:szCs w:val="18"/>
                <w:color w:val="auto"/>
              </w:rPr>
              <w:t>effectiveness of the registration statement of which this prospectus forms a part; and</w:t>
            </w:r>
          </w:p>
        </w:tc>
      </w:tr>
      <w:tr>
        <w:trPr>
          <w:trHeight w:val="323"/>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2580" w:type="dxa"/>
            <w:vAlign w:val="bottom"/>
          </w:tcPr>
          <w:p>
            <w:pPr>
              <w:ind w:left="240"/>
              <w:spacing w:after="0"/>
              <w:rPr>
                <w:sz w:val="20"/>
                <w:szCs w:val="20"/>
                <w:color w:val="auto"/>
              </w:rPr>
            </w:pPr>
            <w:r>
              <w:rPr>
                <w:rFonts w:ascii="Arial" w:cs="Arial" w:eastAsia="Arial" w:hAnsi="Arial"/>
                <w:sz w:val="18"/>
                <w:szCs w:val="18"/>
                <w:color w:val="auto"/>
              </w:rPr>
              <w:t>the Class III directors will be</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and</w:t>
            </w:r>
          </w:p>
        </w:tc>
        <w:tc>
          <w:tcPr>
            <w:tcW w:w="460" w:type="dxa"/>
            <w:vAlign w:val="bottom"/>
          </w:tcPr>
          <w:p>
            <w:pPr>
              <w:spacing w:after="0"/>
              <w:rPr>
                <w:sz w:val="24"/>
                <w:szCs w:val="24"/>
                <w:color w:val="auto"/>
              </w:rPr>
            </w:pPr>
          </w:p>
        </w:tc>
        <w:tc>
          <w:tcPr>
            <w:tcW w:w="6660" w:type="dxa"/>
            <w:vAlign w:val="bottom"/>
          </w:tcPr>
          <w:p>
            <w:pPr>
              <w:jc w:val="center"/>
              <w:ind w:right="390"/>
              <w:spacing w:after="0"/>
              <w:rPr>
                <w:sz w:val="20"/>
                <w:szCs w:val="20"/>
                <w:color w:val="auto"/>
              </w:rPr>
            </w:pPr>
            <w:r>
              <w:rPr>
                <w:rFonts w:ascii="Arial" w:cs="Arial" w:eastAsia="Arial" w:hAnsi="Arial"/>
                <w:sz w:val="18"/>
                <w:szCs w:val="18"/>
                <w:color w:val="auto"/>
                <w:w w:val="92"/>
              </w:rPr>
              <w:t>, and their terms will expire at our third annual meeting of stockholders following the</w:t>
            </w:r>
          </w:p>
        </w:tc>
      </w:tr>
      <w:tr>
        <w:trPr>
          <w:trHeight w:val="230"/>
        </w:trPr>
        <w:tc>
          <w:tcPr>
            <w:tcW w:w="300" w:type="dxa"/>
            <w:vAlign w:val="bottom"/>
          </w:tcPr>
          <w:p>
            <w:pPr>
              <w:spacing w:after="0"/>
              <w:rPr>
                <w:sz w:val="20"/>
                <w:szCs w:val="20"/>
                <w:color w:val="auto"/>
              </w:rPr>
            </w:pPr>
          </w:p>
        </w:tc>
        <w:tc>
          <w:tcPr>
            <w:tcW w:w="10460" w:type="dxa"/>
            <w:vAlign w:val="bottom"/>
            <w:gridSpan w:val="4"/>
          </w:tcPr>
          <w:p>
            <w:pPr>
              <w:ind w:left="240"/>
              <w:spacing w:after="0"/>
              <w:rPr>
                <w:sz w:val="20"/>
                <w:szCs w:val="20"/>
                <w:color w:val="auto"/>
              </w:rPr>
            </w:pPr>
            <w:r>
              <w:rPr>
                <w:rFonts w:ascii="Arial" w:cs="Arial" w:eastAsia="Arial" w:hAnsi="Arial"/>
                <w:sz w:val="18"/>
                <w:szCs w:val="18"/>
                <w:color w:val="auto"/>
              </w:rPr>
              <w:t>effectiveness of the registration statement of which this prospectus forms a part.</w:t>
            </w:r>
          </w:p>
        </w:tc>
      </w:tr>
    </w:tbl>
    <w:p>
      <w:pPr>
        <w:spacing w:after="0" w:line="202" w:lineRule="exact"/>
        <w:rPr>
          <w:sz w:val="20"/>
          <w:szCs w:val="20"/>
          <w:color w:val="auto"/>
        </w:rPr>
      </w:pPr>
    </w:p>
    <w:p>
      <w:pPr>
        <w:jc w:val="both"/>
        <w:ind w:right="100" w:firstLine="449"/>
        <w:spacing w:after="0" w:line="263" w:lineRule="auto"/>
        <w:rPr>
          <w:sz w:val="20"/>
          <w:szCs w:val="20"/>
          <w:color w:val="auto"/>
        </w:rPr>
      </w:pPr>
      <w:r>
        <w:rPr>
          <w:rFonts w:ascii="Arial" w:cs="Arial" w:eastAsia="Arial" w:hAnsi="Arial"/>
          <w:sz w:val="18"/>
          <w:szCs w:val="18"/>
          <w:color w:val="auto"/>
        </w:rPr>
        <w:t>We expect that any additional directorships resulting from an increase in the number of directors will be distributed among the three classes so that, as nearly as possible, each class will consist of one third of the directors. The division of our board of directors into three classes with staggered three-year terms may delay or prevent a change of our management or a change in control.</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Independence</w:t>
      </w:r>
    </w:p>
    <w:p>
      <w:pPr>
        <w:spacing w:after="0" w:line="121" w:lineRule="exact"/>
        <w:rPr>
          <w:sz w:val="20"/>
          <w:szCs w:val="20"/>
          <w:color w:val="auto"/>
        </w:rPr>
      </w:pPr>
    </w:p>
    <w:p>
      <w:pPr>
        <w:ind w:right="60" w:firstLine="449"/>
        <w:spacing w:after="0" w:line="287" w:lineRule="auto"/>
        <w:rPr>
          <w:sz w:val="20"/>
          <w:szCs w:val="20"/>
          <w:color w:val="auto"/>
        </w:rPr>
      </w:pPr>
      <w:r>
        <w:rPr>
          <w:rFonts w:ascii="Arial" w:cs="Arial" w:eastAsia="Arial" w:hAnsi="Arial"/>
          <w:sz w:val="16"/>
          <w:szCs w:val="16"/>
          <w:color w:val="auto"/>
        </w:rPr>
        <w:t>Our board of directors has undertaken a review of the independence of each director. Based on information provided by each director concerning his or her background, employment, and affiliations, our board of directors has determined that Mmes. Carey, Norrington, and Raimondi and Messrs. Cohler and D’Angelo do not have relationships that would interfere with the exercise of independent judgment in carrying out the responsibilities of a director and</w:t>
      </w:r>
    </w:p>
    <w:p>
      <w:pPr>
        <w:spacing w:after="0" w:line="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that each of these directors is “independent” as that term is defined under the listing standards of the .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held by each non-employee director and the transactions described in the section titled “Certain Relationships and Related Party Transactions.”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right="200" w:firstLine="449"/>
        <w:spacing w:after="0" w:line="259" w:lineRule="auto"/>
        <w:rPr>
          <w:sz w:val="20"/>
          <w:szCs w:val="20"/>
          <w:color w:val="auto"/>
        </w:rPr>
      </w:pPr>
      <w:r>
        <w:rPr>
          <w:rFonts w:ascii="Arial" w:cs="Arial" w:eastAsia="Arial" w:hAnsi="Arial"/>
          <w:sz w:val="18"/>
          <w:szCs w:val="18"/>
          <w:color w:val="auto"/>
        </w:rPr>
        <w:t>Our board of directors has established an audit committee, a compensation committee, and a nominating and corporate governance committee. The composition and responsibilities of each of the committees of our board of directors are described below. Members serve on these committees until their resignation or until otherwise determined by our board of directors. Our board of directors may establish other committees as it deems necessary or appropriate from time to time.</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audit committee consists of Sydney Carey, Matthew Cohler, and Lorrie Norrington. Our board of directors has determined that each member of</w:t>
      </w:r>
    </w:p>
    <w:p>
      <w:pPr>
        <w:spacing w:after="0" w:line="4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audit committee satisfies the independence requirements under the listing standards of the and Rule 10A-3(b)(1) of the Exchange Act. The chair of our audit committee is Ms. Carey. Our board of directors has determined that Ms. Carey is an “audit committee financial expert” within the meaning of SEC regulations. Each member of our audit committee can read and understand</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459" w:right="3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fundamental financial statements in accordance with applicable requirements. In arriving at these determinations, our board of directors has examined each audit committee member’s scope of experience or the nature of his or her employment.</w:t>
      </w:r>
    </w:p>
    <w:p>
      <w:pPr>
        <w:spacing w:after="0" w:line="170" w:lineRule="exact"/>
        <w:rPr>
          <w:sz w:val="20"/>
          <w:szCs w:val="20"/>
          <w:color w:val="auto"/>
        </w:rPr>
      </w:pPr>
    </w:p>
    <w:p>
      <w:pPr>
        <w:jc w:val="both"/>
        <w:ind w:right="40" w:firstLine="449"/>
        <w:spacing w:after="0" w:line="263" w:lineRule="auto"/>
        <w:rPr>
          <w:sz w:val="20"/>
          <w:szCs w:val="20"/>
          <w:color w:val="auto"/>
        </w:rPr>
      </w:pPr>
      <w:r>
        <w:rPr>
          <w:rFonts w:ascii="Arial" w:cs="Arial" w:eastAsia="Arial" w:hAnsi="Arial"/>
          <w:sz w:val="18"/>
          <w:szCs w:val="18"/>
          <w:color w:val="auto"/>
        </w:rPr>
        <w:t>The primary purpose of the audit committee is to discharge the responsibilities of our board of directors with respect to our corporate accounting and financial reporting processes, systems of internal control, and financial statement audits, and to oversee our independent registered public accounting firm. Specific responsibilities of our audit committee include:</w:t>
      </w:r>
    </w:p>
    <w:p>
      <w:pPr>
        <w:spacing w:after="0" w:line="89" w:lineRule="exact"/>
        <w:rPr>
          <w:sz w:val="20"/>
          <w:szCs w:val="20"/>
          <w:color w:val="auto"/>
        </w:rPr>
      </w:pPr>
    </w:p>
    <w:p>
      <w:pPr>
        <w:ind w:left="1000" w:hanging="547"/>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helping our board of directors oversee our corporate accounting and financial reporting processes;</w:t>
      </w:r>
    </w:p>
    <w:p>
      <w:pPr>
        <w:spacing w:after="0" w:line="130" w:lineRule="exact"/>
        <w:rPr>
          <w:rFonts w:ascii="Arial" w:cs="Arial" w:eastAsia="Arial" w:hAnsi="Arial"/>
          <w:sz w:val="18"/>
          <w:szCs w:val="18"/>
          <w:color w:val="auto"/>
        </w:rPr>
      </w:pPr>
    </w:p>
    <w:p>
      <w:pPr>
        <w:ind w:left="1000" w:right="40" w:hanging="547"/>
        <w:spacing w:after="0" w:line="277" w:lineRule="auto"/>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managing the selection, engagement, qualifications, independence, and performance of a qualified firm to serve as the independent registered public accounting firm to audit our financial statements;</w:t>
      </w:r>
    </w:p>
    <w:p>
      <w:pPr>
        <w:spacing w:after="0" w:line="75" w:lineRule="exact"/>
        <w:rPr>
          <w:rFonts w:ascii="Arial" w:cs="Arial" w:eastAsia="Arial" w:hAnsi="Arial"/>
          <w:sz w:val="18"/>
          <w:szCs w:val="18"/>
          <w:color w:val="auto"/>
        </w:rPr>
      </w:pPr>
    </w:p>
    <w:p>
      <w:pPr>
        <w:ind w:left="1000" w:hanging="547"/>
        <w:spacing w:after="0" w:line="277" w:lineRule="auto"/>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reviewing related person transactions;</w:t>
      </w:r>
    </w:p>
    <w:p>
      <w:pPr>
        <w:spacing w:after="0" w:line="130" w:lineRule="exact"/>
        <w:rPr>
          <w:rFonts w:ascii="Arial" w:cs="Arial" w:eastAsia="Arial" w:hAnsi="Arial"/>
          <w:sz w:val="18"/>
          <w:szCs w:val="18"/>
          <w:color w:val="auto"/>
        </w:rPr>
      </w:pPr>
    </w:p>
    <w:p>
      <w:pPr>
        <w:ind w:left="1000" w:right="340" w:hanging="547"/>
        <w:spacing w:after="0" w:line="342" w:lineRule="auto"/>
        <w:tabs>
          <w:tab w:leader="none" w:pos="10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obtaining and reviewing a report by the independent registered public accounting firm at least annually that describes our internal control procedures, any material issues with such procedures, and any steps taken to deal with such issues when required by applicable law; and</w:t>
      </w:r>
    </w:p>
    <w:p>
      <w:pPr>
        <w:spacing w:after="0" w:line="29" w:lineRule="exact"/>
        <w:rPr>
          <w:rFonts w:ascii="Arial" w:cs="Arial" w:eastAsia="Arial" w:hAnsi="Arial"/>
          <w:sz w:val="16"/>
          <w:szCs w:val="16"/>
          <w:color w:val="auto"/>
        </w:rPr>
      </w:pPr>
    </w:p>
    <w:p>
      <w:pPr>
        <w:ind w:left="1000" w:right="500" w:hanging="547"/>
        <w:spacing w:after="0" w:line="277" w:lineRule="auto"/>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approving or, as required, pre-approving audit and permissible non-audit services to be performed by the independent registered public accounting firm.</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audit committee will operate under a written charter, to be effective prior to the effectiveness of the registration statement of which this</w:t>
      </w:r>
    </w:p>
    <w:p>
      <w:pPr>
        <w:spacing w:after="0" w:line="35" w:lineRule="exact"/>
        <w:rPr>
          <w:sz w:val="20"/>
          <w:szCs w:val="20"/>
          <w:color w:val="auto"/>
        </w:rPr>
      </w:pPr>
    </w:p>
    <w:p>
      <w:pPr>
        <w:spacing w:after="0"/>
        <w:tabs>
          <w:tab w:leader="none" w:pos="6140" w:val="left"/>
        </w:tabs>
        <w:rPr>
          <w:sz w:val="20"/>
          <w:szCs w:val="20"/>
          <w:color w:val="auto"/>
        </w:rPr>
      </w:pPr>
      <w:r>
        <w:rPr>
          <w:rFonts w:ascii="Arial" w:cs="Arial" w:eastAsia="Arial" w:hAnsi="Arial"/>
          <w:sz w:val="18"/>
          <w:szCs w:val="18"/>
          <w:color w:val="auto"/>
        </w:rPr>
        <w:t>prospectus forms a part, that satisfies the applicable listing standards of the</w:t>
      </w:r>
      <w:r>
        <w:rPr>
          <w:sz w:val="20"/>
          <w:szCs w:val="20"/>
          <w:color w:val="auto"/>
        </w:rPr>
        <w:tab/>
      </w:r>
      <w:r>
        <w:rPr>
          <w:rFonts w:ascii="Arial" w:cs="Arial" w:eastAsia="Arial" w:hAnsi="Arial"/>
          <w:sz w:val="18"/>
          <w:szCs w:val="18"/>
          <w:color w:val="auto"/>
        </w:rPr>
        <w:t>.</w:t>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compensation committee consists of Sydney Carey, Adam D’Angelo, and Anne Raimondi. The chair of our compensation committee is</w:t>
      </w:r>
    </w:p>
    <w:p>
      <w:pPr>
        <w:spacing w:after="0" w:line="35" w:lineRule="exact"/>
        <w:rPr>
          <w:sz w:val="20"/>
          <w:szCs w:val="20"/>
          <w:color w:val="auto"/>
        </w:rPr>
      </w:pPr>
    </w:p>
    <w:p>
      <w:pPr>
        <w:ind w:left="540" w:right="220" w:hanging="539"/>
        <w:spacing w:after="0" w:line="260" w:lineRule="auto"/>
        <w:rPr>
          <w:sz w:val="20"/>
          <w:szCs w:val="20"/>
          <w:color w:val="auto"/>
        </w:rPr>
      </w:pPr>
      <w:r>
        <w:rPr>
          <w:rFonts w:ascii="Arial" w:cs="Arial" w:eastAsia="Arial" w:hAnsi="Arial"/>
          <w:sz w:val="18"/>
          <w:szCs w:val="18"/>
          <w:color w:val="auto"/>
        </w:rPr>
        <w:t>Ms. Raimondi. Our board of directors has determined that each member of the compensation committee is independent under the listing standards of the , and a “non-employee director” as defined in Rule 16b-3 promulgated under the Exchange Act.</w:t>
      </w:r>
    </w:p>
    <w:p>
      <w:pPr>
        <w:spacing w:after="0" w:line="185"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The primary purpose of our compensation committee is to discharge the responsibilities of our board of directors in overseeing our compensation policies, plans, and programs, and to review and determine the compensation to be paid to our executive officers, directors, and other senior management, as appropriate.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Specific responsibilities of our compensation committee include:</w:t>
      </w:r>
    </w:p>
    <w:p>
      <w:pPr>
        <w:spacing w:after="0" w:line="131" w:lineRule="exact"/>
        <w:rPr>
          <w:sz w:val="20"/>
          <w:szCs w:val="20"/>
          <w:color w:val="auto"/>
        </w:rPr>
      </w:pPr>
    </w:p>
    <w:p>
      <w:pPr>
        <w:ind w:left="1000" w:right="40" w:hanging="547"/>
        <w:spacing w:after="0" w:line="277" w:lineRule="auto"/>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reviewing, approving, and determining, or recommending to our board of directors, the compensation of our chief executive officer and other executive officers;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directors;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administering our equity incentive plans and other benefit programs;</w:t>
      </w:r>
    </w:p>
    <w:p>
      <w:pPr>
        <w:spacing w:after="0" w:line="130" w:lineRule="exact"/>
        <w:rPr>
          <w:rFonts w:ascii="Arial" w:cs="Arial" w:eastAsia="Arial" w:hAnsi="Arial"/>
          <w:sz w:val="18"/>
          <w:szCs w:val="18"/>
          <w:color w:val="auto"/>
        </w:rPr>
      </w:pPr>
    </w:p>
    <w:p>
      <w:pPr>
        <w:ind w:left="1000" w:right="300" w:hanging="547"/>
        <w:spacing w:after="0" w:line="263" w:lineRule="auto"/>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reviewing, adopting, amending, and terminating, or recommending to our board of directors, incentive compensation and equity plans, severance agreements, profit sharing plans, bonus plans, change-of-control protections, and any other compensatory arrangements for our executive officers and other senior management; and</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20"/>
          </w:cols>
          <w:pgMar w:left="320" w:top="459" w:right="3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400" w:hanging="547"/>
        <w:spacing w:after="0" w:line="277"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reviewing and establishing general policies relating to compensation and benefits of our employees, including our overall compensation philosophy.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compensation committee will operate under a written charter, to be effective prior to the effectiveness of the registration statement of which this</w:t>
      </w:r>
    </w:p>
    <w:p>
      <w:pPr>
        <w:spacing w:after="0" w:line="46" w:lineRule="exact"/>
        <w:rPr>
          <w:sz w:val="20"/>
          <w:szCs w:val="20"/>
          <w:color w:val="auto"/>
        </w:rPr>
      </w:pPr>
    </w:p>
    <w:p>
      <w:pPr>
        <w:spacing w:after="0"/>
        <w:tabs>
          <w:tab w:leader="none" w:pos="6320" w:val="left"/>
        </w:tabs>
        <w:rPr>
          <w:sz w:val="20"/>
          <w:szCs w:val="20"/>
          <w:color w:val="auto"/>
        </w:rPr>
      </w:pPr>
      <w:r>
        <w:rPr>
          <w:rFonts w:ascii="Arial" w:cs="Arial" w:eastAsia="Arial" w:hAnsi="Arial"/>
          <w:sz w:val="18"/>
          <w:szCs w:val="18"/>
          <w:color w:val="auto"/>
        </w:rPr>
        <w:t>prospectus forms a part, that satisfies the applicable listing standards of the</w:t>
      </w:r>
      <w:r>
        <w:rPr>
          <w:sz w:val="20"/>
          <w:szCs w:val="20"/>
          <w:color w:val="auto"/>
        </w:rPr>
        <w:tab/>
      </w:r>
      <w:r>
        <w:rPr>
          <w:rFonts w:ascii="Arial" w:cs="Arial" w:eastAsia="Arial" w:hAnsi="Arial"/>
          <w:sz w:val="18"/>
          <w:szCs w:val="18"/>
          <w:color w:val="auto"/>
        </w:rPr>
        <w:t>.</w:t>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Nominating and Governance Committee</w:t>
      </w:r>
    </w:p>
    <w:p>
      <w:pPr>
        <w:spacing w:after="0" w:line="117" w:lineRule="exact"/>
        <w:rPr>
          <w:sz w:val="20"/>
          <w:szCs w:val="20"/>
          <w:color w:val="auto"/>
        </w:rPr>
      </w:pPr>
    </w:p>
    <w:p>
      <w:pPr>
        <w:ind w:right="540" w:firstLine="449"/>
        <w:spacing w:after="0" w:line="291" w:lineRule="auto"/>
        <w:rPr>
          <w:sz w:val="20"/>
          <w:szCs w:val="20"/>
          <w:color w:val="auto"/>
        </w:rPr>
      </w:pPr>
      <w:r>
        <w:rPr>
          <w:rFonts w:ascii="Arial" w:cs="Arial" w:eastAsia="Arial" w:hAnsi="Arial"/>
          <w:sz w:val="16"/>
          <w:szCs w:val="16"/>
          <w:color w:val="auto"/>
        </w:rPr>
        <w:t>Our nominating and corporate governance committee consists of Matthew Cohler, Lorrie Norrington, and Anne Raimondi. The chair of our nominating and governance committee is Ms. Norrington. Our board of directors has determined that each member of the nominating and corporate</w:t>
      </w:r>
    </w:p>
    <w:p>
      <w:pPr>
        <w:spacing w:after="0"/>
        <w:tabs>
          <w:tab w:leader="none" w:pos="6000" w:val="left"/>
        </w:tabs>
        <w:rPr>
          <w:sz w:val="20"/>
          <w:szCs w:val="20"/>
          <w:color w:val="auto"/>
        </w:rPr>
      </w:pPr>
      <w:r>
        <w:rPr>
          <w:rFonts w:ascii="Arial" w:cs="Arial" w:eastAsia="Arial" w:hAnsi="Arial"/>
          <w:sz w:val="18"/>
          <w:szCs w:val="18"/>
          <w:color w:val="auto"/>
        </w:rPr>
        <w:t>governance committee is independent under the listing standards of the</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Specific responsibilities of our nominating and corporate governance committee include:</w:t>
      </w:r>
    </w:p>
    <w:p>
      <w:pPr>
        <w:spacing w:after="0" w:line="131" w:lineRule="exact"/>
        <w:rPr>
          <w:sz w:val="20"/>
          <w:szCs w:val="20"/>
          <w:color w:val="auto"/>
        </w:rPr>
      </w:pPr>
    </w:p>
    <w:p>
      <w:pPr>
        <w:ind w:left="1000" w:right="580" w:hanging="547"/>
        <w:spacing w:after="0" w:line="277" w:lineRule="auto"/>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identifying and evaluating candidates, including the nomination of incumbent directors for reelection and nominees recommended by stockholders, to serve on our board of directors;</w:t>
      </w:r>
    </w:p>
    <w:p>
      <w:pPr>
        <w:spacing w:after="0" w:line="75" w:lineRule="exact"/>
        <w:rPr>
          <w:rFonts w:ascii="Arial" w:cs="Arial" w:eastAsia="Arial" w:hAnsi="Arial"/>
          <w:sz w:val="18"/>
          <w:szCs w:val="18"/>
          <w:color w:val="auto"/>
        </w:rPr>
      </w:pPr>
    </w:p>
    <w:p>
      <w:pPr>
        <w:ind w:left="1000" w:hanging="547"/>
        <w:spacing w:after="0" w:line="277" w:lineRule="auto"/>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considering and making recommendations to our board of directors regarding the composition and leadership of our board of directors and its committees;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reviewing, developing, and making recommendations to our board of directors regarding corporate governance guidelines and matters; and</w:t>
      </w:r>
    </w:p>
    <w:p>
      <w:pPr>
        <w:spacing w:after="0" w:line="153" w:lineRule="exact"/>
        <w:rPr>
          <w:rFonts w:ascii="Arial" w:cs="Arial" w:eastAsia="Arial" w:hAnsi="Arial"/>
          <w:sz w:val="16"/>
          <w:szCs w:val="16"/>
          <w:color w:val="auto"/>
        </w:rPr>
      </w:pPr>
    </w:p>
    <w:p>
      <w:pPr>
        <w:ind w:left="1000" w:hanging="547"/>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overseeing periodic evaluations of the board of directors’ performance, including committees of the board of directors.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nominating and corporate governance committee will operate under a written charter, to be effective prior to the effectiveness of the registration</w:t>
      </w:r>
    </w:p>
    <w:p>
      <w:pPr>
        <w:spacing w:after="0" w:line="46" w:lineRule="exact"/>
        <w:rPr>
          <w:sz w:val="20"/>
          <w:szCs w:val="20"/>
          <w:color w:val="auto"/>
        </w:rPr>
      </w:pPr>
    </w:p>
    <w:p>
      <w:pPr>
        <w:spacing w:after="0"/>
        <w:tabs>
          <w:tab w:leader="none" w:pos="8040" w:val="left"/>
        </w:tabs>
        <w:rPr>
          <w:sz w:val="20"/>
          <w:szCs w:val="20"/>
          <w:color w:val="auto"/>
        </w:rPr>
      </w:pPr>
      <w:r>
        <w:rPr>
          <w:rFonts w:ascii="Arial" w:cs="Arial" w:eastAsia="Arial" w:hAnsi="Arial"/>
          <w:sz w:val="18"/>
          <w:szCs w:val="18"/>
          <w:color w:val="auto"/>
        </w:rPr>
        <w:t>statement of which this prospectus forms a part, that satisfies the applicable listing standards of the</w:t>
      </w:r>
      <w:r>
        <w:rPr>
          <w:sz w:val="20"/>
          <w:szCs w:val="20"/>
          <w:color w:val="auto"/>
        </w:rPr>
        <w:tab/>
      </w:r>
      <w:r>
        <w:rPr>
          <w:rFonts w:ascii="Arial" w:cs="Arial" w:eastAsia="Arial" w:hAnsi="Arial"/>
          <w:sz w:val="18"/>
          <w:szCs w:val="18"/>
          <w:color w:val="auto"/>
        </w:rPr>
        <w: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right="140" w:firstLine="449"/>
        <w:spacing w:after="0" w:line="286" w:lineRule="auto"/>
        <w:rPr>
          <w:sz w:val="20"/>
          <w:szCs w:val="20"/>
          <w:color w:val="auto"/>
        </w:rPr>
      </w:pPr>
      <w:r>
        <w:rPr>
          <w:rFonts w:ascii="Arial" w:cs="Arial" w:eastAsia="Arial" w:hAnsi="Arial"/>
          <w:sz w:val="16"/>
          <w:szCs w:val="16"/>
          <w:color w:val="auto"/>
        </w:rPr>
        <w:t>We have adopted a code of business conduct and ethics that will apply to our directors, officers, and employees, including our principal executive officer, principal financial officer, principal accounting officer or controller, or persons performing similar functions. Upon the effectiveness of the registration statement of which this prospectus forms a part, our code of business conduct and ethics will be available under the Corporate Governance section of our website at https://asana.com. In addition, we intend to post on our website all disclosures that are required by law or the listing standards of</w:t>
      </w:r>
    </w:p>
    <w:p>
      <w:pPr>
        <w:spacing w:after="0" w:line="1" w:lineRule="exact"/>
        <w:rPr>
          <w:sz w:val="20"/>
          <w:szCs w:val="20"/>
          <w:color w:val="auto"/>
        </w:rPr>
      </w:pPr>
    </w:p>
    <w:p>
      <w:pPr>
        <w:ind w:right="160"/>
        <w:spacing w:after="0" w:line="323" w:lineRule="auto"/>
        <w:rPr>
          <w:sz w:val="20"/>
          <w:szCs w:val="20"/>
          <w:color w:val="auto"/>
        </w:rPr>
      </w:pPr>
      <w:r>
        <w:rPr>
          <w:rFonts w:ascii="Arial" w:cs="Arial" w:eastAsia="Arial" w:hAnsi="Arial"/>
          <w:sz w:val="16"/>
          <w:szCs w:val="16"/>
          <w:color w:val="auto"/>
        </w:rPr>
        <w:t>the concerning any amendments to, or waivers from, any provision of the code. The reference to our website address does not constitute incorporation by reference of the information contained at or available through our website, and you should not consider it to be a part of this prospectus.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None of the members of the compensation committee is currently or has been at any time one of our officers or employees. None of our executive officers currently serves, or has served during the last year, as a member of the board of directors or compensation committee of any entity that has one or more executive officers serving as a member of our board of directors or compensation committee.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right="760" w:firstLine="449"/>
        <w:spacing w:after="0" w:line="277" w:lineRule="auto"/>
        <w:rPr>
          <w:sz w:val="20"/>
          <w:szCs w:val="20"/>
          <w:color w:val="auto"/>
        </w:rPr>
      </w:pPr>
      <w:r>
        <w:rPr>
          <w:rFonts w:ascii="Arial" w:cs="Arial" w:eastAsia="Arial" w:hAnsi="Arial"/>
          <w:sz w:val="18"/>
          <w:szCs w:val="18"/>
          <w:color w:val="auto"/>
        </w:rPr>
        <w:t>The following table sets forth information regarding the compensation earned or paid to our directors during fiscal 2020, other than Dustin Moskovitz, our Chief Executive Officer, and Justin Rosenstein, who served as our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00"/>
          </w:cols>
          <w:pgMar w:left="320" w:top="459" w:right="3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President until February 2019. Neither Mr. Moskovitz nor Mr. Rosenstein received any additional compensation for service as a director for fiscal 2020. The compensation of Mr. Moskovitz, as a named executive officer, is set forth below under “Executive Compensation—Summary Compensation Table.”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7760" w:type="dxa"/>
            <w:vAlign w:val="bottom"/>
          </w:tcPr>
          <w:p>
            <w:pPr>
              <w:jc w:val="center"/>
              <w:ind w:left="6428"/>
              <w:spacing w:after="0"/>
              <w:rPr>
                <w:sz w:val="20"/>
                <w:szCs w:val="20"/>
                <w:color w:val="auto"/>
              </w:rPr>
            </w:pPr>
            <w:r>
              <w:rPr>
                <w:rFonts w:ascii="Arial" w:cs="Arial" w:eastAsia="Arial" w:hAnsi="Arial"/>
                <w:sz w:val="14"/>
                <w:szCs w:val="14"/>
                <w:b w:val="1"/>
                <w:bCs w:val="1"/>
                <w:color w:val="auto"/>
                <w:w w:val="81"/>
              </w:rPr>
              <w:t>Fees</w:t>
            </w: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116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4"/>
              </w:rPr>
              <w:t>Stock</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7760" w:type="dxa"/>
            <w:vAlign w:val="bottom"/>
          </w:tcPr>
          <w:p>
            <w:pPr>
              <w:jc w:val="center"/>
              <w:ind w:left="6428"/>
              <w:spacing w:after="0" w:line="149" w:lineRule="exact"/>
              <w:rPr>
                <w:sz w:val="20"/>
                <w:szCs w:val="20"/>
                <w:color w:val="auto"/>
              </w:rPr>
            </w:pPr>
            <w:r>
              <w:rPr>
                <w:rFonts w:ascii="Arial" w:cs="Arial" w:eastAsia="Arial" w:hAnsi="Arial"/>
                <w:sz w:val="14"/>
                <w:szCs w:val="14"/>
                <w:b w:val="1"/>
                <w:bCs w:val="1"/>
                <w:color w:val="auto"/>
                <w:w w:val="94"/>
              </w:rPr>
              <w:t>Earned or</w:t>
            </w:r>
          </w:p>
        </w:tc>
        <w:tc>
          <w:tcPr>
            <w:tcW w:w="106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620" w:type="dxa"/>
            <w:vAlign w:val="bottom"/>
            <w:vMerge w:val="restart"/>
          </w:tcPr>
          <w:p>
            <w:pPr>
              <w:ind w:left="3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3"/>
        </w:trPr>
        <w:tc>
          <w:tcPr>
            <w:tcW w:w="380" w:type="dxa"/>
            <w:vAlign w:val="bottom"/>
            <w:tcBorders>
              <w:bottom w:val="single" w:sz="8" w:color="auto"/>
            </w:tcBorders>
            <w:vMerge w:val="continue"/>
          </w:tcPr>
          <w:p>
            <w:pPr>
              <w:spacing w:after="0"/>
              <w:rPr>
                <w:sz w:val="13"/>
                <w:szCs w:val="13"/>
                <w:color w:val="auto"/>
              </w:rPr>
            </w:pPr>
          </w:p>
        </w:tc>
        <w:tc>
          <w:tcPr>
            <w:tcW w:w="7760" w:type="dxa"/>
            <w:vAlign w:val="bottom"/>
          </w:tcPr>
          <w:p>
            <w:pPr>
              <w:jc w:val="center"/>
              <w:ind w:left="6428"/>
              <w:spacing w:after="0" w:line="158" w:lineRule="exact"/>
              <w:rPr>
                <w:sz w:val="20"/>
                <w:szCs w:val="20"/>
                <w:color w:val="auto"/>
              </w:rPr>
            </w:pPr>
            <w:r>
              <w:rPr>
                <w:rFonts w:ascii="Arial" w:cs="Arial" w:eastAsia="Arial" w:hAnsi="Arial"/>
                <w:sz w:val="14"/>
                <w:szCs w:val="14"/>
                <w:b w:val="1"/>
                <w:bCs w:val="1"/>
                <w:color w:val="auto"/>
                <w:w w:val="92"/>
              </w:rPr>
              <w:t>Paid in Cash</w:t>
            </w:r>
          </w:p>
        </w:tc>
        <w:tc>
          <w:tcPr>
            <w:tcW w:w="1060" w:type="dxa"/>
            <w:vAlign w:val="bottom"/>
          </w:tcPr>
          <w:p>
            <w:pPr>
              <w:jc w:val="center"/>
              <w:spacing w:after="0" w:line="158" w:lineRule="exact"/>
              <w:rPr>
                <w:sz w:val="20"/>
                <w:szCs w:val="20"/>
                <w:color w:val="auto"/>
              </w:rPr>
            </w:pPr>
            <w:r>
              <w:rPr>
                <w:rFonts w:ascii="Arial" w:cs="Arial" w:eastAsia="Arial" w:hAnsi="Arial"/>
                <w:sz w:val="14"/>
                <w:szCs w:val="14"/>
                <w:b w:val="1"/>
                <w:bCs w:val="1"/>
                <w:u w:val="single" w:color="auto"/>
                <w:color w:val="auto"/>
                <w:w w:val="94"/>
              </w:rPr>
              <w:t>Awards</w:t>
            </w:r>
            <w:r>
              <w:rPr>
                <w:rFonts w:ascii="Arial" w:cs="Arial" w:eastAsia="Arial" w:hAnsi="Arial"/>
                <w:sz w:val="12"/>
                <w:szCs w:val="12"/>
                <w:b w:val="1"/>
                <w:bCs w:val="1"/>
                <w:u w:val="single" w:color="auto"/>
                <w:color w:val="auto"/>
                <w:w w:val="94"/>
              </w:rPr>
              <w:t>(1)</w:t>
            </w:r>
          </w:p>
        </w:tc>
        <w:tc>
          <w:tcPr>
            <w:tcW w:w="1160" w:type="dxa"/>
            <w:vAlign w:val="bottom"/>
          </w:tcPr>
          <w:p>
            <w:pPr>
              <w:jc w:val="center"/>
              <w:ind w:right="8"/>
              <w:spacing w:after="0" w:line="158" w:lineRule="exact"/>
              <w:rPr>
                <w:sz w:val="20"/>
                <w:szCs w:val="20"/>
                <w:color w:val="auto"/>
              </w:rPr>
            </w:pPr>
            <w:r>
              <w:rPr>
                <w:rFonts w:ascii="Arial" w:cs="Arial" w:eastAsia="Arial" w:hAnsi="Arial"/>
                <w:sz w:val="14"/>
                <w:szCs w:val="14"/>
                <w:b w:val="1"/>
                <w:bCs w:val="1"/>
                <w:u w:val="single" w:color="auto"/>
                <w:color w:val="auto"/>
                <w:w w:val="91"/>
              </w:rPr>
              <w:t>Awards</w:t>
            </w:r>
            <w:r>
              <w:rPr>
                <w:rFonts w:ascii="Arial" w:cs="Arial" w:eastAsia="Arial" w:hAnsi="Arial"/>
                <w:sz w:val="12"/>
                <w:szCs w:val="12"/>
                <w:b w:val="1"/>
                <w:bCs w:val="1"/>
                <w:u w:val="single" w:color="auto"/>
                <w:color w:val="auto"/>
                <w:w w:val="91"/>
              </w:rPr>
              <w:t>(1)</w:t>
            </w: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460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Sydney Carey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Matthew Cohler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Adam D’Angelo</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Colin le Duc</w:t>
      </w: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371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Anne Raimondi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Lorrie Norrington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886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9" w:lineRule="exact"/>
        <w:rPr>
          <w:sz w:val="20"/>
          <w:szCs w:val="20"/>
          <w:color w:val="auto"/>
        </w:rPr>
      </w:pPr>
    </w:p>
    <w:p>
      <w:pPr>
        <w:ind w:left="460" w:right="220" w:hanging="452"/>
        <w:spacing w:after="0" w:line="231" w:lineRule="auto"/>
        <w:tabs>
          <w:tab w:leader="none" w:pos="4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amounts reported in these columns represent the aggregate grant-date fair value of equity awards granted under our Amended and Restated 2012 Stock Plan to our directors during fiscal 2020, as computed in accordance with FASB ASC Topic 718. The assumptions used in calculating the dollar amount recognized for financial statement reporting purposes of the equity awards reported in these columns are set forth in Note 9 to our consolidated financial statements included elsewhere in this prospectus. Note that the amounts reported in these columns reflect the accounting cost for these equity awards and do not correspond to the actual economic value that may be received by our directors from the equity awards. As of January 31, 2020, our non-employee directors held the following equity awards: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340" w:type="dxa"/>
            <w:vAlign w:val="bottom"/>
          </w:tcPr>
          <w:p>
            <w:pPr>
              <w:spacing w:after="0"/>
              <w:rPr>
                <w:sz w:val="13"/>
                <w:szCs w:val="13"/>
                <w:color w:val="auto"/>
              </w:rPr>
            </w:pPr>
          </w:p>
        </w:tc>
        <w:tc>
          <w:tcPr>
            <w:tcW w:w="9460" w:type="dxa"/>
            <w:vAlign w:val="bottom"/>
          </w:tcPr>
          <w:p>
            <w:pPr>
              <w:spacing w:after="0"/>
              <w:rPr>
                <w:sz w:val="13"/>
                <w:szCs w:val="13"/>
                <w:color w:val="auto"/>
              </w:rPr>
            </w:pPr>
          </w:p>
        </w:tc>
        <w:tc>
          <w:tcPr>
            <w:tcW w:w="98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5"/>
              </w:rPr>
              <w:t>Shares Subject to</w:t>
            </w:r>
          </w:p>
        </w:tc>
        <w:tc>
          <w:tcPr>
            <w:tcW w:w="0" w:type="dxa"/>
            <w:vAlign w:val="bottom"/>
          </w:tcPr>
          <w:p>
            <w:pPr>
              <w:spacing w:after="0"/>
              <w:rPr>
                <w:sz w:val="1"/>
                <w:szCs w:val="1"/>
                <w:color w:val="auto"/>
              </w:rPr>
            </w:pPr>
          </w:p>
        </w:tc>
      </w:tr>
      <w:tr>
        <w:trPr>
          <w:trHeight w:val="135"/>
        </w:trPr>
        <w:tc>
          <w:tcPr>
            <w:tcW w:w="340" w:type="dxa"/>
            <w:vAlign w:val="bottom"/>
            <w:vMerge w:val="restart"/>
          </w:tcPr>
          <w:p>
            <w:pPr>
              <w:spacing w:after="0"/>
              <w:rPr>
                <w:sz w:val="20"/>
                <w:szCs w:val="20"/>
                <w:color w:val="auto"/>
              </w:rPr>
            </w:pPr>
            <w:r>
              <w:rPr>
                <w:rFonts w:ascii="Arial" w:cs="Arial" w:eastAsia="Arial" w:hAnsi="Arial"/>
                <w:sz w:val="13"/>
                <w:szCs w:val="13"/>
                <w:b w:val="1"/>
                <w:bCs w:val="1"/>
                <w:color w:val="auto"/>
                <w:w w:val="90"/>
              </w:rPr>
              <w:t>Name</w:t>
            </w:r>
          </w:p>
        </w:tc>
        <w:tc>
          <w:tcPr>
            <w:tcW w:w="9460" w:type="dxa"/>
            <w:vAlign w:val="bottom"/>
            <w:vMerge w:val="restart"/>
          </w:tcPr>
          <w:p>
            <w:pPr>
              <w:spacing w:after="0"/>
              <w:rPr>
                <w:sz w:val="11"/>
                <w:szCs w:val="11"/>
                <w:color w:val="auto"/>
              </w:rPr>
            </w:pPr>
          </w:p>
        </w:tc>
        <w:tc>
          <w:tcPr>
            <w:tcW w:w="98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6"/>
              </w:rPr>
              <w:t>Outstanding</w:t>
            </w:r>
          </w:p>
        </w:tc>
        <w:tc>
          <w:tcPr>
            <w:tcW w:w="0" w:type="dxa"/>
            <w:vAlign w:val="bottom"/>
          </w:tcPr>
          <w:p>
            <w:pPr>
              <w:spacing w:after="0"/>
              <w:rPr>
                <w:sz w:val="1"/>
                <w:szCs w:val="1"/>
                <w:color w:val="auto"/>
              </w:rPr>
            </w:pPr>
          </w:p>
        </w:tc>
      </w:tr>
      <w:tr>
        <w:trPr>
          <w:trHeight w:val="160"/>
        </w:trPr>
        <w:tc>
          <w:tcPr>
            <w:tcW w:w="340" w:type="dxa"/>
            <w:vAlign w:val="bottom"/>
            <w:tcBorders>
              <w:bottom w:val="single" w:sz="8" w:color="auto"/>
            </w:tcBorders>
            <w:vMerge w:val="continue"/>
          </w:tcPr>
          <w:p>
            <w:pPr>
              <w:spacing w:after="0"/>
              <w:rPr>
                <w:sz w:val="13"/>
                <w:szCs w:val="13"/>
                <w:color w:val="auto"/>
              </w:rPr>
            </w:pPr>
          </w:p>
        </w:tc>
        <w:tc>
          <w:tcPr>
            <w:tcW w:w="9460" w:type="dxa"/>
            <w:vAlign w:val="bottom"/>
            <w:vMerge w:val="continue"/>
          </w:tcPr>
          <w:p>
            <w:pPr>
              <w:spacing w:after="0"/>
              <w:rPr>
                <w:sz w:val="13"/>
                <w:szCs w:val="13"/>
                <w:color w:val="auto"/>
              </w:rPr>
            </w:pPr>
          </w:p>
        </w:tc>
        <w:tc>
          <w:tcPr>
            <w:tcW w:w="980" w:type="dxa"/>
            <w:vAlign w:val="bottom"/>
            <w:gridSpan w:val="2"/>
          </w:tcPr>
          <w:p>
            <w:pPr>
              <w:jc w:val="center"/>
              <w:ind w:right="40"/>
              <w:spacing w:after="0" w:line="140" w:lineRule="exact"/>
              <w:rPr>
                <w:sz w:val="20"/>
                <w:szCs w:val="20"/>
                <w:color w:val="auto"/>
              </w:rPr>
            </w:pPr>
            <w:r>
              <w:rPr>
                <w:rFonts w:ascii="Arial" w:cs="Arial" w:eastAsia="Arial" w:hAnsi="Arial"/>
                <w:sz w:val="13"/>
                <w:szCs w:val="13"/>
                <w:b w:val="1"/>
                <w:bCs w:val="1"/>
                <w:color w:val="auto"/>
                <w:w w:val="85"/>
              </w:rPr>
              <w:t>Options</w:t>
            </w:r>
          </w:p>
        </w:tc>
        <w:tc>
          <w:tcPr>
            <w:tcW w:w="0" w:type="dxa"/>
            <w:vAlign w:val="bottom"/>
          </w:tcPr>
          <w:p>
            <w:pPr>
              <w:spacing w:after="0"/>
              <w:rPr>
                <w:sz w:val="1"/>
                <w:szCs w:val="1"/>
                <w:color w:val="auto"/>
              </w:rPr>
            </w:pPr>
          </w:p>
        </w:tc>
      </w:tr>
      <w:tr>
        <w:trPr>
          <w:trHeight w:val="135"/>
        </w:trPr>
        <w:tc>
          <w:tcPr>
            <w:tcW w:w="9800" w:type="dxa"/>
            <w:vAlign w:val="bottom"/>
            <w:tcBorders>
              <w:top w:val="single" w:sz="8" w:color="CCEEFF"/>
            </w:tcBorders>
            <w:gridSpan w:val="2"/>
            <w:shd w:val="clear" w:color="auto" w:fill="CCEEFF"/>
          </w:tcPr>
          <w:p>
            <w:pPr>
              <w:spacing w:after="0" w:line="135" w:lineRule="exact"/>
              <w:rPr>
                <w:sz w:val="20"/>
                <w:szCs w:val="20"/>
                <w:color w:val="auto"/>
              </w:rPr>
            </w:pPr>
            <w:r>
              <w:rPr>
                <w:rFonts w:ascii="Arial" w:cs="Arial" w:eastAsia="Arial" w:hAnsi="Arial"/>
                <w:sz w:val="14"/>
                <w:szCs w:val="14"/>
                <w:color w:val="auto"/>
              </w:rPr>
              <w:t>Sydney Carey</w:t>
            </w:r>
          </w:p>
        </w:tc>
        <w:tc>
          <w:tcPr>
            <w:tcW w:w="94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50,000</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800" w:type="dxa"/>
            <w:vAlign w:val="bottom"/>
            <w:gridSpan w:val="2"/>
          </w:tcPr>
          <w:p>
            <w:pPr>
              <w:spacing w:after="0" w:line="149" w:lineRule="exact"/>
              <w:rPr>
                <w:sz w:val="20"/>
                <w:szCs w:val="20"/>
                <w:color w:val="auto"/>
              </w:rPr>
            </w:pPr>
            <w:r>
              <w:rPr>
                <w:rFonts w:ascii="Arial" w:cs="Arial" w:eastAsia="Arial" w:hAnsi="Arial"/>
                <w:sz w:val="14"/>
                <w:szCs w:val="14"/>
                <w:color w:val="auto"/>
              </w:rPr>
              <w:t>Matthew Cohler</w:t>
            </w:r>
          </w:p>
        </w:tc>
        <w:tc>
          <w:tcPr>
            <w:tcW w:w="9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9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Adam D’Angelo</w:t>
            </w: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9800" w:type="dxa"/>
            <w:vAlign w:val="bottom"/>
            <w:gridSpan w:val="2"/>
          </w:tcPr>
          <w:p>
            <w:pPr>
              <w:spacing w:after="0" w:line="149" w:lineRule="exact"/>
              <w:rPr>
                <w:sz w:val="20"/>
                <w:szCs w:val="20"/>
                <w:color w:val="auto"/>
              </w:rPr>
            </w:pPr>
            <w:r>
              <w:rPr>
                <w:rFonts w:ascii="Arial" w:cs="Arial" w:eastAsia="Arial" w:hAnsi="Arial"/>
                <w:sz w:val="14"/>
                <w:szCs w:val="14"/>
                <w:color w:val="auto"/>
              </w:rPr>
              <w:t>Colin le Duc</w:t>
            </w:r>
            <w:r>
              <w:rPr>
                <w:rFonts w:ascii="Arial" w:cs="Arial" w:eastAsia="Arial" w:hAnsi="Arial"/>
                <w:sz w:val="12"/>
                <w:szCs w:val="12"/>
                <w:color w:val="auto"/>
              </w:rPr>
              <w:t>(2)</w:t>
            </w:r>
          </w:p>
        </w:tc>
        <w:tc>
          <w:tcPr>
            <w:tcW w:w="9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9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Anne Raimondi</w:t>
            </w: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9800" w:type="dxa"/>
            <w:vAlign w:val="bottom"/>
            <w:gridSpan w:val="2"/>
          </w:tcPr>
          <w:p>
            <w:pPr>
              <w:spacing w:after="0"/>
              <w:rPr>
                <w:sz w:val="20"/>
                <w:szCs w:val="20"/>
                <w:color w:val="auto"/>
              </w:rPr>
            </w:pPr>
            <w:r>
              <w:rPr>
                <w:rFonts w:ascii="Arial" w:cs="Arial" w:eastAsia="Arial" w:hAnsi="Arial"/>
                <w:sz w:val="14"/>
                <w:szCs w:val="14"/>
                <w:color w:val="auto"/>
              </w:rPr>
              <w:t>Lorrie Norrington</w:t>
            </w:r>
          </w:p>
        </w:tc>
        <w:tc>
          <w:tcPr>
            <w:tcW w:w="9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880" w:hanging="378"/>
        <w:spacing w:after="0"/>
        <w:tabs>
          <w:tab w:leader="none" w:pos="880" w:val="left"/>
        </w:tabs>
        <w:numPr>
          <w:ilvl w:val="0"/>
          <w:numId w:val="64"/>
        </w:numPr>
        <w:rPr>
          <w:rFonts w:ascii="Arial" w:cs="Arial" w:eastAsia="Arial" w:hAnsi="Arial"/>
          <w:sz w:val="14"/>
          <w:szCs w:val="14"/>
          <w:color w:val="auto"/>
        </w:rPr>
      </w:pPr>
      <w:r>
        <w:rPr>
          <w:rFonts w:ascii="Arial" w:cs="Arial" w:eastAsia="Arial" w:hAnsi="Arial"/>
          <w:sz w:val="14"/>
          <w:szCs w:val="14"/>
          <w:color w:val="auto"/>
        </w:rPr>
        <w:t>Mr. le Duc resigned from our board of directors in November 2019.</w:t>
      </w:r>
    </w:p>
    <w:p>
      <w:pPr>
        <w:spacing w:after="0" w:line="208" w:lineRule="exact"/>
        <w:rPr>
          <w:sz w:val="20"/>
          <w:szCs w:val="20"/>
          <w:color w:val="auto"/>
        </w:rPr>
      </w:pPr>
    </w:p>
    <w:p>
      <w:pPr>
        <w:ind w:right="80" w:firstLine="449"/>
        <w:spacing w:after="0" w:line="296" w:lineRule="auto"/>
        <w:rPr>
          <w:sz w:val="20"/>
          <w:szCs w:val="20"/>
          <w:color w:val="auto"/>
        </w:rPr>
      </w:pPr>
      <w:r>
        <w:rPr>
          <w:rFonts w:ascii="Arial" w:cs="Arial" w:eastAsia="Arial" w:hAnsi="Arial"/>
          <w:sz w:val="16"/>
          <w:szCs w:val="16"/>
          <w:color w:val="auto"/>
        </w:rPr>
        <w:t>Prior to the effectiveness of the registration statement of which this prospectus forms a part, we did not have a formal policy with respect to compensation payable to our non-employee directors for service as directors. From time to time, we have granted equity awards to certain non-employee directors for their service on our board of directors. We also have reimbursed our directors for expenses associated with attending meetings of our board of directors and committees of our board of directors. We anticipate adopting a formal compensation policy for our non-employee directors to provide cash and equity compensation to them following effectiveness of the registration statement of which this prospectus forms a part.</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320" w:top="459" w:right="3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jc w:val="both"/>
        <w:ind w:right="460" w:firstLine="449"/>
        <w:spacing w:after="0" w:line="342" w:lineRule="auto"/>
        <w:rPr>
          <w:sz w:val="20"/>
          <w:szCs w:val="20"/>
          <w:color w:val="auto"/>
        </w:rPr>
      </w:pPr>
      <w:r>
        <w:rPr>
          <w:rFonts w:ascii="Arial" w:cs="Arial" w:eastAsia="Arial" w:hAnsi="Arial"/>
          <w:sz w:val="16"/>
          <w:szCs w:val="16"/>
          <w:color w:val="auto"/>
        </w:rPr>
        <w:t>The following table provides information concerning all plan and non-plan compensation awarded to, earned by, or paid to our Chief Executive Officer and each of our two other most highly compensated officers, whom we collectively refer to as “named executive officers,” during fiscal 2020.</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7"/>
              </w:rPr>
              <w:t>Option</w:t>
            </w:r>
          </w:p>
        </w:tc>
        <w:tc>
          <w:tcPr>
            <w:tcW w:w="14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6"/>
              </w:rPr>
              <w:t>Non-Equity</w:t>
            </w:r>
          </w:p>
        </w:tc>
        <w:tc>
          <w:tcPr>
            <w:tcW w:w="144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rPr>
              <w:t>All Other</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8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 and Principal Position</w:t>
            </w:r>
          </w:p>
        </w:tc>
        <w:tc>
          <w:tcPr>
            <w:tcW w:w="1680" w:type="dxa"/>
            <w:vAlign w:val="bottom"/>
          </w:tcPr>
          <w:p>
            <w:pPr>
              <w:spacing w:after="0"/>
              <w:rPr>
                <w:sz w:val="12"/>
                <w:szCs w:val="12"/>
                <w:color w:val="auto"/>
              </w:rPr>
            </w:pPr>
          </w:p>
        </w:tc>
        <w:tc>
          <w:tcPr>
            <w:tcW w:w="12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89"/>
              </w:rPr>
              <w:t>Fiscal Year</w:t>
            </w: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Salary</w:t>
            </w: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Bonus</w:t>
            </w:r>
          </w:p>
        </w:tc>
        <w:tc>
          <w:tcPr>
            <w:tcW w:w="1160" w:type="dxa"/>
            <w:vAlign w:val="bottom"/>
            <w:gridSpan w:val="2"/>
            <w:vMerge w:val="continue"/>
          </w:tcPr>
          <w:p>
            <w:pPr>
              <w:spacing w:after="0"/>
              <w:rPr>
                <w:sz w:val="12"/>
                <w:szCs w:val="12"/>
                <w:color w:val="auto"/>
              </w:rPr>
            </w:pPr>
          </w:p>
        </w:tc>
        <w:tc>
          <w:tcPr>
            <w:tcW w:w="14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440" w:type="dxa"/>
            <w:vAlign w:val="bottom"/>
            <w:gridSpan w:val="2"/>
            <w:vMerge w:val="continue"/>
          </w:tcPr>
          <w:p>
            <w:pPr>
              <w:spacing w:after="0"/>
              <w:rPr>
                <w:sz w:val="12"/>
                <w:szCs w:val="12"/>
                <w:color w:val="auto"/>
              </w:rPr>
            </w:pPr>
          </w:p>
        </w:tc>
        <w:tc>
          <w:tcPr>
            <w:tcW w:w="320" w:type="dxa"/>
            <w:vAlign w:val="bottom"/>
            <w:vMerge w:val="restart"/>
          </w:tcPr>
          <w:p>
            <w:pPr>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8"/>
        </w:trPr>
        <w:tc>
          <w:tcPr>
            <w:tcW w:w="1780" w:type="dxa"/>
            <w:vAlign w:val="bottom"/>
            <w:tcBorders>
              <w:bottom w:val="single" w:sz="8" w:color="auto"/>
            </w:tcBorders>
            <w:vMerge w:val="continue"/>
          </w:tcPr>
          <w:p>
            <w:pPr>
              <w:spacing w:after="0"/>
              <w:rPr>
                <w:sz w:val="15"/>
                <w:szCs w:val="15"/>
                <w:color w:val="auto"/>
              </w:rPr>
            </w:pPr>
          </w:p>
        </w:tc>
        <w:tc>
          <w:tcPr>
            <w:tcW w:w="168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160" w:type="dxa"/>
            <w:vAlign w:val="bottom"/>
            <w:gridSpan w:val="2"/>
          </w:tcPr>
          <w:p>
            <w:pPr>
              <w:jc w:val="center"/>
              <w:ind w:right="560"/>
              <w:spacing w:after="0" w:line="158" w:lineRule="exact"/>
              <w:rPr>
                <w:sz w:val="20"/>
                <w:szCs w:val="20"/>
                <w:color w:val="auto"/>
              </w:rPr>
            </w:pPr>
            <w:r>
              <w:rPr>
                <w:rFonts w:ascii="Arial" w:cs="Arial" w:eastAsia="Arial" w:hAnsi="Arial"/>
                <w:sz w:val="14"/>
                <w:szCs w:val="14"/>
                <w:b w:val="1"/>
                <w:bCs w:val="1"/>
                <w:color w:val="auto"/>
                <w:w w:val="91"/>
              </w:rPr>
              <w:t>Awards</w:t>
            </w:r>
            <w:r>
              <w:rPr>
                <w:rFonts w:ascii="Arial" w:cs="Arial" w:eastAsia="Arial" w:hAnsi="Arial"/>
                <w:sz w:val="12"/>
                <w:szCs w:val="12"/>
                <w:b w:val="1"/>
                <w:bCs w:val="1"/>
                <w:color w:val="auto"/>
                <w:w w:val="91"/>
              </w:rPr>
              <w:t>(1)</w:t>
            </w:r>
          </w:p>
        </w:tc>
        <w:tc>
          <w:tcPr>
            <w:tcW w:w="1460" w:type="dxa"/>
            <w:vAlign w:val="bottom"/>
            <w:gridSpan w:val="2"/>
          </w:tcPr>
          <w:p>
            <w:pPr>
              <w:jc w:val="center"/>
              <w:ind w:right="560"/>
              <w:spacing w:after="0" w:line="158" w:lineRule="exact"/>
              <w:rPr>
                <w:sz w:val="20"/>
                <w:szCs w:val="20"/>
                <w:color w:val="auto"/>
              </w:rPr>
            </w:pPr>
            <w:r>
              <w:rPr>
                <w:rFonts w:ascii="Arial" w:cs="Arial" w:eastAsia="Arial" w:hAnsi="Arial"/>
                <w:sz w:val="14"/>
                <w:szCs w:val="14"/>
                <w:b w:val="1"/>
                <w:bCs w:val="1"/>
                <w:color w:val="auto"/>
                <w:w w:val="92"/>
              </w:rPr>
              <w:t>Compensation</w:t>
            </w:r>
          </w:p>
        </w:tc>
        <w:tc>
          <w:tcPr>
            <w:tcW w:w="1440" w:type="dxa"/>
            <w:vAlign w:val="bottom"/>
            <w:gridSpan w:val="2"/>
          </w:tcPr>
          <w:p>
            <w:pPr>
              <w:jc w:val="center"/>
              <w:ind w:right="560"/>
              <w:spacing w:after="0" w:line="158" w:lineRule="exact"/>
              <w:rPr>
                <w:sz w:val="20"/>
                <w:szCs w:val="20"/>
                <w:color w:val="auto"/>
              </w:rPr>
            </w:pPr>
            <w:r>
              <w:rPr>
                <w:rFonts w:ascii="Arial" w:cs="Arial" w:eastAsia="Arial" w:hAnsi="Arial"/>
                <w:sz w:val="14"/>
                <w:szCs w:val="14"/>
                <w:b w:val="1"/>
                <w:bCs w:val="1"/>
                <w:color w:val="auto"/>
                <w:w w:val="90"/>
              </w:rPr>
              <w:t>Compensation</w:t>
            </w:r>
          </w:p>
        </w:tc>
        <w:tc>
          <w:tcPr>
            <w:tcW w:w="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780" w:type="dxa"/>
            <w:vAlign w:val="bottom"/>
          </w:tcPr>
          <w:p>
            <w:pPr>
              <w:spacing w:after="0" w:line="191" w:lineRule="exact"/>
              <w:rPr>
                <w:sz w:val="20"/>
                <w:szCs w:val="20"/>
                <w:color w:val="auto"/>
              </w:rPr>
            </w:pPr>
            <w:r>
              <w:rPr>
                <w:rFonts w:ascii="Arial" w:cs="Arial" w:eastAsia="Arial" w:hAnsi="Arial"/>
                <w:sz w:val="18"/>
                <w:szCs w:val="18"/>
                <w:color w:val="auto"/>
              </w:rPr>
              <w:t>Dustin Moskovitz</w:t>
            </w:r>
          </w:p>
        </w:tc>
        <w:tc>
          <w:tcPr>
            <w:tcW w:w="1680" w:type="dxa"/>
            <w:vAlign w:val="bottom"/>
          </w:tcPr>
          <w:p>
            <w:pPr>
              <w:spacing w:after="0"/>
              <w:rPr>
                <w:sz w:val="16"/>
                <w:szCs w:val="16"/>
                <w:color w:val="auto"/>
              </w:rPr>
            </w:pPr>
          </w:p>
        </w:tc>
        <w:tc>
          <w:tcPr>
            <w:tcW w:w="68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rPr>
              <w:t>2020</w:t>
            </w:r>
          </w:p>
        </w:tc>
        <w:tc>
          <w:tcPr>
            <w:tcW w:w="56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4203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42037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i w:val="1"/>
          <w:iCs w:val="1"/>
          <w:color w:val="auto"/>
        </w:rPr>
        <w:t>President, Chief Executive Officer,</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and Chair</w:t>
      </w:r>
    </w:p>
    <w:p>
      <w:pPr>
        <w:spacing w:after="0" w:line="116"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2020</w:t>
      </w:r>
    </w:p>
    <w:p>
      <w:pPr>
        <w:spacing w:after="0" w:line="117"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886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74" w:lineRule="exact"/>
        <w:rPr>
          <w:sz w:val="20"/>
          <w:szCs w:val="20"/>
          <w:color w:val="auto"/>
        </w:rPr>
      </w:pPr>
    </w:p>
    <w:p>
      <w:pPr>
        <w:ind w:left="460" w:right="20" w:hanging="452"/>
        <w:spacing w:after="0" w:line="231" w:lineRule="auto"/>
        <w:tabs>
          <w:tab w:leader="none" w:pos="4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amounts reported in this column represent the aggregate grant date fair value of the stock options granted under our Amended and Restated 2012 Stock Plan to our named executive officers in fiscal 2020 as computed in accordance with FASB ASC Topic 718. The assumptions used in calculating the dollar amount recognized for financial statement reporting purposes of the equity awards reported in this column are set forth in Note 9 to our consolidated financial statements included elsewhere in this prospectus. Note that the amounts reported in this column reflect the accounting value for these equity awards and may not correspond to the actual economic value that may be received by our named executive officers from the equity awards.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Year-End Table</w:t>
      </w:r>
    </w:p>
    <w:p>
      <w:pPr>
        <w:spacing w:after="0" w:line="121" w:lineRule="exact"/>
        <w:rPr>
          <w:sz w:val="20"/>
          <w:szCs w:val="20"/>
          <w:color w:val="auto"/>
        </w:rPr>
      </w:pPr>
    </w:p>
    <w:p>
      <w:pPr>
        <w:ind w:right="560" w:firstLine="449"/>
        <w:spacing w:after="0" w:line="277" w:lineRule="auto"/>
        <w:rPr>
          <w:sz w:val="20"/>
          <w:szCs w:val="20"/>
          <w:color w:val="auto"/>
        </w:rPr>
      </w:pPr>
      <w:r>
        <w:rPr>
          <w:rFonts w:ascii="Arial" w:cs="Arial" w:eastAsia="Arial" w:hAnsi="Arial"/>
          <w:sz w:val="18"/>
          <w:szCs w:val="18"/>
          <w:color w:val="auto"/>
        </w:rPr>
        <w:t>The following table provides information regarding the outstanding stock option awards and RSUs held by our named executive officers as of January 31, 2020.</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2"/>
          </w:tcPr>
          <w:p>
            <w:pPr>
              <w:ind w:left="1060"/>
              <w:spacing w:after="0"/>
              <w:rPr>
                <w:sz w:val="20"/>
                <w:szCs w:val="20"/>
                <w:color w:val="auto"/>
              </w:rPr>
            </w:pPr>
            <w:r>
              <w:rPr>
                <w:rFonts w:ascii="Arial" w:cs="Arial" w:eastAsia="Arial" w:hAnsi="Arial"/>
                <w:sz w:val="14"/>
                <w:szCs w:val="14"/>
                <w:b w:val="1"/>
                <w:bCs w:val="1"/>
                <w:color w:val="auto"/>
                <w:w w:val="94"/>
              </w:rPr>
              <w:t>Option Awards</w:t>
            </w:r>
          </w:p>
        </w:tc>
        <w:tc>
          <w:tcPr>
            <w:tcW w:w="8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2020" w:type="dxa"/>
            <w:vAlign w:val="bottom"/>
            <w:tcBorders>
              <w:bottom w:val="single" w:sz="8" w:color="auto"/>
            </w:tcBorders>
            <w:gridSpan w:val="2"/>
          </w:tcPr>
          <w:p>
            <w:pPr>
              <w:ind w:left="58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19"/>
        </w:trPr>
        <w:tc>
          <w:tcPr>
            <w:tcW w:w="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2820" w:type="dxa"/>
            <w:vAlign w:val="bottom"/>
            <w:gridSpan w:val="3"/>
            <w:vMerge w:val="restart"/>
          </w:tcPr>
          <w:p>
            <w:pPr>
              <w:jc w:val="center"/>
              <w:ind w:right="600"/>
              <w:spacing w:after="0"/>
              <w:rPr>
                <w:sz w:val="20"/>
                <w:szCs w:val="20"/>
                <w:color w:val="auto"/>
              </w:rPr>
            </w:pPr>
            <w:r>
              <w:rPr>
                <w:rFonts w:ascii="Arial" w:cs="Arial" w:eastAsia="Arial" w:hAnsi="Arial"/>
                <w:sz w:val="14"/>
                <w:szCs w:val="14"/>
                <w:b w:val="1"/>
                <w:bCs w:val="1"/>
                <w:color w:val="auto"/>
                <w:w w:val="92"/>
              </w:rPr>
              <w:t>Number of Securities</w:t>
            </w:r>
          </w:p>
        </w:tc>
        <w:tc>
          <w:tcPr>
            <w:tcW w:w="8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jc w:val="center"/>
              <w:ind w:left="250"/>
              <w:spacing w:after="0" w:line="119" w:lineRule="exact"/>
              <w:rPr>
                <w:sz w:val="20"/>
                <w:szCs w:val="20"/>
                <w:color w:val="auto"/>
              </w:rPr>
            </w:pPr>
            <w:r>
              <w:rPr>
                <w:rFonts w:ascii="Arial" w:cs="Arial" w:eastAsia="Arial" w:hAnsi="Arial"/>
                <w:sz w:val="13"/>
                <w:szCs w:val="13"/>
                <w:b w:val="1"/>
                <w:bCs w:val="1"/>
                <w:color w:val="auto"/>
              </w:rPr>
              <w:t>Market</w:t>
            </w:r>
          </w:p>
        </w:tc>
        <w:tc>
          <w:tcPr>
            <w:tcW w:w="0" w:type="dxa"/>
            <w:vAlign w:val="bottom"/>
          </w:tcPr>
          <w:p>
            <w:pPr>
              <w:spacing w:after="0"/>
              <w:rPr>
                <w:sz w:val="1"/>
                <w:szCs w:val="1"/>
                <w:color w:val="auto"/>
              </w:rPr>
            </w:pPr>
          </w:p>
        </w:tc>
      </w:tr>
      <w:tr>
        <w:trPr>
          <w:trHeight w:val="94"/>
        </w:trPr>
        <w:tc>
          <w:tcPr>
            <w:tcW w:w="380" w:type="dxa"/>
            <w:vAlign w:val="bottom"/>
          </w:tcPr>
          <w:p>
            <w:pPr>
              <w:spacing w:after="0"/>
              <w:rPr>
                <w:sz w:val="8"/>
                <w:szCs w:val="8"/>
                <w:color w:val="auto"/>
              </w:rPr>
            </w:pPr>
          </w:p>
        </w:tc>
        <w:tc>
          <w:tcPr>
            <w:tcW w:w="3520" w:type="dxa"/>
            <w:vAlign w:val="bottom"/>
          </w:tcPr>
          <w:p>
            <w:pPr>
              <w:spacing w:after="0"/>
              <w:rPr>
                <w:sz w:val="8"/>
                <w:szCs w:val="8"/>
                <w:color w:val="auto"/>
              </w:rPr>
            </w:pPr>
          </w:p>
        </w:tc>
        <w:tc>
          <w:tcPr>
            <w:tcW w:w="2820" w:type="dxa"/>
            <w:vAlign w:val="bottom"/>
            <w:gridSpan w:val="3"/>
            <w:vMerge w:val="continue"/>
          </w:tcPr>
          <w:p>
            <w:pPr>
              <w:spacing w:after="0"/>
              <w:rPr>
                <w:sz w:val="8"/>
                <w:szCs w:val="8"/>
                <w:color w:val="auto"/>
              </w:rPr>
            </w:pPr>
          </w:p>
        </w:tc>
        <w:tc>
          <w:tcPr>
            <w:tcW w:w="8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0" w:type="dxa"/>
            <w:vAlign w:val="bottom"/>
            <w:vMerge w:val="restart"/>
          </w:tcPr>
          <w:p>
            <w:pPr>
              <w:jc w:val="center"/>
              <w:ind w:right="229"/>
              <w:spacing w:after="0" w:line="149" w:lineRule="exact"/>
              <w:rPr>
                <w:sz w:val="20"/>
                <w:szCs w:val="20"/>
                <w:color w:val="auto"/>
              </w:rPr>
            </w:pPr>
            <w:r>
              <w:rPr>
                <w:rFonts w:ascii="Arial" w:cs="Arial" w:eastAsia="Arial" w:hAnsi="Arial"/>
                <w:sz w:val="14"/>
                <w:szCs w:val="14"/>
                <w:b w:val="1"/>
                <w:bCs w:val="1"/>
                <w:color w:val="auto"/>
                <w:w w:val="94"/>
              </w:rPr>
              <w:t>Number of</w:t>
            </w:r>
          </w:p>
        </w:tc>
        <w:tc>
          <w:tcPr>
            <w:tcW w:w="1020" w:type="dxa"/>
            <w:vAlign w:val="bottom"/>
            <w:vMerge w:val="restart"/>
          </w:tcPr>
          <w:p>
            <w:pPr>
              <w:jc w:val="center"/>
              <w:ind w:left="25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54"/>
        </w:trPr>
        <w:tc>
          <w:tcPr>
            <w:tcW w:w="380" w:type="dxa"/>
            <w:vAlign w:val="bottom"/>
          </w:tcPr>
          <w:p>
            <w:pPr>
              <w:spacing w:after="0"/>
              <w:rPr>
                <w:sz w:val="4"/>
                <w:szCs w:val="4"/>
                <w:color w:val="auto"/>
              </w:rPr>
            </w:pPr>
          </w:p>
        </w:tc>
        <w:tc>
          <w:tcPr>
            <w:tcW w:w="3520" w:type="dxa"/>
            <w:vAlign w:val="bottom"/>
          </w:tcPr>
          <w:p>
            <w:pPr>
              <w:spacing w:after="0"/>
              <w:rPr>
                <w:sz w:val="4"/>
                <w:szCs w:val="4"/>
                <w:color w:val="auto"/>
              </w:rPr>
            </w:pPr>
          </w:p>
        </w:tc>
        <w:tc>
          <w:tcPr>
            <w:tcW w:w="2820" w:type="dxa"/>
            <w:vAlign w:val="bottom"/>
            <w:gridSpan w:val="3"/>
            <w:vMerge w:val="restart"/>
          </w:tcPr>
          <w:p>
            <w:pPr>
              <w:jc w:val="center"/>
              <w:ind w:right="620"/>
              <w:spacing w:after="0" w:line="149" w:lineRule="exact"/>
              <w:rPr>
                <w:sz w:val="20"/>
                <w:szCs w:val="20"/>
                <w:color w:val="auto"/>
              </w:rPr>
            </w:pPr>
            <w:r>
              <w:rPr>
                <w:rFonts w:ascii="Arial" w:cs="Arial" w:eastAsia="Arial" w:hAnsi="Arial"/>
                <w:sz w:val="14"/>
                <w:szCs w:val="14"/>
                <w:b w:val="1"/>
                <w:bCs w:val="1"/>
                <w:color w:val="auto"/>
                <w:w w:val="92"/>
              </w:rPr>
              <w:t>Underlying Unexercised</w:t>
            </w:r>
          </w:p>
        </w:tc>
        <w:tc>
          <w:tcPr>
            <w:tcW w:w="8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380" w:type="dxa"/>
            <w:vAlign w:val="bottom"/>
          </w:tcPr>
          <w:p>
            <w:pPr>
              <w:spacing w:after="0"/>
              <w:rPr>
                <w:sz w:val="8"/>
                <w:szCs w:val="8"/>
                <w:color w:val="auto"/>
              </w:rPr>
            </w:pPr>
          </w:p>
        </w:tc>
        <w:tc>
          <w:tcPr>
            <w:tcW w:w="3520" w:type="dxa"/>
            <w:vAlign w:val="bottom"/>
          </w:tcPr>
          <w:p>
            <w:pPr>
              <w:spacing w:after="0"/>
              <w:rPr>
                <w:sz w:val="8"/>
                <w:szCs w:val="8"/>
                <w:color w:val="auto"/>
              </w:rPr>
            </w:pPr>
          </w:p>
        </w:tc>
        <w:tc>
          <w:tcPr>
            <w:tcW w:w="2820" w:type="dxa"/>
            <w:vAlign w:val="bottom"/>
            <w:gridSpan w:val="3"/>
            <w:vMerge w:val="continue"/>
          </w:tcPr>
          <w:p>
            <w:pPr>
              <w:spacing w:after="0"/>
              <w:rPr>
                <w:sz w:val="8"/>
                <w:szCs w:val="8"/>
                <w:color w:val="auto"/>
              </w:rPr>
            </w:pPr>
          </w:p>
        </w:tc>
        <w:tc>
          <w:tcPr>
            <w:tcW w:w="8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0" w:type="dxa"/>
            <w:vAlign w:val="bottom"/>
            <w:vMerge w:val="restart"/>
          </w:tcPr>
          <w:p>
            <w:pPr>
              <w:jc w:val="center"/>
              <w:ind w:right="229"/>
              <w:spacing w:after="0" w:line="149" w:lineRule="exact"/>
              <w:rPr>
                <w:sz w:val="20"/>
                <w:szCs w:val="20"/>
                <w:color w:val="auto"/>
              </w:rPr>
            </w:pPr>
            <w:r>
              <w:rPr>
                <w:rFonts w:ascii="Arial" w:cs="Arial" w:eastAsia="Arial" w:hAnsi="Arial"/>
                <w:sz w:val="14"/>
                <w:szCs w:val="14"/>
                <w:b w:val="1"/>
                <w:bCs w:val="1"/>
                <w:color w:val="auto"/>
                <w:w w:val="91"/>
              </w:rPr>
              <w:t>Shares that</w:t>
            </w:r>
          </w:p>
        </w:tc>
        <w:tc>
          <w:tcPr>
            <w:tcW w:w="1020" w:type="dxa"/>
            <w:vAlign w:val="bottom"/>
            <w:vMerge w:val="restart"/>
          </w:tcPr>
          <w:p>
            <w:pPr>
              <w:jc w:val="center"/>
              <w:ind w:left="250"/>
              <w:spacing w:after="0" w:line="149" w:lineRule="exact"/>
              <w:rPr>
                <w:sz w:val="20"/>
                <w:szCs w:val="20"/>
                <w:color w:val="auto"/>
              </w:rPr>
            </w:pPr>
            <w:r>
              <w:rPr>
                <w:rFonts w:ascii="Arial" w:cs="Arial" w:eastAsia="Arial" w:hAnsi="Arial"/>
                <w:sz w:val="14"/>
                <w:szCs w:val="14"/>
                <w:b w:val="1"/>
                <w:bCs w:val="1"/>
                <w:color w:val="auto"/>
                <w:w w:val="91"/>
              </w:rPr>
              <w:t>Shares that</w:t>
            </w:r>
          </w:p>
        </w:tc>
        <w:tc>
          <w:tcPr>
            <w:tcW w:w="0" w:type="dxa"/>
            <w:vAlign w:val="bottom"/>
          </w:tcPr>
          <w:p>
            <w:pPr>
              <w:spacing w:after="0"/>
              <w:rPr>
                <w:sz w:val="1"/>
                <w:szCs w:val="1"/>
                <w:color w:val="auto"/>
              </w:rPr>
            </w:pPr>
          </w:p>
        </w:tc>
      </w:tr>
      <w:tr>
        <w:trPr>
          <w:trHeight w:val="54"/>
        </w:trPr>
        <w:tc>
          <w:tcPr>
            <w:tcW w:w="380" w:type="dxa"/>
            <w:vAlign w:val="bottom"/>
          </w:tcPr>
          <w:p>
            <w:pPr>
              <w:spacing w:after="0"/>
              <w:rPr>
                <w:sz w:val="4"/>
                <w:szCs w:val="4"/>
                <w:color w:val="auto"/>
              </w:rPr>
            </w:pPr>
          </w:p>
        </w:tc>
        <w:tc>
          <w:tcPr>
            <w:tcW w:w="35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0" w:type="dxa"/>
            <w:vAlign w:val="bottom"/>
            <w:vMerge w:val="restart"/>
          </w:tcPr>
          <w:p>
            <w:pPr>
              <w:jc w:val="center"/>
              <w:ind w:right="708"/>
              <w:spacing w:after="0" w:line="151" w:lineRule="exact"/>
              <w:rPr>
                <w:sz w:val="20"/>
                <w:szCs w:val="20"/>
                <w:color w:val="auto"/>
              </w:rPr>
            </w:pPr>
            <w:r>
              <w:rPr>
                <w:rFonts w:ascii="Arial" w:cs="Arial" w:eastAsia="Arial" w:hAnsi="Arial"/>
                <w:sz w:val="14"/>
                <w:szCs w:val="14"/>
                <w:b w:val="1"/>
                <w:bCs w:val="1"/>
                <w:color w:val="auto"/>
                <w:w w:val="94"/>
              </w:rPr>
              <w:t>Options</w:t>
            </w: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380" w:type="dxa"/>
            <w:vAlign w:val="bottom"/>
          </w:tcPr>
          <w:p>
            <w:pPr>
              <w:spacing w:after="0"/>
              <w:rPr>
                <w:sz w:val="10"/>
                <w:szCs w:val="10"/>
                <w:color w:val="auto"/>
              </w:rPr>
            </w:pPr>
          </w:p>
        </w:tc>
        <w:tc>
          <w:tcPr>
            <w:tcW w:w="3520" w:type="dxa"/>
            <w:vAlign w:val="bottom"/>
          </w:tcPr>
          <w:p>
            <w:pPr>
              <w:jc w:val="center"/>
              <w:ind w:left="1791"/>
              <w:spacing w:after="0" w:line="118" w:lineRule="exact"/>
              <w:rPr>
                <w:sz w:val="20"/>
                <w:szCs w:val="20"/>
                <w:color w:val="auto"/>
              </w:rPr>
            </w:pPr>
            <w:r>
              <w:rPr>
                <w:rFonts w:ascii="Arial" w:cs="Arial" w:eastAsia="Arial" w:hAnsi="Arial"/>
                <w:sz w:val="13"/>
                <w:szCs w:val="13"/>
                <w:b w:val="1"/>
                <w:bCs w:val="1"/>
                <w:color w:val="auto"/>
              </w:rPr>
              <w:t>Grant</w:t>
            </w:r>
          </w:p>
        </w:tc>
        <w:tc>
          <w:tcPr>
            <w:tcW w:w="80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vMerge w:val="continue"/>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jc w:val="center"/>
              <w:ind w:right="211"/>
              <w:spacing w:after="0" w:line="118" w:lineRule="exact"/>
              <w:rPr>
                <w:sz w:val="20"/>
                <w:szCs w:val="20"/>
                <w:color w:val="auto"/>
              </w:rPr>
            </w:pPr>
            <w:r>
              <w:rPr>
                <w:rFonts w:ascii="Arial" w:cs="Arial" w:eastAsia="Arial" w:hAnsi="Arial"/>
                <w:sz w:val="13"/>
                <w:szCs w:val="13"/>
                <w:b w:val="1"/>
                <w:bCs w:val="1"/>
                <w:color w:val="auto"/>
                <w:w w:val="97"/>
              </w:rPr>
              <w:t>Exercise</w:t>
            </w:r>
          </w:p>
        </w:tc>
        <w:tc>
          <w:tcPr>
            <w:tcW w:w="1620" w:type="dxa"/>
            <w:vAlign w:val="bottom"/>
            <w:gridSpan w:val="2"/>
          </w:tcPr>
          <w:p>
            <w:pPr>
              <w:jc w:val="center"/>
              <w:ind w:right="320"/>
              <w:spacing w:after="0" w:line="118" w:lineRule="exact"/>
              <w:rPr>
                <w:sz w:val="20"/>
                <w:szCs w:val="20"/>
                <w:color w:val="auto"/>
              </w:rPr>
            </w:pPr>
            <w:r>
              <w:rPr>
                <w:rFonts w:ascii="Arial" w:cs="Arial" w:eastAsia="Arial" w:hAnsi="Arial"/>
                <w:sz w:val="13"/>
                <w:szCs w:val="13"/>
                <w:b w:val="1"/>
                <w:bCs w:val="1"/>
                <w:color w:val="auto"/>
              </w:rPr>
              <w:t>Expiration</w:t>
            </w:r>
          </w:p>
        </w:tc>
        <w:tc>
          <w:tcPr>
            <w:tcW w:w="1000" w:type="dxa"/>
            <w:vAlign w:val="bottom"/>
          </w:tcPr>
          <w:p>
            <w:pPr>
              <w:jc w:val="center"/>
              <w:ind w:right="229"/>
              <w:spacing w:after="0" w:line="118" w:lineRule="exact"/>
              <w:rPr>
                <w:sz w:val="20"/>
                <w:szCs w:val="20"/>
                <w:color w:val="auto"/>
              </w:rPr>
            </w:pPr>
            <w:r>
              <w:rPr>
                <w:rFonts w:ascii="Arial" w:cs="Arial" w:eastAsia="Arial" w:hAnsi="Arial"/>
                <w:sz w:val="13"/>
                <w:szCs w:val="13"/>
                <w:b w:val="1"/>
                <w:bCs w:val="1"/>
                <w:color w:val="auto"/>
              </w:rPr>
              <w:t>Have Not</w:t>
            </w:r>
          </w:p>
        </w:tc>
        <w:tc>
          <w:tcPr>
            <w:tcW w:w="1020" w:type="dxa"/>
            <w:vAlign w:val="bottom"/>
          </w:tcPr>
          <w:p>
            <w:pPr>
              <w:jc w:val="center"/>
              <w:ind w:left="250"/>
              <w:spacing w:after="0" w:line="118" w:lineRule="exact"/>
              <w:rPr>
                <w:sz w:val="20"/>
                <w:szCs w:val="20"/>
                <w:color w:val="auto"/>
              </w:rPr>
            </w:pPr>
            <w:r>
              <w:rPr>
                <w:rFonts w:ascii="Arial" w:cs="Arial" w:eastAsia="Arial" w:hAnsi="Arial"/>
                <w:sz w:val="13"/>
                <w:szCs w:val="13"/>
                <w:b w:val="1"/>
                <w:bCs w:val="1"/>
                <w:color w:val="auto"/>
              </w:rPr>
              <w:t>Have Not</w:t>
            </w:r>
          </w:p>
        </w:tc>
        <w:tc>
          <w:tcPr>
            <w:tcW w:w="0" w:type="dxa"/>
            <w:vAlign w:val="bottom"/>
          </w:tcPr>
          <w:p>
            <w:pPr>
              <w:spacing w:after="0"/>
              <w:rPr>
                <w:sz w:val="1"/>
                <w:szCs w:val="1"/>
                <w:color w:val="auto"/>
              </w:rPr>
            </w:pPr>
          </w:p>
        </w:tc>
      </w:tr>
      <w:tr>
        <w:trPr>
          <w:trHeight w:val="169"/>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520" w:type="dxa"/>
            <w:vAlign w:val="bottom"/>
          </w:tcPr>
          <w:p>
            <w:pPr>
              <w:jc w:val="center"/>
              <w:ind w:left="1791"/>
              <w:spacing w:after="0"/>
              <w:rPr>
                <w:sz w:val="20"/>
                <w:szCs w:val="20"/>
                <w:color w:val="auto"/>
              </w:rPr>
            </w:pPr>
            <w:r>
              <w:rPr>
                <w:rFonts w:ascii="Arial" w:cs="Arial" w:eastAsia="Arial" w:hAnsi="Arial"/>
                <w:sz w:val="14"/>
                <w:szCs w:val="14"/>
                <w:b w:val="1"/>
                <w:bCs w:val="1"/>
                <w:u w:val="single" w:color="auto"/>
                <w:color w:val="auto"/>
                <w:w w:val="93"/>
              </w:rPr>
              <w:t>Date</w:t>
            </w:r>
            <w:r>
              <w:rPr>
                <w:rFonts w:ascii="Arial" w:cs="Arial" w:eastAsia="Arial" w:hAnsi="Arial"/>
                <w:sz w:val="12"/>
                <w:szCs w:val="12"/>
                <w:b w:val="1"/>
                <w:bCs w:val="1"/>
                <w:u w:val="single" w:color="auto"/>
                <w:color w:val="auto"/>
                <w:w w:val="93"/>
              </w:rPr>
              <w:t>(1)</w:t>
            </w:r>
          </w:p>
        </w:tc>
        <w:tc>
          <w:tcPr>
            <w:tcW w:w="800" w:type="dxa"/>
            <w:vAlign w:val="bottom"/>
          </w:tcPr>
          <w:p>
            <w:pPr>
              <w:ind w:left="20"/>
              <w:spacing w:after="0"/>
              <w:rPr>
                <w:sz w:val="20"/>
                <w:szCs w:val="20"/>
                <w:color w:val="auto"/>
              </w:rPr>
            </w:pPr>
            <w:r>
              <w:rPr>
                <w:rFonts w:ascii="Arial" w:cs="Arial" w:eastAsia="Arial" w:hAnsi="Arial"/>
                <w:sz w:val="14"/>
                <w:szCs w:val="14"/>
                <w:b w:val="1"/>
                <w:bCs w:val="1"/>
                <w:u w:val="single" w:color="auto"/>
                <w:color w:val="auto"/>
                <w:w w:val="97"/>
              </w:rPr>
              <w:t>Exercisable</w:t>
            </w:r>
          </w:p>
        </w:tc>
        <w:tc>
          <w:tcPr>
            <w:tcW w:w="2020" w:type="dxa"/>
            <w:vAlign w:val="bottom"/>
            <w:gridSpan w:val="2"/>
          </w:tcPr>
          <w:p>
            <w:pPr>
              <w:ind w:left="540"/>
              <w:spacing w:after="0"/>
              <w:rPr>
                <w:sz w:val="20"/>
                <w:szCs w:val="20"/>
                <w:color w:val="auto"/>
              </w:rPr>
            </w:pPr>
            <w:r>
              <w:rPr>
                <w:rFonts w:ascii="Arial" w:cs="Arial" w:eastAsia="Arial" w:hAnsi="Arial"/>
                <w:sz w:val="14"/>
                <w:szCs w:val="14"/>
                <w:b w:val="1"/>
                <w:bCs w:val="1"/>
                <w:u w:val="single" w:color="auto"/>
                <w:color w:val="auto"/>
              </w:rPr>
              <w:t>Unexercisable</w:t>
            </w:r>
          </w:p>
        </w:tc>
        <w:tc>
          <w:tcPr>
            <w:tcW w:w="840" w:type="dxa"/>
            <w:vAlign w:val="bottom"/>
          </w:tcPr>
          <w:p>
            <w:pPr>
              <w:jc w:val="center"/>
              <w:ind w:right="211"/>
              <w:spacing w:after="0"/>
              <w:rPr>
                <w:sz w:val="20"/>
                <w:szCs w:val="20"/>
                <w:color w:val="auto"/>
              </w:rPr>
            </w:pPr>
            <w:r>
              <w:rPr>
                <w:rFonts w:ascii="Arial" w:cs="Arial" w:eastAsia="Arial" w:hAnsi="Arial"/>
                <w:sz w:val="14"/>
                <w:szCs w:val="14"/>
                <w:b w:val="1"/>
                <w:bCs w:val="1"/>
                <w:color w:val="auto"/>
                <w:w w:val="93"/>
              </w:rPr>
              <w:t>Price</w:t>
            </w: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Date</w:t>
            </w:r>
          </w:p>
        </w:tc>
        <w:tc>
          <w:tcPr>
            <w:tcW w:w="1000" w:type="dxa"/>
            <w:vAlign w:val="bottom"/>
          </w:tcPr>
          <w:p>
            <w:pPr>
              <w:jc w:val="center"/>
              <w:ind w:right="249"/>
              <w:spacing w:after="0"/>
              <w:rPr>
                <w:sz w:val="20"/>
                <w:szCs w:val="20"/>
                <w:color w:val="auto"/>
              </w:rPr>
            </w:pPr>
            <w:r>
              <w:rPr>
                <w:rFonts w:ascii="Arial" w:cs="Arial" w:eastAsia="Arial" w:hAnsi="Arial"/>
                <w:sz w:val="14"/>
                <w:szCs w:val="14"/>
                <w:b w:val="1"/>
                <w:bCs w:val="1"/>
                <w:color w:val="auto"/>
                <w:w w:val="87"/>
              </w:rPr>
              <w:t>Vested</w:t>
            </w:r>
          </w:p>
        </w:tc>
        <w:tc>
          <w:tcPr>
            <w:tcW w:w="1020" w:type="dxa"/>
            <w:vAlign w:val="bottom"/>
          </w:tcPr>
          <w:p>
            <w:pPr>
              <w:jc w:val="center"/>
              <w:ind w:left="230"/>
              <w:spacing w:after="0"/>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371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Dustin Moskovitz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371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365760</wp:posOffset>
            </wp:positionV>
            <wp:extent cx="78867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460" w:hanging="452"/>
        <w:spacing w:after="0" w:line="253" w:lineRule="auto"/>
        <w:tabs>
          <w:tab w:leader="none" w:pos="4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All of the outstanding equity awards were granted under our Amended and Restated 2012 Stock Plan and are subject to acceleration of vesting as described in “—Employment, Severance, and Change of Control Arrangements” below.</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Severance, and Change of Control Arrangements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Offer Letters and Employment Agreements</w:t>
      </w:r>
    </w:p>
    <w:p>
      <w:pPr>
        <w:spacing w:after="0" w:line="117" w:lineRule="exact"/>
        <w:rPr>
          <w:sz w:val="20"/>
          <w:szCs w:val="20"/>
          <w:color w:val="auto"/>
        </w:rPr>
      </w:pPr>
    </w:p>
    <w:p>
      <w:pPr>
        <w:ind w:left="460"/>
        <w:spacing w:after="0"/>
        <w:tabs>
          <w:tab w:leader="none" w:pos="5200" w:val="left"/>
        </w:tabs>
        <w:rPr>
          <w:sz w:val="20"/>
          <w:szCs w:val="20"/>
          <w:color w:val="auto"/>
        </w:rPr>
      </w:pPr>
      <w:r>
        <w:rPr>
          <w:rFonts w:ascii="Arial" w:cs="Arial" w:eastAsia="Arial" w:hAnsi="Arial"/>
          <w:sz w:val="18"/>
          <w:szCs w:val="18"/>
          <w:color w:val="auto"/>
        </w:rPr>
        <w:t>We have entered into offer letters with Mr. Moskovitz and</w:t>
      </w:r>
      <w:r>
        <w:rPr>
          <w:sz w:val="20"/>
          <w:szCs w:val="20"/>
          <w:color w:val="auto"/>
        </w:rPr>
        <w:tab/>
      </w:r>
      <w:r>
        <w:rPr>
          <w:rFonts w:ascii="Arial" w:cs="Arial" w:eastAsia="Arial" w:hAnsi="Arial"/>
          <w:sz w:val="16"/>
          <w:szCs w:val="16"/>
          <w:color w:val="auto"/>
        </w:rPr>
        <w:t>. Each of these arrangements provide for at-will employment and generally include</w:t>
      </w:r>
    </w:p>
    <w:p>
      <w:pPr>
        <w:spacing w:after="0" w:line="23" w:lineRule="exact"/>
        <w:rPr>
          <w:sz w:val="20"/>
          <w:szCs w:val="20"/>
          <w:color w:val="auto"/>
        </w:rPr>
      </w:pPr>
    </w:p>
    <w:p>
      <w:pPr>
        <w:ind w:right="100"/>
        <w:spacing w:after="0" w:line="290" w:lineRule="auto"/>
        <w:rPr>
          <w:sz w:val="20"/>
          <w:szCs w:val="20"/>
          <w:color w:val="auto"/>
        </w:rPr>
      </w:pPr>
      <w:r>
        <w:rPr>
          <w:rFonts w:ascii="Arial" w:cs="Arial" w:eastAsia="Arial" w:hAnsi="Arial"/>
          <w:sz w:val="17"/>
          <w:szCs w:val="17"/>
          <w:color w:val="auto"/>
        </w:rPr>
        <w:t>the named executive officer’s initial base salary, an indication of eligibility for an annual cash incentive award opportunity, and equity awards. In addition, each of our named executive officers has executed our standard confidential information and invention assignment agreement.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Plans</w:t>
      </w:r>
    </w:p>
    <w:p>
      <w:pPr>
        <w:spacing w:after="0" w:line="121"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The principal features of our equity plans are summarized below. These summaries are qualified in their entirety by reference to the actual text of the plans, which are filed as exhibits to the registration statement of which this prospectus is a part.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320" w:top="459" w:right="3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34"/>
        </w:trPr>
        <w:tc>
          <w:tcPr>
            <w:tcW w:w="8780" w:type="dxa"/>
            <w:vAlign w:val="bottom"/>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tc>
        <w:tc>
          <w:tcPr>
            <w:tcW w:w="15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13"/>
        </w:trPr>
        <w:tc>
          <w:tcPr>
            <w:tcW w:w="8780" w:type="dxa"/>
            <w:vAlign w:val="bottom"/>
          </w:tcPr>
          <w:p>
            <w:pPr>
              <w:ind w:left="460"/>
              <w:spacing w:after="0"/>
              <w:rPr>
                <w:sz w:val="20"/>
                <w:szCs w:val="20"/>
                <w:color w:val="auto"/>
              </w:rPr>
            </w:pPr>
            <w:r>
              <w:rPr>
                <w:rFonts w:ascii="Arial" w:cs="Arial" w:eastAsia="Arial" w:hAnsi="Arial"/>
                <w:sz w:val="18"/>
                <w:szCs w:val="18"/>
                <w:b w:val="1"/>
                <w:bCs w:val="1"/>
                <w:i w:val="1"/>
                <w:iCs w:val="1"/>
                <w:color w:val="auto"/>
              </w:rPr>
              <w:t>2020 Equity Incentive Plan</w:t>
            </w:r>
          </w:p>
        </w:tc>
        <w:tc>
          <w:tcPr>
            <w:tcW w:w="15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24"/>
        </w:trPr>
        <w:tc>
          <w:tcPr>
            <w:tcW w:w="8780" w:type="dxa"/>
            <w:vAlign w:val="bottom"/>
          </w:tcPr>
          <w:p>
            <w:pPr>
              <w:ind w:left="460"/>
              <w:spacing w:after="0"/>
              <w:rPr>
                <w:sz w:val="20"/>
                <w:szCs w:val="20"/>
                <w:color w:val="auto"/>
              </w:rPr>
            </w:pPr>
            <w:r>
              <w:rPr>
                <w:rFonts w:ascii="Arial" w:cs="Arial" w:eastAsia="Arial" w:hAnsi="Arial"/>
                <w:sz w:val="18"/>
                <w:szCs w:val="18"/>
                <w:color w:val="auto"/>
                <w:w w:val="93"/>
              </w:rPr>
              <w:t>Our board of directors adopted and our stockholders approved our 2020 Equity Incentive Plan, or 2020 Plan, on</w:t>
            </w:r>
          </w:p>
        </w:tc>
        <w:tc>
          <w:tcPr>
            <w:tcW w:w="1520" w:type="dxa"/>
            <w:vAlign w:val="bottom"/>
          </w:tcPr>
          <w:p>
            <w:pPr>
              <w:ind w:left="260"/>
              <w:spacing w:after="0"/>
              <w:rPr>
                <w:sz w:val="20"/>
                <w:szCs w:val="20"/>
                <w:color w:val="auto"/>
              </w:rPr>
            </w:pPr>
            <w:r>
              <w:rPr>
                <w:rFonts w:ascii="Arial" w:cs="Arial" w:eastAsia="Arial" w:hAnsi="Arial"/>
                <w:sz w:val="18"/>
                <w:szCs w:val="18"/>
                <w:color w:val="auto"/>
              </w:rPr>
              <w:t>, 2020 and on</w:t>
            </w:r>
          </w:p>
        </w:tc>
        <w:tc>
          <w:tcPr>
            <w:tcW w:w="760" w:type="dxa"/>
            <w:vAlign w:val="bottom"/>
          </w:tcPr>
          <w:p>
            <w:pPr>
              <w:jc w:val="right"/>
              <w:spacing w:after="0"/>
              <w:rPr>
                <w:sz w:val="20"/>
                <w:szCs w:val="20"/>
                <w:color w:val="auto"/>
              </w:rPr>
            </w:pPr>
            <w:r>
              <w:rPr>
                <w:rFonts w:ascii="Arial" w:cs="Arial" w:eastAsia="Arial" w:hAnsi="Arial"/>
                <w:sz w:val="18"/>
                <w:szCs w:val="18"/>
                <w:color w:val="auto"/>
              </w:rPr>
              <w:t>, 2020,</w:t>
            </w:r>
          </w:p>
        </w:tc>
      </w:tr>
    </w:tbl>
    <w:p>
      <w:pPr>
        <w:ind w:right="80"/>
        <w:spacing w:after="0" w:line="26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respectively. The 2020 Plan will become effective, and no stock awards may be granted under the 2020 Plan until immediately prior to the effectiveness of the registration statement of which this prospectus forms a part.</w:t>
      </w:r>
    </w:p>
    <w:p>
      <w:pPr>
        <w:spacing w:after="0" w:line="185" w:lineRule="exact"/>
        <w:rPr>
          <w:sz w:val="20"/>
          <w:szCs w:val="20"/>
          <w:color w:val="auto"/>
        </w:rPr>
      </w:pPr>
    </w:p>
    <w:p>
      <w:pPr>
        <w:ind w:right="20" w:firstLine="449"/>
        <w:spacing w:after="0" w:line="275" w:lineRule="auto"/>
        <w:rPr>
          <w:sz w:val="20"/>
          <w:szCs w:val="20"/>
          <w:color w:val="auto"/>
        </w:rPr>
      </w:pPr>
      <w:r>
        <w:rPr>
          <w:rFonts w:ascii="Arial" w:cs="Arial" w:eastAsia="Arial" w:hAnsi="Arial"/>
          <w:sz w:val="17"/>
          <w:szCs w:val="17"/>
          <w:i w:val="1"/>
          <w:iCs w:val="1"/>
          <w:color w:val="auto"/>
        </w:rPr>
        <w:t xml:space="preserve">Stock Awards. </w:t>
      </w:r>
      <w:r>
        <w:rPr>
          <w:rFonts w:ascii="Arial" w:cs="Arial" w:eastAsia="Arial" w:hAnsi="Arial"/>
          <w:sz w:val="17"/>
          <w:szCs w:val="17"/>
          <w:color w:val="auto"/>
        </w:rPr>
        <w:t>The 2020 Plan provides for the grant of incentive stock options, within the meaning of Section 422 of the Code, or ISOs, nonstatutory</w:t>
      </w:r>
      <w:r>
        <w:rPr>
          <w:rFonts w:ascii="Arial" w:cs="Arial" w:eastAsia="Arial" w:hAnsi="Arial"/>
          <w:sz w:val="17"/>
          <w:szCs w:val="17"/>
          <w:i w:val="1"/>
          <w:iCs w:val="1"/>
          <w:color w:val="auto"/>
        </w:rPr>
        <w:t xml:space="preserve"> </w:t>
      </w:r>
      <w:r>
        <w:rPr>
          <w:rFonts w:ascii="Arial" w:cs="Arial" w:eastAsia="Arial" w:hAnsi="Arial"/>
          <w:sz w:val="17"/>
          <w:szCs w:val="17"/>
          <w:color w:val="auto"/>
        </w:rPr>
        <w:t>stock options, or NSOs, stock appreciation rights, restricted stock awards, RSU awards, performance-based stock awards, and other forms of equity compensation, which are collectively referred to as stock awards. Additionally, the 2020 Plan provides for the grant of performance cash awards. ISOs may be granted only to our employees and to any of our parent or subsidiary corporation’s employees. All other awards may be granted to employees, including officers, and to non-employee directors and consultants of ours and any of our affiliates.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Share Reserve. </w:t>
      </w:r>
      <w:r>
        <w:rPr>
          <w:rFonts w:ascii="Arial" w:cs="Arial" w:eastAsia="Arial" w:hAnsi="Arial"/>
          <w:sz w:val="16"/>
          <w:szCs w:val="16"/>
          <w:color w:val="auto"/>
        </w:rPr>
        <w:t>Initially, the aggregate number of shares of our Class A common stock that may be issued pursuant to stock awards under the 2020</w:t>
      </w:r>
    </w:p>
    <w:p>
      <w:pPr>
        <w:spacing w:after="0" w:line="46"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Plan is shares. The maximum number of shares that may be issued upon the exercise of ISOs under our 2020 Plan is shares. Additionally, the number of shares of our Class A common stock reserved for issuance under the 2020 Plan will automatically increase on the first day of each fiscal year for 10 years, starting February 1, 2021 (assuming the 2020 Plan becomes effective in fiscal 2021) and ending on and including February 1, 2030, in an</w:t>
      </w:r>
    </w:p>
    <w:p>
      <w:pPr>
        <w:spacing w:after="0" w:line="2"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amount equal to the least of (1) % of the total number of shares of our capital stock outstanding on the last day of the prior fiscal year, (2) shares, or (3) a number of shares approved by our board of directors.</w:t>
      </w:r>
    </w:p>
    <w:p>
      <w:pPr>
        <w:spacing w:after="0" w:line="185" w:lineRule="exact"/>
        <w:rPr>
          <w:sz w:val="20"/>
          <w:szCs w:val="20"/>
          <w:color w:val="auto"/>
        </w:rPr>
      </w:pPr>
    </w:p>
    <w:p>
      <w:pPr>
        <w:ind w:right="60" w:firstLine="449"/>
        <w:spacing w:after="0" w:line="255" w:lineRule="auto"/>
        <w:rPr>
          <w:sz w:val="20"/>
          <w:szCs w:val="20"/>
          <w:color w:val="auto"/>
        </w:rPr>
      </w:pPr>
      <w:r>
        <w:rPr>
          <w:rFonts w:ascii="Arial" w:cs="Arial" w:eastAsia="Arial" w:hAnsi="Arial"/>
          <w:sz w:val="18"/>
          <w:szCs w:val="18"/>
          <w:color w:val="auto"/>
        </w:rPr>
        <w:t>If a stock award granted under the 2020 Plan expires or otherwise terminates without being exercised in full, or is settled in cash, the shares of our Class A common stock not acquired pursuant to the stock award again will become available for subsequent issuance under the 2020 Plan. In addition, the following types of shares under the 2020 Plan may become available for the grant of new stock awards under the 2020 Plan: (1) shares that are forfeited to or repurchased by us prior to becoming fully vested; (2) shares withheld to satisfy income or employment withholding taxes; or (3) shares used to pay the exercise or purchase price of a stock award. Shares issued under the 2020 Plan may be previously unissued shares or reacquired shares bought by us on the open market.</w:t>
      </w:r>
    </w:p>
    <w:p>
      <w:pPr>
        <w:spacing w:after="0" w:line="192" w:lineRule="exact"/>
        <w:rPr>
          <w:sz w:val="20"/>
          <w:szCs w:val="20"/>
          <w:color w:val="auto"/>
        </w:rPr>
      </w:pPr>
    </w:p>
    <w:p>
      <w:pPr>
        <w:ind w:right="20" w:firstLine="449"/>
        <w:spacing w:after="0" w:line="291" w:lineRule="auto"/>
        <w:rPr>
          <w:sz w:val="20"/>
          <w:szCs w:val="20"/>
          <w:color w:val="auto"/>
        </w:rPr>
      </w:pPr>
      <w:r>
        <w:rPr>
          <w:rFonts w:ascii="Arial" w:cs="Arial" w:eastAsia="Arial" w:hAnsi="Arial"/>
          <w:sz w:val="16"/>
          <w:szCs w:val="16"/>
          <w:color w:val="auto"/>
        </w:rPr>
        <w:t>The maximum number of shares of Class A common stock subject to stock awards granted under the 2020 Plan or otherwise during any one calendar year to any non-employee director, taken together with any cash fees paid by us to such non-employee director during such calendar year for service on the</w:t>
      </w:r>
    </w:p>
    <w:p>
      <w:pPr>
        <w:ind w:right="80"/>
        <w:spacing w:after="0" w:line="281" w:lineRule="auto"/>
        <w:rPr>
          <w:sz w:val="20"/>
          <w:szCs w:val="20"/>
          <w:color w:val="auto"/>
        </w:rPr>
      </w:pPr>
      <w:r>
        <w:rPr>
          <w:rFonts w:ascii="Arial" w:cs="Arial" w:eastAsia="Arial" w:hAnsi="Arial"/>
          <w:sz w:val="16"/>
          <w:szCs w:val="16"/>
          <w:color w:val="auto"/>
        </w:rPr>
        <w:t>board of directors, will not exceed $ in total value (calculating the value of any such stock awards based on the grant date fair value of such stock awards for financial reporting purposes), or, with respect to the calendar year in which a non-employee director is first appointed or elected to our board of</w:t>
      </w:r>
    </w:p>
    <w:p>
      <w:pPr>
        <w:spacing w:after="0" w:line="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directors, $</w:t>
      </w:r>
      <w:r>
        <w:rPr>
          <w:sz w:val="20"/>
          <w:szCs w:val="20"/>
          <w:color w:val="auto"/>
        </w:rPr>
        <w:tab/>
      </w:r>
      <w:r>
        <w:rPr>
          <w:rFonts w:ascii="Arial" w:cs="Arial" w:eastAsia="Arial" w:hAnsi="Arial"/>
          <w:sz w:val="13"/>
          <w:szCs w:val="13"/>
          <w:color w:val="auto"/>
        </w:rPr>
        <w:t>.</w:t>
      </w:r>
    </w:p>
    <w:p>
      <w:pPr>
        <w:spacing w:after="0" w:line="211" w:lineRule="exact"/>
        <w:rPr>
          <w:sz w:val="20"/>
          <w:szCs w:val="20"/>
          <w:color w:val="auto"/>
        </w:rPr>
      </w:pPr>
    </w:p>
    <w:p>
      <w:pPr>
        <w:ind w:right="20" w:firstLine="449"/>
        <w:spacing w:after="0" w:line="291" w:lineRule="auto"/>
        <w:rPr>
          <w:sz w:val="20"/>
          <w:szCs w:val="20"/>
          <w:color w:val="auto"/>
        </w:rPr>
      </w:pPr>
      <w:r>
        <w:rPr>
          <w:rFonts w:ascii="Arial" w:cs="Arial" w:eastAsia="Arial" w:hAnsi="Arial"/>
          <w:sz w:val="16"/>
          <w:szCs w:val="16"/>
          <w:i w:val="1"/>
          <w:iCs w:val="1"/>
          <w:color w:val="auto"/>
        </w:rPr>
        <w:t xml:space="preserve">Administration. </w:t>
      </w:r>
      <w:r>
        <w:rPr>
          <w:rFonts w:ascii="Arial" w:cs="Arial" w:eastAsia="Arial" w:hAnsi="Arial"/>
          <w:sz w:val="16"/>
          <w:szCs w:val="16"/>
          <w:color w:val="auto"/>
        </w:rPr>
        <w:t>Our board of directors, or a duly authorized committee thereof, has the authority to administer the 2020 Plan. Our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may also delegate to one or more of our officers the authority to (1) designate employees (other than other officers) to be recipients of certain stock awards,</w:t>
      </w:r>
    </w:p>
    <w:p>
      <w:pPr>
        <w:ind w:firstLine="8"/>
        <w:spacing w:after="0" w:line="270" w:lineRule="auto"/>
        <w:tabs>
          <w:tab w:leader="none" w:pos="255" w:val="left"/>
        </w:tabs>
        <w:numPr>
          <w:ilvl w:val="0"/>
          <w:numId w:val="67"/>
        </w:numPr>
        <w:rPr>
          <w:rFonts w:ascii="Arial" w:cs="Arial" w:eastAsia="Arial" w:hAnsi="Arial"/>
          <w:sz w:val="17"/>
          <w:szCs w:val="17"/>
          <w:color w:val="auto"/>
        </w:rPr>
      </w:pPr>
      <w:r>
        <w:rPr>
          <w:rFonts w:ascii="Arial" w:cs="Arial" w:eastAsia="Arial" w:hAnsi="Arial"/>
          <w:sz w:val="17"/>
          <w:szCs w:val="17"/>
          <w:color w:val="auto"/>
        </w:rPr>
        <w:t>determine the number of shares of Class A common stock to be subject to such stock awards, and (3) specify the other terms and conditions, including the strike price or purchase price and vesting schedule, applicable to such awards. Subject to the terms of the 2020 Plan, our board of directors or the authorized committee, referred to as the plan administrator, determines recipients, dates of grant, the numbers and types of stock awards to be granted, and the terms and conditions of the stock awards, including the period of their exercisability and the vesting schedule applicable to a stock award. Subject to the limitations set forth below, the plan administrator will also determine the exercise price, strike price, or purchase price of stock awards granted, and the types of consideration to be paid for the stock award.</w:t>
      </w:r>
    </w:p>
    <w:p>
      <w:pPr>
        <w:spacing w:after="0" w:line="178"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The plan administrator has the authority to modify outstanding stock awards under our 2020 Plan. Subject to the terms of our 2020 Plan, the plan administrator has the authority, without stockholder approval, to reduce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20"/>
          </w:cols>
          <w:pgMar w:left="320" w:top="459" w:right="3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exercise, purchase, or strike price of any outstanding stock award, cancel any outstanding stock award in exchange for new stock awards, cash, or other consideration, or take any other action that is treated as a repricing under generally accepted accounting principles, with the consent of any adversely affected participant.</w:t>
      </w:r>
    </w:p>
    <w:p>
      <w:pPr>
        <w:spacing w:after="0" w:line="184"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ISOs and NSOs are evidenced by stock option agreements adopted by the plan administrator. The plan administrator determines the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price for a stock option, within the terms and conditions of the 2020 Plan, provided that the exercise price of a stock option generally cannot be less than 100% of the fair market value of our Class A common stock on the date of grant. Options granted under the 2020 Plan vest at the rate specified by the plan administrator.</w:t>
      </w:r>
    </w:p>
    <w:p>
      <w:pPr>
        <w:spacing w:after="0" w:line="187" w:lineRule="exact"/>
        <w:rPr>
          <w:sz w:val="20"/>
          <w:szCs w:val="20"/>
          <w:color w:val="auto"/>
        </w:rPr>
      </w:pPr>
    </w:p>
    <w:p>
      <w:pPr>
        <w:ind w:right="140" w:firstLine="449"/>
        <w:spacing w:after="0" w:line="290" w:lineRule="auto"/>
        <w:rPr>
          <w:sz w:val="20"/>
          <w:szCs w:val="20"/>
          <w:color w:val="auto"/>
        </w:rPr>
      </w:pPr>
      <w:r>
        <w:rPr>
          <w:rFonts w:ascii="Arial" w:cs="Arial" w:eastAsia="Arial" w:hAnsi="Arial"/>
          <w:sz w:val="16"/>
          <w:szCs w:val="16"/>
          <w:color w:val="auto"/>
        </w:rPr>
        <w:t>The plan administrator determines the term of stock options granted under the 2020 Plan, up to a maximum of 10 years. Unless the terms of an option holder’s stock option agreement provide otherwise, if an option holder’s service relationship with us, or any of our affiliates, ceases for any reason other than disability, death, or cause, the option holder may generally exercise any vested options for a period of three months following the cessation of service. The option term will automatically be extended in the event that exercise of the option following such a termination of service is prohibited by applicable securities laws or our insider trading policy. If an option holder’s service relationship with us or any of our affiliates ceases due to disability or death, or an option holder dies within a certain period following cessation of service, the option holder or a beneficiary may generally exercise any vested options for a period of 12 months in the event of disability and 18 months in the event of death. In the event of a termination for cause, options generally terminate immediately. In no event may an option be exercised beyond the expiration of its term.</w:t>
      </w:r>
    </w:p>
    <w:p>
      <w:pPr>
        <w:spacing w:after="0" w:line="165" w:lineRule="exact"/>
        <w:rPr>
          <w:sz w:val="20"/>
          <w:szCs w:val="20"/>
          <w:color w:val="auto"/>
        </w:rPr>
      </w:pPr>
    </w:p>
    <w:p>
      <w:pPr>
        <w:jc w:val="both"/>
        <w:ind w:right="20" w:firstLine="449"/>
        <w:spacing w:after="0" w:line="311" w:lineRule="auto"/>
        <w:rPr>
          <w:sz w:val="20"/>
          <w:szCs w:val="20"/>
          <w:color w:val="auto"/>
        </w:rPr>
      </w:pPr>
      <w:r>
        <w:rPr>
          <w:rFonts w:ascii="Arial" w:cs="Arial" w:eastAsia="Arial" w:hAnsi="Arial"/>
          <w:sz w:val="16"/>
          <w:szCs w:val="16"/>
          <w:color w:val="auto"/>
        </w:rPr>
        <w:t>Acceptable consideration for the purchase of common stock issued upon the exercise of a stock option will be determined by the plan administrator and may include (1) cash, check, bank draft, or money order, (2) a broker-assisted cashless exercise, (3) the tender of shares of our Class A common stock previously owned by the option holder, (4) a net exercise of the option if it is an NSO, and (5) other legal consideration approved by the plan administrator.</w:t>
      </w:r>
    </w:p>
    <w:p>
      <w:pPr>
        <w:spacing w:after="0" w:line="149"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Unless the plan administrator provides otherwise, options generally are not transferable except by will, the laws of descent and distribution, or pursuant to a domestic relations order. An option holder may designate a beneficiary, however, who may exercise the option following the option holder’s death.</w:t>
      </w:r>
    </w:p>
    <w:p>
      <w:pPr>
        <w:spacing w:after="0" w:line="184" w:lineRule="exact"/>
        <w:rPr>
          <w:sz w:val="20"/>
          <w:szCs w:val="20"/>
          <w:color w:val="auto"/>
        </w:rPr>
      </w:pPr>
    </w:p>
    <w:p>
      <w:pPr>
        <w:ind w:right="160" w:firstLine="449"/>
        <w:spacing w:after="0" w:line="255" w:lineRule="auto"/>
        <w:rPr>
          <w:sz w:val="20"/>
          <w:szCs w:val="20"/>
          <w:color w:val="auto"/>
        </w:rPr>
      </w:pPr>
      <w:r>
        <w:rPr>
          <w:rFonts w:ascii="Arial" w:cs="Arial" w:eastAsia="Arial" w:hAnsi="Arial"/>
          <w:sz w:val="18"/>
          <w:szCs w:val="18"/>
          <w:i w:val="1"/>
          <w:iCs w:val="1"/>
          <w:color w:val="auto"/>
        </w:rPr>
        <w:t xml:space="preserve">Tax Limitations on ISOs. </w:t>
      </w:r>
      <w:r>
        <w:rPr>
          <w:rFonts w:ascii="Arial" w:cs="Arial" w:eastAsia="Arial" w:hAnsi="Arial"/>
          <w:sz w:val="18"/>
          <w:szCs w:val="18"/>
          <w:color w:val="auto"/>
        </w:rPr>
        <w:t>The aggregate fair market value, determined at the time of grant, of our common stock with respect to ISOs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exercisable for the first time by an option holder during any calendar year under all of our stock plans may not exceed $100,000. Options or portions thereof that exceed such limit will be treated as NSOs. No ISOs may be granted to any person who, at the time of the grant, owns or is deemed to own stock possessing more than 10% of our total combined voting power or that of any of our parent or subsidiary corporations unless (1) the option exercise price is at least 110% of the fair market value of the stock subject to the option on the date of grant and (2) the term of the ISO does not exceed five years from the date of grant.</w:t>
      </w:r>
    </w:p>
    <w:p>
      <w:pPr>
        <w:spacing w:after="0" w:line="192" w:lineRule="exact"/>
        <w:rPr>
          <w:sz w:val="20"/>
          <w:szCs w:val="20"/>
          <w:color w:val="auto"/>
        </w:rPr>
      </w:pPr>
    </w:p>
    <w:p>
      <w:pPr>
        <w:ind w:right="100" w:firstLine="449"/>
        <w:spacing w:after="0" w:line="293" w:lineRule="auto"/>
        <w:rPr>
          <w:sz w:val="20"/>
          <w:szCs w:val="20"/>
          <w:color w:val="auto"/>
        </w:rPr>
      </w:pPr>
      <w:r>
        <w:rPr>
          <w:rFonts w:ascii="Arial" w:cs="Arial" w:eastAsia="Arial" w:hAnsi="Arial"/>
          <w:sz w:val="16"/>
          <w:szCs w:val="16"/>
          <w:i w:val="1"/>
          <w:iCs w:val="1"/>
          <w:color w:val="auto"/>
        </w:rPr>
        <w:t xml:space="preserve">Restricted Stock Awards. </w:t>
      </w:r>
      <w:r>
        <w:rPr>
          <w:rFonts w:ascii="Arial" w:cs="Arial" w:eastAsia="Arial" w:hAnsi="Arial"/>
          <w:sz w:val="16"/>
          <w:szCs w:val="16"/>
          <w:color w:val="auto"/>
        </w:rPr>
        <w:t>Restricted stock awards are evidenced by restricted stock award agreements adopted by the plan administrator. 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awards may be granted in consideration for (1) cash, check, bank draft, or money order, (2) services rendered to us or our affiliates, or (3) any other form of legal consideration. Common stock acquired under a restricted stock award may, but need not, be subject to a share repurchase option in our favor in accordance with a vesting schedule as determined by the plan administrator. Rights to acquire shares under a restricted stock award may be transferred only upon such terms and conditions as set by the plan administrator. Except as otherwise provided in the applicable award agreement, restricted stock awards that have not vested will be forfeited upon the participant’s cessation of continuous service for any reason.</w:t>
      </w:r>
    </w:p>
    <w:p>
      <w:pPr>
        <w:spacing w:after="0" w:line="164"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i w:val="1"/>
          <w:iCs w:val="1"/>
          <w:color w:val="auto"/>
        </w:rPr>
        <w:t xml:space="preserve">Restricted Stock Unit Awards. </w:t>
      </w:r>
      <w:r>
        <w:rPr>
          <w:rFonts w:ascii="Arial" w:cs="Arial" w:eastAsia="Arial" w:hAnsi="Arial"/>
          <w:sz w:val="18"/>
          <w:szCs w:val="18"/>
          <w:color w:val="auto"/>
        </w:rPr>
        <w:t>RSU awards are evidenced by RSU award agreements adopted by the plan administrator. RSU awards may be granted</w:t>
      </w:r>
      <w:r>
        <w:rPr>
          <w:rFonts w:ascii="Arial" w:cs="Arial" w:eastAsia="Arial" w:hAnsi="Arial"/>
          <w:sz w:val="18"/>
          <w:szCs w:val="18"/>
          <w:i w:val="1"/>
          <w:iCs w:val="1"/>
          <w:color w:val="auto"/>
        </w:rPr>
        <w:t xml:space="preserve"> </w:t>
      </w:r>
      <w:r>
        <w:rPr>
          <w:rFonts w:ascii="Arial" w:cs="Arial" w:eastAsia="Arial" w:hAnsi="Arial"/>
          <w:sz w:val="18"/>
          <w:szCs w:val="18"/>
          <w:color w:val="auto"/>
        </w:rPr>
        <w:t>in consideration for any form of legal consideration or for no</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00"/>
          </w:cols>
          <w:pgMar w:left="320" w:top="459" w:right="3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consideration. An RSU award may be settled by cash, delivery of stock, a combination of cash and stock as deemed appropriate by the plan administrator, or in any other form of consideration set forth in the RSU award agreement. Additionally, dividend equivalents may be credited in respect of shares covered by an RSU award. Rights under an RSU award may be transferred only upon such terms and conditions as set by the plan administrator. RSU awards may be subject to vesting as determined by the plan administrator. Except as otherwise provided in the applicable award agreement, RSUs that have not vested will be forfeited upon the participant’s cessation of continuous service for any reason.</w:t>
      </w:r>
    </w:p>
    <w:p>
      <w:pPr>
        <w:spacing w:after="0" w:line="176" w:lineRule="exact"/>
        <w:rPr>
          <w:sz w:val="20"/>
          <w:szCs w:val="20"/>
          <w:color w:val="auto"/>
        </w:rPr>
      </w:pPr>
    </w:p>
    <w:p>
      <w:pPr>
        <w:ind w:right="80" w:firstLine="449"/>
        <w:spacing w:after="0" w:line="287" w:lineRule="auto"/>
        <w:rPr>
          <w:sz w:val="20"/>
          <w:szCs w:val="20"/>
          <w:color w:val="auto"/>
        </w:rPr>
      </w:pPr>
      <w:r>
        <w:rPr>
          <w:rFonts w:ascii="Arial" w:cs="Arial" w:eastAsia="Arial" w:hAnsi="Arial"/>
          <w:sz w:val="16"/>
          <w:szCs w:val="16"/>
          <w:i w:val="1"/>
          <w:iCs w:val="1"/>
          <w:color w:val="auto"/>
        </w:rPr>
        <w:t xml:space="preserve">Stock Appreciation Rights. </w:t>
      </w:r>
      <w:r>
        <w:rPr>
          <w:rFonts w:ascii="Arial" w:cs="Arial" w:eastAsia="Arial" w:hAnsi="Arial"/>
          <w:sz w:val="16"/>
          <w:szCs w:val="16"/>
          <w:color w:val="auto"/>
        </w:rPr>
        <w:t>Stock appreciation rights are evidenced by stock appreciation grant agreements adopted by the plan administrator. The</w:t>
      </w:r>
      <w:r>
        <w:rPr>
          <w:rFonts w:ascii="Arial" w:cs="Arial" w:eastAsia="Arial" w:hAnsi="Arial"/>
          <w:sz w:val="16"/>
          <w:szCs w:val="16"/>
          <w:i w:val="1"/>
          <w:iCs w:val="1"/>
          <w:color w:val="auto"/>
        </w:rPr>
        <w:t xml:space="preserve"> </w:t>
      </w:r>
      <w:r>
        <w:rPr>
          <w:rFonts w:ascii="Arial" w:cs="Arial" w:eastAsia="Arial" w:hAnsi="Arial"/>
          <w:sz w:val="16"/>
          <w:szCs w:val="16"/>
          <w:color w:val="auto"/>
        </w:rPr>
        <w:t>plan administrator determines the strike price for a stock appreciation right, which generally cannot be less than 100% of the fair market value of our Class A common stock on the date of grant. Upon the exercise of a stock appreciation right, we will pay the participant an amount in cash or stock equal to</w:t>
      </w:r>
    </w:p>
    <w:p>
      <w:pPr>
        <w:spacing w:after="0" w:line="2" w:lineRule="exact"/>
        <w:rPr>
          <w:sz w:val="20"/>
          <w:szCs w:val="20"/>
          <w:color w:val="auto"/>
        </w:rPr>
      </w:pPr>
    </w:p>
    <w:p>
      <w:pPr>
        <w:ind w:right="120" w:firstLine="8"/>
        <w:spacing w:after="0" w:line="255" w:lineRule="auto"/>
        <w:tabs>
          <w:tab w:leader="none" w:pos="2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excess of the per share fair market value of our Class A common stock on the date of exercise over the strike price, multiplied by (2) the number of shares of Class A common stock with respect to which the stock appreciation right is exercised. A stock appreciation right granted under the 2020 Plan vests at the rate specified in the stock appreciation right agreement as determined by the plan administrator.</w:t>
      </w:r>
    </w:p>
    <w:p>
      <w:pPr>
        <w:spacing w:after="0" w:line="190" w:lineRule="exact"/>
        <w:rPr>
          <w:sz w:val="20"/>
          <w:szCs w:val="20"/>
          <w:color w:val="auto"/>
        </w:rPr>
      </w:pPr>
    </w:p>
    <w:p>
      <w:pPr>
        <w:ind w:right="80" w:firstLine="449"/>
        <w:spacing w:after="0" w:line="270" w:lineRule="auto"/>
        <w:rPr>
          <w:sz w:val="20"/>
          <w:szCs w:val="20"/>
          <w:color w:val="auto"/>
        </w:rPr>
      </w:pPr>
      <w:r>
        <w:rPr>
          <w:rFonts w:ascii="Arial" w:cs="Arial" w:eastAsia="Arial" w:hAnsi="Arial"/>
          <w:sz w:val="17"/>
          <w:szCs w:val="17"/>
          <w:color w:val="auto"/>
        </w:rPr>
        <w:t>The plan administrator determines the term of stock appreciation rights granted under the 2020 Plan, up to a maximum of 10 years. Unless the terms of a participant’s stock appreciation right agreement provides otherwise, if a participant’s service relationship with us or any of our affiliates ceases for any reason other than cause, disability or death, the participant may generally exercise any vested stock appreciation right for a period of three months following the cessation of service. The stock appreciation right term will be further extended in the event that exercise of the stock appreciation right following such a termination of service is prohibited by applicable securities laws. If a participant’s service relationship with us, or any of our affiliates, ceases due to disability or death, or a participant dies within a certain period following cessation of service, the participant or a beneficiary may generally exercise any vested stock appreciation right for a period of 12 months in the event of disability and 18 months in the event of death. In the event of a termination for cause, stock appreciation rights generally terminate immediately upon the occurrence of the event giving rise to the termination of the individual for cause. In no event may a stock appreciation right be exercised beyond the expiration of its term.</w:t>
      </w:r>
    </w:p>
    <w:p>
      <w:pPr>
        <w:spacing w:after="0" w:line="181"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Unless the plan administrator provides otherwise, stock appreciation rights generally are not transferable except by will, the laws of descent and distribution, or pursuant to a domestic relations order. A stock appreciation right holder may designate a beneficiary, however, who may exercise the stock appreciation right following the holder’s death.</w:t>
      </w:r>
    </w:p>
    <w:p>
      <w:pPr>
        <w:spacing w:after="0" w:line="184"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i w:val="1"/>
          <w:iCs w:val="1"/>
          <w:color w:val="auto"/>
        </w:rPr>
        <w:t xml:space="preserve">Performance Awards. </w:t>
      </w:r>
      <w:r>
        <w:rPr>
          <w:rFonts w:ascii="Arial" w:cs="Arial" w:eastAsia="Arial" w:hAnsi="Arial"/>
          <w:sz w:val="18"/>
          <w:szCs w:val="18"/>
          <w:color w:val="auto"/>
        </w:rPr>
        <w:t>Our 2020 Plan permits the grant of performance-based stock and cash awards. The performance goals may be any measure of</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selected by our board of directors or a committee thereof for the performance period.</w:t>
      </w:r>
    </w:p>
    <w:p>
      <w:pPr>
        <w:spacing w:after="0" w:line="170" w:lineRule="exact"/>
        <w:rPr>
          <w:sz w:val="20"/>
          <w:szCs w:val="20"/>
          <w:color w:val="auto"/>
        </w:rPr>
      </w:pPr>
    </w:p>
    <w:p>
      <w:pPr>
        <w:ind w:right="20" w:firstLine="449"/>
        <w:spacing w:after="0" w:line="286" w:lineRule="auto"/>
        <w:rPr>
          <w:sz w:val="20"/>
          <w:szCs w:val="20"/>
          <w:color w:val="auto"/>
        </w:rPr>
      </w:pPr>
      <w:r>
        <w:rPr>
          <w:rFonts w:ascii="Arial" w:cs="Arial" w:eastAsia="Arial" w:hAnsi="Arial"/>
          <w:sz w:val="16"/>
          <w:szCs w:val="16"/>
          <w:color w:val="auto"/>
        </w:rPr>
        <w:t>The performance goals may be based on company-wide performance or performance of one or more business units, divisions, affiliates, or business segments, and may be either absolute or relative to the performance of one or more comparable companies or the performance of one or more relevant indices. Unless specified otherwise in the award agreement at the time the award is granted or in such other document setting forth the performance goals at the time the goals are established, we will appropriately make adjustments in the method of calculating the attainment of performance goals as follows:</w:t>
      </w:r>
    </w:p>
    <w:p>
      <w:pPr>
        <w:spacing w:after="0" w:line="1" w:lineRule="exact"/>
        <w:rPr>
          <w:sz w:val="20"/>
          <w:szCs w:val="20"/>
          <w:color w:val="auto"/>
        </w:rPr>
      </w:pPr>
    </w:p>
    <w:p>
      <w:pPr>
        <w:ind w:firstLine="8"/>
        <w:spacing w:after="0" w:line="252" w:lineRule="auto"/>
        <w:tabs>
          <w:tab w:leader="none" w:pos="255"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exclude restructuring and/or other nonrecurring charges; (2) to exclude exchange rate effects; (3) to exclude the effects of changes to generally accepted accounting principles; (4) to exclude the effects of any statutory adjustments to corporate tax rates; (5) to exclude the effects of any items that are unusual in nature or occur infrequently as determined under generally accepted accounting principles; (6) to exclude the dilutive effects of acquisitions or joint ventures; (7) to assume that any business divested by us achieved performance objectives at targeted levels during the balance of a performance period following such divestiture; (8) to exclude the effect of any change in the outstanding shares of our Class A common stock by reason of any stock dividend or split, stock repurchase,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320" w:top="459" w:right="3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reorganization, recapitalization, merger, consolidation, spin-off, combination, or exchange of shares or other similar corporate change, or any distributions to Class A common stockholders other than regular cash dividends; (9) to exclude the effects of stock-based compensation and the award of bonuses under our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 In addition, we retain the discretion to adjust or eliminate the compensation or economic benefit due upon attainment of the goals. The performance goals may differ from participant to participant and from award to award.</w:t>
      </w:r>
    </w:p>
    <w:p>
      <w:pPr>
        <w:spacing w:after="0" w:line="178"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i w:val="1"/>
          <w:iCs w:val="1"/>
          <w:color w:val="auto"/>
        </w:rPr>
        <w:t xml:space="preserve">Other Stock Awards. </w:t>
      </w:r>
      <w:r>
        <w:rPr>
          <w:rFonts w:ascii="Arial" w:cs="Arial" w:eastAsia="Arial" w:hAnsi="Arial"/>
          <w:sz w:val="18"/>
          <w:szCs w:val="18"/>
          <w:color w:val="auto"/>
        </w:rPr>
        <w:t>The plan administrator may grant other awards based in whole or in part by reference to our Class A common stock.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will set the number of shares under the stock award and all other terms and conditions of such awards.</w:t>
      </w:r>
    </w:p>
    <w:p>
      <w:pPr>
        <w:spacing w:after="0" w:line="170"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i w:val="1"/>
          <w:iCs w:val="1"/>
          <w:color w:val="auto"/>
        </w:rPr>
        <w:t xml:space="preserve">Changes to Capital Structure. </w:t>
      </w:r>
      <w:r>
        <w:rPr>
          <w:rFonts w:ascii="Arial" w:cs="Arial" w:eastAsia="Arial" w:hAnsi="Arial"/>
          <w:sz w:val="16"/>
          <w:szCs w:val="16"/>
          <w:color w:val="auto"/>
        </w:rPr>
        <w:t>In the event that there is a specified type of change in our capital structure, such as a stock split or recapitalization,</w:t>
      </w:r>
      <w:r>
        <w:rPr>
          <w:rFonts w:ascii="Arial" w:cs="Arial" w:eastAsia="Arial" w:hAnsi="Arial"/>
          <w:sz w:val="16"/>
          <w:szCs w:val="16"/>
          <w:i w:val="1"/>
          <w:iCs w:val="1"/>
          <w:color w:val="auto"/>
        </w:rPr>
        <w:t xml:space="preserve"> </w:t>
      </w:r>
      <w:r>
        <w:rPr>
          <w:rFonts w:ascii="Arial" w:cs="Arial" w:eastAsia="Arial" w:hAnsi="Arial"/>
          <w:sz w:val="16"/>
          <w:szCs w:val="16"/>
          <w:color w:val="auto"/>
        </w:rPr>
        <w:t>appropriate adjustments will be made to (1) the class and maximum number of shares reserved for issuance under the 2020 Plan, (2) the class and maximum number of shares by which the share reserve may increase automatically each year, (3) the class and number of shares that may be issued upon the exercise of ISOs, and (4) the class and number of shares and exercise price, strike price, or purchase price, if applicable, of all outstanding stock awards.</w:t>
      </w:r>
    </w:p>
    <w:p>
      <w:pPr>
        <w:spacing w:after="0" w:line="157"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i w:val="1"/>
          <w:iCs w:val="1"/>
          <w:color w:val="auto"/>
        </w:rPr>
        <w:t xml:space="preserve">Corporate Transactions. </w:t>
      </w:r>
      <w:r>
        <w:rPr>
          <w:rFonts w:ascii="Arial" w:cs="Arial" w:eastAsia="Arial" w:hAnsi="Arial"/>
          <w:sz w:val="18"/>
          <w:szCs w:val="18"/>
          <w:color w:val="auto"/>
        </w:rPr>
        <w:t>In the event of certain specified significant corporate transactions, the plan administrator has the discretion to take any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actions with respect to stock awards:</w:t>
      </w:r>
    </w:p>
    <w:p>
      <w:pPr>
        <w:spacing w:after="0" w:line="76" w:lineRule="exact"/>
        <w:rPr>
          <w:sz w:val="20"/>
          <w:szCs w:val="20"/>
          <w:color w:val="auto"/>
        </w:rPr>
      </w:pPr>
    </w:p>
    <w:p>
      <w:pPr>
        <w:ind w:left="1000" w:hanging="547"/>
        <w:spacing w:after="0"/>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arrange for the assumption, continuation, or substitution of a stock award by a surviving or acquiring entity or parent company;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arrange for the assignment of any reacquisition or repurchase rights held by us to the surviving or acquiring entity or parent company;</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accelerate the vesting of the stock award and provide for its termination prior to the effective time of the corporate transaction;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arrange for the lapse of any reacquisition or repurchase right held by us;</w:t>
      </w:r>
    </w:p>
    <w:p>
      <w:pPr>
        <w:spacing w:after="0" w:line="130" w:lineRule="exact"/>
        <w:rPr>
          <w:rFonts w:ascii="Arial" w:cs="Arial" w:eastAsia="Arial" w:hAnsi="Arial"/>
          <w:sz w:val="18"/>
          <w:szCs w:val="18"/>
          <w:color w:val="auto"/>
        </w:rPr>
      </w:pPr>
    </w:p>
    <w:p>
      <w:pPr>
        <w:ind w:left="1000" w:right="140" w:hanging="547"/>
        <w:spacing w:after="0" w:line="277" w:lineRule="auto"/>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cancel or arrange for the cancellation of the stock award in exchange for such cash consideration, if any, as our board of directors may deem appropriate; or</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make a payment equal to the excess of (1) the value of the property the participant would have received upon exercise of the stock award over</w:t>
      </w:r>
    </w:p>
    <w:p>
      <w:pPr>
        <w:spacing w:after="0" w:line="46" w:lineRule="exact"/>
        <w:rPr>
          <w:rFonts w:ascii="Arial" w:cs="Arial" w:eastAsia="Arial" w:hAnsi="Arial"/>
          <w:sz w:val="16"/>
          <w:szCs w:val="16"/>
          <w:color w:val="auto"/>
        </w:rPr>
      </w:pPr>
    </w:p>
    <w:p>
      <w:pPr>
        <w:ind w:left="1000"/>
        <w:spacing w:after="0"/>
        <w:rPr>
          <w:rFonts w:ascii="Arial" w:cs="Arial" w:eastAsia="Arial" w:hAnsi="Arial"/>
          <w:sz w:val="16"/>
          <w:szCs w:val="16"/>
          <w:color w:val="auto"/>
        </w:rPr>
      </w:pPr>
      <w:r>
        <w:rPr>
          <w:rFonts w:ascii="Arial" w:cs="Arial" w:eastAsia="Arial" w:hAnsi="Arial"/>
          <w:sz w:val="18"/>
          <w:szCs w:val="18"/>
          <w:color w:val="auto"/>
        </w:rPr>
        <w:t>(2) the exercise price or strike price otherwise payable in connection with the stock award.</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plan administrator is not obligated to treat all stock awards, even those that are of the same type, in the same manner.</w:t>
      </w:r>
    </w:p>
    <w:p>
      <w:pPr>
        <w:spacing w:after="0" w:line="225"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Under the 2020 Plan, a significant corporate transaction is generally the consummation of (1) a sale or other disposition of all or substantially all of our consolidated assets, (2) a sale or other disposition of at least 50% of our outstanding securities, (3) a merger, consolidation, or similar transaction following which we are not the surviving corporation, or (4) a merger, consolidation, or similar transaction following which we are the surviving corporation but the shares of our common stock outstanding immediately prior to such transaction are converted or exchanged into other property by virtue of the transaction.</w:t>
      </w:r>
    </w:p>
    <w:p>
      <w:pPr>
        <w:spacing w:after="0" w:line="188" w:lineRule="exact"/>
        <w:rPr>
          <w:sz w:val="20"/>
          <w:szCs w:val="20"/>
          <w:color w:val="auto"/>
        </w:rPr>
      </w:pPr>
    </w:p>
    <w:p>
      <w:pPr>
        <w:jc w:val="both"/>
        <w:ind w:right="180" w:firstLine="449"/>
        <w:spacing w:after="0" w:line="311" w:lineRule="auto"/>
        <w:rPr>
          <w:sz w:val="20"/>
          <w:szCs w:val="20"/>
          <w:color w:val="auto"/>
        </w:rPr>
      </w:pPr>
      <w:r>
        <w:rPr>
          <w:rFonts w:ascii="Arial" w:cs="Arial" w:eastAsia="Arial" w:hAnsi="Arial"/>
          <w:sz w:val="16"/>
          <w:szCs w:val="16"/>
          <w:i w:val="1"/>
          <w:iCs w:val="1"/>
          <w:color w:val="auto"/>
        </w:rPr>
        <w:t xml:space="preserve">Change in Control. </w:t>
      </w:r>
      <w:r>
        <w:rPr>
          <w:rFonts w:ascii="Arial" w:cs="Arial" w:eastAsia="Arial" w:hAnsi="Arial"/>
          <w:sz w:val="16"/>
          <w:szCs w:val="16"/>
          <w:color w:val="auto"/>
        </w:rPr>
        <w:t>The plan administrator may provide, in an individual award agreement or in any other written agreement between a participant</w:t>
      </w:r>
      <w:r>
        <w:rPr>
          <w:rFonts w:ascii="Arial" w:cs="Arial" w:eastAsia="Arial" w:hAnsi="Arial"/>
          <w:sz w:val="16"/>
          <w:szCs w:val="16"/>
          <w:i w:val="1"/>
          <w:iCs w:val="1"/>
          <w:color w:val="auto"/>
        </w:rPr>
        <w:t xml:space="preserve"> </w:t>
      </w:r>
      <w:r>
        <w:rPr>
          <w:rFonts w:ascii="Arial" w:cs="Arial" w:eastAsia="Arial" w:hAnsi="Arial"/>
          <w:sz w:val="16"/>
          <w:szCs w:val="16"/>
          <w:color w:val="auto"/>
        </w:rPr>
        <w:t>and us, that the stock award will be subject to additional acceleration of vesting and exercisability or settlement in the event of a change in control. Under the 2020 Plan, a change in control is generally (1) the acquisition by a person or entity of more than 50% of our combined voting power</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459" w:right="3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other than by merger, consolidation, or similar transaction, (2) a consummated merger, consolidation, or similar transaction immediately after which our stockholders cease to own more than 50% of the combined voting power of the surviving entity, (3) a consummated sale, lease, or exclusive license or other disposition of all or substantially all of our consolidated assets, and (4) certain dissolutions, liquidations, and changes in the board of directors.</w:t>
      </w:r>
    </w:p>
    <w:p>
      <w:pPr>
        <w:spacing w:after="0" w:line="149" w:lineRule="exact"/>
        <w:rPr>
          <w:sz w:val="20"/>
          <w:szCs w:val="20"/>
          <w:color w:val="auto"/>
        </w:rPr>
      </w:pPr>
    </w:p>
    <w:p>
      <w:pPr>
        <w:jc w:val="both"/>
        <w:ind w:right="60" w:firstLine="449"/>
        <w:spacing w:after="0" w:line="311" w:lineRule="auto"/>
        <w:rPr>
          <w:sz w:val="20"/>
          <w:szCs w:val="20"/>
          <w:color w:val="auto"/>
        </w:rPr>
      </w:pPr>
      <w:r>
        <w:rPr>
          <w:rFonts w:ascii="Arial" w:cs="Arial" w:eastAsia="Arial" w:hAnsi="Arial"/>
          <w:sz w:val="16"/>
          <w:szCs w:val="16"/>
          <w:i w:val="1"/>
          <w:iCs w:val="1"/>
          <w:color w:val="auto"/>
        </w:rPr>
        <w:t xml:space="preserve">Amendment and Termination. </w:t>
      </w:r>
      <w:r>
        <w:rPr>
          <w:rFonts w:ascii="Arial" w:cs="Arial" w:eastAsia="Arial" w:hAnsi="Arial"/>
          <w:sz w:val="16"/>
          <w:szCs w:val="16"/>
          <w:color w:val="auto"/>
        </w:rPr>
        <w:t>Our board of directors has the authority to amend, suspend, or terminate our 2020 Plan, provided that such action does</w:t>
      </w:r>
      <w:r>
        <w:rPr>
          <w:rFonts w:ascii="Arial" w:cs="Arial" w:eastAsia="Arial" w:hAnsi="Arial"/>
          <w:sz w:val="16"/>
          <w:szCs w:val="16"/>
          <w:i w:val="1"/>
          <w:iCs w:val="1"/>
          <w:color w:val="auto"/>
        </w:rPr>
        <w:t xml:space="preserve"> </w:t>
      </w:r>
      <w:r>
        <w:rPr>
          <w:rFonts w:ascii="Arial" w:cs="Arial" w:eastAsia="Arial" w:hAnsi="Arial"/>
          <w:sz w:val="16"/>
          <w:szCs w:val="16"/>
          <w:color w:val="auto"/>
        </w:rPr>
        <w:t>not materially impair the existing rights of any participant without such participant’s written consent and provided further that certain types of amendments will require the approval of our stockholders. No ISOs may be granted after the tenth anniversary of the date our board of directors adopts our 2020 Plan.</w:t>
      </w:r>
    </w:p>
    <w:p>
      <w:pPr>
        <w:spacing w:after="0" w:line="2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2009 Stock Plan</w:t>
      </w:r>
    </w:p>
    <w:p>
      <w:pPr>
        <w:spacing w:after="0" w:line="117" w:lineRule="exact"/>
        <w:rPr>
          <w:sz w:val="20"/>
          <w:szCs w:val="20"/>
          <w:color w:val="auto"/>
        </w:rPr>
      </w:pPr>
    </w:p>
    <w:p>
      <w:pPr>
        <w:ind w:right="200" w:firstLine="449"/>
        <w:spacing w:after="0" w:line="272" w:lineRule="auto"/>
        <w:rPr>
          <w:sz w:val="20"/>
          <w:szCs w:val="20"/>
          <w:color w:val="auto"/>
        </w:rPr>
      </w:pPr>
      <w:r>
        <w:rPr>
          <w:rFonts w:ascii="Arial" w:cs="Arial" w:eastAsia="Arial" w:hAnsi="Arial"/>
          <w:sz w:val="17"/>
          <w:szCs w:val="17"/>
          <w:color w:val="auto"/>
        </w:rPr>
        <w:t>Our board of directors adopted our 2009 Stock Plan on February 4, 2009, which our stockholders approved on the same date, and which has been amended from time to time thereafter. Our 2009 Stock Plan provides for the grant of incentive stock options under Section 422 of the Code to our employees (and those of our subsidiaries) and for the grant of nonstatutory stock options and restricted stock to our employees, directors, and consultants (and those of our subsidiaries). We primarily granted stock options under our 2009 Stock Plan, though we have granted restricted stock under our 2009 Stock Plan as well. We ceased issuing awards under our 2009 Stock Plan upon the implementation of the 2012 Plan, which is described below. However, any outstanding awards granted under our 2009 Stock Plan remain outstanding, subject to the terms of our 2009 Stock Plan and applicable award agreements, until they are exercised or terminated, or until they expire by their terms.</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Amended and Restated 2012 Stock Plan</w:t>
      </w:r>
    </w:p>
    <w:p>
      <w:pPr>
        <w:spacing w:after="0" w:line="117"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Our board of directors adopted, and our stockholders approved, the 2012 Plan in July 2012. The 2012 Plan has been periodically amended</w:t>
      </w:r>
      <w:r>
        <w:rPr>
          <w:rFonts w:ascii="Arial" w:cs="Arial" w:eastAsia="Arial" w:hAnsi="Arial"/>
          <w:sz w:val="18"/>
          <w:szCs w:val="18"/>
          <w:i w:val="1"/>
          <w:iCs w:val="1"/>
          <w:color w:val="auto"/>
        </w:rPr>
        <w:t xml:space="preserve"> </w:t>
      </w:r>
      <w:r>
        <w:rPr>
          <w:rFonts w:ascii="Arial" w:cs="Arial" w:eastAsia="Arial" w:hAnsi="Arial"/>
          <w:sz w:val="18"/>
          <w:szCs w:val="18"/>
          <w:color w:val="auto"/>
        </w:rPr>
        <w:t>and was most recently amended and restated in September 2019. The 2012 Plan will be terminated in connection with, and contingent upon, the effectiveness of the registration statement of which this prospectus forms a part. All outstanding awards granted under the 2012 Plan will remain subject to the terms of the 2012 Plan.</w:t>
      </w:r>
    </w:p>
    <w:p>
      <w:pPr>
        <w:spacing w:after="0" w:line="18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i w:val="1"/>
          <w:iCs w:val="1"/>
          <w:color w:val="auto"/>
        </w:rPr>
        <w:t>Share Reserve</w:t>
      </w:r>
      <w:r>
        <w:rPr>
          <w:rFonts w:ascii="Arial" w:cs="Arial" w:eastAsia="Arial" w:hAnsi="Arial"/>
          <w:sz w:val="18"/>
          <w:szCs w:val="18"/>
          <w:color w:val="auto"/>
        </w:rPr>
        <w:t>. Under our 2012 Plan, we have reserved for issuance an aggregate of 52,299,254 shares of our Class A common stock. In general, if an</w:t>
      </w:r>
      <w:r>
        <w:rPr>
          <w:rFonts w:ascii="Arial" w:cs="Arial" w:eastAsia="Arial" w:hAnsi="Arial"/>
          <w:sz w:val="18"/>
          <w:szCs w:val="18"/>
          <w:i w:val="1"/>
          <w:iCs w:val="1"/>
          <w:color w:val="auto"/>
        </w:rPr>
        <w:t xml:space="preserve"> </w:t>
      </w:r>
      <w:r>
        <w:rPr>
          <w:rFonts w:ascii="Arial" w:cs="Arial" w:eastAsia="Arial" w:hAnsi="Arial"/>
          <w:sz w:val="18"/>
          <w:szCs w:val="18"/>
          <w:color w:val="auto"/>
        </w:rPr>
        <w:t>award granted under our 2012 Plan is canceled or terminated or otherwise forfeited by a participant, then the number of shares underlying such award will again become available for awards under the 2012 Plan. Following the effectiveness of our 2020 Plan, such shares will again become available for awards under our 2020 Plan.</w:t>
      </w:r>
    </w:p>
    <w:p>
      <w:pPr>
        <w:spacing w:after="0" w:line="187" w:lineRule="exact"/>
        <w:rPr>
          <w:sz w:val="20"/>
          <w:szCs w:val="20"/>
          <w:color w:val="auto"/>
        </w:rPr>
      </w:pPr>
    </w:p>
    <w:p>
      <w:pPr>
        <w:ind w:right="520" w:firstLine="449"/>
        <w:spacing w:after="0" w:line="259" w:lineRule="auto"/>
        <w:rPr>
          <w:sz w:val="20"/>
          <w:szCs w:val="20"/>
          <w:color w:val="auto"/>
        </w:rPr>
      </w:pPr>
      <w:r>
        <w:rPr>
          <w:rFonts w:ascii="Arial" w:cs="Arial" w:eastAsia="Arial" w:hAnsi="Arial"/>
          <w:sz w:val="18"/>
          <w:szCs w:val="18"/>
          <w:i w:val="1"/>
          <w:iCs w:val="1"/>
          <w:color w:val="auto"/>
        </w:rPr>
        <w:t xml:space="preserve">Type of Awards. </w:t>
      </w:r>
      <w:r>
        <w:rPr>
          <w:rFonts w:ascii="Arial" w:cs="Arial" w:eastAsia="Arial" w:hAnsi="Arial"/>
          <w:sz w:val="18"/>
          <w:szCs w:val="18"/>
          <w:color w:val="auto"/>
        </w:rPr>
        <w:t>The 2012 Plan provides for the grant of incentive stock options, nonstatutory stock options, restricted shares, and RSUs to our</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and employees of any parent or our subsidiary or affiliate companies, our directors, and to consultants engaged by us, any parent, or our subsidiary or affiliate companies; provided that incentive stock options may only be granted to our employees and employees of any parent or our subsidiary companies.</w:t>
      </w:r>
    </w:p>
    <w:p>
      <w:pPr>
        <w:spacing w:after="0" w:line="187" w:lineRule="exact"/>
        <w:rPr>
          <w:sz w:val="20"/>
          <w:szCs w:val="20"/>
          <w:color w:val="auto"/>
        </w:rPr>
      </w:pPr>
    </w:p>
    <w:p>
      <w:pPr>
        <w:ind w:right="140" w:firstLine="449"/>
        <w:spacing w:after="0" w:line="273" w:lineRule="auto"/>
        <w:rPr>
          <w:sz w:val="20"/>
          <w:szCs w:val="20"/>
          <w:color w:val="auto"/>
        </w:rPr>
      </w:pPr>
      <w:r>
        <w:rPr>
          <w:rFonts w:ascii="Arial" w:cs="Arial" w:eastAsia="Arial" w:hAnsi="Arial"/>
          <w:sz w:val="17"/>
          <w:szCs w:val="17"/>
          <w:i w:val="1"/>
          <w:iCs w:val="1"/>
          <w:color w:val="auto"/>
        </w:rPr>
        <w:t>Stock Options</w:t>
      </w:r>
      <w:r>
        <w:rPr>
          <w:rFonts w:ascii="Arial" w:cs="Arial" w:eastAsia="Arial" w:hAnsi="Arial"/>
          <w:sz w:val="17"/>
          <w:szCs w:val="17"/>
          <w:color w:val="auto"/>
        </w:rPr>
        <w:t>. The plan administrator may grant incentive and/or non-statutory stock options under our 2012 Plan, provided that incentive stock</w:t>
      </w:r>
      <w:r>
        <w:rPr>
          <w:rFonts w:ascii="Arial" w:cs="Arial" w:eastAsia="Arial" w:hAnsi="Arial"/>
          <w:sz w:val="17"/>
          <w:szCs w:val="17"/>
          <w:i w:val="1"/>
          <w:iCs w:val="1"/>
          <w:color w:val="auto"/>
        </w:rPr>
        <w:t xml:space="preserve"> </w:t>
      </w:r>
      <w:r>
        <w:rPr>
          <w:rFonts w:ascii="Arial" w:cs="Arial" w:eastAsia="Arial" w:hAnsi="Arial"/>
          <w:sz w:val="17"/>
          <w:szCs w:val="17"/>
          <w:color w:val="auto"/>
        </w:rPr>
        <w:t>options are only granted to employees. The exercise price of such options must generally be equal to at least the fair market value of our Class A common stock on the date of grant. The term of an option must not exceed 10 years; provided, however, that an incentive stock option held by a participant who owns more than 10% of the total combined voting power of all classes of our stock, or of certain of our subsidiary corporations, must not have a term in excess of five years and must have an exercise price of at least 110% of the fair market value of our Class A common stock on the grant date. The plan administrator determines the methods of payment of the exercise price of an option. In addition, the plan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40"/>
          </w:cols>
          <w:pgMar w:left="320" w:top="459" w:right="3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administrator determines the vesting schedule applicable to options, together with any vesting acceleration, and the terms of the option agreements for use under our 2012 Plan. After the termination of service of an employee, director, or consultant, the participant may exercise his or her option, to the extent vested, for the period of time stated in his or her option agreement. Generally, if termination is due to death or disability, the option will remain exercisable for 12 months. Options generally terminate immediately upon the termination of the participant for cause. In all other cases, the option will generally remain exercisable for three months following the termination of service. However, in no event may an option be exercised later than the expiration of its term.</w:t>
      </w:r>
    </w:p>
    <w:p>
      <w:pPr>
        <w:spacing w:after="0" w:line="192" w:lineRule="exact"/>
        <w:rPr>
          <w:sz w:val="20"/>
          <w:szCs w:val="20"/>
          <w:color w:val="auto"/>
        </w:rPr>
      </w:pPr>
    </w:p>
    <w:p>
      <w:pPr>
        <w:ind w:right="180" w:firstLine="449"/>
        <w:spacing w:after="0" w:line="254" w:lineRule="auto"/>
        <w:rPr>
          <w:sz w:val="20"/>
          <w:szCs w:val="20"/>
          <w:color w:val="auto"/>
        </w:rPr>
      </w:pPr>
      <w:r>
        <w:rPr>
          <w:rFonts w:ascii="Arial" w:cs="Arial" w:eastAsia="Arial" w:hAnsi="Arial"/>
          <w:sz w:val="18"/>
          <w:szCs w:val="18"/>
          <w:i w:val="1"/>
          <w:iCs w:val="1"/>
          <w:color w:val="auto"/>
        </w:rPr>
        <w:t>Restricted Stock</w:t>
      </w:r>
      <w:r>
        <w:rPr>
          <w:rFonts w:ascii="Arial" w:cs="Arial" w:eastAsia="Arial" w:hAnsi="Arial"/>
          <w:sz w:val="18"/>
          <w:szCs w:val="18"/>
          <w:color w:val="auto"/>
        </w:rPr>
        <w:t>. Restricted stock may be granted under our 2012 Plan. Restricted stock awards are grants of shares of our Class A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 subject to various restrictions, including restrictions on transferability and forfeiture provisions. Shares of restricted stock will vest and the restrictions on such shares will lapse in accordance with terms and conditions established by the plan administrator. The plan administrator, in its sole discretion, may accelerate the time at which any restrictions will lapse or be removed. Recipients of restricted stock awards generally will have the same rights as other stockholders with respect to such shares upon grant without regard to vesting, subject to any applicable agreements. Shares of restricted stock that do not vest for any reason will be subject to our right of repurchase or forfeited by the recipient and will revert to us. The specific terms will be set forth in an award agreement.</w:t>
      </w:r>
    </w:p>
    <w:p>
      <w:pPr>
        <w:spacing w:after="0" w:line="195"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i w:val="1"/>
          <w:iCs w:val="1"/>
          <w:color w:val="auto"/>
        </w:rPr>
        <w:t>Restricted Stock Units</w:t>
      </w:r>
      <w:r>
        <w:rPr>
          <w:rFonts w:ascii="Arial" w:cs="Arial" w:eastAsia="Arial" w:hAnsi="Arial"/>
          <w:sz w:val="17"/>
          <w:szCs w:val="17"/>
          <w:color w:val="auto"/>
        </w:rPr>
        <w:t>. RSUs may be granted under our 2012 Plan. Each RSU granted is a bookkeeping entry representing an amount equal to the</w:t>
      </w:r>
      <w:r>
        <w:rPr>
          <w:rFonts w:ascii="Arial" w:cs="Arial" w:eastAsia="Arial" w:hAnsi="Arial"/>
          <w:sz w:val="17"/>
          <w:szCs w:val="17"/>
          <w:i w:val="1"/>
          <w:iCs w:val="1"/>
          <w:color w:val="auto"/>
        </w:rPr>
        <w:t xml:space="preserve"> </w:t>
      </w:r>
      <w:r>
        <w:rPr>
          <w:rFonts w:ascii="Arial" w:cs="Arial" w:eastAsia="Arial" w:hAnsi="Arial"/>
          <w:sz w:val="17"/>
          <w:szCs w:val="17"/>
          <w:color w:val="auto"/>
        </w:rPr>
        <w:t>fair market value of one share of our Class A common stock. The administrator determines the terms and conditions of RSUs, including the vesting criteria, which may include achievement of specified performance criteria and/or continued service, and the form and timing of payment. The administrator, in its sole discretion, may accelerate the time at which any restrictions will lapse or be removed. The administrator determines, in its sole discretion, whether an award will be settled in stock, cash, or a combination of both. The specific terms will be set forth in an award agreement.</w:t>
      </w:r>
    </w:p>
    <w:p>
      <w:pPr>
        <w:spacing w:after="0" w:line="176"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i w:val="1"/>
          <w:iCs w:val="1"/>
          <w:color w:val="auto"/>
        </w:rPr>
        <w:t xml:space="preserve">Plan Administration. </w:t>
      </w:r>
      <w:r>
        <w:rPr>
          <w:rFonts w:ascii="Arial" w:cs="Arial" w:eastAsia="Arial" w:hAnsi="Arial"/>
          <w:sz w:val="18"/>
          <w:szCs w:val="18"/>
          <w:color w:val="auto"/>
        </w:rPr>
        <w:t>Our board of directors, or a committee appointed by our board of directors (referred to as the plan administrator for purposes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2012 Plan), administers and interprets the provisions of the 2012 Plan. Under the 2012 Plan, the plan administrator has the authority to, among other things, accelerate the vesting of awards and institute and determine the terms of an option exchange program under which outstanding stock options are exchanged for stock options with a lower exercise price or restricted stock or are amended to decrease the exercise price as a result of a decline in the fair market value of our Class A common stock.</w:t>
      </w:r>
    </w:p>
    <w:p>
      <w:pPr>
        <w:spacing w:after="0" w:line="188" w:lineRule="exact"/>
        <w:rPr>
          <w:sz w:val="20"/>
          <w:szCs w:val="20"/>
          <w:color w:val="auto"/>
        </w:rPr>
      </w:pPr>
    </w:p>
    <w:p>
      <w:pPr>
        <w:jc w:val="both"/>
        <w:ind w:right="120" w:firstLine="449"/>
        <w:spacing w:after="0" w:line="263" w:lineRule="auto"/>
        <w:rPr>
          <w:sz w:val="20"/>
          <w:szCs w:val="20"/>
          <w:color w:val="auto"/>
        </w:rPr>
      </w:pPr>
      <w:r>
        <w:rPr>
          <w:rFonts w:ascii="Arial" w:cs="Arial" w:eastAsia="Arial" w:hAnsi="Arial"/>
          <w:sz w:val="18"/>
          <w:szCs w:val="18"/>
          <w:i w:val="1"/>
          <w:iCs w:val="1"/>
          <w:color w:val="auto"/>
        </w:rPr>
        <w:t>Changes to Capital Structure</w:t>
      </w:r>
      <w:r>
        <w:rPr>
          <w:rFonts w:ascii="Arial" w:cs="Arial" w:eastAsia="Arial" w:hAnsi="Arial"/>
          <w:sz w:val="18"/>
          <w:szCs w:val="18"/>
          <w:color w:val="auto"/>
        </w:rPr>
        <w:t>. In the event of certain corporate events or changes in our capitalization, the plan administrator will make adjustments</w:t>
      </w:r>
      <w:r>
        <w:rPr>
          <w:rFonts w:ascii="Arial" w:cs="Arial" w:eastAsia="Arial" w:hAnsi="Arial"/>
          <w:sz w:val="18"/>
          <w:szCs w:val="18"/>
          <w:i w:val="1"/>
          <w:iCs w:val="1"/>
          <w:color w:val="auto"/>
        </w:rPr>
        <w:t xml:space="preserve"> </w:t>
      </w:r>
      <w:r>
        <w:rPr>
          <w:rFonts w:ascii="Arial" w:cs="Arial" w:eastAsia="Arial" w:hAnsi="Arial"/>
          <w:sz w:val="18"/>
          <w:szCs w:val="18"/>
          <w:color w:val="auto"/>
        </w:rPr>
        <w:t>to one or more of the number and class of shares that may be delivered under the 2012 Plan and/or the number, class, and price of shares covered by each outstanding award.</w:t>
      </w:r>
    </w:p>
    <w:p>
      <w:pPr>
        <w:spacing w:after="0" w:line="184"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i w:val="1"/>
          <w:iCs w:val="1"/>
          <w:color w:val="auto"/>
        </w:rPr>
        <w:t>Dissolution or liquidation</w:t>
      </w:r>
      <w:r>
        <w:rPr>
          <w:rFonts w:ascii="Arial" w:cs="Arial" w:eastAsia="Arial" w:hAnsi="Arial"/>
          <w:sz w:val="18"/>
          <w:szCs w:val="18"/>
          <w:color w:val="auto"/>
        </w:rPr>
        <w:t>. In the event of our dissolution or liquidation, each award will terminate immediately prior to the consummation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action, unless otherwise determined by the plan administrator.</w:t>
      </w:r>
    </w:p>
    <w:p>
      <w:pPr>
        <w:spacing w:after="0" w:line="170" w:lineRule="exact"/>
        <w:rPr>
          <w:sz w:val="20"/>
          <w:szCs w:val="20"/>
          <w:color w:val="auto"/>
        </w:rPr>
      </w:pPr>
    </w:p>
    <w:p>
      <w:pPr>
        <w:ind w:right="60" w:firstLine="449"/>
        <w:spacing w:after="0" w:line="286" w:lineRule="auto"/>
        <w:rPr>
          <w:sz w:val="20"/>
          <w:szCs w:val="20"/>
          <w:color w:val="auto"/>
        </w:rPr>
      </w:pPr>
      <w:r>
        <w:rPr>
          <w:rFonts w:ascii="Arial" w:cs="Arial" w:eastAsia="Arial" w:hAnsi="Arial"/>
          <w:sz w:val="16"/>
          <w:szCs w:val="16"/>
          <w:i w:val="1"/>
          <w:iCs w:val="1"/>
          <w:color w:val="auto"/>
        </w:rPr>
        <w:t xml:space="preserve">Corporate Transactions. </w:t>
      </w:r>
      <w:r>
        <w:rPr>
          <w:rFonts w:ascii="Arial" w:cs="Arial" w:eastAsia="Arial" w:hAnsi="Arial"/>
          <w:sz w:val="16"/>
          <w:szCs w:val="16"/>
          <w:color w:val="auto"/>
        </w:rPr>
        <w:t>In the event of (1) a transfer of all or substantially all of our assets, (2) a merger, consolidation, or other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reorganization or business combination of us with or into another corporation, entity, or person, or (3) the consummation of a transaction, or series of related transactions, in which any person becomes the beneficial owner, directly or indirectly, of more than 50% of our then outstanding capital stock, each outstanding award shall be treated as the plan administrator determines. Such determination may provide that such outstanding awards will be</w:t>
      </w:r>
    </w:p>
    <w:p>
      <w:pPr>
        <w:spacing w:after="0" w:line="1" w:lineRule="exact"/>
        <w:rPr>
          <w:sz w:val="20"/>
          <w:szCs w:val="20"/>
          <w:color w:val="auto"/>
        </w:rPr>
      </w:pPr>
    </w:p>
    <w:p>
      <w:pPr>
        <w:ind w:right="120" w:firstLine="8"/>
        <w:spacing w:after="0" w:line="253" w:lineRule="auto"/>
        <w:tabs>
          <w:tab w:leader="none" w:pos="255"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continued if we are the surviving corporation, (2) assumed by the surviving corporation or its parent, (3) substituted by the surviving corporation or its parent for a new award, (4) canceled in exchange for a payment equal to the excess of the fair market value of our shares subject to such award over the exercise price or purchase price paid for such shares, if any, or if such award is “underwater,” canceled for no consideration, or (5) canceled for no consideration.</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20"/>
          </w:cols>
          <w:pgMar w:left="320" w:top="459" w:right="3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i w:val="1"/>
          <w:iCs w:val="1"/>
          <w:color w:val="auto"/>
        </w:rPr>
        <w:t>Amendment or Termination</w:t>
      </w:r>
      <w:r>
        <w:rPr>
          <w:rFonts w:ascii="Arial" w:cs="Arial" w:eastAsia="Arial" w:hAnsi="Arial"/>
          <w:sz w:val="18"/>
          <w:szCs w:val="18"/>
          <w:color w:val="auto"/>
        </w:rPr>
        <w:t>. Our board of directors may at any time amend or terminate the 2012 Plan, provided such action does not materially and</w:t>
      </w:r>
      <w:r>
        <w:rPr>
          <w:rFonts w:ascii="Arial" w:cs="Arial" w:eastAsia="Arial" w:hAnsi="Arial"/>
          <w:sz w:val="18"/>
          <w:szCs w:val="18"/>
          <w:i w:val="1"/>
          <w:iCs w:val="1"/>
          <w:color w:val="auto"/>
        </w:rPr>
        <w:t xml:space="preserve"> </w:t>
      </w:r>
      <w:r>
        <w:rPr>
          <w:rFonts w:ascii="Arial" w:cs="Arial" w:eastAsia="Arial" w:hAnsi="Arial"/>
          <w:sz w:val="18"/>
          <w:szCs w:val="18"/>
          <w:color w:val="auto"/>
        </w:rPr>
        <w:t>adversely affect the rights of any participant without his or her consent.</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401(k) Plan</w:t>
      </w:r>
    </w:p>
    <w:p>
      <w:pPr>
        <w:spacing w:after="0" w:line="117"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We maintain a 401(k) plan that provides eligible U.S. employees with an opportunity to save for retirement on a tax advantaged basis. Eligible employees are able to defer compensation up to certain limits imposed by the Code. We have the ability to make matching and discretionary contributions to the 401(k) plan. Currently, we do not make matching contributions or discretionary contributions to the 401(k) plan. The 401(k) plan is intended to be qualified under Section 401(a) of the Code, with the related trust intended to be tax exempt under Section 501(a) of the Code. As a tax-qualified retirement plan, and contributions and earnings on those amounts are generally not taxable to a participating employee until withdrawn or distributed from the 401(k) plan.</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Limitations of Liability and Indemnification Matters</w:t>
      </w:r>
    </w:p>
    <w:p>
      <w:pPr>
        <w:spacing w:after="0" w:line="117"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Following the effectiveness of the registration statement of which this prospectus forms a part, our amended and restated certificate of incorporation will contain provisions that limit the liability of our current and former directors for monetary damages to the fullest extent permitted by Delaware law. Delaware law provides that directors of a corporation will not be personally liable for monetary damages for any breach of fiduciary duties as directors, except liability for:</w:t>
      </w:r>
    </w:p>
    <w:p>
      <w:pPr>
        <w:spacing w:after="0" w:line="92" w:lineRule="exact"/>
        <w:rPr>
          <w:sz w:val="20"/>
          <w:szCs w:val="20"/>
          <w:color w:val="auto"/>
        </w:rPr>
      </w:pPr>
    </w:p>
    <w:p>
      <w:pPr>
        <w:ind w:left="1000" w:hanging="547"/>
        <w:spacing w:after="0"/>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corporation or its stockholders;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or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Such limitation of liability does not apply to liabilities arising under federal securities laws and does not affect the availability of equitable remedies such as injunctive relief or rescission.</w:t>
      </w:r>
    </w:p>
    <w:p>
      <w:pPr>
        <w:spacing w:after="0" w:line="170" w:lineRule="exact"/>
        <w:rPr>
          <w:sz w:val="20"/>
          <w:szCs w:val="20"/>
          <w:color w:val="auto"/>
        </w:rPr>
      </w:pPr>
    </w:p>
    <w:p>
      <w:pPr>
        <w:ind w:firstLine="449"/>
        <w:spacing w:after="0" w:line="268" w:lineRule="auto"/>
        <w:rPr>
          <w:sz w:val="20"/>
          <w:szCs w:val="20"/>
          <w:color w:val="auto"/>
        </w:rPr>
      </w:pPr>
      <w:r>
        <w:rPr>
          <w:rFonts w:ascii="Arial" w:cs="Arial" w:eastAsia="Arial" w:hAnsi="Arial"/>
          <w:sz w:val="17"/>
          <w:szCs w:val="17"/>
          <w:color w:val="auto"/>
        </w:rPr>
        <w:t>Our amended and restated certificate of incorporation that will be in effect following the effectiveness of the registration statement of which this prospectus forms a part will authorize us to indemnify our directors, officers, employees, and other agents to the fullest extent permitted by Delaware law. Our amended and restated bylaws that will be in effect following the effectiveness of the registration statement of which this prospectus forms a part will provide that we are required to indemnify our directors and officers to the fullest extent permitted by Delaware law and may indemnify our other employees and agents. Our amended and restated bylaws that will be in effect following the effectiveness of the registration statement of which this prospectus forms a part will also provide that, on satisfaction of certain conditions, we will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and executive officers. With certain exceptions, these agreements provide for indemnification for related expenses, including attorneys’ fees, judgments, fines, and settlement amounts incurred by any of these individuals in connection with any action, proceeding, or investigation. We believe that these amended and restated certificate of incorporation and amended and restated bylaw provisions and indemnification agreements are necessary to attract and retain qualified persons as directors and officers. We also maintain customary directors’ and officers’ liability insurance.</w:t>
      </w:r>
    </w:p>
    <w:p>
      <w:pPr>
        <w:spacing w:after="0" w:line="186"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The limitation of liability and indemnification provisions in our amended and restated certificate of incorporation and amended and restated bylaws may discourage stockholders from bringing a lawsuit against our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00"/>
          </w:cols>
          <w:pgMar w:left="320" w:top="459" w:right="3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65"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60"/>
          </w:cols>
          <w:pgMar w:left="320" w:top="459" w:right="41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right="100" w:firstLine="449"/>
        <w:spacing w:after="0" w:line="286" w:lineRule="auto"/>
        <w:rPr>
          <w:sz w:val="20"/>
          <w:szCs w:val="20"/>
          <w:color w:val="auto"/>
        </w:rPr>
      </w:pPr>
      <w:r>
        <w:rPr>
          <w:rFonts w:ascii="Arial" w:cs="Arial" w:eastAsia="Arial" w:hAnsi="Arial"/>
          <w:sz w:val="17"/>
          <w:szCs w:val="17"/>
          <w:color w:val="auto"/>
        </w:rPr>
        <w:t>In addition to the compensation arrangements, including employment and termination of employment arrangements and indemnification agreements described in “Executive Compensation” and the registration rights described in “Description of Capital Stock—Registration Rights,” the following is a description of each transaction since February 1, 2017 and each currently proposed transaction in which:</w:t>
      </w:r>
    </w:p>
    <w:p>
      <w:pPr>
        <w:spacing w:after="0" w:line="71" w:lineRule="exact"/>
        <w:rPr>
          <w:sz w:val="20"/>
          <w:szCs w:val="20"/>
          <w:color w:val="auto"/>
        </w:rPr>
      </w:pPr>
    </w:p>
    <w:p>
      <w:pPr>
        <w:ind w:left="1000" w:hanging="547"/>
        <w:spacing w:after="0"/>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amount involved exceeds $120,000; and</w:t>
      </w:r>
    </w:p>
    <w:p>
      <w:pPr>
        <w:spacing w:after="0" w:line="130" w:lineRule="exact"/>
        <w:rPr>
          <w:rFonts w:ascii="Arial" w:cs="Arial" w:eastAsia="Arial" w:hAnsi="Arial"/>
          <w:sz w:val="18"/>
          <w:szCs w:val="18"/>
          <w:color w:val="auto"/>
        </w:rPr>
      </w:pPr>
    </w:p>
    <w:p>
      <w:pPr>
        <w:ind w:left="1000" w:right="320" w:hanging="547"/>
        <w:spacing w:after="0" w:line="308" w:lineRule="auto"/>
        <w:tabs>
          <w:tab w:leader="none" w:pos="10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any of our directors, executive officers, or beneficial owners of more than 5% of our capital stock, or any immediate family member of or person sharing the household with any of these individuals, had or will have a direct or indirect material interest.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Convertible Note Financing</w:t>
      </w:r>
    </w:p>
    <w:p>
      <w:pPr>
        <w:spacing w:after="0" w:line="121" w:lineRule="exact"/>
        <w:rPr>
          <w:sz w:val="20"/>
          <w:szCs w:val="20"/>
          <w:color w:val="auto"/>
        </w:rPr>
      </w:pPr>
    </w:p>
    <w:p>
      <w:pPr>
        <w:ind w:right="20" w:firstLine="449"/>
        <w:spacing w:after="0" w:line="272" w:lineRule="auto"/>
        <w:rPr>
          <w:sz w:val="20"/>
          <w:szCs w:val="20"/>
          <w:color w:val="auto"/>
        </w:rPr>
      </w:pPr>
      <w:r>
        <w:rPr>
          <w:rFonts w:ascii="Arial" w:cs="Arial" w:eastAsia="Arial" w:hAnsi="Arial"/>
          <w:sz w:val="17"/>
          <w:szCs w:val="17"/>
          <w:color w:val="auto"/>
        </w:rPr>
        <w:t>In May 2017, we entered into a convertible note purchase agreement with Dustin A. Moskovitz TTEE Dustin A. Moskovitz Trust DTD 12/27/05, or the Dustin Moskovitz Trust. The Dustin Moskovitz Trust is an affiliated trust of Dustin Moskovitz, our President, Chief Executive Officer, and Chair of our board of directors. Pursuant to the convertible note purchase agreement, we agreed to issue and sell convertible notes having an aggregate principal amount of up to $25.0 million to the Dustin Moskovitz Trust. In August 2017, we issued and sold to the Dustin Moskovitz Trust a convertible promissory note in the principal amount of $15.0 million, or the 2017 Note. The 2017 Note accrued interest at 4.25%, compounded annually. The aggregate principal amount and accrued interest on the 2017 Note converted into 2,923,425 shares of our Series D preferred stock at a conversion price of $5.23 per share upon the closing of our Series D preferred stock financing in January 2018.</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D Preferred Stock Financing</w:t>
      </w:r>
    </w:p>
    <w:p>
      <w:pPr>
        <w:spacing w:after="0" w:line="121" w:lineRule="exact"/>
        <w:rPr>
          <w:sz w:val="20"/>
          <w:szCs w:val="20"/>
          <w:color w:val="auto"/>
        </w:rPr>
      </w:pPr>
    </w:p>
    <w:p>
      <w:pPr>
        <w:jc w:val="both"/>
        <w:ind w:right="100" w:firstLine="449"/>
        <w:spacing w:after="0" w:line="263" w:lineRule="auto"/>
        <w:rPr>
          <w:sz w:val="20"/>
          <w:szCs w:val="20"/>
          <w:color w:val="auto"/>
        </w:rPr>
      </w:pPr>
      <w:r>
        <w:rPr>
          <w:rFonts w:ascii="Arial" w:cs="Arial" w:eastAsia="Arial" w:hAnsi="Arial"/>
          <w:sz w:val="18"/>
          <w:szCs w:val="18"/>
          <w:color w:val="auto"/>
        </w:rPr>
        <w:t>In two closings in January 2018, we sold an aggregate of 11,429,642 shares of our Series D preferred stock at a purchase price of $5.23 per share for an aggregate purchase price of approximately $59.7 million. The purchasers of our Series D preferred stock are entitled to specified registration rights. For additional information, see “Description of Capital Stock—Registration Rights.”</w:t>
      </w:r>
    </w:p>
    <w:p>
      <w:pPr>
        <w:spacing w:after="0" w:line="184"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The following table summarizes the Series D preferred stock purchased by our directors, executive officers, and beneficial owners of more than 5% of our capital stock. The terms of these purchases were the same for all purchasers of our Series D preferred stock.</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of stockholder</w:t>
            </w:r>
          </w:p>
        </w:tc>
        <w:tc>
          <w:tcPr>
            <w:tcW w:w="7020" w:type="dxa"/>
            <w:vAlign w:val="bottom"/>
            <w:vMerge w:val="restart"/>
          </w:tcPr>
          <w:p>
            <w:pPr>
              <w:spacing w:after="0"/>
              <w:rPr>
                <w:sz w:val="14"/>
                <w:szCs w:val="14"/>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0"/>
              </w:rPr>
              <w:t>Shares of Series 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Total Purchase</w:t>
            </w:r>
          </w:p>
        </w:tc>
        <w:tc>
          <w:tcPr>
            <w:tcW w:w="0" w:type="dxa"/>
            <w:vAlign w:val="bottom"/>
          </w:tcPr>
          <w:p>
            <w:pPr>
              <w:spacing w:after="0"/>
              <w:rPr>
                <w:sz w:val="1"/>
                <w:szCs w:val="1"/>
                <w:color w:val="auto"/>
              </w:rPr>
            </w:pPr>
          </w:p>
        </w:tc>
      </w:tr>
      <w:tr>
        <w:trPr>
          <w:trHeight w:val="178"/>
        </w:trPr>
        <w:tc>
          <w:tcPr>
            <w:tcW w:w="1300" w:type="dxa"/>
            <w:vAlign w:val="bottom"/>
            <w:tcBorders>
              <w:bottom w:val="single" w:sz="8" w:color="auto"/>
            </w:tcBorders>
            <w:vMerge w:val="continue"/>
          </w:tcPr>
          <w:p>
            <w:pPr>
              <w:spacing w:after="0"/>
              <w:rPr>
                <w:sz w:val="15"/>
                <w:szCs w:val="15"/>
                <w:color w:val="auto"/>
              </w:rPr>
            </w:pPr>
          </w:p>
        </w:tc>
        <w:tc>
          <w:tcPr>
            <w:tcW w:w="7020" w:type="dxa"/>
            <w:vAlign w:val="bottom"/>
            <w:vMerge w:val="continue"/>
          </w:tcPr>
          <w:p>
            <w:pPr>
              <w:spacing w:after="0"/>
              <w:rPr>
                <w:sz w:val="15"/>
                <w:szCs w:val="15"/>
                <w:color w:val="auto"/>
              </w:rPr>
            </w:pPr>
          </w:p>
        </w:tc>
        <w:tc>
          <w:tcPr>
            <w:tcW w:w="1420" w:type="dxa"/>
            <w:vAlign w:val="bottom"/>
            <w:gridSpan w:val="2"/>
          </w:tcPr>
          <w:p>
            <w:pPr>
              <w:jc w:val="right"/>
              <w:ind w:right="360"/>
              <w:spacing w:after="0" w:line="158" w:lineRule="exact"/>
              <w:rPr>
                <w:sz w:val="20"/>
                <w:szCs w:val="20"/>
                <w:color w:val="auto"/>
              </w:rPr>
            </w:pPr>
            <w:r>
              <w:rPr>
                <w:rFonts w:ascii="Arial" w:cs="Arial" w:eastAsia="Arial" w:hAnsi="Arial"/>
                <w:sz w:val="14"/>
                <w:szCs w:val="14"/>
                <w:b w:val="1"/>
                <w:bCs w:val="1"/>
                <w:color w:val="auto"/>
                <w:w w:val="99"/>
              </w:rPr>
              <w:t>Preferred Stock</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03"/>
        </w:trPr>
        <w:tc>
          <w:tcPr>
            <w:tcW w:w="83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Entities affiliated with Dustin A. Moskovitz</w:t>
            </w:r>
            <w:r>
              <w:rPr>
                <w:rFonts w:ascii="Arial" w:cs="Arial" w:eastAsia="Arial" w:hAnsi="Arial"/>
                <w:sz w:val="15"/>
                <w:szCs w:val="15"/>
                <w:color w:val="auto"/>
              </w:rPr>
              <w:t>(1)</w:t>
            </w: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7,109,553</w:t>
            </w: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37,149,995.20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20" w:type="dxa"/>
            <w:vAlign w:val="bottom"/>
            <w:gridSpan w:val="2"/>
          </w:tcPr>
          <w:p>
            <w:pPr>
              <w:spacing w:after="0"/>
              <w:rPr>
                <w:sz w:val="20"/>
                <w:szCs w:val="20"/>
                <w:color w:val="auto"/>
              </w:rPr>
            </w:pPr>
            <w:r>
              <w:rPr>
                <w:rFonts w:ascii="Arial" w:cs="Arial" w:eastAsia="Arial" w:hAnsi="Arial"/>
                <w:sz w:val="18"/>
                <w:szCs w:val="18"/>
                <w:color w:val="auto"/>
              </w:rPr>
              <w:t>Generation IM Climate Solutions Fund II, L.P.</w:t>
            </w:r>
            <w:r>
              <w:rPr>
                <w:rFonts w:ascii="Arial" w:cs="Arial" w:eastAsia="Arial" w:hAnsi="Arial"/>
                <w:sz w:val="15"/>
                <w:szCs w:val="15"/>
                <w:color w:val="auto"/>
              </w:rPr>
              <w:t>(2)</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6,698,099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34,999,998.69</w:t>
            </w:r>
          </w:p>
        </w:tc>
        <w:tc>
          <w:tcPr>
            <w:tcW w:w="0" w:type="dxa"/>
            <w:vAlign w:val="bottom"/>
          </w:tcPr>
          <w:p>
            <w:pPr>
              <w:spacing w:after="0"/>
              <w:rPr>
                <w:sz w:val="1"/>
                <w:szCs w:val="1"/>
                <w:color w:val="auto"/>
              </w:rPr>
            </w:pPr>
          </w:p>
        </w:tc>
      </w:tr>
      <w:tr>
        <w:trPr>
          <w:trHeight w:val="216"/>
        </w:trPr>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The Founders Fund</w:t>
            </w:r>
            <w:r>
              <w:rPr>
                <w:rFonts w:ascii="Arial" w:cs="Arial" w:eastAsia="Arial" w:hAnsi="Arial"/>
                <w:sz w:val="15"/>
                <w:szCs w:val="15"/>
                <w:color w:val="auto"/>
              </w:rPr>
              <w:t>(3)</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47,843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249,997.06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0"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4"/>
          <w:szCs w:val="14"/>
          <w:color w:val="auto"/>
        </w:rPr>
      </w:pPr>
      <w:r>
        <w:rPr>
          <w:rFonts w:ascii="Arial" w:cs="Arial" w:eastAsia="Arial" w:hAnsi="Arial"/>
          <w:sz w:val="14"/>
          <w:szCs w:val="14"/>
          <w:color w:val="auto"/>
        </w:rPr>
        <w:t>Consists of the Dustin Moskovitz Trust, the Dustin A Moskovitz 2008 Annuity Trust DTD 3/10/08, and Moskovitz Investment Holdings, LLC, each of which are affiliated with</w:t>
      </w:r>
    </w:p>
    <w:p>
      <w:pPr>
        <w:ind w:left="460" w:right="240"/>
        <w:spacing w:after="0" w:line="221" w:lineRule="auto"/>
        <w:rPr>
          <w:rFonts w:ascii="Arial" w:cs="Arial" w:eastAsia="Arial" w:hAnsi="Arial"/>
          <w:sz w:val="14"/>
          <w:szCs w:val="14"/>
          <w:color w:val="auto"/>
        </w:rPr>
      </w:pPr>
      <w:r>
        <w:rPr>
          <w:rFonts w:ascii="Arial" w:cs="Arial" w:eastAsia="Arial" w:hAnsi="Arial"/>
          <w:sz w:val="14"/>
          <w:szCs w:val="14"/>
          <w:color w:val="auto"/>
        </w:rPr>
        <w:t>Mr. Moskovitz. In addition, as noted above, the accrued interest and principal amount of the 2017 Note converted into an additional 2,923,425 shares of our Series D preferred stock in connection with the closing of the Series D preferred stock financing.</w:t>
      </w:r>
    </w:p>
    <w:p>
      <w:pPr>
        <w:ind w:left="460" w:right="440" w:hanging="452"/>
        <w:spacing w:after="0" w:line="221" w:lineRule="auto"/>
        <w:tabs>
          <w:tab w:leader="none" w:pos="460" w:val="left"/>
        </w:tabs>
        <w:numPr>
          <w:ilvl w:val="0"/>
          <w:numId w:val="74"/>
        </w:numPr>
        <w:rPr>
          <w:rFonts w:ascii="Arial" w:cs="Arial" w:eastAsia="Arial" w:hAnsi="Arial"/>
          <w:sz w:val="14"/>
          <w:szCs w:val="14"/>
          <w:color w:val="auto"/>
        </w:rPr>
      </w:pPr>
      <w:r>
        <w:rPr>
          <w:rFonts w:ascii="Arial" w:cs="Arial" w:eastAsia="Arial" w:hAnsi="Arial"/>
          <w:sz w:val="14"/>
          <w:szCs w:val="14"/>
          <w:color w:val="auto"/>
        </w:rPr>
        <w:t>Generation IM Climate Solutions Fund II, L.P. is a greater than 5% stockholder, and Colin le Duc, a former member of our board of directors, is a partner of Generation Investment Management LLP, an affiliate of Generation IM Climate Solutions Fund II, L.P.</w:t>
      </w:r>
    </w:p>
    <w:p>
      <w:pPr>
        <w:ind w:left="460" w:hanging="452"/>
        <w:spacing w:after="0"/>
        <w:tabs>
          <w:tab w:leader="none" w:pos="460" w:val="left"/>
        </w:tabs>
        <w:numPr>
          <w:ilvl w:val="0"/>
          <w:numId w:val="74"/>
        </w:numPr>
        <w:rPr>
          <w:rFonts w:ascii="Arial" w:cs="Arial" w:eastAsia="Arial" w:hAnsi="Arial"/>
          <w:sz w:val="14"/>
          <w:szCs w:val="14"/>
          <w:color w:val="auto"/>
        </w:rPr>
      </w:pPr>
      <w:r>
        <w:rPr>
          <w:rFonts w:ascii="Arial" w:cs="Arial" w:eastAsia="Arial" w:hAnsi="Arial"/>
          <w:sz w:val="14"/>
          <w:szCs w:val="14"/>
          <w:color w:val="auto"/>
        </w:rPr>
        <w:t>Consists of The Founders Fund IV, LP and The Founders Fund IV Principals Fund, LP.</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Convertible Note Purchase Agreement</w:t>
      </w:r>
    </w:p>
    <w:p>
      <w:pPr>
        <w:spacing w:after="0" w:line="121"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In January 2018, we entered into a convertible note purchase agreement with the Dustin Moskovitz Trust pursuant to which we agreed to issue and sell convertible notes up to an aggregate principal amount 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40"/>
          </w:cols>
          <w:pgMar w:left="320" w:top="459" w:right="3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$75.0 million to the Dustin Moskovitz Trust. The parties amended the agreement in June 2019 to increase the borrowing capacity thereunder from $75.0 million to $125.0 million and terminated the agreement upon the issuance of the 2020 Note as defined and described below. No convertible notes were issued or sold pursuant to the convertible note purchase agreement prior to its termination.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E Preferred Stock Financing</w:t>
      </w:r>
    </w:p>
    <w:p>
      <w:pPr>
        <w:spacing w:after="0" w:line="121"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color w:val="auto"/>
        </w:rPr>
        <w:t>In November 2018, we sold an aggregate of 6,229,843 shares of our Series E preferred stock at a purchase price of $8.19 per share for an aggregate purchase price of approximately $51.0 million. The purchasers of our Series E preferred stock are entitled to specified registration rights. For additional information, see “Description of Capital Stock—Registration Rights.”</w:t>
      </w:r>
    </w:p>
    <w:p>
      <w:pPr>
        <w:spacing w:after="0" w:line="184" w:lineRule="exact"/>
        <w:rPr>
          <w:sz w:val="20"/>
          <w:szCs w:val="20"/>
          <w:color w:val="auto"/>
        </w:rPr>
      </w:pPr>
    </w:p>
    <w:p>
      <w:pPr>
        <w:ind w:right="180" w:firstLine="449"/>
        <w:spacing w:after="0" w:line="277" w:lineRule="auto"/>
        <w:rPr>
          <w:sz w:val="20"/>
          <w:szCs w:val="20"/>
          <w:color w:val="auto"/>
        </w:rPr>
      </w:pPr>
      <w:r>
        <w:rPr>
          <w:rFonts w:ascii="Arial" w:cs="Arial" w:eastAsia="Arial" w:hAnsi="Arial"/>
          <w:sz w:val="18"/>
          <w:szCs w:val="18"/>
          <w:color w:val="auto"/>
        </w:rPr>
        <w:t>The following table summarizes the Series E preferred stock purchased by our directors, executive officers, and beneficial owners of more than 5% of our capital stock. The terms of these purchases were the same for all purchasers of our Series E preferred stock.</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Shares of Series E</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Total Purchase</w:t>
            </w:r>
          </w:p>
        </w:tc>
        <w:tc>
          <w:tcPr>
            <w:tcW w:w="0" w:type="dxa"/>
            <w:vAlign w:val="bottom"/>
          </w:tcPr>
          <w:p>
            <w:pPr>
              <w:spacing w:after="0"/>
              <w:rPr>
                <w:sz w:val="1"/>
                <w:szCs w:val="1"/>
                <w:color w:val="auto"/>
              </w:rPr>
            </w:pPr>
          </w:p>
        </w:tc>
      </w:tr>
      <w:tr>
        <w:trPr>
          <w:trHeight w:val="148"/>
        </w:trPr>
        <w:tc>
          <w:tcPr>
            <w:tcW w:w="8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Stockholder</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Preferred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8080" w:type="dxa"/>
            <w:vAlign w:val="bottom"/>
            <w:gridSpan w:val="2"/>
            <w:vMerge w:val="continue"/>
          </w:tcPr>
          <w:p>
            <w:pPr>
              <w:spacing w:after="0"/>
              <w:rPr>
                <w:sz w:val="13"/>
                <w:szCs w:val="13"/>
                <w:color w:val="auto"/>
              </w:rPr>
            </w:pPr>
          </w:p>
        </w:tc>
        <w:tc>
          <w:tcPr>
            <w:tcW w:w="158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0"/>
        </w:trPr>
        <w:tc>
          <w:tcPr>
            <w:tcW w:w="1300" w:type="dxa"/>
            <w:vAlign w:val="bottom"/>
            <w:tcBorders>
              <w:bottom w:val="single" w:sz="8" w:color="CCEEFF"/>
            </w:tcBorders>
            <w:shd w:val="clear" w:color="auto" w:fill="000000"/>
          </w:tcPr>
          <w:p>
            <w:pPr>
              <w:spacing w:after="0" w:line="20" w:lineRule="exact"/>
              <w:rPr>
                <w:sz w:val="1"/>
                <w:szCs w:val="1"/>
                <w:color w:val="auto"/>
              </w:rPr>
            </w:pPr>
          </w:p>
        </w:tc>
        <w:tc>
          <w:tcPr>
            <w:tcW w:w="67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The Dustin Moskovitz Trust</w:t>
            </w:r>
            <w:r>
              <w:rPr>
                <w:rFonts w:ascii="Arial" w:cs="Arial" w:eastAsia="Arial" w:hAnsi="Arial"/>
                <w:sz w:val="15"/>
                <w:szCs w:val="15"/>
                <w:color w:val="auto"/>
              </w:rPr>
              <w:t>(1)</w:t>
            </w:r>
          </w:p>
        </w:tc>
        <w:tc>
          <w:tcPr>
            <w:tcW w:w="1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855,076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6,999,995.03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80" w:type="dxa"/>
            <w:vAlign w:val="bottom"/>
            <w:gridSpan w:val="2"/>
          </w:tcPr>
          <w:p>
            <w:pPr>
              <w:spacing w:after="0"/>
              <w:rPr>
                <w:sz w:val="20"/>
                <w:szCs w:val="20"/>
                <w:color w:val="auto"/>
              </w:rPr>
            </w:pPr>
            <w:r>
              <w:rPr>
                <w:rFonts w:ascii="Arial" w:cs="Arial" w:eastAsia="Arial" w:hAnsi="Arial"/>
                <w:sz w:val="18"/>
                <w:szCs w:val="18"/>
                <w:color w:val="auto"/>
              </w:rPr>
              <w:t>Generation IM Climate Solutions Fund II, L.P.</w:t>
            </w:r>
            <w:r>
              <w:rPr>
                <w:rFonts w:ascii="Arial" w:cs="Arial" w:eastAsia="Arial" w:hAnsi="Arial"/>
                <w:sz w:val="15"/>
                <w:szCs w:val="15"/>
                <w:color w:val="auto"/>
              </w:rPr>
              <w:t>(2)</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3,053,845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24,999,999.77</w:t>
            </w:r>
          </w:p>
        </w:tc>
        <w:tc>
          <w:tcPr>
            <w:tcW w:w="0" w:type="dxa"/>
            <w:vAlign w:val="bottom"/>
          </w:tcPr>
          <w:p>
            <w:pPr>
              <w:spacing w:after="0"/>
              <w:rPr>
                <w:sz w:val="1"/>
                <w:szCs w:val="1"/>
                <w:color w:val="auto"/>
              </w:rPr>
            </w:pPr>
          </w:p>
        </w:tc>
      </w:tr>
      <w:tr>
        <w:trPr>
          <w:trHeight w:val="216"/>
        </w:trPr>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Benchmark Capital Partners VI, L.P.</w:t>
            </w:r>
            <w:r>
              <w:rPr>
                <w:rFonts w:ascii="Arial" w:cs="Arial" w:eastAsia="Arial" w:hAnsi="Arial"/>
                <w:sz w:val="15"/>
                <w:szCs w:val="15"/>
                <w:color w:val="auto"/>
              </w:rPr>
              <w:t>(3)</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366,461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2,999,996.70</w:t>
            </w:r>
          </w:p>
        </w:tc>
        <w:tc>
          <w:tcPr>
            <w:tcW w:w="0" w:type="dxa"/>
            <w:vAlign w:val="bottom"/>
          </w:tcPr>
          <w:p>
            <w:pPr>
              <w:spacing w:after="0"/>
              <w:rPr>
                <w:sz w:val="1"/>
                <w:szCs w:val="1"/>
                <w:color w:val="auto"/>
              </w:rPr>
            </w:pPr>
          </w:p>
        </w:tc>
      </w:tr>
      <w:tr>
        <w:trPr>
          <w:trHeight w:val="230"/>
        </w:trPr>
        <w:tc>
          <w:tcPr>
            <w:tcW w:w="8080" w:type="dxa"/>
            <w:vAlign w:val="bottom"/>
            <w:gridSpan w:val="2"/>
          </w:tcPr>
          <w:p>
            <w:pPr>
              <w:spacing w:after="0"/>
              <w:rPr>
                <w:sz w:val="20"/>
                <w:szCs w:val="20"/>
                <w:color w:val="auto"/>
              </w:rPr>
            </w:pPr>
            <w:r>
              <w:rPr>
                <w:rFonts w:ascii="Arial" w:cs="Arial" w:eastAsia="Arial" w:hAnsi="Arial"/>
                <w:sz w:val="18"/>
                <w:szCs w:val="18"/>
                <w:color w:val="auto"/>
              </w:rPr>
              <w:t>Entities affiliated with The Founders Fund</w:t>
            </w:r>
            <w:r>
              <w:rPr>
                <w:rFonts w:ascii="Arial" w:cs="Arial" w:eastAsia="Arial" w:hAnsi="Arial"/>
                <w:sz w:val="15"/>
                <w:szCs w:val="15"/>
                <w:color w:val="auto"/>
              </w:rPr>
              <w:t>(4)</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122,153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999,993.46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8867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35"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Dustin Moskovitz Trust is affiliated with Mr. Moskovitz.</w:t>
      </w:r>
    </w:p>
    <w:p>
      <w:pPr>
        <w:ind w:left="460" w:right="440" w:hanging="452"/>
        <w:spacing w:after="0" w:line="221" w:lineRule="auto"/>
        <w:tabs>
          <w:tab w:leader="none" w:pos="4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Generation IM Climate Solutions Fund II, L.P. is a greater than 5% stockholder, and Colin le Duc, a former member of our board of directors, is a partner of Generation Investment Management LLP, an affiliate of Generation IM Climate Solutions Fund II, L.P.</w:t>
      </w:r>
    </w:p>
    <w:p>
      <w:pPr>
        <w:ind w:left="460" w:right="780" w:hanging="452"/>
        <w:spacing w:after="0" w:line="221" w:lineRule="auto"/>
        <w:tabs>
          <w:tab w:leader="none" w:pos="4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Benchmark Capital Partners VI, L.P. is a greater than 5% stockholder, and Matthew Cohler, a member of our board of directors, is a managing member of Benchmark Capital Management Co. VI, L.L.C., the general partner of Benchmark Capital Partners VI, L.P.</w:t>
      </w:r>
    </w:p>
    <w:p>
      <w:pPr>
        <w:ind w:left="460" w:hanging="452"/>
        <w:spacing w:after="0"/>
        <w:tabs>
          <w:tab w:leader="none" w:pos="4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Consists of The Founders Fund IV, LP and The Founders Fund IV Principals Fund, LP., which together beneficially hold greater than 5% of our capital stock.</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Mandatory Convertible Promissory Note Financing</w:t>
      </w:r>
    </w:p>
    <w:p>
      <w:pPr>
        <w:spacing w:after="0" w:line="121" w:lineRule="exact"/>
        <w:rPr>
          <w:sz w:val="20"/>
          <w:szCs w:val="20"/>
          <w:color w:val="auto"/>
        </w:rPr>
      </w:pPr>
    </w:p>
    <w:p>
      <w:pPr>
        <w:ind w:right="20" w:firstLine="449"/>
        <w:spacing w:after="0" w:line="269" w:lineRule="auto"/>
        <w:rPr>
          <w:sz w:val="20"/>
          <w:szCs w:val="20"/>
          <w:color w:val="auto"/>
        </w:rPr>
      </w:pPr>
      <w:r>
        <w:rPr>
          <w:rFonts w:ascii="Arial" w:cs="Arial" w:eastAsia="Arial" w:hAnsi="Arial"/>
          <w:sz w:val="17"/>
          <w:szCs w:val="17"/>
          <w:color w:val="auto"/>
        </w:rPr>
        <w:t>In January 2020, we issued and sold to the Dustin Moskovitz Trust an unsecured senior mandatory convertible promissory note in the aggregate principal amount of $300.0 million, or the 2020 Note. The Dustin Moskovitz Trust is an affiliated trust of Mr. Moskovitz. The 2020 Note accrues interest at a rate of 3.5% per annum, which will compound annually and (other than in connection with our bankruptcy, insolvency, or other similar events) will mandatorily convert into shares of our Class B common stock. The 2020 Note matures on January 30, 2025, or the Maturity Date, and on the Maturity Date, depending on the trading price of our Class A common stock, we will issue between 11,282,390 and 18,051,810 shares of our Class B common stock upon mandatory conversion of the 2020 Note, subject to customary anti-dilution and other adjustments. However, we may convert the 2020 Note in advance of the Maturity Date, at our option, and issue the lesser number of shares described above prior to the Maturity Date if the trading price of our Class A common stock exceeds $31.58 per share (subject to customary anti-dilution and other adjustments in connection with certain extraordinary transactions) for 20 or more trading days in the 30 consecutive trading day period ending on the last trading day of the immediately preceding calendar quarter. For a more complete description of the 2020 Note, please refer to the section titled “Description of Capital Stock” or to the 2020 Note, which is included as an exhibit to the registration statement of which this prospectus forms a part.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320" w:top="459" w:right="3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Transfers</w:t>
      </w:r>
    </w:p>
    <w:p>
      <w:pPr>
        <w:spacing w:after="0" w:line="121"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On July 23, 2018, entities affiliated with Mr. Moskovitz purchased an aggregate of 58,602 shares of our outstanding Series C preferred stock from a stockholder, at a purchase price of $5.23 per share, for an aggregate purchase price of approximately $0.3 million.</w:t>
      </w:r>
    </w:p>
    <w:p>
      <w:pPr>
        <w:spacing w:after="0" w:line="170"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On September 11, 2019, entities affiliated with Mr. Moskovitz purchased an aggregate of 2,344,093 shares of our outstanding Series C preferred stock and 1,777,388 shares of our outstanding Series D preferred stock from other entities affiliated with Mr. Moskovitz, for an aggregate purchase price of approximately $24.7 million.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Tender Offers</w:t>
      </w:r>
    </w:p>
    <w:p>
      <w:pPr>
        <w:spacing w:after="0" w:line="121" w:lineRule="exact"/>
        <w:rPr>
          <w:sz w:val="20"/>
          <w:szCs w:val="20"/>
          <w:color w:val="auto"/>
        </w:rPr>
      </w:pPr>
    </w:p>
    <w:p>
      <w:pPr>
        <w:ind w:right="160" w:firstLine="449"/>
        <w:spacing w:after="0" w:line="275" w:lineRule="auto"/>
        <w:rPr>
          <w:sz w:val="20"/>
          <w:szCs w:val="20"/>
          <w:color w:val="auto"/>
        </w:rPr>
      </w:pPr>
      <w:r>
        <w:rPr>
          <w:rFonts w:ascii="Arial" w:cs="Arial" w:eastAsia="Arial" w:hAnsi="Arial"/>
          <w:sz w:val="17"/>
          <w:szCs w:val="17"/>
          <w:color w:val="auto"/>
        </w:rPr>
        <w:t>In July 2016, we entered into a participation agreement with the Dustin Moskovitz Trust, pursuant to which we agreed to waive certain transfer restrictions in connection with a tender offer that the Dustin Moskovitz Trust proposed to commence. In August 2016, the Dustin Moskovitz Trust conducted a tender offer for shares of our then outstanding Class A common stock and Class B common stock from our stockholders and purchased an aggregate of approximately 1.8 million shares of our outstanding Class A common stock and Class B common stock from our stockholders, at a purchase price of $3.84 per share, for an aggregate purchase price of approximately $6.9 million.</w:t>
      </w:r>
    </w:p>
    <w:p>
      <w:pPr>
        <w:spacing w:after="0" w:line="176" w:lineRule="exact"/>
        <w:rPr>
          <w:sz w:val="20"/>
          <w:szCs w:val="20"/>
          <w:color w:val="auto"/>
        </w:rPr>
      </w:pPr>
    </w:p>
    <w:p>
      <w:pPr>
        <w:ind w:right="40" w:firstLine="449"/>
        <w:spacing w:after="0" w:line="293" w:lineRule="auto"/>
        <w:rPr>
          <w:sz w:val="20"/>
          <w:szCs w:val="20"/>
          <w:color w:val="auto"/>
        </w:rPr>
      </w:pPr>
      <w:r>
        <w:rPr>
          <w:rFonts w:ascii="Arial" w:cs="Arial" w:eastAsia="Arial" w:hAnsi="Arial"/>
          <w:sz w:val="16"/>
          <w:szCs w:val="16"/>
          <w:color w:val="auto"/>
        </w:rPr>
        <w:t>In April 2018, we entered into a participation agreement with the Dustin Moskovitz Trust, pursuant to which we agreed to waive certain transfer restrictions in connection with a tender offer that the Dustin Moskovitz Trust proposed to commence. In June 2018, the Dustin Moskovitz Trust conducted a tender offer for shares of our outstanding Class A common stock and Class B common stock from our stockholders and purchased an aggregate of approximately 1.5 million shares of our outstanding Class A common stock and Class B common stock from our stockholders, at a purchase price of $4.70 per share, for an aggregate purchase price of approximately $7.1 million. Chris Farinacci, our Chief Operating Officer, sold an aggregate of 212,766 shares of our outstanding Class B common stock for an aggregate purchase price of approximately $1.0 million in the tender offer.</w:t>
      </w:r>
    </w:p>
    <w:p>
      <w:pPr>
        <w:spacing w:after="0" w:line="164" w:lineRule="exact"/>
        <w:rPr>
          <w:sz w:val="20"/>
          <w:szCs w:val="20"/>
          <w:color w:val="auto"/>
        </w:rPr>
      </w:pPr>
    </w:p>
    <w:p>
      <w:pPr>
        <w:ind w:right="200" w:firstLine="449"/>
        <w:spacing w:after="0" w:line="290" w:lineRule="auto"/>
        <w:rPr>
          <w:sz w:val="20"/>
          <w:szCs w:val="20"/>
          <w:color w:val="auto"/>
        </w:rPr>
      </w:pPr>
      <w:r>
        <w:rPr>
          <w:rFonts w:ascii="Arial" w:cs="Arial" w:eastAsia="Arial" w:hAnsi="Arial"/>
          <w:sz w:val="16"/>
          <w:szCs w:val="16"/>
          <w:color w:val="auto"/>
        </w:rPr>
        <w:t>In September 2019, we entered into a participation agreement with an entity affiliated with Lead Edge Capital, LEC Asana Holdings, LLC; 8VC Co-Invest Fund I, L.P.; WiL Fund I, L.P.; and Tiger Global Private Investment Partners XI, L.P. and an affiliate thereof, pursuant to which we agreed to waive certain transfer restrictions in connection with a tender offer that such parties proposed to commence. In October 2019, these parties conducted a tender offer for shares of our outstanding Class B common stock and Class A common stock from our stockholders and purchased an aggregate of approximately 4.6 million shares of our outstanding Class A common stock and Class B common stock, at a purchase price of $15.82 per share, for an aggregate purchase price of approximately $73.5 million. While Lorrie Norrington, a member of our board of directors, is an operating partner of Lead Edge Capital, she is not an affiliate of Lead Edge Capital. Chris Farinacci and Tim Wan, our Chief Financial Officer, sold 357,969 and 200,000 shares of our outstanding Class B common stock, respectively, for an aggregate purchase price of approximately $8.8 million in the tender offer.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Rights, Voting, and Right of First Refusal Agreements</w:t>
      </w:r>
    </w:p>
    <w:p>
      <w:pPr>
        <w:spacing w:after="0" w:line="121"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In connection with our preferred stock financings, we entered into investors’ rights, voting, and right of first refusal and co-sale agreements containing registration rights, voting rights, and rights of first refusal, among other things, with certain holders of our preferred stock and certain holders of our common stock. The parties to these agreements include entities affiliated with Generation IM Climate Solutions Fund II, L.P., Benchmark Capital Partners VI, L.P., and The Founders Fund, each of which owns more than 5% of our outstanding capital stock, entities affiliated with Mr. Moskovitz and our directors, Adam D’Angelo and Justin Rosenstein. These stockholder agreements will terminate upon the effectiveness of the registration statement of which this</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00"/>
          </w:cols>
          <w:pgMar w:left="320" w:top="459" w:right="3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prospectus forms a part, except for the registration rights granted under our investors’ rights agreement, as more fully described in “Description of Capital Stock—Registration Rights.” Since February 1, 2017, we have waived our right of first refusal in connection with the sale of certain shares of our capital stock. See the section titled “Principal and Registered Stockholders” for additional information regarding beneficial ownership of our capital stock.</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Guaranty of Office Lease</w:t>
      </w:r>
    </w:p>
    <w:p>
      <w:pPr>
        <w:spacing w:after="0" w:line="121"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In February 2019, Mr. Moskovitz entered into a personal guaranty in favor of the landlord under the office lease for our office space located at 633 Folsom Street, San Francisco, California, in which he has agreed to guarantee unconditionally the full and prompt payment and performance of our obligations to the landlord under the initial 148-month term of the office lease. In addition, we entered into a reimbursement agreement with Mr. Moskovitz which provides, among other things, that we will agree to (i) assign the office lease to Mr. Moskovitz in the event that we fail to reimburse Mr. Moskovitz for certain amounts owed under the reimbursement agreement within 60 days of Mr. Moskovitz’s request therefor, (ii) not amend the office lease in any way that could increase Mr. Moskovitz’s potential obligations thereunder without the prior written consent of Mr. Moskovitz, and (iii) endeavor to find a replacement guarantor in the event that Mr. Moskovitz no longer controls at least 20% of our voting securities, in each case, subject to the terms and conditions therein.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Approval, or Ratification of Transactions with Related Parties</w:t>
      </w:r>
    </w:p>
    <w:p>
      <w:pPr>
        <w:spacing w:after="0" w:line="121" w:lineRule="exact"/>
        <w:rPr>
          <w:sz w:val="20"/>
          <w:szCs w:val="20"/>
          <w:color w:val="auto"/>
        </w:rPr>
      </w:pPr>
    </w:p>
    <w:p>
      <w:pPr>
        <w:ind w:firstLine="449"/>
        <w:spacing w:after="0" w:line="268" w:lineRule="auto"/>
        <w:rPr>
          <w:sz w:val="20"/>
          <w:szCs w:val="20"/>
          <w:color w:val="auto"/>
        </w:rPr>
      </w:pPr>
      <w:r>
        <w:rPr>
          <w:rFonts w:ascii="Arial" w:cs="Arial" w:eastAsia="Arial" w:hAnsi="Arial"/>
          <w:sz w:val="17"/>
          <w:szCs w:val="17"/>
          <w:color w:val="auto"/>
        </w:rPr>
        <w:t>We intend to adopt a written related party transactions policy stating that our executive officers, directors, nominees for election as a director, beneficial owners of more than 5% of our common stock, and any members of the immediate family of and any entity affiliated with any of the foregoing persons are not permitted to enter into a material related party transaction with us without the review and approval or ratification, as applicable, of our audit committee or the disinterested members of our audit committee in the event it is inappropriate for any member of our audit committee to review such transaction due to a conflict of interest. We expect the policy to provide that any request for us to enter into a transaction with an executive officer, director, nominee for election as a director, beneficial owner of more than 5% of our common stock, or with any of their immediate family members or affiliates in which the amount involved exceeds $120,000 must be presented to our audit committee or the disinterested members of our audit committee in the event it is inappropriate for any member of our audit committee to review such transaction due to a conflict of interest, for review, consideration, and approval or ratification, as applicable. In approving or rejecting any such proposal, we expect that our audit committee or the disinterested members of our audit committee in the event it is inappropriate for any member of our audit committee to review such transaction due to a conflict of interest, will consider the relevant facts and circumstances available and deemed relevant to the committee, including, but not limited to, whether the transaction is on terms no less favorable than terms generally available to an unaffiliated third party under the same or similar circumstances and the extent of the related party’s interest in the transaction.</w:t>
      </w:r>
    </w:p>
    <w:p>
      <w:pPr>
        <w:spacing w:after="0" w:line="186" w:lineRule="exact"/>
        <w:rPr>
          <w:sz w:val="20"/>
          <w:szCs w:val="20"/>
          <w:color w:val="auto"/>
        </w:rPr>
      </w:pPr>
    </w:p>
    <w:p>
      <w:pPr>
        <w:ind w:right="100" w:firstLine="449"/>
        <w:spacing w:after="0" w:line="275" w:lineRule="auto"/>
        <w:rPr>
          <w:sz w:val="20"/>
          <w:szCs w:val="20"/>
          <w:color w:val="auto"/>
        </w:rPr>
      </w:pPr>
      <w:r>
        <w:rPr>
          <w:rFonts w:ascii="Arial" w:cs="Arial" w:eastAsia="Arial" w:hAnsi="Arial"/>
          <w:sz w:val="17"/>
          <w:szCs w:val="17"/>
          <w:color w:val="auto"/>
        </w:rPr>
        <w:t>Although we have not had a written policy for the review and approval of transactions with related parties to date, our board of directors has historically reviewed and approved any transaction where a director or executive officer had a financial interest, including all of the transactions described above. Prior to approving such a transaction, the material facts as to a director’s or executive officer’s relationship or interest as to the agreement or transaction were disclosed to our board of directors. Our board of directors has taken this information into account when evaluating the transaction and in determining whether such transaction was fair to our company and in the best interest of all of our stockholders.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20"/>
          </w:cols>
          <w:pgMar w:left="320" w:top="459" w:right="3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AND REGISTERED STOCKHOLDERS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w:t>
      </w:r>
    </w:p>
    <w:p>
      <w:pPr>
        <w:spacing w:after="0" w:line="131" w:lineRule="exact"/>
        <w:rPr>
          <w:sz w:val="20"/>
          <w:szCs w:val="20"/>
          <w:color w:val="auto"/>
        </w:rPr>
      </w:pPr>
    </w:p>
    <w:p>
      <w:pPr>
        <w:ind w:left="1000" w:hanging="547"/>
        <w:spacing w:after="0" w:line="263" w:lineRule="auto"/>
        <w:tabs>
          <w:tab w:leader="none" w:pos="10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certain information with respect to the beneficial ownership of our common stock as of January 31, 2020, for: (i) each of our named executive officers; (ii) each of our directors; (iii) all of our directors and executive officers as a group; and (iv) each person known by us to be the beneficial owner of more than five percent of any class of our voting securities; and</w:t>
      </w:r>
    </w:p>
    <w:p>
      <w:pPr>
        <w:spacing w:after="0" w:line="89" w:lineRule="exact"/>
        <w:rPr>
          <w:rFonts w:ascii="Arial" w:cs="Arial" w:eastAsia="Arial" w:hAnsi="Arial"/>
          <w:sz w:val="18"/>
          <w:szCs w:val="18"/>
          <w:color w:val="auto"/>
        </w:rPr>
      </w:pPr>
    </w:p>
    <w:p>
      <w:pPr>
        <w:ind w:left="1000" w:hanging="547"/>
        <w:spacing w:after="0"/>
        <w:tabs>
          <w:tab w:leader="none" w:pos="10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number of shares of common stock held by and registered for resale by means of this prospectus for the Registered Stockholders.</w:t>
      </w:r>
    </w:p>
    <w:p>
      <w:pPr>
        <w:spacing w:after="0" w:line="237" w:lineRule="exact"/>
        <w:rPr>
          <w:sz w:val="20"/>
          <w:szCs w:val="20"/>
          <w:color w:val="auto"/>
        </w:rPr>
      </w:pPr>
    </w:p>
    <w:p>
      <w:pPr>
        <w:ind w:right="20" w:firstLine="449"/>
        <w:spacing w:after="0" w:line="284" w:lineRule="auto"/>
        <w:rPr>
          <w:sz w:val="20"/>
          <w:szCs w:val="20"/>
          <w:color w:val="auto"/>
        </w:rPr>
      </w:pPr>
      <w:r>
        <w:rPr>
          <w:rFonts w:ascii="Arial" w:cs="Arial" w:eastAsia="Arial" w:hAnsi="Arial"/>
          <w:sz w:val="16"/>
          <w:szCs w:val="16"/>
          <w:color w:val="auto"/>
        </w:rPr>
        <w:t>The Registered Stockholders include (i) our affiliates and certain other stockholders with “restricted securities” (as defined in Rule 144 under the Securities Act) who, because of their status as affiliates pursuant to Rule 144 or because they acquired their shares of common stock from an affiliate or from us within the prior 12 months, would be unable to sell their securities pursuant to Rule 144 until we have been subject to the reporting requirements of Section 13 or Section 15(d) of the Exchange Act for a period of at least 90 days, and (ii) our non-executive officer service providers who acquired shares from us within the prior 12 months under Rule 701 and hold “restricted securities” (as defined in Rule 144 under the Securities Act). The Registered Stockholders may, or may not, elect to sell their shares of Class A common stock covered by this prospectus, as and to the extent they may determine. Such</w:t>
      </w:r>
    </w:p>
    <w:p>
      <w:pPr>
        <w:spacing w:after="0" w:line="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sales, if any, will be made through brokerage transactions on the at prevailing market prices. As such, we will have no input if and when any Registered Stockholder may, or may not, elect to sell their shares of common stock or the prices at which any such sales may occur. Prior to any sales of shares of Class A common stock, Registered Stockholders who hold Class B common stock must convert their shares of Class B common stock into shares of Class A common stock. See the section titled “Plan of Distribution.”</w:t>
      </w:r>
    </w:p>
    <w:p>
      <w:pPr>
        <w:spacing w:after="0" w:line="193" w:lineRule="exact"/>
        <w:rPr>
          <w:sz w:val="20"/>
          <w:szCs w:val="20"/>
          <w:color w:val="auto"/>
        </w:rPr>
      </w:pPr>
    </w:p>
    <w:p>
      <w:pPr>
        <w:ind w:right="40" w:firstLine="449"/>
        <w:spacing w:after="0" w:line="269" w:lineRule="auto"/>
        <w:rPr>
          <w:sz w:val="20"/>
          <w:szCs w:val="20"/>
          <w:color w:val="auto"/>
        </w:rPr>
      </w:pPr>
      <w:r>
        <w:rPr>
          <w:rFonts w:ascii="Arial" w:cs="Arial" w:eastAsia="Arial" w:hAnsi="Arial"/>
          <w:sz w:val="17"/>
          <w:szCs w:val="17"/>
          <w:color w:val="auto"/>
        </w:rPr>
        <w:t>Information concerning the Registered Stockholders may change from time to time and any changed information will be set forth in supplements to this prospectus, if and when necessary. Because the Registered Stockholders who hold Class B common stock may convert their shares of Class B common stock into Class A common stock at any time and the Registered Stockholders may sell all, some, or none of the shares of Class A common stock covered by this prospectus, we cannot determine the number of such shares of Class A common stock that will be sold by the Registered Stockholders, or the amount or percentage of shares of common stock that will be held by the Registered Stockholders, either as Class A common stock or Class B common stock, upon consummation of any particular sale. In addition, the Registered Stockholders listed in the table below may have sold, transferred, or otherwise disposed of, or may sell, transfer, or otherwise dispose of, at any time and from time to time, shares of common stock in transactions exempt from the registration requirements of the Securities Act, after the date on which they provided the information set forth in the table below. The Registered Stockholders have not, nor have they within the past three years had, any position, office, or other material relationship with us, other than as disclosed in this prospectus. See the sections titled “Management” and “Certain Relationships and Related Party Transactions” for further information regarding the Registered Stockholders.</w:t>
      </w:r>
    </w:p>
    <w:p>
      <w:pPr>
        <w:spacing w:after="0" w:line="182" w:lineRule="exact"/>
        <w:rPr>
          <w:sz w:val="20"/>
          <w:szCs w:val="20"/>
          <w:color w:val="auto"/>
        </w:rPr>
      </w:pPr>
    </w:p>
    <w:p>
      <w:pPr>
        <w:ind w:right="140" w:firstLine="449"/>
        <w:spacing w:after="0" w:line="286" w:lineRule="auto"/>
        <w:rPr>
          <w:sz w:val="20"/>
          <w:szCs w:val="20"/>
          <w:color w:val="auto"/>
        </w:rPr>
      </w:pPr>
      <w:r>
        <w:rPr>
          <w:rFonts w:ascii="Arial" w:cs="Arial" w:eastAsia="Arial" w:hAnsi="Arial"/>
          <w:sz w:val="17"/>
          <w:szCs w:val="17"/>
          <w:color w:val="auto"/>
        </w:rPr>
        <w:t>After the listing of our Class A common stock on the , certain of the Registered Stockholders are entitled to registration rights with respect to their shares of Class B common stock, as described in the section titled “Description of Capital Stock—Registration Rights” at any time beginning 180 days after the date that the registration statement of which this prospectus forms a part is declared effective by the SEC.</w:t>
      </w:r>
    </w:p>
    <w:p>
      <w:pPr>
        <w:spacing w:after="0" w:line="165" w:lineRule="exact"/>
        <w:rPr>
          <w:sz w:val="20"/>
          <w:szCs w:val="20"/>
          <w:color w:val="auto"/>
        </w:rPr>
      </w:pPr>
    </w:p>
    <w:p>
      <w:pPr>
        <w:ind w:right="180" w:firstLine="449"/>
        <w:spacing w:after="0" w:line="259" w:lineRule="auto"/>
        <w:rPr>
          <w:sz w:val="20"/>
          <w:szCs w:val="20"/>
          <w:color w:val="auto"/>
        </w:rPr>
      </w:pPr>
      <w:r>
        <w:rPr>
          <w:rFonts w:ascii="Arial" w:cs="Arial" w:eastAsia="Arial" w:hAnsi="Arial"/>
          <w:sz w:val="18"/>
          <w:szCs w:val="18"/>
          <w:color w:val="auto"/>
        </w:rPr>
        <w:t>We currently intend to use our reasonable efforts to keep the Registration Statement effective for a period of 90 days after the effectiveness of the Registration Statement. As a result, we have registered shares of Class A common stock and Class B common stock currently held by Registered Stockholders, as well as shares of Class A common stock of our affiliates that can vest and settle while the registration statement of which this prospectus forms a part is effective.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40"/>
          </w:cols>
          <w:pgMar w:left="320" w:top="459" w:right="3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20" w:firstLine="449"/>
        <w:spacing w:after="0" w:line="291" w:lineRule="auto"/>
        <w:rPr>
          <w:sz w:val="20"/>
          <w:szCs w:val="20"/>
          <w:color w:val="auto"/>
        </w:rPr>
      </w:pPr>
      <w:r>
        <w:rPr>
          <w:rFonts w:ascii="Arial" w:cs="Arial" w:eastAsia="Arial" w:hAnsi="Arial"/>
          <w:sz w:val="16"/>
          <w:szCs w:val="16"/>
          <w:color w:val="auto"/>
        </w:rPr>
        <w:t>We are not party to any arrangement with any Registered Stockholder or any broker-dealer with respect to sales of the shares of Class A common stock by the Registered Stockholders. However, we have engaged financial advisors with respect to certain other matters relating to the listing of our</w:t>
      </w:r>
    </w:p>
    <w:p>
      <w:pPr>
        <w:spacing w:after="0"/>
        <w:tabs>
          <w:tab w:leader="none" w:pos="2460" w:val="left"/>
        </w:tabs>
        <w:rPr>
          <w:sz w:val="20"/>
          <w:szCs w:val="20"/>
          <w:color w:val="auto"/>
        </w:rPr>
      </w:pPr>
      <w:r>
        <w:rPr>
          <w:rFonts w:ascii="Arial" w:cs="Arial" w:eastAsia="Arial" w:hAnsi="Arial"/>
          <w:sz w:val="18"/>
          <w:szCs w:val="18"/>
          <w:color w:val="auto"/>
        </w:rPr>
        <w:t>Class A common stock on</w:t>
      </w:r>
      <w:r>
        <w:rPr>
          <w:sz w:val="20"/>
          <w:szCs w:val="20"/>
          <w:color w:val="auto"/>
        </w:rPr>
        <w:tab/>
      </w:r>
      <w:r>
        <w:rPr>
          <w:rFonts w:ascii="Arial" w:cs="Arial" w:eastAsia="Arial" w:hAnsi="Arial"/>
          <w:sz w:val="16"/>
          <w:szCs w:val="16"/>
          <w:color w:val="auto"/>
        </w:rPr>
        <w:t>. See the section titled “Plan of Distribution.”</w:t>
      </w:r>
    </w:p>
    <w:p>
      <w:pPr>
        <w:spacing w:after="0" w:line="211" w:lineRule="exact"/>
        <w:rPr>
          <w:sz w:val="20"/>
          <w:szCs w:val="20"/>
          <w:color w:val="auto"/>
        </w:rPr>
      </w:pPr>
    </w:p>
    <w:p>
      <w:pPr>
        <w:ind w:right="80" w:firstLine="449"/>
        <w:spacing w:after="0" w:line="290" w:lineRule="auto"/>
        <w:rPr>
          <w:sz w:val="20"/>
          <w:szCs w:val="20"/>
          <w:color w:val="auto"/>
        </w:rPr>
      </w:pPr>
      <w:r>
        <w:rPr>
          <w:rFonts w:ascii="Arial" w:cs="Arial" w:eastAsia="Arial" w:hAnsi="Arial"/>
          <w:sz w:val="16"/>
          <w:szCs w:val="16"/>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We have deemed shares of our common stock subject to options that are currently exercisable or exercisable within 60 days of January 31, 2020 to be outstanding and to be beneficially owned by the person holding the option for the purpose of computing the percentage ownership of that person. We have deemed shares of our common stock subject to RSUs for which the service condition has been satisfied or would be satisfied within 60 days of January 31, 2020 to be outstanding and to be beneficially owned by the person holding the RSUs for the purpose of computing the percentage ownership of that person. However, we did not deem these shares subject to stock options or RSUs outstanding for the purpose of computing the percentage ownership of any other person.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ind w:left="460"/>
              <w:spacing w:after="0"/>
              <w:rPr>
                <w:sz w:val="20"/>
                <w:szCs w:val="20"/>
                <w:color w:val="auto"/>
              </w:rPr>
            </w:pPr>
            <w:r>
              <w:rPr>
                <w:rFonts w:ascii="Arial" w:cs="Arial" w:eastAsia="Arial" w:hAnsi="Arial"/>
                <w:sz w:val="18"/>
                <w:szCs w:val="18"/>
                <w:color w:val="auto"/>
                <w:w w:val="92"/>
              </w:rPr>
              <w:t>We have based percentage ownership of our common stock on</w:t>
            </w:r>
          </w:p>
        </w:tc>
        <w:tc>
          <w:tcPr>
            <w:tcW w:w="3660" w:type="dxa"/>
            <w:vAlign w:val="bottom"/>
          </w:tcPr>
          <w:p>
            <w:pPr>
              <w:ind w:left="420"/>
              <w:spacing w:after="0"/>
              <w:rPr>
                <w:sz w:val="20"/>
                <w:szCs w:val="20"/>
                <w:color w:val="auto"/>
              </w:rPr>
            </w:pPr>
            <w:r>
              <w:rPr>
                <w:rFonts w:ascii="Arial" w:cs="Arial" w:eastAsia="Arial" w:hAnsi="Arial"/>
                <w:sz w:val="18"/>
                <w:szCs w:val="18"/>
                <w:color w:val="auto"/>
                <w:w w:val="98"/>
              </w:rPr>
              <w:t>shares of our Class A common stock and</w:t>
            </w:r>
          </w:p>
        </w:tc>
        <w:tc>
          <w:tcPr>
            <w:tcW w:w="2240" w:type="dxa"/>
            <w:vAlign w:val="bottom"/>
          </w:tcPr>
          <w:p>
            <w:pPr>
              <w:ind w:left="280"/>
              <w:spacing w:after="0"/>
              <w:rPr>
                <w:sz w:val="20"/>
                <w:szCs w:val="20"/>
                <w:color w:val="auto"/>
              </w:rPr>
            </w:pPr>
            <w:r>
              <w:rPr>
                <w:rFonts w:ascii="Arial" w:cs="Arial" w:eastAsia="Arial" w:hAnsi="Arial"/>
                <w:sz w:val="18"/>
                <w:szCs w:val="18"/>
                <w:color w:val="auto"/>
              </w:rPr>
              <w:t>shares of our Class B</w:t>
            </w: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w w:val="97"/>
              </w:rPr>
              <w:t>common stock outstanding as of January 31, 2020, which includes</w:t>
            </w:r>
          </w:p>
        </w:tc>
        <w:tc>
          <w:tcPr>
            <w:tcW w:w="5900" w:type="dxa"/>
            <w:vAlign w:val="bottom"/>
            <w:gridSpan w:val="2"/>
          </w:tcPr>
          <w:p>
            <w:pPr>
              <w:ind w:left="220"/>
              <w:spacing w:after="0"/>
              <w:rPr>
                <w:sz w:val="20"/>
                <w:szCs w:val="20"/>
                <w:color w:val="auto"/>
              </w:rPr>
            </w:pPr>
            <w:r>
              <w:rPr>
                <w:rFonts w:ascii="Arial" w:cs="Arial" w:eastAsia="Arial" w:hAnsi="Arial"/>
                <w:sz w:val="18"/>
                <w:szCs w:val="18"/>
                <w:color w:val="auto"/>
                <w:w w:val="90"/>
              </w:rPr>
              <w:t>shares of Class B common stock resulting from the automatic conversion of all</w:t>
            </w:r>
          </w:p>
        </w:tc>
      </w:tr>
    </w:tbl>
    <w:p>
      <w:pPr>
        <w:ind w:right="20"/>
        <w:spacing w:after="0" w:line="255" w:lineRule="auto"/>
        <w:rPr>
          <w:sz w:val="20"/>
          <w:szCs w:val="20"/>
          <w:color w:val="auto"/>
        </w:rPr>
      </w:pPr>
      <w:r>
        <w:rPr>
          <w:rFonts w:ascii="Arial" w:cs="Arial" w:eastAsia="Arial" w:hAnsi="Arial"/>
          <w:sz w:val="18"/>
          <w:szCs w:val="18"/>
          <w:color w:val="auto"/>
        </w:rPr>
        <w:t>outstanding shares of our preferred stock upon the effectiveness of the registration statement of which this prospectus forms a part, as if this conversion had occurred as of January 31, 2020. Unless otherwise indicated, the address of each of the individuals and entities named below is c/o Asana, Inc., 1550 Bryant Street, Suite 200, San Francisco, California 94103.</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760" w:type="dxa"/>
            <w:vAlign w:val="bottom"/>
            <w:gridSpan w:val="7"/>
            <w:vMerge w:val="restart"/>
          </w:tcPr>
          <w:p>
            <w:pPr>
              <w:ind w:left="760"/>
              <w:spacing w:after="0"/>
              <w:rPr>
                <w:sz w:val="20"/>
                <w:szCs w:val="20"/>
                <w:color w:val="auto"/>
              </w:rPr>
            </w:pPr>
            <w:r>
              <w:rPr>
                <w:rFonts w:ascii="Arial" w:cs="Arial" w:eastAsia="Arial" w:hAnsi="Arial"/>
                <w:sz w:val="14"/>
                <w:szCs w:val="14"/>
                <w:b w:val="1"/>
                <w:bCs w:val="1"/>
                <w:color w:val="auto"/>
              </w:rPr>
              <w:t>Shares Beneficially Owned</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7"/>
              </w:rPr>
              <w:t>Shares of</w:t>
            </w:r>
          </w:p>
        </w:tc>
        <w:tc>
          <w:tcPr>
            <w:tcW w:w="0" w:type="dxa"/>
            <w:vAlign w:val="bottom"/>
          </w:tcPr>
          <w:p>
            <w:pPr>
              <w:spacing w:after="0"/>
              <w:rPr>
                <w:sz w:val="1"/>
                <w:szCs w:val="1"/>
                <w:color w:val="auto"/>
              </w:rPr>
            </w:pPr>
          </w:p>
        </w:tc>
      </w:tr>
      <w:tr>
        <w:trPr>
          <w:trHeight w:val="128"/>
        </w:trPr>
        <w:tc>
          <w:tcPr>
            <w:tcW w:w="162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2760" w:type="dxa"/>
            <w:vAlign w:val="bottom"/>
            <w:tcBorders>
              <w:bottom w:val="single" w:sz="8" w:color="auto"/>
            </w:tcBorders>
            <w:gridSpan w:val="7"/>
            <w:vMerge w:val="continue"/>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Percentage</w:t>
            </w:r>
          </w:p>
        </w:tc>
        <w:tc>
          <w:tcPr>
            <w:tcW w:w="160" w:type="dxa"/>
            <w:vAlign w:val="bottom"/>
          </w:tcPr>
          <w:p>
            <w:pPr>
              <w:spacing w:after="0"/>
              <w:rPr>
                <w:sz w:val="11"/>
                <w:szCs w:val="11"/>
                <w:color w:val="auto"/>
              </w:rPr>
            </w:pPr>
          </w:p>
        </w:tc>
        <w:tc>
          <w:tcPr>
            <w:tcW w:w="760" w:type="dxa"/>
            <w:vAlign w:val="bottom"/>
            <w:gridSpan w:val="2"/>
          </w:tcPr>
          <w:p>
            <w:pPr>
              <w:jc w:val="center"/>
              <w:ind w:right="20"/>
              <w:spacing w:after="0" w:line="129" w:lineRule="exact"/>
              <w:rPr>
                <w:sz w:val="20"/>
                <w:szCs w:val="20"/>
                <w:color w:val="auto"/>
              </w:rPr>
            </w:pPr>
            <w:r>
              <w:rPr>
                <w:rFonts w:ascii="Arial" w:cs="Arial" w:eastAsia="Arial" w:hAnsi="Arial"/>
                <w:sz w:val="14"/>
                <w:szCs w:val="14"/>
                <w:b w:val="1"/>
                <w:bCs w:val="1"/>
                <w:color w:val="auto"/>
                <w:w w:val="89"/>
              </w:rPr>
              <w:t>Class A</w:t>
            </w:r>
          </w:p>
        </w:tc>
        <w:tc>
          <w:tcPr>
            <w:tcW w:w="0" w:type="dxa"/>
            <w:vAlign w:val="bottom"/>
          </w:tcPr>
          <w:p>
            <w:pPr>
              <w:spacing w:after="0"/>
              <w:rPr>
                <w:sz w:val="1"/>
                <w:szCs w:val="1"/>
                <w:color w:val="auto"/>
              </w:rPr>
            </w:pPr>
          </w:p>
        </w:tc>
      </w:tr>
      <w:tr>
        <w:trPr>
          <w:trHeight w:val="185"/>
        </w:trPr>
        <w:tc>
          <w:tcPr>
            <w:tcW w:w="16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Class A</w:t>
            </w:r>
          </w:p>
        </w:tc>
        <w:tc>
          <w:tcPr>
            <w:tcW w:w="420" w:type="dxa"/>
            <w:vAlign w:val="bottom"/>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ind w:left="500"/>
              <w:spacing w:after="0"/>
              <w:rPr>
                <w:sz w:val="20"/>
                <w:szCs w:val="20"/>
                <w:color w:val="auto"/>
              </w:rPr>
            </w:pPr>
            <w:r>
              <w:rPr>
                <w:rFonts w:ascii="Arial" w:cs="Arial" w:eastAsia="Arial" w:hAnsi="Arial"/>
                <w:sz w:val="14"/>
                <w:szCs w:val="14"/>
                <w:b w:val="1"/>
                <w:bCs w:val="1"/>
                <w:color w:val="auto"/>
              </w:rPr>
              <w:t>Class B</w:t>
            </w: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4"/>
              </w:rPr>
              <w:t>of Total</w:t>
            </w:r>
          </w:p>
        </w:tc>
        <w:tc>
          <w:tcPr>
            <w:tcW w:w="160" w:type="dxa"/>
            <w:vAlign w:val="bottom"/>
          </w:tcPr>
          <w:p>
            <w:pPr>
              <w:spacing w:after="0"/>
              <w:rPr>
                <w:sz w:val="16"/>
                <w:szCs w:val="16"/>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27"/>
        </w:trPr>
        <w:tc>
          <w:tcPr>
            <w:tcW w:w="6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vMerge w:val="restart"/>
          </w:tcPr>
          <w:p>
            <w:pPr>
              <w:jc w:val="center"/>
              <w:spacing w:after="0" w:line="113" w:lineRule="exact"/>
              <w:rPr>
                <w:sz w:val="20"/>
                <w:szCs w:val="20"/>
                <w:color w:val="auto"/>
              </w:rPr>
            </w:pPr>
            <w:r>
              <w:rPr>
                <w:rFonts w:ascii="Arial" w:cs="Arial" w:eastAsia="Arial" w:hAnsi="Arial"/>
                <w:sz w:val="13"/>
                <w:szCs w:val="13"/>
                <w:b w:val="1"/>
                <w:bCs w:val="1"/>
                <w:color w:val="auto"/>
                <w:w w:val="98"/>
              </w:rPr>
              <w:t>Voting</w:t>
            </w:r>
          </w:p>
        </w:tc>
        <w:tc>
          <w:tcPr>
            <w:tcW w:w="160" w:type="dxa"/>
            <w:vAlign w:val="bottom"/>
            <w:vMerge w:val="restart"/>
          </w:tcPr>
          <w:p>
            <w:pPr>
              <w:spacing w:after="0"/>
              <w:rPr>
                <w:sz w:val="2"/>
                <w:szCs w:val="2"/>
                <w:color w:val="auto"/>
              </w:rPr>
            </w:pPr>
          </w:p>
        </w:tc>
        <w:tc>
          <w:tcPr>
            <w:tcW w:w="760" w:type="dxa"/>
            <w:vAlign w:val="bottom"/>
            <w:gridSpan w:val="2"/>
            <w:vMerge w:val="restart"/>
          </w:tcPr>
          <w:p>
            <w:pPr>
              <w:jc w:val="center"/>
              <w:ind w:right="40"/>
              <w:spacing w:after="0" w:line="113" w:lineRule="exact"/>
              <w:rPr>
                <w:sz w:val="20"/>
                <w:szCs w:val="20"/>
                <w:color w:val="auto"/>
              </w:rPr>
            </w:pPr>
            <w:r>
              <w:rPr>
                <w:rFonts w:ascii="Arial" w:cs="Arial" w:eastAsia="Arial" w:hAnsi="Arial"/>
                <w:sz w:val="13"/>
                <w:szCs w:val="13"/>
                <w:b w:val="1"/>
                <w:bCs w:val="1"/>
                <w:color w:val="auto"/>
                <w:w w:val="97"/>
              </w:rPr>
              <w:t>Stock being</w:t>
            </w:r>
          </w:p>
        </w:tc>
        <w:tc>
          <w:tcPr>
            <w:tcW w:w="0" w:type="dxa"/>
            <w:vAlign w:val="bottom"/>
          </w:tcPr>
          <w:p>
            <w:pPr>
              <w:spacing w:after="0"/>
              <w:rPr>
                <w:sz w:val="1"/>
                <w:szCs w:val="1"/>
                <w:color w:val="auto"/>
              </w:rPr>
            </w:pPr>
          </w:p>
        </w:tc>
      </w:tr>
      <w:tr>
        <w:trPr>
          <w:trHeight w:val="65"/>
        </w:trPr>
        <w:tc>
          <w:tcPr>
            <w:tcW w:w="6300" w:type="dxa"/>
            <w:vAlign w:val="bottom"/>
            <w:gridSpan w:val="2"/>
            <w:vMerge w:val="continue"/>
          </w:tcPr>
          <w:p>
            <w:pPr>
              <w:spacing w:after="0"/>
              <w:rPr>
                <w:sz w:val="5"/>
                <w:szCs w:val="5"/>
                <w:color w:val="auto"/>
              </w:rPr>
            </w:pPr>
          </w:p>
        </w:tc>
        <w:tc>
          <w:tcPr>
            <w:tcW w:w="9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Number</w:t>
            </w:r>
          </w:p>
        </w:tc>
        <w:tc>
          <w:tcPr>
            <w:tcW w:w="4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w:t>
            </w:r>
          </w:p>
        </w:tc>
        <w:tc>
          <w:tcPr>
            <w:tcW w:w="28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Number</w:t>
            </w:r>
          </w:p>
        </w:tc>
        <w:tc>
          <w:tcPr>
            <w:tcW w:w="42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6300" w:type="dxa"/>
            <w:vAlign w:val="bottom"/>
            <w:gridSpan w:val="2"/>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Power</w:t>
            </w:r>
          </w:p>
        </w:tc>
        <w:tc>
          <w:tcPr>
            <w:tcW w:w="160" w:type="dxa"/>
            <w:vAlign w:val="bottom"/>
          </w:tcPr>
          <w:p>
            <w:pPr>
              <w:spacing w:after="0"/>
              <w:rPr>
                <w:sz w:val="13"/>
                <w:szCs w:val="13"/>
                <w:color w:val="auto"/>
              </w:rPr>
            </w:pPr>
          </w:p>
        </w:tc>
        <w:tc>
          <w:tcPr>
            <w:tcW w:w="76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88"/>
              </w:rPr>
              <w:t>Registered</w:t>
            </w:r>
          </w:p>
        </w:tc>
        <w:tc>
          <w:tcPr>
            <w:tcW w:w="0" w:type="dxa"/>
            <w:vAlign w:val="bottom"/>
          </w:tcPr>
          <w:p>
            <w:pPr>
              <w:spacing w:after="0"/>
              <w:rPr>
                <w:sz w:val="1"/>
                <w:szCs w:val="1"/>
                <w:color w:val="auto"/>
              </w:rPr>
            </w:pPr>
          </w:p>
        </w:tc>
      </w:tr>
      <w:tr>
        <w:trPr>
          <w:trHeight w:val="20"/>
        </w:trPr>
        <w:tc>
          <w:tcPr>
            <w:tcW w:w="1620" w:type="dxa"/>
            <w:vAlign w:val="bottom"/>
            <w:tcBorders>
              <w:bottom w:val="single" w:sz="8" w:color="CCEEFF"/>
            </w:tcBorders>
            <w:shd w:val="clear" w:color="auto" w:fill="000000"/>
          </w:tcPr>
          <w:p>
            <w:pPr>
              <w:spacing w:after="0" w:line="20" w:lineRule="exact"/>
              <w:rPr>
                <w:sz w:val="1"/>
                <w:szCs w:val="1"/>
                <w:color w:val="auto"/>
              </w:rPr>
            </w:pPr>
          </w:p>
        </w:tc>
        <w:tc>
          <w:tcPr>
            <w:tcW w:w="46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3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Named Executive Officers and Directors:</w:t>
            </w: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8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Dustin A. Moskovitz</w:t>
            </w:r>
            <w:r>
              <w:rPr>
                <w:rFonts w:ascii="Arial" w:cs="Arial" w:eastAsia="Arial" w:hAnsi="Arial"/>
                <w:sz w:val="15"/>
                <w:szCs w:val="15"/>
                <w:color w:val="auto"/>
              </w:rPr>
              <w:t>(1)</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1,561,779</w:t>
            </w:r>
          </w:p>
        </w:tc>
        <w:tc>
          <w:tcPr>
            <w:tcW w:w="4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52,930,914</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Justin Rosenstein</w:t>
            </w:r>
            <w:r>
              <w:rPr>
                <w:rFonts w:ascii="Arial" w:cs="Arial" w:eastAsia="Arial" w:hAnsi="Arial"/>
                <w:sz w:val="15"/>
                <w:szCs w:val="15"/>
                <w:color w:val="auto"/>
              </w:rPr>
              <w:t>(2)</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575,984</w:t>
            </w:r>
          </w:p>
        </w:tc>
        <w:tc>
          <w:tcPr>
            <w:tcW w:w="420" w:type="dxa"/>
            <w:vAlign w:val="bottom"/>
            <w:shd w:val="clear" w:color="auto" w:fill="CCEEFF"/>
          </w:tcPr>
          <w:p>
            <w:pPr>
              <w:spacing w:after="0"/>
              <w:rPr>
                <w:sz w:val="18"/>
                <w:szCs w:val="18"/>
                <w:color w:val="auto"/>
              </w:rPr>
            </w:pPr>
          </w:p>
        </w:tc>
        <w:tc>
          <w:tcPr>
            <w:tcW w:w="28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23,793,011</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Adam D’Angelo</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gridSpan w:val="2"/>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1,126,580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Sydney Carey</w:t>
            </w:r>
            <w:r>
              <w:rPr>
                <w:rFonts w:ascii="Arial" w:cs="Arial" w:eastAsia="Arial" w:hAnsi="Arial"/>
                <w:sz w:val="15"/>
                <w:szCs w:val="15"/>
                <w:color w:val="auto"/>
              </w:rPr>
              <w:t>(3)</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50,000</w:t>
            </w:r>
          </w:p>
        </w:tc>
        <w:tc>
          <w:tcPr>
            <w:tcW w:w="420" w:type="dxa"/>
            <w:vAlign w:val="bottom"/>
            <w:shd w:val="clear" w:color="auto" w:fill="CCEEFF"/>
          </w:tcPr>
          <w:p>
            <w:pPr>
              <w:spacing w:after="0"/>
              <w:rPr>
                <w:sz w:val="18"/>
                <w:szCs w:val="18"/>
                <w:color w:val="auto"/>
              </w:rPr>
            </w:pPr>
          </w:p>
        </w:tc>
        <w:tc>
          <w:tcPr>
            <w:tcW w:w="28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Matthew Cohler</w:t>
            </w:r>
            <w:r>
              <w:rPr>
                <w:rFonts w:ascii="Arial" w:cs="Arial" w:eastAsia="Arial" w:hAnsi="Arial"/>
                <w:sz w:val="15"/>
                <w:szCs w:val="15"/>
                <w:color w:val="auto"/>
              </w:rPr>
              <w:t>(4)</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gridSpan w:val="2"/>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14,012,703</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Anne Raimondi</w:t>
            </w:r>
            <w:r>
              <w:rPr>
                <w:rFonts w:ascii="Arial" w:cs="Arial" w:eastAsia="Arial" w:hAnsi="Arial"/>
                <w:sz w:val="15"/>
                <w:szCs w:val="15"/>
                <w:color w:val="auto"/>
              </w:rPr>
              <w:t>(5)</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50,000</w:t>
            </w:r>
          </w:p>
        </w:tc>
        <w:tc>
          <w:tcPr>
            <w:tcW w:w="420" w:type="dxa"/>
            <w:vAlign w:val="bottom"/>
            <w:shd w:val="clear" w:color="auto" w:fill="CCEEFF"/>
          </w:tcPr>
          <w:p>
            <w:pPr>
              <w:spacing w:after="0"/>
              <w:rPr>
                <w:sz w:val="18"/>
                <w:szCs w:val="18"/>
                <w:color w:val="auto"/>
              </w:rPr>
            </w:pPr>
          </w:p>
        </w:tc>
        <w:tc>
          <w:tcPr>
            <w:tcW w:w="28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Lorrie Norrington</w:t>
            </w:r>
            <w:r>
              <w:rPr>
                <w:rFonts w:ascii="Arial" w:cs="Arial" w:eastAsia="Arial" w:hAnsi="Arial"/>
                <w:sz w:val="15"/>
                <w:szCs w:val="15"/>
                <w:color w:val="auto"/>
              </w:rPr>
              <w:t>(6)</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50,000</w:t>
            </w:r>
          </w:p>
        </w:tc>
        <w:tc>
          <w:tcPr>
            <w:tcW w:w="4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executive officers and directors as a group (10 persons)</w:t>
            </w:r>
            <w:r>
              <w:rPr>
                <w:rFonts w:ascii="Arial" w:cs="Arial" w:eastAsia="Arial" w:hAnsi="Arial"/>
                <w:sz w:val="15"/>
                <w:szCs w:val="15"/>
                <w:color w:val="auto"/>
              </w:rPr>
              <w:t>(7)</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6,913,680</w:t>
            </w:r>
          </w:p>
        </w:tc>
        <w:tc>
          <w:tcPr>
            <w:tcW w:w="420" w:type="dxa"/>
            <w:vAlign w:val="bottom"/>
            <w:shd w:val="clear" w:color="auto" w:fill="CCEEFF"/>
          </w:tcPr>
          <w:p>
            <w:pPr>
              <w:spacing w:after="0"/>
              <w:rPr>
                <w:sz w:val="18"/>
                <w:szCs w:val="18"/>
                <w:color w:val="auto"/>
              </w:rPr>
            </w:pPr>
          </w:p>
        </w:tc>
        <w:tc>
          <w:tcPr>
            <w:tcW w:w="28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91,863,208</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b w:val="1"/>
                <w:bCs w:val="1"/>
                <w:color w:val="auto"/>
              </w:rPr>
              <w:t>5% Stockholders: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Benchmark Capital Partners VI, L.P.</w:t>
            </w:r>
            <w:r>
              <w:rPr>
                <w:rFonts w:ascii="Arial" w:cs="Arial" w:eastAsia="Arial" w:hAnsi="Arial"/>
                <w:sz w:val="15"/>
                <w:szCs w:val="15"/>
                <w:color w:val="auto"/>
              </w:rPr>
              <w:t>(4)</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14,012,703</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Generation IM Climate Solutions Fund II, L.P.</w:t>
            </w:r>
            <w:r>
              <w:rPr>
                <w:rFonts w:ascii="Arial" w:cs="Arial" w:eastAsia="Arial" w:hAnsi="Arial"/>
                <w:sz w:val="15"/>
                <w:szCs w:val="15"/>
                <w:color w:val="auto"/>
              </w:rPr>
              <w:t>(8)</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gridSpan w:val="2"/>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9,751,944</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The Founders Fund</w:t>
            </w:r>
            <w:r>
              <w:rPr>
                <w:rFonts w:ascii="Arial" w:cs="Arial" w:eastAsia="Arial" w:hAnsi="Arial"/>
                <w:sz w:val="15"/>
                <w:szCs w:val="15"/>
                <w:color w:val="auto"/>
              </w:rPr>
              <w:t>(9)</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8,713,329</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b w:val="1"/>
                <w:bCs w:val="1"/>
                <w:color w:val="auto"/>
              </w:rPr>
              <w:t>Other Registered Stockholders: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Non-Executive Officer and Non-Director Service Providers Holding Common Stock</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All Other Registered Stockholders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0" w:lineRule="exact"/>
        <w:rPr>
          <w:sz w:val="20"/>
          <w:szCs w:val="20"/>
          <w:color w:val="auto"/>
        </w:rPr>
      </w:pPr>
    </w:p>
    <w:p>
      <w:pPr>
        <w:ind w:left="460" w:hanging="452"/>
        <w:spacing w:after="0"/>
        <w:tabs>
          <w:tab w:leader="none" w:pos="460" w:val="left"/>
        </w:tabs>
        <w:numPr>
          <w:ilvl w:val="0"/>
          <w:numId w:val="77"/>
        </w:numPr>
        <w:rPr>
          <w:rFonts w:ascii="Arial" w:cs="Arial" w:eastAsia="Arial" w:hAnsi="Arial"/>
          <w:sz w:val="14"/>
          <w:szCs w:val="14"/>
          <w:color w:val="auto"/>
        </w:rPr>
      </w:pPr>
      <w:r>
        <w:rPr>
          <w:rFonts w:ascii="Arial" w:cs="Arial" w:eastAsia="Arial" w:hAnsi="Arial"/>
          <w:sz w:val="14"/>
          <w:szCs w:val="14"/>
          <w:color w:val="auto"/>
        </w:rPr>
        <w:t>Represents beneficial ownership of less than 1% of our outstanding shares of common stock.</w:t>
      </w:r>
    </w:p>
    <w:p>
      <w:pPr>
        <w:ind w:left="460" w:right="340" w:hanging="452"/>
        <w:spacing w:after="0" w:line="255" w:lineRule="auto"/>
        <w:tabs>
          <w:tab w:leader="none" w:pos="460" w:val="left"/>
        </w:tabs>
        <w:numPr>
          <w:ilvl w:val="0"/>
          <w:numId w:val="78"/>
        </w:numPr>
        <w:rPr>
          <w:rFonts w:ascii="Arial" w:cs="Arial" w:eastAsia="Arial" w:hAnsi="Arial"/>
          <w:sz w:val="13"/>
          <w:szCs w:val="13"/>
          <w:color w:val="auto"/>
        </w:rPr>
      </w:pPr>
      <w:r>
        <w:rPr>
          <w:rFonts w:ascii="Arial" w:cs="Arial" w:eastAsia="Arial" w:hAnsi="Arial"/>
          <w:sz w:val="13"/>
          <w:szCs w:val="13"/>
          <w:color w:val="auto"/>
        </w:rPr>
        <w:t>Consists of (a) 29,450,115 shares held of record by the Dustin Moskovitz Trust, (b) 2,604,170 shares held of record by the Dustin Moskovitz Roth IRA, and (c) 42,578 shares held of record by Moskovitz Investment Holdings, LLC. Mr. Moskovitz is the trustee of the Dustin Moskovitz Trust. Therefore, Mr. Moskovitz may be deemed to have voting power and dispositive power over the shares held by the Dustin Moskovitz Trust. Mr. Moskovitz may be deemed to have voting power and dispositive power over the shares held by the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40"/>
          </w:cols>
          <w:pgMar w:left="320" w:top="459" w:right="3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60" w:right="100"/>
        <w:spacing w:after="0" w:line="225" w:lineRule="auto"/>
        <w:rPr>
          <w:sz w:val="20"/>
          <w:szCs w:val="20"/>
          <w:color w:val="auto"/>
        </w:rPr>
      </w:pPr>
      <w:r>
        <w:rPr>
          <w:rFonts w:ascii="Arial" w:cs="Arial" w:eastAsia="Arial" w:hAnsi="Arial"/>
          <w:sz w:val="14"/>
          <w:szCs w:val="14"/>
          <w:color w:val="auto"/>
        </w:rPr>
        <w:t>Dustin Moskovitz Roth IRA. Mr. Moskovitz, Adam Moskovitz, and Richard Druckman, the managing members of Moskovitz Investment Holdings, LLC, have shared voting and dispositive power with respect to these shares. The address for Moskovitz Investment Holdings, LLC is 394 Pacific Avenue, 2nd Fl, San Francisco, CA 94111. Does not include between 11,282,390 and 18,051,810 shares of Class B common stock that are issuable on January 30, 2025, the maturity date of a senior mandatory convertible promissory note dated January 30, 2020 held by the Dustin Moskovitz Trust.</w:t>
      </w:r>
    </w:p>
    <w:p>
      <w:pPr>
        <w:spacing w:after="0" w:line="2" w:lineRule="exact"/>
        <w:rPr>
          <w:sz w:val="20"/>
          <w:szCs w:val="20"/>
          <w:color w:val="auto"/>
        </w:rPr>
      </w:pPr>
    </w:p>
    <w:p>
      <w:pPr>
        <w:ind w:left="460" w:right="60" w:hanging="452"/>
        <w:spacing w:after="0" w:line="221" w:lineRule="auto"/>
        <w:tabs>
          <w:tab w:leader="none" w:pos="4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Consists of (a) 23,793,011 shares of Class B common stock held directly by Mr. Rosenstein and (b) 575,984 shares of Class A common stock issuable to Mr. Rosenstein upon the exercise of stock options that are exercisable within 60 days of January 31, 2020.</w:t>
      </w:r>
    </w:p>
    <w:p>
      <w:pPr>
        <w:ind w:left="460" w:right="300" w:hanging="452"/>
        <w:spacing w:after="0" w:line="221" w:lineRule="auto"/>
        <w:tabs>
          <w:tab w:leader="none" w:pos="4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Consists of 50,000 shares of Class A common stock issuable to Ms. Carey upon the exercise of stock options that are exercisable within 60 days of January 31, 2020, of which 41,667 shares are unvested and subject to repurchase by us.</w:t>
      </w:r>
    </w:p>
    <w:p>
      <w:pPr>
        <w:ind w:left="460" w:right="60" w:hanging="452"/>
        <w:spacing w:after="0" w:line="221" w:lineRule="auto"/>
        <w:tabs>
          <w:tab w:leader="none" w:pos="4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Consists of 14,012,703 shares of Class B common stock held of record by Benchmark Capital Partners VI, L.P. or BCP VI, for itself and as nominee for Benchmark Founders’ Fund VI, L.P., or BFF VI, Benchmark Founders’ Fund VI-B, L.P., or BFF VI-B, and related individuals. Benchmark Capital Management Co. VI, L.L.C., or BCMC VI, is the general partner of each of BCP VI, BFF VI, and BFF VI-B. Matthew R. Cohler, one of our directors, Alexandre Balkanski, Bruce W. Dunlevie, J. William Gurley, Kevin R. Harvey, Robert C. Kagle, Mitchell H. Lasky, and Steven M. Spurlock are the managing members of BCMC VI and, therefore, may be deemed to hold voting and dispositive power over the shares held by BCP VI. The address of these entities is 2965 Woodside Road, Woodside, CA 94062.</w:t>
      </w:r>
    </w:p>
    <w:p>
      <w:pPr>
        <w:spacing w:after="0" w:line="1" w:lineRule="exact"/>
        <w:rPr>
          <w:rFonts w:ascii="Arial" w:cs="Arial" w:eastAsia="Arial" w:hAnsi="Arial"/>
          <w:sz w:val="14"/>
          <w:szCs w:val="14"/>
          <w:color w:val="auto"/>
        </w:rPr>
      </w:pPr>
    </w:p>
    <w:p>
      <w:pPr>
        <w:ind w:left="460" w:hanging="452"/>
        <w:spacing w:after="0" w:line="221" w:lineRule="auto"/>
        <w:tabs>
          <w:tab w:leader="none" w:pos="4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Consists of 50,000 shares of Class A common stock held directly by Ms. Raimondi, of which 35,417 shares are unvested and subject to repurchase by us.</w:t>
      </w:r>
    </w:p>
    <w:p>
      <w:pPr>
        <w:ind w:left="460" w:hanging="452"/>
        <w:spacing w:after="0" w:line="221" w:lineRule="auto"/>
        <w:tabs>
          <w:tab w:leader="none" w:pos="4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Consists of 50,000 shares of Class A common stock held directly by Ms. Norrington, of which 41,667 shares are unvested and subject to repurchase by us.</w:t>
      </w:r>
    </w:p>
    <w:p>
      <w:pPr>
        <w:ind w:left="460" w:hanging="452"/>
        <w:spacing w:after="0" w:line="221" w:lineRule="auto"/>
        <w:tabs>
          <w:tab w:leader="none" w:pos="4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Consists of (a) 2,177,467 shares of Class A common stock, of which 77,084 shares are unvested and subject to repurchase by us, (b) 91,863,208 shares of Class B common stock, and (c) 4,736,213 shares of Class A common stock issuable upon the exercise of stock options that are exercisable within 60 days of January 31, 2020, of which 1,789,594 shares are unvested and subject to repurchase by us.</w:t>
      </w:r>
    </w:p>
    <w:p>
      <w:pPr>
        <w:ind w:left="460" w:right="60" w:hanging="452"/>
        <w:spacing w:after="0" w:line="238" w:lineRule="auto"/>
        <w:tabs>
          <w:tab w:leader="none" w:pos="460" w:val="left"/>
        </w:tabs>
        <w:numPr>
          <w:ilvl w:val="0"/>
          <w:numId w:val="79"/>
        </w:numPr>
        <w:rPr>
          <w:rFonts w:ascii="Arial" w:cs="Arial" w:eastAsia="Arial" w:hAnsi="Arial"/>
          <w:sz w:val="13"/>
          <w:szCs w:val="13"/>
          <w:color w:val="auto"/>
        </w:rPr>
      </w:pPr>
      <w:r>
        <w:rPr>
          <w:rFonts w:ascii="Arial" w:cs="Arial" w:eastAsia="Arial" w:hAnsi="Arial"/>
          <w:sz w:val="13"/>
          <w:szCs w:val="13"/>
          <w:color w:val="auto"/>
        </w:rPr>
        <w:t>Consists of 9,751,944 shares of Class B common stock held of record by Generation IM Climate Solutions Fund II, L.P., or Generation Fund II. The general partner of Generation Fund II is Generation IM Climate Solutions II GP Ltd, which is a wholly owned subsidiary of Generation Investment Management LLP, or Generation Management. Generation Management serves as the investment manager of Generation Fund II. Generation Management, upon approval by its investment committee, makes investment decisions on behalf of Generation Fund II. Colin le Duc, a former member of our board of directors, Hans Mehn, and David Lowish are portfolio managers and make investment proposals on behalf of Generation Fund II. The address for Generation Fund II is P.O. Box 309, Ugland House, Grand Cayman, KY1-1104, Cayman Islands.</w:t>
      </w:r>
    </w:p>
    <w:p>
      <w:pPr>
        <w:spacing w:after="0" w:line="1" w:lineRule="exact"/>
        <w:rPr>
          <w:rFonts w:ascii="Arial" w:cs="Arial" w:eastAsia="Arial" w:hAnsi="Arial"/>
          <w:sz w:val="13"/>
          <w:szCs w:val="13"/>
          <w:color w:val="auto"/>
        </w:rPr>
      </w:pPr>
    </w:p>
    <w:p>
      <w:pPr>
        <w:ind w:left="460" w:right="200" w:hanging="452"/>
        <w:spacing w:after="0" w:line="237" w:lineRule="auto"/>
        <w:tabs>
          <w:tab w:leader="none" w:pos="4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Consists of (i) 6,595,990 shares held of record by The Founders Fund IV, LP and (ii) 2,117,339 shares held of record by The Founders Fund IV Principals Fund, LP. The address for the Founders Fund entities is One Letterman Drive, Building D, 5th Floor, San Francisco, CA 94129.</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40"/>
          </w:cols>
          <w:pgMar w:left="320" w:top="459" w:right="3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The following description summarizes the most important terms of our capital stock, as they are expected to be in effect following the effectiveness of the registration statement of which this prospectus forms a part. We expect to adopt an amended and restated certificate of incorporation and amended and restated bylaws in connection with this registration, and this description summarizes the provisions that are expected to be included in such documents. Because it is only a summary, it does not contain all the information that may be important to you. For a complete description of the matters set forth in this section titled “Description of Capital Stock,” you should refer to our amended and restated certificate of incorporation, amended and restated bylaws, and our amended and restated investor rights’ agreement, which are or will be included as exhibits to the registration statement of which this prospectus forms a part, and to the applicable provisions of Delaware law. Following the effectiveness of the registration statement of which this prospectus forms a part, our authorized capital stock will consist of:</w:t>
      </w:r>
    </w:p>
    <w:p>
      <w:pPr>
        <w:spacing w:after="0" w:line="84" w:lineRule="exact"/>
        <w:rPr>
          <w:sz w:val="20"/>
          <w:szCs w:val="20"/>
          <w:color w:val="auto"/>
        </w:rPr>
      </w:pPr>
    </w:p>
    <w:p>
      <w:pPr>
        <w:ind w:left="1540" w:hanging="1087"/>
        <w:spacing w:after="0"/>
        <w:tabs>
          <w:tab w:leader="none" w:pos="15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shares of Class A common stock, $0.00001 par value per share,</w:t>
      </w:r>
    </w:p>
    <w:p>
      <w:pPr>
        <w:spacing w:after="0" w:line="130" w:lineRule="exact"/>
        <w:rPr>
          <w:rFonts w:ascii="Arial" w:cs="Arial" w:eastAsia="Arial" w:hAnsi="Arial"/>
          <w:sz w:val="18"/>
          <w:szCs w:val="18"/>
          <w:color w:val="auto"/>
        </w:rPr>
      </w:pPr>
    </w:p>
    <w:p>
      <w:pPr>
        <w:ind w:left="1540" w:hanging="1087"/>
        <w:spacing w:after="0"/>
        <w:tabs>
          <w:tab w:leader="none" w:pos="15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shares of Class B common stock, $0.00001 par value per share, and</w:t>
      </w:r>
    </w:p>
    <w:p>
      <w:pPr>
        <w:spacing w:after="0" w:line="130" w:lineRule="exact"/>
        <w:rPr>
          <w:rFonts w:ascii="Arial" w:cs="Arial" w:eastAsia="Arial" w:hAnsi="Arial"/>
          <w:sz w:val="18"/>
          <w:szCs w:val="18"/>
          <w:color w:val="auto"/>
        </w:rPr>
      </w:pPr>
    </w:p>
    <w:p>
      <w:pPr>
        <w:ind w:left="1540" w:hanging="1087"/>
        <w:spacing w:after="0"/>
        <w:tabs>
          <w:tab w:leader="none" w:pos="15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shares of undesignated preferred stock, $0.00001 par value per share.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Assuming the conversion of all outstanding shares of our preferred stock into shares of our Class B common stock, which will occur upon the</w:t>
      </w:r>
    </w:p>
    <w:p>
      <w:pPr>
        <w:spacing w:after="0" w:line="3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effectiveness of the registration statement of which this prospectus forms a part, as of January 31, 2020, there were shares of our Class A common stock and shares of Class B common stock outstanding, held by stockholders of record, and no shares of our preferred stock outstanding. Our board of directors is authorized, without stockholder approval except as required by the listing standards of the , to issue additional shares of our capital stock.</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Common Stock and Class B Common Stock</w:t>
      </w:r>
    </w:p>
    <w:p>
      <w:pPr>
        <w:spacing w:after="0" w:line="121" w:lineRule="exact"/>
        <w:rPr>
          <w:sz w:val="20"/>
          <w:szCs w:val="20"/>
          <w:color w:val="auto"/>
        </w:rPr>
      </w:pPr>
    </w:p>
    <w:p>
      <w:pPr>
        <w:ind w:right="220" w:firstLine="449"/>
        <w:spacing w:after="0" w:line="342" w:lineRule="auto"/>
        <w:rPr>
          <w:sz w:val="20"/>
          <w:szCs w:val="20"/>
          <w:color w:val="auto"/>
        </w:rPr>
      </w:pPr>
      <w:r>
        <w:rPr>
          <w:rFonts w:ascii="Arial" w:cs="Arial" w:eastAsia="Arial" w:hAnsi="Arial"/>
          <w:sz w:val="16"/>
          <w:szCs w:val="16"/>
          <w:color w:val="auto"/>
        </w:rPr>
        <w:t>We have two classes of authorized common stock, Class A common stock and Class B common stock. Upon the effectiveness of the registration statement of which this prospectus forms a part, all outstanding shares of our preferred stock will be converted into shares of our Class B common stock.</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17" w:lineRule="exact"/>
        <w:rPr>
          <w:sz w:val="20"/>
          <w:szCs w:val="20"/>
          <w:color w:val="auto"/>
        </w:rPr>
      </w:pPr>
    </w:p>
    <w:p>
      <w:pPr>
        <w:ind w:right="80" w:firstLine="449"/>
        <w:spacing w:after="0" w:line="286" w:lineRule="auto"/>
        <w:rPr>
          <w:sz w:val="20"/>
          <w:szCs w:val="20"/>
          <w:color w:val="auto"/>
        </w:rPr>
      </w:pPr>
      <w:r>
        <w:rPr>
          <w:rFonts w:ascii="Arial" w:cs="Arial" w:eastAsia="Arial" w:hAnsi="Arial"/>
          <w:sz w:val="17"/>
          <w:szCs w:val="17"/>
          <w:color w:val="auto"/>
        </w:rPr>
        <w:t>Subject to preferences that may apply to any shares of preferred stock outstanding at the time, the holders of our Class A common stock and Class B common stock are entitled to receive dividends out of funds legally available if our board of directors, in its discretion, determines to issue dividends and then only at the times and in the amounts that our board of directors may determine. See the section titled “Dividend Policy.”</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Holders of our Class A common stock are entitled to one vote per share, and holders of our Class B common stock are entitled to 10 votes per share, on all matters submitted to a vote of stockholders. The holders of our Class A common stock and Class B common stock will generally vote together as a single class on all matters submitted to a vote of our stockholders, unless otherwise required by Delaware law or our amended and restated certificate of incorporation. Delaware law could require either holders of our Class A common stock or Class B common stock to vote separately as a single class in the following circumstances:</w:t>
      </w:r>
    </w:p>
    <w:p>
      <w:pPr>
        <w:spacing w:after="0" w:line="93" w:lineRule="exact"/>
        <w:rPr>
          <w:sz w:val="20"/>
          <w:szCs w:val="20"/>
          <w:color w:val="auto"/>
        </w:rPr>
      </w:pPr>
    </w:p>
    <w:p>
      <w:pPr>
        <w:ind w:left="1000" w:right="480" w:hanging="547"/>
        <w:spacing w:after="0" w:line="277" w:lineRule="auto"/>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we were to seek to amend our amended and restated certificate of incorporation to increase or decrease the par value of a class of our capital stock, then that class would be required to vote separately to approve the proposed amendment;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20"/>
          </w:cols>
          <w:pgMar w:left="320" w:top="459" w:right="3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100" w:hanging="547"/>
        <w:spacing w:after="0" w:line="263" w:lineRule="auto"/>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we were to seek to amend our amended and restated certificate of incorporation in a manner that alters or changes the powers, preferences, or special rights of a class of our capital stock in a manner that affected its holders adversely, then that class would be required to vote separately to approve the proposed amendment.</w:t>
      </w:r>
    </w:p>
    <w:p>
      <w:pPr>
        <w:spacing w:after="0" w:line="184" w:lineRule="exact"/>
        <w:rPr>
          <w:sz w:val="20"/>
          <w:szCs w:val="20"/>
          <w:color w:val="auto"/>
        </w:rPr>
      </w:pPr>
    </w:p>
    <w:p>
      <w:pPr>
        <w:ind w:right="220" w:firstLine="449"/>
        <w:spacing w:after="0" w:line="279" w:lineRule="auto"/>
        <w:rPr>
          <w:sz w:val="20"/>
          <w:szCs w:val="20"/>
          <w:color w:val="auto"/>
        </w:rPr>
      </w:pPr>
      <w:r>
        <w:rPr>
          <w:rFonts w:ascii="Arial" w:cs="Arial" w:eastAsia="Arial" w:hAnsi="Arial"/>
          <w:sz w:val="17"/>
          <w:szCs w:val="17"/>
          <w:color w:val="auto"/>
        </w:rPr>
        <w:t>Our amended and restated certificate of incorporation and amended and restated bylaws will establish a classified board of directors that is divided into three classes with staggered three-year terms. Only the directors in one class will be subject to election by a plurality of the votes cast at each annual meeting of our stockholders, with the directors in the other classes continuing for the remainder of their respective three-year terms. Our amended and restated certificate of incorporation will not provide for cumulative voting for the election of directors.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Conversion</w:t>
      </w:r>
    </w:p>
    <w:p>
      <w:pPr>
        <w:spacing w:after="0" w:line="117" w:lineRule="exact"/>
        <w:rPr>
          <w:sz w:val="20"/>
          <w:szCs w:val="20"/>
          <w:color w:val="auto"/>
        </w:rPr>
      </w:pPr>
    </w:p>
    <w:p>
      <w:pPr>
        <w:ind w:right="260" w:firstLine="449"/>
        <w:spacing w:after="0" w:line="285" w:lineRule="auto"/>
        <w:rPr>
          <w:sz w:val="20"/>
          <w:szCs w:val="20"/>
          <w:color w:val="auto"/>
        </w:rPr>
      </w:pPr>
      <w:r>
        <w:rPr>
          <w:rFonts w:ascii="Arial" w:cs="Arial" w:eastAsia="Arial" w:hAnsi="Arial"/>
          <w:sz w:val="16"/>
          <w:szCs w:val="16"/>
          <w:color w:val="auto"/>
        </w:rPr>
        <w:t>Each outstanding share of Class B common stock is convertible at any time at the option of the holder into one share of Class A common stock. In addition, each share of Class B common stock will convert automatically into one share of Class A common stock upon any transfer, whether or not for value, which occurs after the effectiveness of the registration statement of which this prospectus forms a part, except for certain permitted transfers, described in the paragraph that immediately follows this paragraph and further described in our amended and restated certificate of incorporation. Once converted into Class B common stock, the Class A common stock will not be reissued. In addition, each share of Class B common stock will convert</w:t>
      </w:r>
    </w:p>
    <w:p>
      <w:pPr>
        <w:spacing w:after="0" w:line="2" w:lineRule="exact"/>
        <w:rPr>
          <w:sz w:val="20"/>
          <w:szCs w:val="20"/>
          <w:color w:val="auto"/>
        </w:rPr>
      </w:pPr>
    </w:p>
    <w:p>
      <w:pPr>
        <w:spacing w:after="0"/>
        <w:tabs>
          <w:tab w:leader="none" w:pos="7220" w:val="left"/>
          <w:tab w:leader="none" w:pos="10380" w:val="left"/>
        </w:tabs>
        <w:rPr>
          <w:sz w:val="20"/>
          <w:szCs w:val="20"/>
          <w:color w:val="auto"/>
        </w:rPr>
      </w:pPr>
      <w:r>
        <w:rPr>
          <w:rFonts w:ascii="Arial" w:cs="Arial" w:eastAsia="Arial" w:hAnsi="Arial"/>
          <w:sz w:val="18"/>
          <w:szCs w:val="18"/>
          <w:color w:val="auto"/>
        </w:rPr>
        <w:t>automatically into one share of Class A common stock upon the earlier of (i) the date that is</w:t>
      </w:r>
      <w:r>
        <w:rPr>
          <w:sz w:val="20"/>
          <w:szCs w:val="20"/>
          <w:color w:val="auto"/>
        </w:rPr>
        <w:tab/>
      </w:r>
      <w:r>
        <w:rPr>
          <w:rFonts w:ascii="Arial" w:cs="Arial" w:eastAsia="Arial" w:hAnsi="Arial"/>
          <w:sz w:val="18"/>
          <w:szCs w:val="18"/>
          <w:color w:val="auto"/>
        </w:rPr>
        <w:t>or (ii) the later of the date that is (x)</w:t>
      </w:r>
      <w:r>
        <w:rPr>
          <w:sz w:val="20"/>
          <w:szCs w:val="20"/>
          <w:color w:val="auto"/>
        </w:rPr>
        <w:tab/>
      </w:r>
      <w:r>
        <w:rPr>
          <w:rFonts w:ascii="Arial" w:cs="Arial" w:eastAsia="Arial" w:hAnsi="Arial"/>
          <w:sz w:val="15"/>
          <w:szCs w:val="15"/>
          <w:color w:val="auto"/>
        </w:rPr>
        <w:t>and</w:t>
      </w:r>
    </w:p>
    <w:p>
      <w:pPr>
        <w:spacing w:after="0" w:line="9" w:lineRule="exact"/>
        <w:rPr>
          <w:sz w:val="20"/>
          <w:szCs w:val="20"/>
          <w:color w:val="auto"/>
        </w:rPr>
      </w:pPr>
    </w:p>
    <w:p>
      <w:pPr>
        <w:ind w:left="760" w:hanging="752"/>
        <w:spacing w:after="0"/>
        <w:tabs>
          <w:tab w:leader="none" w:pos="7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p>
    <w:p>
      <w:pPr>
        <w:spacing w:after="0" w:line="211" w:lineRule="exact"/>
        <w:rPr>
          <w:sz w:val="20"/>
          <w:szCs w:val="20"/>
          <w:color w:val="auto"/>
        </w:rPr>
      </w:pPr>
    </w:p>
    <w:p>
      <w:pPr>
        <w:ind w:firstLine="449"/>
        <w:spacing w:after="0" w:line="285" w:lineRule="auto"/>
        <w:rPr>
          <w:sz w:val="20"/>
          <w:szCs w:val="20"/>
          <w:color w:val="auto"/>
        </w:rPr>
      </w:pPr>
      <w:r>
        <w:rPr>
          <w:rFonts w:ascii="Arial" w:cs="Arial" w:eastAsia="Arial" w:hAnsi="Arial"/>
          <w:sz w:val="16"/>
          <w:szCs w:val="16"/>
          <w:color w:val="auto"/>
        </w:rPr>
        <w:t>A transfer of Class B common stock will not trigger an automatic conversion of such stock to Class A common stock if it is a permitted transfer. A permitted transfer is a transfer by a holder of Class B common stock to any of the persons or entities listed in clauses (i) through (v) below, each referred to herein as a Permitted Transferee, and from any such Permitted Transferee back to such holder of Class B common stock and/or any other Permitted Transferee established by or for such holder of Class B common stock: (i) to a trust for the benefit of the holder of Class B common stock and over which such holder of Class B common stock retains sole dispositive power and voting control, provided the holder of Class B common stock does not receive consideration in exchange for the transfer (other than as a settlor or beneficiary of such trust); (ii) to a trust for the benefit of persons other than the holder of Class B common stock so long as the holder of Class B common stock retains sole dispositive power and voting control, provided the holder of Class B common stock does not receive consideration in exchange for the transfer (other than as a settlor or beneficiary of such trust); (iii) to a trust under the terms of which such holder of Class B common stock has retained a “qualified interest” within the meaning of §2702(b)(1) of the Internal Revenue Code and/or a reversionary interest so long as the holder of Class B common stock retains sole dispositive power and exclusive voting control with respect to the shares of Class B common stock held by such trust; (iv) to an Individual Retirement Account, as defined in Section 408(a) of the Internal Revenue Code, or a pension, profit sharing, stock bonus, or other type of plan or trust of which such holder of Class B common stock is a participant or beneficiary and which satisfies the requirements for qualification under Section 401 of the Internal Revenue Code, so long as such holder of Class B common stock retains sole dispositive power and exclusive voting control with respect to the shares of Class B common stock held in such account, plan, or trust; or (v) to a corporation, partnership, or limited liability company in which such holder of Class B common stock directly, or indirectly, retains sole dispositive power and exclusive voting control with respect to the shares of Class B common stock held by such corporation, partnership, or limited liability company.</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117" w:lineRule="exact"/>
        <w:rPr>
          <w:sz w:val="20"/>
          <w:szCs w:val="20"/>
          <w:color w:val="auto"/>
        </w:rPr>
      </w:pPr>
    </w:p>
    <w:p>
      <w:pPr>
        <w:ind w:right="540" w:firstLine="449"/>
        <w:spacing w:after="0" w:line="277" w:lineRule="auto"/>
        <w:rPr>
          <w:sz w:val="20"/>
          <w:szCs w:val="20"/>
          <w:color w:val="auto"/>
        </w:rPr>
      </w:pPr>
      <w:r>
        <w:rPr>
          <w:rFonts w:ascii="Arial" w:cs="Arial" w:eastAsia="Arial" w:hAnsi="Arial"/>
          <w:sz w:val="18"/>
          <w:szCs w:val="18"/>
          <w:color w:val="auto"/>
        </w:rPr>
        <w:t>Our Class A common stock and Class B common stock are not entitled to preemptive rights and are not subject to conversion (except as noted above), redemption, or sinking fund provisions.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320" w:top="459" w:right="3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117"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If we become subject to a liquidation, dissolution, or winding-up, the assets legally available for distribution to our stockholders would be distributable ratably among the holders of our Class A common stock and Class B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of the outstanding shares of our Class A common stock and Class B common stock are fully paid and non-assessable.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20" w:firstLine="449"/>
        <w:spacing w:after="0" w:line="286" w:lineRule="auto"/>
        <w:rPr>
          <w:sz w:val="20"/>
          <w:szCs w:val="20"/>
          <w:color w:val="auto"/>
        </w:rPr>
      </w:pPr>
      <w:r>
        <w:rPr>
          <w:rFonts w:ascii="Arial" w:cs="Arial" w:eastAsia="Arial" w:hAnsi="Arial"/>
          <w:sz w:val="16"/>
          <w:szCs w:val="16"/>
          <w:color w:val="auto"/>
        </w:rPr>
        <w:t>After the effectiveness of the registration statement of which this prospectus forms a part, all of our previously outstanding shares of redeemable convertible preferred stock will have been converted into common stock, there will be no authorized shares of our redeemable convertible preferred stock and we will have no shares of preferred stock outstanding. Under the terms of our amended and restated certificate of incorporation, which will be in effect following the effectiveness of the registration statement of which this prospectus forms a part, our board of directors has the authority, without further</w:t>
      </w:r>
    </w:p>
    <w:p>
      <w:pPr>
        <w:spacing w:after="0" w:line="1"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action by our stockholders, to issue up to shares of preferred stock in one or more series, to establish from time to time the number of shares to be included in each such series, to fix the dividend, voting, and other rights, preferences, and privileges of the shares of each series and any qualifications, limitations, or restrictions thereon, and to increase or decrease the number of shares of any such series, but not below the number of shares of such series then outstanding.</w:t>
      </w:r>
    </w:p>
    <w:p>
      <w:pPr>
        <w:spacing w:after="0" w:line="193"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Our board of directors may authorize the issuance of preferred stock with voting or conversion rights that could adversely affect the voting power or other rights of the holders of Class A common stock and Class B common stock. The issuance of preferred stock, while providing flexibility in connection with possible acquisitions and other corporate purposes, could, among other things, have the effect of delaying, deferring, or preventing a change in control of our company and may adversely affect the market price of our Class A common stock and the voting and other rights of the holders of Class A and Class B common stock. We have no current plans to issue any shares of preferred stock.</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121" w:lineRule="exact"/>
        <w:rPr>
          <w:sz w:val="20"/>
          <w:szCs w:val="20"/>
          <w:color w:val="auto"/>
        </w:rPr>
      </w:pPr>
    </w:p>
    <w:p>
      <w:pPr>
        <w:ind w:right="460" w:firstLine="449"/>
        <w:spacing w:after="0" w:line="263" w:lineRule="auto"/>
        <w:rPr>
          <w:sz w:val="20"/>
          <w:szCs w:val="20"/>
          <w:color w:val="auto"/>
        </w:rPr>
      </w:pPr>
      <w:r>
        <w:rPr>
          <w:rFonts w:ascii="Arial" w:cs="Arial" w:eastAsia="Arial" w:hAnsi="Arial"/>
          <w:sz w:val="18"/>
          <w:szCs w:val="18"/>
          <w:color w:val="auto"/>
        </w:rPr>
        <w:t>As of January 31, 2020, we had outstanding options under our equity incentive plans to purchase an aggregate of shares of our Class A common stock, with a weighted-average exercise price of $ per share, and an aggregate of shares of our Class B common stock, with a weighted-average exercise price of $ per share.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ectPr>
          <w:pgSz w:w="11900" w:h="16838" w:orient="portrait"/>
          <w:cols w:equalWidth="0" w:num="1">
            <w:col w:w="11200"/>
          </w:cols>
          <w:pgMar w:left="320" w:top="459" w:right="379" w:bottom="1440" w:gutter="0" w:footer="0" w:header="0"/>
        </w:sectPr>
      </w:pPr>
    </w:p>
    <w:p>
      <w:pPr>
        <w:spacing w:after="0" w:line="121"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As of January 31, 2020, we had outstanding RSUs representing an aggregate of 2012 Plan.</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Class A common stock, issued pursuant to our</w:t>
      </w:r>
    </w:p>
    <w:p>
      <w:pPr>
        <w:spacing w:after="0" w:line="493" w:lineRule="exact"/>
        <w:rPr>
          <w:sz w:val="20"/>
          <w:szCs w:val="20"/>
          <w:color w:val="auto"/>
        </w:rPr>
      </w:pPr>
    </w:p>
    <w:p>
      <w:pPr>
        <w:sectPr>
          <w:pgSz w:w="11900" w:h="16838" w:orient="portrait"/>
          <w:cols w:equalWidth="0" w:num="2">
            <w:col w:w="6180" w:space="540"/>
            <w:col w:w="4480"/>
          </w:cols>
          <w:pgMar w:left="320" w:top="459" w:right="379" w:bottom="1440" w:gutter="0" w:footer="0" w:header="0"/>
          <w:type w:val="continuous"/>
        </w:sectPr>
      </w:pP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Mandatory Convertible Promissory Note</w:t>
      </w:r>
    </w:p>
    <w:p>
      <w:pPr>
        <w:spacing w:after="0" w:line="121" w:lineRule="exact"/>
        <w:rPr>
          <w:sz w:val="20"/>
          <w:szCs w:val="20"/>
          <w:color w:val="auto"/>
        </w:rPr>
      </w:pPr>
    </w:p>
    <w:p>
      <w:pPr>
        <w:ind w:right="80" w:firstLine="449"/>
        <w:spacing w:after="0" w:line="311" w:lineRule="auto"/>
        <w:rPr>
          <w:sz w:val="20"/>
          <w:szCs w:val="20"/>
          <w:color w:val="auto"/>
        </w:rPr>
      </w:pPr>
      <w:r>
        <w:rPr>
          <w:rFonts w:ascii="Arial" w:cs="Arial" w:eastAsia="Arial" w:hAnsi="Arial"/>
          <w:sz w:val="16"/>
          <w:szCs w:val="16"/>
          <w:color w:val="auto"/>
        </w:rPr>
        <w:t>As of January 31, 2020, we had outstanding an unsecured senior mandatory convertible promissory note issued to the Dustin Moskovitz Trust in the aggregate principal amount of $300.0 million, or the 2020 Note. The 2020 Note accrues interest at a rate of 3.5% per annum, which will compound annually and (other than in connection with our bankruptcy, insolvency, or other similar events) will mandatorily convert into shares of our</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00"/>
          </w:cols>
          <w:pgMar w:left="320" w:top="459" w:right="379" w:bottom="1440" w:gutter="0" w:footer="0" w:header="0"/>
          <w:type w:val="continuous"/>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Class B common stock. The 2020 Note matures on January 30, 2025, or the Maturity Date, and on the Maturity Date, the amount of principal and accrued interest will equal $356.3 million, which we refer to as the Conversion Amount.</w:t>
      </w:r>
    </w:p>
    <w:p>
      <w:pPr>
        <w:spacing w:after="0" w:line="170" w:lineRule="exact"/>
        <w:rPr>
          <w:sz w:val="20"/>
          <w:szCs w:val="20"/>
          <w:color w:val="auto"/>
        </w:rPr>
      </w:pPr>
    </w:p>
    <w:p>
      <w:pPr>
        <w:ind w:right="100" w:firstLine="449"/>
        <w:spacing w:after="0" w:line="293" w:lineRule="auto"/>
        <w:rPr>
          <w:sz w:val="20"/>
          <w:szCs w:val="20"/>
          <w:color w:val="auto"/>
        </w:rPr>
      </w:pPr>
      <w:r>
        <w:rPr>
          <w:rFonts w:ascii="Arial" w:cs="Arial" w:eastAsia="Arial" w:hAnsi="Arial"/>
          <w:sz w:val="16"/>
          <w:szCs w:val="16"/>
          <w:color w:val="auto"/>
        </w:rPr>
        <w:t>If outstanding at the Maturity Date, the Conversion Amount under the 2020 Note will mandatorily convert into shares of our Class B common stock at a rate equal to the greater of (i) 31.6649 shares per each $1,000 of the Conversion Amount, or the Minimum Conversion Rate, and (ii) the lesser of (a) $1,000 divided by the volume-weighted average price of our Class A common stock for the 20 trading days ending on the last trading day immediately preceding the Maturity Date per $1,000 of the Conversion Amount, and (b) 50.6638 shares per each $1,000 of the Conversion Amount, or the Maximum Conversion Rate. On the Maturity Date, depending on the trading price of our Class A common stock, we will issue between 11,282,390 and 18,051,810 shares of our Class B common stock upon mandatory conversion of the 2020 Note, subject to customary anti-dilution and other adjustments.</w:t>
      </w:r>
    </w:p>
    <w:p>
      <w:pPr>
        <w:spacing w:after="0" w:line="164"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In addition, in advance of the Maturity Date, at our option, we may convert the Conversion Amount under the 2020 Note into shares of our Class B common stock at the Minimum Conversion Rate at any time during a calendar quarter (prior to the second scheduled trading day immediately preceding the Maturity Date) if the closing trading price of our Class A common stock equals or exceeds $1,000 divided by the Minimum Conversion Rate (initially $31.58 per share subject to customary anti-dilution and other adjustments in connection with certain extraordinary transactions) for 20 or more trading days in the 30 consecutive trading day period ending on the last trading day of the immediately preceding calendar quarter. In the event we experience a change in control, the Conversion Amount under the 2020 Note will convert into shares of our Class B common stock in connection with such acquisition at the Maximum Conversion Rate.</w:t>
      </w:r>
    </w:p>
    <w:p>
      <w:pPr>
        <w:spacing w:after="0" w:line="195"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The 2020 Note is not transferrable except to affiliates, contains no financial or restrictive covenants, and is expressly subordinated in right of payment to any of our existing or future secured indebtedness. Additionally, the 2020 Note contains limited events of default, including our bankruptcy or insolvency, upon which the principal amount outstanding under the 2020 Note, together with all accrued unpaid interest, become immediately due and payable.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We are party to an amended and restated investors’ rights agreement that provides that certain holders of our preferred stock have certain registration rights as set forth below. The registration of shares of our Class A common stock by the exercise of registration rights described below would enable the holders to sell these shares without restriction under the Securities Act when the applicable registration statement is declared effective. We will pay the registration expenses, other than underwriting discounts and commissions, of the shares registered by the demand, piggyback, and Form S-3 registrations described below.</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registration rights set forth in the amended and restated investors’ rights agreement will expire five years following the listing of our Class A</w:t>
      </w:r>
    </w:p>
    <w:p>
      <w:pPr>
        <w:spacing w:after="0" w:line="46" w:lineRule="exact"/>
        <w:rPr>
          <w:sz w:val="20"/>
          <w:szCs w:val="20"/>
          <w:color w:val="auto"/>
        </w:rPr>
      </w:pPr>
    </w:p>
    <w:p>
      <w:pPr>
        <w:spacing w:after="0"/>
        <w:tabs>
          <w:tab w:leader="none" w:pos="2080" w:val="left"/>
        </w:tabs>
        <w:rPr>
          <w:sz w:val="20"/>
          <w:szCs w:val="20"/>
          <w:color w:val="auto"/>
        </w:rPr>
      </w:pPr>
      <w:r>
        <w:rPr>
          <w:rFonts w:ascii="Arial" w:cs="Arial" w:eastAsia="Arial" w:hAnsi="Arial"/>
          <w:sz w:val="18"/>
          <w:szCs w:val="18"/>
          <w:color w:val="auto"/>
        </w:rPr>
        <w:t>common stock on the</w:t>
      </w:r>
      <w:r>
        <w:rPr>
          <w:sz w:val="20"/>
          <w:szCs w:val="20"/>
          <w:color w:val="auto"/>
        </w:rPr>
        <w:tab/>
      </w:r>
      <w:r>
        <w:rPr>
          <w:rFonts w:ascii="Arial" w:cs="Arial" w:eastAsia="Arial" w:hAnsi="Arial"/>
          <w:sz w:val="16"/>
          <w:szCs w:val="16"/>
          <w:color w:val="auto"/>
        </w:rPr>
        <w:t>, or, with respect to any particular stockholder, when such stockholder is able to sell all of its shares pursuant to Rule 144(b)(1)</w:t>
      </w:r>
    </w:p>
    <w:p>
      <w:pPr>
        <w:spacing w:after="0" w:line="9" w:lineRule="exact"/>
        <w:rPr>
          <w:sz w:val="20"/>
          <w:szCs w:val="20"/>
          <w:color w:val="auto"/>
        </w:rPr>
      </w:pPr>
    </w:p>
    <w:p>
      <w:pPr>
        <w:ind w:right="100" w:firstLine="8"/>
        <w:spacing w:after="0" w:line="271" w:lineRule="auto"/>
        <w:tabs>
          <w:tab w:leader="none" w:pos="215" w:val="left"/>
        </w:tabs>
        <w:numPr>
          <w:ilvl w:val="0"/>
          <w:numId w:val="84"/>
        </w:numPr>
        <w:rPr>
          <w:rFonts w:ascii="Arial" w:cs="Arial" w:eastAsia="Arial" w:hAnsi="Arial"/>
          <w:sz w:val="17"/>
          <w:szCs w:val="17"/>
          <w:color w:val="auto"/>
        </w:rPr>
      </w:pPr>
      <w:r>
        <w:rPr>
          <w:rFonts w:ascii="Arial" w:cs="Arial" w:eastAsia="Arial" w:hAnsi="Arial"/>
          <w:sz w:val="17"/>
          <w:szCs w:val="17"/>
          <w:color w:val="auto"/>
        </w:rPr>
        <w:t>of the Securities Act or holds 1% or less of our common stock and is able to sell all of its Registrable Securities, as defined in the amended and restated investors’ rights agreement, without registration pursuant to Rule 144 of the Securities Act during any three-month period. We will pay the registration expenses (other than underwriting discounts and selling commissions) of the holders of the shares registered pursuant to the registrations described below, including the reasonable fees of one counsel for the selling holders. In an underwritten offering, the underwriters have the right, subject to specified conditions, to limit the number of shares such holders may include.</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Demand Registration Rights</w:t>
      </w:r>
    </w:p>
    <w:p>
      <w:pPr>
        <w:sectPr>
          <w:pgSz w:w="11900" w:h="16838" w:orient="portrait"/>
          <w:cols w:equalWidth="0" w:num="1">
            <w:col w:w="11220"/>
          </w:cols>
          <w:pgMar w:left="320" w:top="459" w:right="359" w:bottom="1440" w:gutter="0" w:footer="0" w:header="0"/>
        </w:sectPr>
      </w:pPr>
    </w:p>
    <w:p>
      <w:pPr>
        <w:spacing w:after="0" w:line="117"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After the effectiveness of the registration statement of which this prospectus forms a part, the holders of an aggregate of common stock will be entitled to certain demand registration rights. At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color w:val="auto"/>
        </w:rPr>
        <w:t>shares of our Class B</w:t>
      </w:r>
    </w:p>
    <w:p>
      <w:pPr>
        <w:spacing w:after="0" w:line="408" w:lineRule="exact"/>
        <w:rPr>
          <w:sz w:val="20"/>
          <w:szCs w:val="20"/>
          <w:color w:val="auto"/>
        </w:rPr>
      </w:pPr>
    </w:p>
    <w:p>
      <w:pPr>
        <w:sectPr>
          <w:pgSz w:w="11900" w:h="16838" w:orient="portrait"/>
          <w:cols w:equalWidth="0" w:num="2">
            <w:col w:w="9080" w:space="600"/>
            <w:col w:w="1540"/>
          </w:cols>
          <w:pgMar w:left="320" w:top="459" w:right="3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121</w:t>
      </w:r>
    </w:p>
    <w:p>
      <w:pPr>
        <w:sectPr>
          <w:pgSz w:w="11900" w:h="16838" w:orient="portrait"/>
          <w:cols w:equalWidth="0" w:num="1">
            <w:col w:w="11220"/>
          </w:cols>
          <w:pgMar w:left="320" w:top="459" w:right="359" w:bottom="1440" w:gutter="0" w:footer="0" w:header="0"/>
          <w:type w:val="continuous"/>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any time beginning the six months after the effectiveness of the registration statement of which this prospectus forms a part, the holders of a majority of these shares may request that we register all or a portion of their shares. We are obligated to effect only two such registrations. Such request for registration must cover shares with an anticipated aggregate offering price, net of underwriting discounts and commissions, of at least $15.0 million.</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After the effectiveness of the registration statement of which this prospectus forms a part, in the event that we propose to register any of our</w:t>
      </w:r>
    </w:p>
    <w:p>
      <w:pPr>
        <w:spacing w:after="0" w:line="35"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securities under the Securities Act, either for our own account or for the account of other security holders, the holders of shares of our Class B common stock will be entitled to certain piggyback registration rights allowing the holder to include their shares in such registration, subject to certain marketing and other limitations. As a result, whenever we propose to file a registration statement under the Securities Act, other than with respect to (1) a registration relating solely to the sale of securities to participants in our stock plan, (2) a registration relating to a transaction covered by Rule 145 under the Securities Act, (3) a registration in which the only stock being registered is common stock upon conversion of debt securities also being registered, or</w:t>
      </w:r>
    </w:p>
    <w:p>
      <w:pPr>
        <w:spacing w:after="0" w:line="3" w:lineRule="exact"/>
        <w:rPr>
          <w:sz w:val="20"/>
          <w:szCs w:val="20"/>
          <w:color w:val="auto"/>
        </w:rPr>
      </w:pPr>
    </w:p>
    <w:p>
      <w:pPr>
        <w:ind w:firstLine="8"/>
        <w:spacing w:after="0" w:line="277" w:lineRule="auto"/>
        <w:tabs>
          <w:tab w:leader="none" w:pos="255" w:val="left"/>
        </w:tabs>
        <w:numPr>
          <w:ilvl w:val="0"/>
          <w:numId w:val="85"/>
        </w:numPr>
        <w:rPr>
          <w:rFonts w:ascii="Arial" w:cs="Arial" w:eastAsia="Arial" w:hAnsi="Arial"/>
          <w:sz w:val="17"/>
          <w:szCs w:val="17"/>
          <w:color w:val="auto"/>
        </w:rPr>
      </w:pPr>
      <w:r>
        <w:rPr>
          <w:rFonts w:ascii="Arial" w:cs="Arial" w:eastAsia="Arial" w:hAnsi="Arial"/>
          <w:sz w:val="17"/>
          <w:szCs w:val="17"/>
          <w:color w:val="auto"/>
        </w:rPr>
        <w:t>any registration on any form which does not include substantially the same information as would be required to be included in a registration statement covering the sale of registrable securities, the holders of these shares are entitled to notice of the registration and have the right to include their shares in the registration, subject to limitations that the underwriters may impose on the number of shares included in the offering.</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17" w:lineRule="exact"/>
        <w:rPr>
          <w:sz w:val="20"/>
          <w:szCs w:val="20"/>
          <w:color w:val="auto"/>
        </w:rPr>
      </w:pPr>
    </w:p>
    <w:p>
      <w:pPr>
        <w:ind w:left="460"/>
        <w:spacing w:after="0"/>
        <w:tabs>
          <w:tab w:leader="none" w:pos="9660" w:val="left"/>
        </w:tabs>
        <w:rPr>
          <w:sz w:val="20"/>
          <w:szCs w:val="20"/>
          <w:color w:val="auto"/>
        </w:rPr>
      </w:pPr>
      <w:r>
        <w:rPr>
          <w:rFonts w:ascii="Arial" w:cs="Arial" w:eastAsia="Arial" w:hAnsi="Arial"/>
          <w:sz w:val="18"/>
          <w:szCs w:val="18"/>
          <w:color w:val="auto"/>
        </w:rPr>
        <w:t>After the effectiveness of the registration statement of which this prospectus forms a part, the holders of an aggregate of</w:t>
      </w:r>
      <w:r>
        <w:rPr>
          <w:sz w:val="20"/>
          <w:szCs w:val="20"/>
          <w:color w:val="auto"/>
        </w:rPr>
        <w:tab/>
      </w:r>
      <w:r>
        <w:rPr>
          <w:rFonts w:ascii="Arial" w:cs="Arial" w:eastAsia="Arial" w:hAnsi="Arial"/>
          <w:sz w:val="15"/>
          <w:szCs w:val="15"/>
          <w:color w:val="auto"/>
        </w:rPr>
        <w:t>shares of our Class B</w:t>
      </w:r>
    </w:p>
    <w:p>
      <w:pPr>
        <w:spacing w:after="0" w:line="23"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common stock will be entitled to certain Form S-3 registration rights. The holders of these shares can make a request that we register their shares on Form S-3 if we are qualified to file a registration statement on Form S-3 and if the reasonably anticipated aggregate gross proceeds of the shares offered would equal or exceed $10.0 million. We will not be required to effect more than two registrations on Form S-3 within any 12-month period.</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 and Our Certificate of Incorporation and Bylaws</w:t>
      </w:r>
    </w:p>
    <w:p>
      <w:pPr>
        <w:spacing w:after="0" w:line="121"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Some provisions of Delaware law, our amended and restated certificate of incorporation, and our amended and restated bylaws contain or will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188" w:lineRule="exact"/>
        <w:rPr>
          <w:sz w:val="20"/>
          <w:szCs w:val="20"/>
          <w:color w:val="auto"/>
        </w:rPr>
      </w:pPr>
    </w:p>
    <w:p>
      <w:pPr>
        <w:ind w:right="40" w:firstLine="449"/>
        <w:spacing w:after="0" w:line="279" w:lineRule="auto"/>
        <w:rPr>
          <w:sz w:val="20"/>
          <w:szCs w:val="20"/>
          <w:color w:val="auto"/>
        </w:rPr>
      </w:pPr>
      <w:r>
        <w:rPr>
          <w:rFonts w:ascii="Arial" w:cs="Arial" w:eastAsia="Arial" w:hAnsi="Arial"/>
          <w:sz w:val="17"/>
          <w:szCs w:val="17"/>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Stockholder Meetings</w:t>
      </w:r>
    </w:p>
    <w:p>
      <w:pPr>
        <w:spacing w:after="0" w:line="117" w:lineRule="exact"/>
        <w:rPr>
          <w:sz w:val="20"/>
          <w:szCs w:val="20"/>
          <w:color w:val="auto"/>
        </w:rPr>
      </w:pPr>
    </w:p>
    <w:p>
      <w:pPr>
        <w:ind w:right="460" w:firstLine="449"/>
        <w:spacing w:after="0" w:line="277" w:lineRule="auto"/>
        <w:rPr>
          <w:sz w:val="20"/>
          <w:szCs w:val="20"/>
          <w:color w:val="auto"/>
        </w:rPr>
      </w:pPr>
      <w:r>
        <w:rPr>
          <w:rFonts w:ascii="Arial" w:cs="Arial" w:eastAsia="Arial" w:hAnsi="Arial"/>
          <w:sz w:val="18"/>
          <w:szCs w:val="18"/>
          <w:color w:val="auto"/>
        </w:rPr>
        <w:t>Our amended and restated bylaws will provide that a special meeting of stockholders may be called only by our chairperson of the board, chief executive officer, or president, or by a resolution adopted by a majority of our board of directors.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00"/>
          </w:cols>
          <w:pgMar w:left="320" w:top="459" w:right="37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117" w:lineRule="exact"/>
        <w:rPr>
          <w:sz w:val="20"/>
          <w:szCs w:val="20"/>
          <w:color w:val="auto"/>
        </w:rPr>
      </w:pPr>
    </w:p>
    <w:p>
      <w:pPr>
        <w:ind w:right="160" w:firstLine="449"/>
        <w:spacing w:after="0" w:line="263" w:lineRule="auto"/>
        <w:rPr>
          <w:sz w:val="20"/>
          <w:szCs w:val="20"/>
          <w:color w:val="auto"/>
        </w:rPr>
      </w:pPr>
      <w:r>
        <w:rPr>
          <w:rFonts w:ascii="Arial" w:cs="Arial" w:eastAsia="Arial" w:hAnsi="Arial"/>
          <w:sz w:val="18"/>
          <w:szCs w:val="18"/>
          <w:color w:val="auto"/>
        </w:rPr>
        <w:t>Our amended and restated bylaws will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Elimination of Stockholder Action by Written Consent</w:t>
      </w:r>
    </w:p>
    <w:p>
      <w:pPr>
        <w:spacing w:after="0" w:line="117" w:lineRule="exact"/>
        <w:rPr>
          <w:sz w:val="20"/>
          <w:szCs w:val="20"/>
          <w:color w:val="auto"/>
        </w:rPr>
      </w:pPr>
    </w:p>
    <w:p>
      <w:pPr>
        <w:ind w:right="400" w:firstLine="449"/>
        <w:spacing w:after="0" w:line="277" w:lineRule="auto"/>
        <w:rPr>
          <w:sz w:val="20"/>
          <w:szCs w:val="20"/>
          <w:color w:val="auto"/>
        </w:rPr>
      </w:pPr>
      <w:r>
        <w:rPr>
          <w:rFonts w:ascii="Arial" w:cs="Arial" w:eastAsia="Arial" w:hAnsi="Arial"/>
          <w:sz w:val="18"/>
          <w:szCs w:val="18"/>
          <w:color w:val="auto"/>
        </w:rPr>
        <w:t>Our amended and restated certificate of incorporation and amended and restated bylaws will eliminate the right of stockholders to act by written consent without a meeting.</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Staggered Board</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Our board of directors will be divided into three classes. The directors in each class will serve for a three-year term, one class being elected each year by our stockholders. For more information on the classified board, see “Management—Composition of Our Board of Directors.” This system of electing and removing directors may tend to discourage a third-party from making a tender offer or otherwise attempting to obtain control of us, because it generally makes it more difficult for stockholders to replace a majority of the directors.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117"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color w:val="auto"/>
        </w:rPr>
        <w:t>Our amended and restated certificate of incorporation will provide that no member of our board of directors may be removed from office by our stockholders except for cause and, in addition to any other vote required by law, upon the approval of not less than two-thirds of the total voting power of all of our outstanding voting stock then entitled to vote in the election of directors.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Stockholders Not Entitled to Cumulative Voting</w:t>
      </w:r>
    </w:p>
    <w:p>
      <w:pPr>
        <w:spacing w:after="0" w:line="11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Our amended and restated certificate of incorporation will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117" w:lineRule="exact"/>
        <w:rPr>
          <w:sz w:val="20"/>
          <w:szCs w:val="20"/>
          <w:color w:val="auto"/>
        </w:rPr>
      </w:pPr>
    </w:p>
    <w:p>
      <w:pPr>
        <w:ind w:right="160" w:firstLine="449"/>
        <w:spacing w:after="0" w:line="291" w:lineRule="auto"/>
        <w:rPr>
          <w:sz w:val="20"/>
          <w:szCs w:val="20"/>
          <w:color w:val="auto"/>
        </w:rPr>
      </w:pPr>
      <w:r>
        <w:rPr>
          <w:rFonts w:ascii="Arial" w:cs="Arial" w:eastAsia="Arial" w:hAnsi="Arial"/>
          <w:sz w:val="16"/>
          <w:szCs w:val="16"/>
          <w:color w:val="auto"/>
        </w:rPr>
        <w:t>We are subject to Section 203 of the Delaware General Corporation Law,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Choice of Forum</w:t>
      </w:r>
    </w:p>
    <w:p>
      <w:pPr>
        <w:spacing w:after="0" w:line="121"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Our amended and restated certificate of incorporation will provide that the Court of Chancery of the State of Delaware will be the exclusive forum for the following types of actions or proceedings under Delaware statutory or common law: (1) any derivative action or proceeding brought on our behalf; (2) any action asserting a claim of</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40"/>
          </w:cols>
          <w:pgMar w:left="320" w:top="459" w:right="3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200"/>
        <w:spacing w:after="0" w:line="291" w:lineRule="auto"/>
        <w:rPr>
          <w:sz w:val="20"/>
          <w:szCs w:val="20"/>
          <w:color w:val="auto"/>
        </w:rPr>
      </w:pPr>
      <w:r>
        <w:rPr>
          <w:rFonts w:ascii="Arial" w:cs="Arial" w:eastAsia="Arial" w:hAnsi="Arial"/>
          <w:sz w:val="16"/>
          <w:szCs w:val="16"/>
          <w:color w:val="auto"/>
        </w:rPr>
        <w:t>breach of a fiduciary duty or other wrongdoing by any of our directors, officers, employees, or agents to us or our stockholders; (3) any action asserting a claim against us arising pursuant to any provision of the General Corporation Law of the State of Delaware or our certificate of incorporation or bylaws;</w:t>
      </w:r>
    </w:p>
    <w:p>
      <w:pPr>
        <w:ind w:firstLine="8"/>
        <w:spacing w:after="0" w:line="253" w:lineRule="auto"/>
        <w:tabs>
          <w:tab w:leader="none" w:pos="2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action to interpret, apply, enforce, or determine the validity of our certificate of incorporation or bylaws; or (5) any action asserting a claim governed by the internal affairs doctrine. The provisions would not apply to suits brought to enforce a duty or liability created by the Exchange Act. Our amended and restated certificate of incorporation further provides that the federal district courts of the United States of America will be the exclusive forum for resolving any complaint asserting a cause of action arising under the Securities Act, subject to and contingent upon a final adjudication in the State of Delaware of the enforceability of such exclusive forum provision.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Charter Provisions</w:t>
      </w:r>
    </w:p>
    <w:p>
      <w:pPr>
        <w:spacing w:after="0" w:line="121"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The amendment of any of the above provisions, except for the provision making it possible for our board of directors to issue preferred stock, would require approval by holders of at least two-thirds of the total voting power of all of our outstanding voting stock.</w:t>
      </w:r>
    </w:p>
    <w:p>
      <w:pPr>
        <w:spacing w:after="0" w:line="170"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The provisions of Delaware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121" w:lineRule="exact"/>
        <w:rPr>
          <w:sz w:val="20"/>
          <w:szCs w:val="20"/>
          <w:color w:val="auto"/>
        </w:rPr>
      </w:pPr>
    </w:p>
    <w:p>
      <w:pPr>
        <w:ind w:left="460"/>
        <w:spacing w:after="0"/>
        <w:tabs>
          <w:tab w:leader="none" w:pos="6020" w:val="left"/>
          <w:tab w:leader="none" w:pos="7760" w:val="left"/>
        </w:tabs>
        <w:rPr>
          <w:sz w:val="20"/>
          <w:szCs w:val="20"/>
          <w:color w:val="auto"/>
        </w:rPr>
      </w:pPr>
      <w:r>
        <w:rPr>
          <w:rFonts w:ascii="Arial" w:cs="Arial" w:eastAsia="Arial" w:hAnsi="Arial"/>
          <w:sz w:val="18"/>
          <w:szCs w:val="18"/>
          <w:color w:val="auto"/>
        </w:rPr>
        <w:t>We intend to apply for the listing of our Class A common stock on the</w:t>
      </w:r>
      <w:r>
        <w:rPr>
          <w:sz w:val="20"/>
          <w:szCs w:val="20"/>
          <w:color w:val="auto"/>
        </w:rPr>
        <w:tab/>
      </w:r>
      <w:r>
        <w:rPr>
          <w:rFonts w:ascii="Arial" w:cs="Arial" w:eastAsia="Arial" w:hAnsi="Arial"/>
          <w:sz w:val="18"/>
          <w:szCs w:val="18"/>
          <w:color w:val="auto"/>
        </w:rPr>
        <w:t>under the symbol “</w:t>
      </w:r>
      <w:r>
        <w:rPr>
          <w:sz w:val="20"/>
          <w:szCs w:val="20"/>
          <w:color w:val="auto"/>
        </w:rPr>
        <w:tab/>
      </w: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460"/>
        <w:spacing w:after="0"/>
        <w:tabs>
          <w:tab w:leader="none" w:pos="5040" w:val="left"/>
          <w:tab w:leader="none" w:pos="7900" w:val="left"/>
          <w:tab w:leader="none" w:pos="10500" w:val="left"/>
        </w:tabs>
        <w:rPr>
          <w:sz w:val="20"/>
          <w:szCs w:val="20"/>
          <w:color w:val="auto"/>
        </w:rPr>
      </w:pPr>
      <w:r>
        <w:rPr>
          <w:rFonts w:ascii="Arial" w:cs="Arial" w:eastAsia="Arial" w:hAnsi="Arial"/>
          <w:sz w:val="18"/>
          <w:szCs w:val="18"/>
          <w:color w:val="auto"/>
        </w:rPr>
        <w:t>The transfer agent and registrar for our common stock is</w:t>
      </w:r>
      <w:r>
        <w:rPr>
          <w:sz w:val="20"/>
          <w:szCs w:val="20"/>
          <w:color w:val="auto"/>
        </w:rPr>
        <w:tab/>
      </w:r>
      <w:r>
        <w:rPr>
          <w:rFonts w:ascii="Arial" w:cs="Arial" w:eastAsia="Arial" w:hAnsi="Arial"/>
          <w:sz w:val="18"/>
          <w:szCs w:val="18"/>
          <w:color w:val="auto"/>
        </w:rPr>
        <w:t>. The transfer agent’s address is</w:t>
      </w:r>
      <w:r>
        <w:rPr>
          <w:sz w:val="20"/>
          <w:szCs w:val="20"/>
          <w:color w:val="auto"/>
        </w:rPr>
        <w:tab/>
      </w:r>
      <w:r>
        <w:rPr>
          <w:rFonts w:ascii="Arial" w:cs="Arial" w:eastAsia="Arial" w:hAnsi="Arial"/>
          <w:sz w:val="18"/>
          <w:szCs w:val="18"/>
          <w:color w:val="auto"/>
        </w:rPr>
        <w:t>, and its telephone number is</w:t>
      </w:r>
      <w:r>
        <w:rPr>
          <w:sz w:val="20"/>
          <w:szCs w:val="20"/>
          <w:color w:val="auto"/>
        </w:rPr>
        <w:tab/>
      </w:r>
      <w:r>
        <w:rPr>
          <w:rFonts w:ascii="Arial" w:cs="Arial" w:eastAsia="Arial" w:hAnsi="Arial"/>
          <w:sz w:val="13"/>
          <w:szCs w:val="13"/>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40"/>
          </w:cols>
          <w:pgMar w:left="320" w:top="459" w:right="3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jc w:val="both"/>
        <w:ind w:right="260" w:firstLine="449"/>
        <w:spacing w:after="0" w:line="287" w:lineRule="auto"/>
        <w:rPr>
          <w:sz w:val="20"/>
          <w:szCs w:val="20"/>
          <w:color w:val="auto"/>
        </w:rPr>
      </w:pPr>
      <w:r>
        <w:rPr>
          <w:rFonts w:ascii="Arial" w:cs="Arial" w:eastAsia="Arial" w:hAnsi="Arial"/>
          <w:sz w:val="16"/>
          <w:szCs w:val="16"/>
          <w:color w:val="auto"/>
        </w:rPr>
        <w:t>Prior to the listing of our Class A common stock on the , there has been no public market for our common stock, and we cannot predict the effect, if any, that market sales of shares of our common stock or the availability of shares of our common stock for sale will have on the market price of our common stock prevailing from time to time. Sales of substantial amounts of our Class A common stock in the public market following our listing on</w:t>
      </w:r>
    </w:p>
    <w:p>
      <w:pPr>
        <w:spacing w:after="0" w:line="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 or the perception that such sales could occur, could adversely affect the trading price of our Class A common stock and may make it more difficult for you to sell your Class A common stock at a time and price that you deem appropriate. We will have no input if and when any Registered Stockholder may, or may not, elect to sell its shares of Class A common stock or the prices at which any such sales may occur. Future sales of our Class A common stock in the public market, or the availability of such shares for sale in the public market, could adversely affect the trading prices of shares of our Class A common stock prevailing from time to time.</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Upon the effectiveness of the registration statement of which this prospectus forms a part, based on the number of shares of our capital stock</w:t>
      </w:r>
    </w:p>
    <w:p>
      <w:pPr>
        <w:spacing w:after="0" w:line="3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outstanding as of January 31, 2020, we will have a total of shares of our Class A common stock and shares of our Class B common stock outstanding, assuming the automatic conversion of all outstanding shares of our preferred stock into shares of our Class B common stock upon the effectiveness of the registration statement of which this prospectus forms a part.</w:t>
      </w:r>
    </w:p>
    <w:p>
      <w:pPr>
        <w:spacing w:after="0" w:line="190" w:lineRule="exact"/>
        <w:rPr>
          <w:sz w:val="20"/>
          <w:szCs w:val="20"/>
          <w:color w:val="auto"/>
        </w:rPr>
      </w:pPr>
    </w:p>
    <w:p>
      <w:pPr>
        <w:ind w:right="120" w:firstLine="449"/>
        <w:spacing w:after="0" w:line="291" w:lineRule="auto"/>
        <w:rPr>
          <w:sz w:val="20"/>
          <w:szCs w:val="20"/>
          <w:color w:val="auto"/>
        </w:rPr>
      </w:pPr>
      <w:r>
        <w:rPr>
          <w:rFonts w:ascii="Arial" w:cs="Arial" w:eastAsia="Arial" w:hAnsi="Arial"/>
          <w:sz w:val="16"/>
          <w:szCs w:val="16"/>
          <w:color w:val="auto"/>
        </w:rPr>
        <w:t>Shares of our Class A common stock and Class B common stock will be deemed “restricted securities” (as defined in Rule 144 under the Securities Act). Restricted securities may be sold in the public market only if they are registered or if they qualify for an exemption from registration under Rule 144</w:t>
      </w:r>
    </w:p>
    <w:p>
      <w:pPr>
        <w:jc w:val="both"/>
        <w:ind w:right="160"/>
        <w:spacing w:after="0" w:line="255" w:lineRule="auto"/>
        <w:rPr>
          <w:sz w:val="20"/>
          <w:szCs w:val="20"/>
          <w:color w:val="auto"/>
        </w:rPr>
      </w:pPr>
      <w:r>
        <w:rPr>
          <w:rFonts w:ascii="Arial" w:cs="Arial" w:eastAsia="Arial" w:hAnsi="Arial"/>
          <w:sz w:val="18"/>
          <w:szCs w:val="18"/>
          <w:color w:val="auto"/>
        </w:rPr>
        <w:t>or Rule 701 under the Securities Act, which rules are summarized below. Following the listing of our Class A common stock on the , shares of our Class A common stock may be sold either by the Registered Stockholders pursuant to this prospectus or by our other existing stockholders in accordance with Rule 144 of the Securities Act.</w:t>
      </w:r>
    </w:p>
    <w:p>
      <w:pPr>
        <w:spacing w:after="0" w:line="190" w:lineRule="exact"/>
        <w:rPr>
          <w:sz w:val="20"/>
          <w:szCs w:val="20"/>
          <w:color w:val="auto"/>
        </w:rPr>
      </w:pPr>
    </w:p>
    <w:p>
      <w:pPr>
        <w:ind w:right="20" w:firstLine="449"/>
        <w:spacing w:after="0" w:line="291" w:lineRule="auto"/>
        <w:rPr>
          <w:sz w:val="20"/>
          <w:szCs w:val="20"/>
          <w:color w:val="auto"/>
        </w:rPr>
      </w:pPr>
      <w:r>
        <w:rPr>
          <w:rFonts w:ascii="Arial" w:cs="Arial" w:eastAsia="Arial" w:hAnsi="Arial"/>
          <w:sz w:val="16"/>
          <w:szCs w:val="16"/>
          <w:color w:val="auto"/>
        </w:rPr>
        <w:t>As further described below, until we have been a reporting company for at least 90 days, only non-affiliates who have beneficially owned their shares of common stock for a period of at least one year will be able to sell their shares of Class A common stock under Rule 144, which is expected to include</w:t>
      </w:r>
    </w:p>
    <w:p>
      <w:pPr>
        <w:spacing w:after="0"/>
        <w:tabs>
          <w:tab w:leader="none" w:pos="1560" w:val="left"/>
        </w:tabs>
        <w:rPr>
          <w:sz w:val="20"/>
          <w:szCs w:val="20"/>
          <w:color w:val="auto"/>
        </w:rPr>
      </w:pPr>
      <w:r>
        <w:rPr>
          <w:rFonts w:ascii="Arial" w:cs="Arial" w:eastAsia="Arial" w:hAnsi="Arial"/>
          <w:sz w:val="18"/>
          <w:szCs w:val="18"/>
          <w:color w:val="auto"/>
        </w:rPr>
        <w:t>approximately</w:t>
      </w:r>
      <w:r>
        <w:rPr>
          <w:sz w:val="20"/>
          <w:szCs w:val="20"/>
          <w:color w:val="auto"/>
        </w:rPr>
        <w:tab/>
      </w:r>
      <w:r>
        <w:rPr>
          <w:rFonts w:ascii="Arial" w:cs="Arial" w:eastAsia="Arial" w:hAnsi="Arial"/>
          <w:sz w:val="18"/>
          <w:szCs w:val="18"/>
          <w:color w:val="auto"/>
        </w:rPr>
        <w:t>shares of common stock immediately after our registration.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right="100" w:firstLine="449"/>
        <w:spacing w:after="0" w:line="272" w:lineRule="auto"/>
        <w:rPr>
          <w:sz w:val="20"/>
          <w:szCs w:val="20"/>
          <w:color w:val="auto"/>
        </w:rPr>
      </w:pPr>
      <w:r>
        <w:rPr>
          <w:rFonts w:ascii="Arial" w:cs="Arial" w:eastAsia="Arial" w:hAnsi="Arial"/>
          <w:sz w:val="17"/>
          <w:szCs w:val="17"/>
          <w:color w:val="auto"/>
        </w:rPr>
        <w:t>In general, under Rule 144 as currently in effect, once we have been subject to the public company reporting requirements of Section 13 or Section 15(d) of the Exchange Act for at least 90 days, a person who is not deemed to have been one of our affiliates for purposes of the Securities Act at any time during the 90 days preceding a sale and who has beneficially owned the shares proposed to be sold for at least six months, including the holding period of any prior owner other than our affiliates,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177"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In general, under Rule 144 as currently in effect, our affiliates or persons selling shares on behalf of our affiliates are entitled to sell, within any three-month period, a number of shares that does not exceed the greater of:</w:t>
      </w:r>
    </w:p>
    <w:p>
      <w:pPr>
        <w:sectPr>
          <w:pgSz w:w="11900" w:h="16838" w:orient="portrait"/>
          <w:cols w:equalWidth="0" w:num="1">
            <w:col w:w="11240"/>
          </w:cols>
          <w:pgMar w:left="320" w:top="459" w:right="339" w:bottom="1440" w:gutter="0" w:footer="0" w:header="0"/>
        </w:sectPr>
      </w:pPr>
    </w:p>
    <w:p>
      <w:pPr>
        <w:spacing w:after="0" w:line="76"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1% of the number of shares of our Class A common stock then outstanding, which will equal approximately the effectiveness of the registration statement of which this prospectus forms a part; or</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shares immediately after</w:t>
      </w:r>
    </w:p>
    <w:p>
      <w:pPr>
        <w:spacing w:after="0" w:line="369" w:lineRule="exact"/>
        <w:rPr>
          <w:sz w:val="20"/>
          <w:szCs w:val="20"/>
          <w:color w:val="auto"/>
        </w:rPr>
      </w:pPr>
    </w:p>
    <w:p>
      <w:pPr>
        <w:sectPr>
          <w:pgSz w:w="11900" w:h="16838" w:orient="portrait"/>
          <w:cols w:equalWidth="0" w:num="3">
            <w:col w:w="520" w:space="480"/>
            <w:col w:w="7780" w:space="540"/>
            <w:col w:w="1920"/>
          </w:cols>
          <w:pgMar w:left="320" w:top="459" w:right="339" w:bottom="1440" w:gutter="0" w:footer="0" w:header="0"/>
          <w:type w:val="continuous"/>
        </w:sectPr>
      </w:pPr>
    </w:p>
    <w:p>
      <w:pPr>
        <w:ind w:left="1000" w:right="20" w:hanging="547"/>
        <w:spacing w:after="0" w:line="277" w:lineRule="auto"/>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average weekly trading volume of our Class A common stock during the four calendar weeks preceding the filing of a notice on Form 144 with respect to that sale.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40"/>
          </w:cols>
          <w:pgMar w:left="320" w:top="459" w:right="339" w:bottom="1440" w:gutter="0" w:footer="0" w:header="0"/>
          <w:type w:val="continuous"/>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jc w:val="both"/>
        <w:ind w:right="80" w:firstLine="449"/>
        <w:spacing w:after="0" w:line="296" w:lineRule="auto"/>
        <w:rPr>
          <w:sz w:val="20"/>
          <w:szCs w:val="20"/>
          <w:color w:val="auto"/>
        </w:rPr>
      </w:pPr>
      <w:r>
        <w:rPr>
          <w:rFonts w:ascii="Arial" w:cs="Arial" w:eastAsia="Arial" w:hAnsi="Arial"/>
          <w:sz w:val="16"/>
          <w:szCs w:val="16"/>
          <w:color w:val="auto"/>
        </w:rPr>
        <w:t>Rule 701 generally allows a stockholder who purchased shares of our common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pursuant to Rule 701.</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460"/>
        <w:spacing w:after="0"/>
        <w:tabs>
          <w:tab w:leader="none" w:pos="7220" w:val="left"/>
        </w:tabs>
        <w:rPr>
          <w:sz w:val="20"/>
          <w:szCs w:val="20"/>
          <w:color w:val="auto"/>
        </w:rPr>
      </w:pPr>
      <w:r>
        <w:rPr>
          <w:rFonts w:ascii="Arial" w:cs="Arial" w:eastAsia="Arial" w:hAnsi="Arial"/>
          <w:sz w:val="18"/>
          <w:szCs w:val="18"/>
          <w:color w:val="auto"/>
        </w:rPr>
        <w:t>Pursuant to our amended and restated investors’ rights agreement, the holders of up to</w:t>
      </w:r>
      <w:r>
        <w:rPr>
          <w:sz w:val="20"/>
          <w:szCs w:val="20"/>
          <w:color w:val="auto"/>
        </w:rPr>
        <w:tab/>
      </w:r>
      <w:r>
        <w:rPr>
          <w:rFonts w:ascii="Arial" w:cs="Arial" w:eastAsia="Arial" w:hAnsi="Arial"/>
          <w:sz w:val="16"/>
          <w:szCs w:val="16"/>
          <w:color w:val="auto"/>
        </w:rPr>
        <w:t>shares of our Class B common stock (including shares</w:t>
      </w:r>
    </w:p>
    <w:p>
      <w:pPr>
        <w:spacing w:after="0" w:line="23"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issuable upon the conversion of our outstanding preferred stock upon the effectiveness of the registration statement of which this prospectus forms a part), or their transferees, will be entitled to certain rights with respect to the registration of the offer and sale of those shares under the Securities Act. See the section titled “Description of Capital Stock—Registration Rights” for a description of these registration rights. If the offer and sale of these shares is registered, the shares will be freely tradable without restriction under the Securities Act, and a large number of shares may be sold into the public market.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Statement on Form S-8</w:t>
      </w:r>
    </w:p>
    <w:p>
      <w:pPr>
        <w:spacing w:after="0" w:line="121" w:lineRule="exact"/>
        <w:rPr>
          <w:sz w:val="20"/>
          <w:szCs w:val="20"/>
          <w:color w:val="auto"/>
        </w:rPr>
      </w:pPr>
    </w:p>
    <w:p>
      <w:pPr>
        <w:jc w:val="both"/>
        <w:ind w:right="100" w:firstLine="449"/>
        <w:spacing w:after="0" w:line="287" w:lineRule="auto"/>
        <w:rPr>
          <w:sz w:val="20"/>
          <w:szCs w:val="20"/>
          <w:color w:val="auto"/>
        </w:rPr>
      </w:pPr>
      <w:r>
        <w:rPr>
          <w:rFonts w:ascii="Arial" w:cs="Arial" w:eastAsia="Arial" w:hAnsi="Arial"/>
          <w:sz w:val="16"/>
          <w:szCs w:val="16"/>
          <w:color w:val="auto"/>
        </w:rPr>
        <w:t>We intend to file a registration statement on Form S-8 under the Securities Act to register all of the shares of our Class A common stock and Class B common stock issuable or reserved for issuance under our 2009 Plan, 2012 Plan, and our 2020 Plan. Shares covered by such registration statement will be eligible for sale in the public market, subject to the Rule 144 limitations and vesting restrictions. As of January 31, 2020, options to purchase a total of</w:t>
      </w:r>
    </w:p>
    <w:p>
      <w:pPr>
        <w:spacing w:after="0" w:line="2" w:lineRule="exact"/>
        <w:rPr>
          <w:sz w:val="20"/>
          <w:szCs w:val="20"/>
          <w:color w:val="auto"/>
        </w:rPr>
      </w:pPr>
    </w:p>
    <w:p>
      <w:pPr>
        <w:ind w:firstLine="540"/>
        <w:spacing w:after="0" w:line="290" w:lineRule="auto"/>
        <w:rPr>
          <w:sz w:val="20"/>
          <w:szCs w:val="20"/>
          <w:color w:val="auto"/>
        </w:rPr>
      </w:pPr>
      <w:r>
        <w:rPr>
          <w:rFonts w:ascii="Arial" w:cs="Arial" w:eastAsia="Arial" w:hAnsi="Arial"/>
          <w:sz w:val="17"/>
          <w:szCs w:val="17"/>
          <w:color w:val="auto"/>
        </w:rPr>
        <w:t>shares of our Class B common stock pursuant to our 2009 Plan, RSUs and options to purchase a total of shares of our Class A common stock pursuant to our 2012 Plan were outstanding, and no options or other equity awards were outstanding or exercisable under our 2020 Plan.</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40"/>
          </w:cols>
          <w:pgMar w:left="320" w:top="459" w:right="3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SALE PRICE HISTORY OF OUR CAPITAL STOCK</w:t>
      </w:r>
    </w:p>
    <w:p>
      <w:pPr>
        <w:spacing w:after="0" w:line="229" w:lineRule="exact"/>
        <w:rPr>
          <w:sz w:val="20"/>
          <w:szCs w:val="20"/>
          <w:color w:val="auto"/>
        </w:rPr>
      </w:pPr>
    </w:p>
    <w:p>
      <w:pPr>
        <w:jc w:val="both"/>
        <w:ind w:right="420" w:firstLine="449"/>
        <w:spacing w:after="0" w:line="291" w:lineRule="auto"/>
        <w:rPr>
          <w:sz w:val="20"/>
          <w:szCs w:val="20"/>
          <w:color w:val="auto"/>
        </w:rPr>
      </w:pPr>
      <w:r>
        <w:rPr>
          <w:rFonts w:ascii="Arial" w:cs="Arial" w:eastAsia="Arial" w:hAnsi="Arial"/>
          <w:sz w:val="16"/>
          <w:szCs w:val="16"/>
          <w:color w:val="auto"/>
        </w:rPr>
        <w:t>We intend to apply to list our Class A common stock on the . Prior to the initial listing, no public market existed for our Class A common stock. However, our Class A and Class B common stock (on an as-converted to common stock basis) have a history of trading in private transactions,</w:t>
      </w:r>
    </w:p>
    <w:p>
      <w:pPr>
        <w:ind w:right="40"/>
        <w:spacing w:after="0" w:line="281" w:lineRule="auto"/>
        <w:rPr>
          <w:sz w:val="20"/>
          <w:szCs w:val="20"/>
          <w:color w:val="auto"/>
        </w:rPr>
      </w:pPr>
      <w:r>
        <w:rPr>
          <w:rFonts w:ascii="Arial" w:cs="Arial" w:eastAsia="Arial" w:hAnsi="Arial"/>
          <w:sz w:val="16"/>
          <w:szCs w:val="16"/>
          <w:color w:val="auto"/>
        </w:rPr>
        <w:t>although such history is limited, as we only recently lifted transfer restrictions on our capital stock in 2020. The table below shows the high and low sales prices for our Class A and Class B common stock (on an as-converted to common stock basis) in private transactions by our stockholders, for the indicated periods, as well as the volume-weighted average price per share, based on information available to us. This information may have little or no relation to the broader market demand for our Class A common stock and thus the opening trading price and subsequent trading price of our Class A</w:t>
      </w: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line="204" w:lineRule="exact"/>
              <w:rPr>
                <w:sz w:val="20"/>
                <w:szCs w:val="20"/>
                <w:color w:val="auto"/>
              </w:rPr>
            </w:pPr>
            <w:r>
              <w:rPr>
                <w:rFonts w:ascii="Arial" w:cs="Arial" w:eastAsia="Arial" w:hAnsi="Arial"/>
                <w:sz w:val="18"/>
                <w:szCs w:val="18"/>
                <w:color w:val="auto"/>
              </w:rPr>
              <w:t>common stock on the</w:t>
            </w:r>
          </w:p>
        </w:tc>
        <w:tc>
          <w:tcPr>
            <w:tcW w:w="9180" w:type="dxa"/>
            <w:vAlign w:val="bottom"/>
            <w:gridSpan w:val="14"/>
          </w:tcPr>
          <w:p>
            <w:pPr>
              <w:ind w:left="40"/>
              <w:spacing w:after="0" w:line="204" w:lineRule="exact"/>
              <w:rPr>
                <w:sz w:val="20"/>
                <w:szCs w:val="20"/>
                <w:color w:val="auto"/>
              </w:rPr>
            </w:pPr>
            <w:r>
              <w:rPr>
                <w:rFonts w:ascii="Arial" w:cs="Arial" w:eastAsia="Arial" w:hAnsi="Arial"/>
                <w:sz w:val="18"/>
                <w:szCs w:val="18"/>
                <w:color w:val="auto"/>
                <w:w w:val="96"/>
              </w:rPr>
              <w:t>. As a result, you should not place reliance on these historical private sales prices as they may differ materially from the</w:t>
            </w:r>
          </w:p>
        </w:tc>
        <w:tc>
          <w:tcPr>
            <w:tcW w:w="0" w:type="dxa"/>
            <w:vAlign w:val="bottom"/>
          </w:tcPr>
          <w:p>
            <w:pPr>
              <w:spacing w:after="0"/>
              <w:rPr>
                <w:sz w:val="1"/>
                <w:szCs w:val="1"/>
                <w:color w:val="auto"/>
              </w:rPr>
            </w:pPr>
          </w:p>
        </w:tc>
      </w:tr>
      <w:tr>
        <w:trPr>
          <w:trHeight w:val="216"/>
        </w:trPr>
        <w:tc>
          <w:tcPr>
            <w:tcW w:w="6400" w:type="dxa"/>
            <w:vAlign w:val="bottom"/>
            <w:gridSpan w:val="4"/>
          </w:tcPr>
          <w:p>
            <w:pPr>
              <w:spacing w:after="0"/>
              <w:rPr>
                <w:sz w:val="20"/>
                <w:szCs w:val="20"/>
                <w:color w:val="auto"/>
              </w:rPr>
            </w:pPr>
            <w:r>
              <w:rPr>
                <w:rFonts w:ascii="Arial" w:cs="Arial" w:eastAsia="Arial" w:hAnsi="Arial"/>
                <w:sz w:val="18"/>
                <w:szCs w:val="18"/>
                <w:color w:val="auto"/>
                <w:w w:val="91"/>
              </w:rPr>
              <w:t>opening trading price and subsequent trading price of our Class A common stock on the</w:t>
            </w:r>
          </w:p>
        </w:tc>
        <w:tc>
          <w:tcPr>
            <w:tcW w:w="80" w:type="dxa"/>
            <w:vAlign w:val="bottom"/>
          </w:tcPr>
          <w:p>
            <w:pPr>
              <w:spacing w:after="0"/>
              <w:rPr>
                <w:sz w:val="18"/>
                <w:szCs w:val="18"/>
                <w:color w:val="auto"/>
              </w:rPr>
            </w:pPr>
          </w:p>
        </w:tc>
        <w:tc>
          <w:tcPr>
            <w:tcW w:w="4760" w:type="dxa"/>
            <w:vAlign w:val="bottom"/>
            <w:gridSpan w:val="10"/>
          </w:tcPr>
          <w:p>
            <w:pPr>
              <w:ind w:left="380"/>
              <w:spacing w:after="0"/>
              <w:rPr>
                <w:sz w:val="20"/>
                <w:szCs w:val="20"/>
                <w:color w:val="auto"/>
              </w:rPr>
            </w:pPr>
            <w:r>
              <w:rPr>
                <w:rFonts w:ascii="Arial" w:cs="Arial" w:eastAsia="Arial" w:hAnsi="Arial"/>
                <w:sz w:val="18"/>
                <w:szCs w:val="18"/>
                <w:color w:val="auto"/>
                <w:w w:val="99"/>
              </w:rPr>
              <w:t>. See the section titled “Risk Factors—Risks Related to</w:t>
            </w:r>
          </w:p>
        </w:tc>
        <w:tc>
          <w:tcPr>
            <w:tcW w:w="0" w:type="dxa"/>
            <w:vAlign w:val="bottom"/>
          </w:tcPr>
          <w:p>
            <w:pPr>
              <w:spacing w:after="0"/>
              <w:rPr>
                <w:sz w:val="1"/>
                <w:szCs w:val="1"/>
                <w:color w:val="auto"/>
              </w:rPr>
            </w:pPr>
          </w:p>
        </w:tc>
      </w:tr>
      <w:tr>
        <w:trPr>
          <w:trHeight w:val="216"/>
        </w:trPr>
        <w:tc>
          <w:tcPr>
            <w:tcW w:w="7880" w:type="dxa"/>
            <w:vAlign w:val="bottom"/>
            <w:gridSpan w:val="8"/>
          </w:tcPr>
          <w:p>
            <w:pPr>
              <w:spacing w:after="0"/>
              <w:rPr>
                <w:sz w:val="20"/>
                <w:szCs w:val="20"/>
                <w:color w:val="auto"/>
              </w:rPr>
            </w:pPr>
            <w:r>
              <w:rPr>
                <w:rFonts w:ascii="Arial" w:cs="Arial" w:eastAsia="Arial" w:hAnsi="Arial"/>
                <w:sz w:val="18"/>
                <w:szCs w:val="18"/>
                <w:color w:val="auto"/>
                <w:w w:val="91"/>
              </w:rPr>
              <w:t>Ownership of Our Class A Common Stock—The trading price of our Class A common stock, upon listing on</w:t>
            </w:r>
          </w:p>
        </w:tc>
        <w:tc>
          <w:tcPr>
            <w:tcW w:w="3360" w:type="dxa"/>
            <w:vAlign w:val="bottom"/>
            <w:gridSpan w:val="7"/>
          </w:tcPr>
          <w:p>
            <w:pPr>
              <w:ind w:left="520"/>
              <w:spacing w:after="0"/>
              <w:rPr>
                <w:sz w:val="20"/>
                <w:szCs w:val="20"/>
                <w:color w:val="auto"/>
              </w:rPr>
            </w:pPr>
            <w:r>
              <w:rPr>
                <w:rFonts w:ascii="Arial" w:cs="Arial" w:eastAsia="Arial" w:hAnsi="Arial"/>
                <w:sz w:val="18"/>
                <w:szCs w:val="18"/>
                <w:color w:val="auto"/>
                <w:w w:val="97"/>
              </w:rPr>
              <w:t>, may have little or no relationship to</w:t>
            </w:r>
          </w:p>
        </w:tc>
        <w:tc>
          <w:tcPr>
            <w:tcW w:w="0" w:type="dxa"/>
            <w:vAlign w:val="bottom"/>
          </w:tcPr>
          <w:p>
            <w:pPr>
              <w:spacing w:after="0"/>
              <w:rPr>
                <w:sz w:val="1"/>
                <w:szCs w:val="1"/>
                <w:color w:val="auto"/>
              </w:rPr>
            </w:pPr>
          </w:p>
        </w:tc>
      </w:tr>
      <w:tr>
        <w:trPr>
          <w:trHeight w:val="230"/>
        </w:trPr>
        <w:tc>
          <w:tcPr>
            <w:tcW w:w="8820" w:type="dxa"/>
            <w:vAlign w:val="bottom"/>
            <w:gridSpan w:val="10"/>
          </w:tcPr>
          <w:p>
            <w:pPr>
              <w:spacing w:after="0"/>
              <w:rPr>
                <w:sz w:val="20"/>
                <w:szCs w:val="20"/>
                <w:color w:val="auto"/>
              </w:rPr>
            </w:pPr>
            <w:r>
              <w:rPr>
                <w:rFonts w:ascii="Arial" w:cs="Arial" w:eastAsia="Arial" w:hAnsi="Arial"/>
                <w:sz w:val="18"/>
                <w:szCs w:val="18"/>
                <w:color w:val="auto"/>
                <w:w w:val="93"/>
              </w:rPr>
              <w:t>the historical sales prices of our capital stock in private transactions, and such private transactions have been limited.”</w:t>
            </w: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0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4"/>
              </w:rPr>
              <w:t>Number of</w:t>
            </w:r>
          </w:p>
        </w:tc>
        <w:tc>
          <w:tcPr>
            <w:tcW w:w="320" w:type="dxa"/>
            <w:vAlign w:val="bottom"/>
          </w:tcPr>
          <w:p>
            <w:pPr>
              <w:spacing w:after="0"/>
              <w:rPr>
                <w:sz w:val="24"/>
                <w:szCs w:val="24"/>
                <w:color w:val="auto"/>
              </w:rPr>
            </w:pPr>
          </w:p>
        </w:tc>
        <w:tc>
          <w:tcPr>
            <w:tcW w:w="12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4"/>
              </w:rPr>
              <w:t>Volume-</w:t>
            </w:r>
          </w:p>
        </w:tc>
        <w:tc>
          <w:tcPr>
            <w:tcW w:w="84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8"/>
        </w:trPr>
        <w:tc>
          <w:tcPr>
            <w:tcW w:w="20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1"/>
              </w:rPr>
              <w:t>Weighted</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800" w:type="dxa"/>
            <w:vAlign w:val="bottom"/>
            <w:gridSpan w:val="4"/>
            <w:vMerge w:val="restart"/>
          </w:tcPr>
          <w:p>
            <w:pPr>
              <w:ind w:left="280"/>
              <w:spacing w:after="0"/>
              <w:rPr>
                <w:sz w:val="20"/>
                <w:szCs w:val="20"/>
                <w:color w:val="auto"/>
              </w:rPr>
            </w:pPr>
            <w:r>
              <w:rPr>
                <w:rFonts w:ascii="Arial" w:cs="Arial" w:eastAsia="Arial" w:hAnsi="Arial"/>
                <w:sz w:val="14"/>
                <w:szCs w:val="14"/>
                <w:b w:val="1"/>
                <w:bCs w:val="1"/>
                <w:color w:val="auto"/>
              </w:rPr>
              <w:t>Per Share Sale Price</w:t>
            </w:r>
          </w:p>
        </w:tc>
        <w:tc>
          <w:tcPr>
            <w:tcW w:w="660" w:type="dxa"/>
            <w:vAlign w:val="bottom"/>
          </w:tcPr>
          <w:p>
            <w:pPr>
              <w:spacing w:after="0"/>
              <w:rPr>
                <w:sz w:val="12"/>
                <w:szCs w:val="12"/>
                <w:color w:val="auto"/>
              </w:rPr>
            </w:pPr>
          </w:p>
        </w:tc>
        <w:tc>
          <w:tcPr>
            <w:tcW w:w="11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Shares Sold</w:t>
            </w:r>
          </w:p>
        </w:tc>
        <w:tc>
          <w:tcPr>
            <w:tcW w:w="320" w:type="dxa"/>
            <w:vAlign w:val="bottom"/>
          </w:tcPr>
          <w:p>
            <w:pPr>
              <w:spacing w:after="0"/>
              <w:rPr>
                <w:sz w:val="12"/>
                <w:szCs w:val="12"/>
                <w:color w:val="auto"/>
              </w:rPr>
            </w:pPr>
          </w:p>
        </w:tc>
        <w:tc>
          <w:tcPr>
            <w:tcW w:w="12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Average</w:t>
            </w:r>
          </w:p>
        </w:tc>
        <w:tc>
          <w:tcPr>
            <w:tcW w:w="8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136"/>
        </w:trPr>
        <w:tc>
          <w:tcPr>
            <w:tcW w:w="206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800" w:type="dxa"/>
            <w:vAlign w:val="bottom"/>
            <w:tcBorders>
              <w:bottom w:val="single" w:sz="8" w:color="auto"/>
            </w:tcBorders>
            <w:gridSpan w:val="4"/>
            <w:vMerge w:val="continue"/>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center"/>
              <w:ind w:right="520"/>
              <w:spacing w:after="0" w:line="125" w:lineRule="exact"/>
              <w:rPr>
                <w:sz w:val="20"/>
                <w:szCs w:val="20"/>
                <w:color w:val="auto"/>
              </w:rPr>
            </w:pPr>
            <w:r>
              <w:rPr>
                <w:rFonts w:ascii="Arial" w:cs="Arial" w:eastAsia="Arial" w:hAnsi="Arial"/>
                <w:sz w:val="14"/>
                <w:szCs w:val="14"/>
                <w:b w:val="1"/>
                <w:bCs w:val="1"/>
                <w:color w:val="auto"/>
                <w:w w:val="90"/>
              </w:rPr>
              <w:t>in the</w:t>
            </w:r>
          </w:p>
        </w:tc>
        <w:tc>
          <w:tcPr>
            <w:tcW w:w="320" w:type="dxa"/>
            <w:vAlign w:val="bottom"/>
          </w:tcPr>
          <w:p>
            <w:pPr>
              <w:spacing w:after="0"/>
              <w:rPr>
                <w:sz w:val="11"/>
                <w:szCs w:val="11"/>
                <w:color w:val="auto"/>
              </w:rPr>
            </w:pPr>
          </w:p>
        </w:tc>
        <w:tc>
          <w:tcPr>
            <w:tcW w:w="1260" w:type="dxa"/>
            <w:vAlign w:val="bottom"/>
            <w:gridSpan w:val="2"/>
          </w:tcPr>
          <w:p>
            <w:pPr>
              <w:jc w:val="center"/>
              <w:ind w:right="660"/>
              <w:spacing w:after="0" w:line="125" w:lineRule="exact"/>
              <w:rPr>
                <w:sz w:val="20"/>
                <w:szCs w:val="20"/>
                <w:color w:val="auto"/>
              </w:rPr>
            </w:pPr>
            <w:r>
              <w:rPr>
                <w:rFonts w:ascii="Arial" w:cs="Arial" w:eastAsia="Arial" w:hAnsi="Arial"/>
                <w:sz w:val="14"/>
                <w:szCs w:val="14"/>
                <w:b w:val="1"/>
                <w:bCs w:val="1"/>
                <w:color w:val="auto"/>
                <w:w w:val="93"/>
              </w:rPr>
              <w:t>Price</w:t>
            </w:r>
          </w:p>
        </w:tc>
        <w:tc>
          <w:tcPr>
            <w:tcW w:w="840" w:type="dxa"/>
            <w:vAlign w:val="bottom"/>
            <w:gridSpan w:val="2"/>
          </w:tcPr>
          <w:p>
            <w:pPr>
              <w:jc w:val="center"/>
              <w:ind w:right="40"/>
              <w:spacing w:after="0" w:line="125" w:lineRule="exact"/>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69"/>
        </w:trPr>
        <w:tc>
          <w:tcPr>
            <w:tcW w:w="20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1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6"/>
              </w:rPr>
              <w:t>High</w:t>
            </w:r>
          </w:p>
        </w:tc>
        <w:tc>
          <w:tcPr>
            <w:tcW w:w="80" w:type="dxa"/>
            <w:vAlign w:val="bottom"/>
          </w:tcPr>
          <w:p>
            <w:pPr>
              <w:spacing w:after="0"/>
              <w:rPr>
                <w:sz w:val="14"/>
                <w:szCs w:val="14"/>
                <w:color w:val="auto"/>
              </w:rPr>
            </w:pPr>
          </w:p>
        </w:tc>
        <w:tc>
          <w:tcPr>
            <w:tcW w:w="12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9"/>
              </w:rPr>
              <w:t>Low</w:t>
            </w:r>
          </w:p>
        </w:tc>
        <w:tc>
          <w:tcPr>
            <w:tcW w:w="180" w:type="dxa"/>
            <w:vAlign w:val="bottom"/>
          </w:tcPr>
          <w:p>
            <w:pPr>
              <w:spacing w:after="0"/>
              <w:rPr>
                <w:sz w:val="14"/>
                <w:szCs w:val="14"/>
                <w:color w:val="auto"/>
              </w:rPr>
            </w:pPr>
          </w:p>
        </w:tc>
        <w:tc>
          <w:tcPr>
            <w:tcW w:w="9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Period</w:t>
            </w:r>
          </w:p>
        </w:tc>
        <w:tc>
          <w:tcPr>
            <w:tcW w:w="320" w:type="dxa"/>
            <w:vAlign w:val="bottom"/>
          </w:tcPr>
          <w:p>
            <w:pPr>
              <w:spacing w:after="0"/>
              <w:rPr>
                <w:sz w:val="14"/>
                <w:szCs w:val="14"/>
                <w:color w:val="auto"/>
              </w:rPr>
            </w:pPr>
          </w:p>
        </w:tc>
        <w:tc>
          <w:tcPr>
            <w:tcW w:w="12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(VWAP)</w:t>
            </w:r>
          </w:p>
        </w:tc>
        <w:tc>
          <w:tcPr>
            <w:tcW w:w="8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6"/>
              </w:rPr>
              <w:t>(Period End)</w:t>
            </w:r>
          </w:p>
        </w:tc>
        <w:tc>
          <w:tcPr>
            <w:tcW w:w="0" w:type="dxa"/>
            <w:vAlign w:val="bottom"/>
          </w:tcPr>
          <w:p>
            <w:pPr>
              <w:spacing w:after="0"/>
              <w:rPr>
                <w:sz w:val="1"/>
                <w:szCs w:val="1"/>
                <w:color w:val="auto"/>
              </w:rPr>
            </w:pPr>
          </w:p>
        </w:tc>
      </w:tr>
      <w:tr>
        <w:trPr>
          <w:trHeight w:val="196"/>
        </w:trPr>
        <w:tc>
          <w:tcPr>
            <w:tcW w:w="2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Annual</w:t>
            </w:r>
          </w:p>
        </w:tc>
        <w:tc>
          <w:tcPr>
            <w:tcW w:w="31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Fiscal 2020</w:t>
            </w:r>
            <w:r>
              <w:rPr>
                <w:rFonts w:ascii="Arial" w:cs="Arial" w:eastAsia="Arial" w:hAnsi="Arial"/>
                <w:sz w:val="15"/>
                <w:szCs w:val="15"/>
                <w:color w:val="auto"/>
              </w:rPr>
              <w:t>(1)</w:t>
            </w:r>
          </w:p>
        </w:tc>
        <w:tc>
          <w:tcPr>
            <w:tcW w:w="4340" w:type="dxa"/>
            <w:vAlign w:val="bottom"/>
            <w:gridSpan w:val="3"/>
          </w:tcPr>
          <w:p>
            <w:pPr>
              <w:jc w:val="right"/>
              <w:ind w:right="580"/>
              <w:spacing w:after="0"/>
              <w:rPr>
                <w:sz w:val="20"/>
                <w:szCs w:val="20"/>
                <w:color w:val="auto"/>
              </w:rPr>
            </w:pPr>
            <w:r>
              <w:rPr>
                <w:rFonts w:ascii="Arial" w:cs="Arial" w:eastAsia="Arial" w:hAnsi="Arial"/>
                <w:sz w:val="18"/>
                <w:szCs w:val="18"/>
                <w:color w:val="auto"/>
              </w:rPr>
              <w:t>$ 15.82</w:t>
            </w:r>
          </w:p>
        </w:tc>
        <w:tc>
          <w:tcPr>
            <w:tcW w:w="1300" w:type="dxa"/>
            <w:vAlign w:val="bottom"/>
            <w:gridSpan w:val="3"/>
          </w:tcPr>
          <w:p>
            <w:pPr>
              <w:jc w:val="right"/>
              <w:ind w:right="660"/>
              <w:spacing w:after="0"/>
              <w:rPr>
                <w:sz w:val="20"/>
                <w:szCs w:val="20"/>
                <w:color w:val="auto"/>
              </w:rPr>
            </w:pPr>
            <w:r>
              <w:rPr>
                <w:rFonts w:ascii="Arial" w:cs="Arial" w:eastAsia="Arial" w:hAnsi="Arial"/>
                <w:sz w:val="18"/>
                <w:szCs w:val="18"/>
                <w:color w:val="auto"/>
              </w:rPr>
              <w:t>$ 15.82</w:t>
            </w: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w w:val="94"/>
              </w:rPr>
              <w:t>4,647,127</w:t>
            </w:r>
          </w:p>
        </w:tc>
        <w:tc>
          <w:tcPr>
            <w:tcW w:w="1580" w:type="dxa"/>
            <w:vAlign w:val="bottom"/>
            <w:gridSpan w:val="3"/>
          </w:tcPr>
          <w:p>
            <w:pPr>
              <w:jc w:val="center"/>
              <w:ind w:right="340"/>
              <w:spacing w:after="0"/>
              <w:rPr>
                <w:sz w:val="20"/>
                <w:szCs w:val="20"/>
                <w:color w:val="auto"/>
              </w:rPr>
            </w:pPr>
            <w:r>
              <w:rPr>
                <w:rFonts w:ascii="Arial" w:cs="Arial" w:eastAsia="Arial" w:hAnsi="Arial"/>
                <w:sz w:val="18"/>
                <w:szCs w:val="18"/>
                <w:color w:val="auto"/>
                <w:w w:val="99"/>
              </w:rPr>
              <w:t>$ 15.82</w:t>
            </w: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Quarterly</w:t>
            </w:r>
          </w:p>
        </w:tc>
        <w:tc>
          <w:tcPr>
            <w:tcW w:w="3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First Quarter Fiscal 2021</w:t>
            </w:r>
          </w:p>
        </w:tc>
        <w:tc>
          <w:tcPr>
            <w:tcW w:w="3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w w:val="91"/>
              </w:rPr>
              <w:t>Second Quarter Fiscal 2021</w:t>
            </w:r>
          </w:p>
        </w:tc>
        <w:tc>
          <w:tcPr>
            <w:tcW w:w="3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0" w:lineRule="exact"/>
        <w:rPr>
          <w:sz w:val="20"/>
          <w:szCs w:val="20"/>
          <w:color w:val="auto"/>
        </w:rPr>
      </w:pPr>
    </w:p>
    <w:p>
      <w:pPr>
        <w:ind w:left="460" w:right="60" w:hanging="452"/>
        <w:spacing w:after="0" w:line="231" w:lineRule="auto"/>
        <w:tabs>
          <w:tab w:leader="none" w:pos="460" w:val="left"/>
        </w:tabs>
        <w:numPr>
          <w:ilvl w:val="0"/>
          <w:numId w:val="88"/>
        </w:numPr>
        <w:rPr>
          <w:rFonts w:ascii="Arial" w:cs="Arial" w:eastAsia="Arial" w:hAnsi="Arial"/>
          <w:sz w:val="14"/>
          <w:szCs w:val="14"/>
          <w:color w:val="auto"/>
        </w:rPr>
      </w:pPr>
      <w:r>
        <w:rPr>
          <w:rFonts w:ascii="Arial" w:cs="Arial" w:eastAsia="Arial" w:hAnsi="Arial"/>
          <w:sz w:val="14"/>
          <w:szCs w:val="14"/>
          <w:color w:val="auto"/>
        </w:rPr>
        <w:t>In September 2019, we entered into a participation agreement with an entity affiliated with Lead Edge Capital, LEC Asana Holdings, LLC; 8VC Co-Invest Fund I, L.P.; WiL Fund I, L.P.; and Tiger Global Private Investment Partners XI, L.P. and an affiliate thereof, pursuant to which we agreed to waive certain transfer restrictions in connection with a tender offer that such parties proposed to commence. In October 2019, these holders conducted a tender offer for shares of our outstanding Class B common stock and Class A common stock from our stockholders and purchased an aggregate of 4,647,127 shares of our outstanding Class B common stock and Class A common stock from our stockholders, at a purchase price of $15.82 per share, for an aggregate purchase price of approximately $73.5 million.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40"/>
          </w:cols>
          <w:pgMar w:left="320" w:top="459" w:right="3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MATERIAL U.S. FEDERAL INCOME TAX CONSIDERATIONS FOR</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NON-U.S. HOLDERS OF COMMON STOCK</w:t>
      </w:r>
    </w:p>
    <w:p>
      <w:pPr>
        <w:spacing w:after="0" w:line="211" w:lineRule="exact"/>
        <w:rPr>
          <w:sz w:val="20"/>
          <w:szCs w:val="20"/>
          <w:color w:val="auto"/>
        </w:rPr>
      </w:pPr>
    </w:p>
    <w:p>
      <w:pPr>
        <w:ind w:right="60" w:firstLine="449"/>
        <w:spacing w:after="0" w:line="269" w:lineRule="auto"/>
        <w:rPr>
          <w:sz w:val="20"/>
          <w:szCs w:val="20"/>
          <w:color w:val="auto"/>
        </w:rPr>
      </w:pPr>
      <w:r>
        <w:rPr>
          <w:rFonts w:ascii="Arial" w:cs="Arial" w:eastAsia="Arial" w:hAnsi="Arial"/>
          <w:sz w:val="17"/>
          <w:szCs w:val="17"/>
          <w:color w:val="auto"/>
        </w:rPr>
        <w:t>The following discussion is a summary of the material U.S. federal income tax consequences to non-U.S. holders (as defined below) of the acquisition, ownership, and disposition of our Class A common stock. This discussion is not a complete analysis of all potential U.S. federal income tax consequences relating thereto, does not address the potential application of the Medicare contribution tax on net investment income or the alternative minimum tax, and does not address any estate or gift tax consequences or any tax consequences arising under any state, local, or foreign tax laws, or any other U.S. federal tax laws. This discussion is based on the U.S. Internal Revenue Code of 1986, as amended, or the Code, Treasury Regulations promulgated thereunder, judicial decisions, and published rulings and administrative pronouncements of the Internal Revenue Service, or the IRS, all as in effect as of the date of this prospectus. These authorities are subject to differing interpretations and may change, possibly retroactively,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w:t>
      </w:r>
    </w:p>
    <w:p>
      <w:pPr>
        <w:spacing w:after="0" w:line="185"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This discussion is limited to non-U.S. holders who purchase our Class A common stock pursuant to this prospectus and who hold our Class A common stock as a “capital asset” within the meaning of Section 1221 of the Code (generally, property held for investment). This discussion does not address all of the U.S. federal income tax consequences that may be relevant to a particular holder in light of such holder’s particular circumstances. This discussion also does not consider any specific facts or circumstances that may be relevant to holders subject to special rules under the U.S. federal income tax laws, including:</w:t>
      </w:r>
    </w:p>
    <w:p>
      <w:pPr>
        <w:spacing w:after="0" w:line="93" w:lineRule="exact"/>
        <w:rPr>
          <w:sz w:val="20"/>
          <w:szCs w:val="20"/>
          <w:color w:val="auto"/>
        </w:rPr>
      </w:pPr>
    </w:p>
    <w:p>
      <w:pPr>
        <w:ind w:left="1000" w:hanging="547"/>
        <w:spacing w:after="0"/>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partnerships or other pass-through entities (and investors therein);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corporations that accumulate earnings to avoid U.S. federal income tax;</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banks, financial institutions, investment funds, insurance companies, brokers, dealers, or traders in securities;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tax-exempt organizations and governmental organizations;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persons subject to special tax accounting rules under Section 451(b) of the Code;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persons who hold or receive our Class A common stock pursuant to the exercise of any employee stock option or otherwise as compensation;</w:t>
      </w:r>
    </w:p>
    <w:p>
      <w:pPr>
        <w:spacing w:after="0" w:line="153" w:lineRule="exact"/>
        <w:rPr>
          <w:rFonts w:ascii="Arial" w:cs="Arial" w:eastAsia="Arial" w:hAnsi="Arial"/>
          <w:sz w:val="16"/>
          <w:szCs w:val="16"/>
          <w:color w:val="auto"/>
        </w:rPr>
      </w:pPr>
    </w:p>
    <w:p>
      <w:pPr>
        <w:ind w:left="1000" w:right="220" w:hanging="547"/>
        <w:spacing w:after="0" w:line="277" w:lineRule="auto"/>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persons that own, or have owned, actually or constructively, more than 5% of our Class A common stock;</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persons who have elected to mark securities to market; and</w:t>
      </w:r>
    </w:p>
    <w:p>
      <w:pPr>
        <w:spacing w:after="0" w:line="130" w:lineRule="exact"/>
        <w:rPr>
          <w:rFonts w:ascii="Arial" w:cs="Arial" w:eastAsia="Arial" w:hAnsi="Arial"/>
          <w:sz w:val="18"/>
          <w:szCs w:val="18"/>
          <w:color w:val="auto"/>
        </w:rPr>
      </w:pPr>
    </w:p>
    <w:p>
      <w:pPr>
        <w:ind w:left="1000" w:right="320" w:hanging="547"/>
        <w:spacing w:after="0" w:line="277" w:lineRule="auto"/>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persons holding our Class A common stock as part of a hedging or conversion transaction or straddle, or a constructive sale, or other risk reduction strategy or integrated investment.</w:t>
      </w:r>
    </w:p>
    <w:p>
      <w:pPr>
        <w:spacing w:after="0" w:line="170"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If an entity or arrangement that is classified as a partnership for U.S. federal income tax purposes holds our Class A common stock, the U.S. federal income tax treatment of a partner in the partnership will generally</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80"/>
          </w:cols>
          <w:pgMar w:left="320" w:top="459" w:right="39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depend on the status of the partner and the activities of the partnership. Partnerships holding our Class A common stock and the partners in such partnerships are urged to consult their tax advisors about the particular U.S. federal income tax consequences to them of holding and disposing of our Class A common stock.</w:t>
      </w:r>
    </w:p>
    <w:p>
      <w:pPr>
        <w:spacing w:after="0" w:line="180"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b w:val="1"/>
          <w:bCs w:val="1"/>
          <w:color w:val="auto"/>
        </w:rPr>
        <w:t>THIS DISCUSSION IS FOR INFORMATIONAL PURPOSES ONLY AND IS NOT ADVICE. PROSPECTIVE INVESTORS SHOULD CONSULT THEIR TAX ADVISORS REGARDING THE PARTICULAR U.S. FEDERAL INCOME TAX CONSEQUENCES TO THEM OF ACQUIRING, OWNING, AND DISPOSING OF OUR CLASS A COMMON STOCK, AS WELL AS ANY TAX CONSEQUENCES ARISING UNDER ANY STATE, LOCAL, OR FOREIGN TAX LAWS AND ANY OTHER U.S. FEDERAL TAX LAWS. IN ADDITION, SIGNIFICANT CHANGES IN U.S. FEDERAL TAX LAWS WERE RECENTLY ENACTED. PROSPECTIVE INVESTORS SHOULD ALSO CONSULT WITH THEIR TAX ADVISORS WITH RESPECT TO SUCH CHANGES IN U.S. TAX LAW AS WELL AS POTENTIAL CONFORMING CHANGES IN STATE TAX LAWS.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Non-U.S. Holder</w:t>
      </w:r>
    </w:p>
    <w:p>
      <w:pPr>
        <w:spacing w:after="0" w:line="121"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For purposes of this discussion, a non-U.S. holder is any beneficial owner of our Class A common stock that is not a “U.S. person” or a partnership (including any entity or arrangement treated as a partnership) for U.S. federal income tax purposes. A U.S. person is any person that, for U.S. federal income tax purposes, is or is treated as any of the following:</w:t>
      </w:r>
    </w:p>
    <w:p>
      <w:pPr>
        <w:spacing w:after="0" w:line="89" w:lineRule="exact"/>
        <w:rPr>
          <w:sz w:val="20"/>
          <w:szCs w:val="20"/>
          <w:color w:val="auto"/>
        </w:rPr>
      </w:pPr>
    </w:p>
    <w:p>
      <w:pPr>
        <w:ind w:left="1000" w:hanging="547"/>
        <w:spacing w:after="0"/>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000" w:right="140" w:hanging="547"/>
        <w:spacing w:after="0" w:line="277" w:lineRule="auto"/>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corporation (or any entity treated as a corporation for U.S. federal income tax purposes) created or organized under the laws of the United States, any state thereof or the District of Columbia;</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30" w:lineRule="exact"/>
        <w:rPr>
          <w:rFonts w:ascii="Arial" w:cs="Arial" w:eastAsia="Arial" w:hAnsi="Arial"/>
          <w:sz w:val="18"/>
          <w:szCs w:val="18"/>
          <w:color w:val="auto"/>
        </w:rPr>
      </w:pPr>
    </w:p>
    <w:p>
      <w:pPr>
        <w:ind w:left="1000" w:right="120" w:hanging="547"/>
        <w:spacing w:after="0" w:line="263" w:lineRule="auto"/>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trust (1) whose administration is subject to the primary supervision of a U.S. court and which has one or more U.S. persons who have the authority to control all substantial decisions of the trust, or (2) that has a valid election in effect under applicable Treasury Regulations to be treated as a U.S. person.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on Our Class A Common Stock</w:t>
      </w:r>
    </w:p>
    <w:p>
      <w:pPr>
        <w:spacing w:after="0" w:line="121"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As described under the section titled “Dividend Policy,” we have not paid and do not anticipate paying dividends. However, if we make cash or other property distributions on our Class A common stock, such distributions will constitute dividends for U.S. federal income tax purposes to the extent paid from our current or accumulated earnings and profits, as determined under U.S. federal income tax principles. Amounts that exceed such current and accumulated earnings and profits and, therefore, are not treated as dividends for U.S. federal income tax purposes will constitute a return of capital and will first be applied against and reduce a holder’s tax basis in our Class A common stock, but not below zero. Any excess amount distributed will be treated as gain realized on the sale or other disposition of our Class A common stock and will be treated as described under the section titled “—Gain On Disposition of Our Class A Common Stock” below.</w:t>
      </w:r>
    </w:p>
    <w:p>
      <w:pPr>
        <w:spacing w:after="0" w:line="195"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Subject to the discussion below regarding effectively connected income, backup withholding and FATCA (as defined below), dividends paid to a non-U.S. holder of our Class A common stock generally will be subject to U.S. federal withholding tax at a rate of 30% of the gross amount of the dividends or such lower rate specified by an applicable income tax treaty. To receive the benefit of a reduced treaty rate, a non-U.S. holder must furnish us or our withholding agent a valid IRS Form W-8BEN or IRS Form W-8BEN-E (or applicable successor form) certifying such holder’s qualification for the reduced rate. This certification must be provided to us or our withholding agent before the payment of dividends and must be updated periodically. If the non-U.S. holder holds the stock through a financial institution or other agent acting on the non-U.S. holder’s behalf, the non-U.S. holder will be required to provide appropriate documentation to the agent, which then will be required to provide certification to us or our withholding agent, either directly or through other intermediaries.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00"/>
          </w:cols>
          <w:pgMar w:left="320" w:top="459" w:right="3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60" w:firstLine="449"/>
        <w:spacing w:after="0" w:line="257" w:lineRule="auto"/>
        <w:rPr>
          <w:sz w:val="20"/>
          <w:szCs w:val="20"/>
          <w:color w:val="auto"/>
        </w:rPr>
      </w:pPr>
      <w:r>
        <w:rPr>
          <w:rFonts w:ascii="Arial" w:cs="Arial" w:eastAsia="Arial" w:hAnsi="Arial"/>
          <w:sz w:val="18"/>
          <w:szCs w:val="18"/>
          <w:color w:val="auto"/>
        </w:rPr>
        <w:t>If a non-U.S. holder holds our Class A common stock in connection with the conduct of a trade or business in the United States, and dividends paid on our Class A common stock are effectively connected with such holder’s U.S. trade or business (and are attributable to such holder’s permanent establishment or fixed base in the United States if required by an applicable tax treaty), the non-U.S. holder will be exempt from U.S. federal withholding tax. To claim the exemption, the non-U.S. holder must generally furnish a valid IRS Form W-8ECI (or applicable successor form) to the applicable withholding agent.</w:t>
      </w:r>
    </w:p>
    <w:p>
      <w:pPr>
        <w:spacing w:after="0" w:line="188" w:lineRule="exact"/>
        <w:rPr>
          <w:sz w:val="20"/>
          <w:szCs w:val="20"/>
          <w:color w:val="auto"/>
        </w:rPr>
      </w:pPr>
    </w:p>
    <w:p>
      <w:pPr>
        <w:ind w:right="160" w:firstLine="449"/>
        <w:spacing w:after="0" w:line="279" w:lineRule="auto"/>
        <w:rPr>
          <w:sz w:val="20"/>
          <w:szCs w:val="20"/>
          <w:color w:val="auto"/>
        </w:rPr>
      </w:pPr>
      <w:r>
        <w:rPr>
          <w:rFonts w:ascii="Arial" w:cs="Arial" w:eastAsia="Arial" w:hAnsi="Arial"/>
          <w:sz w:val="17"/>
          <w:szCs w:val="17"/>
          <w:color w:val="auto"/>
        </w:rPr>
        <w:t>However, any such effectively connected dividends paid on our Class A common stock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w:t>
      </w:r>
    </w:p>
    <w:p>
      <w:pPr>
        <w:spacing w:after="0" w:line="171"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Non-U.S. holders that do not provide the required certification on a timely basis, but that qualify for a reduced treaty rate, may obtain a refund of any excess amounts withheld by timely filing an appropriate claim for refund with the IRS.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Non-U.S. holders should consult their tax advisors regarding any applicable income tax treaties that may provide for different rules.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Our Class A Common Stock</w:t>
      </w:r>
    </w:p>
    <w:p>
      <w:pPr>
        <w:spacing w:after="0" w:line="121"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Subject to the discussion below regarding backup withholding and FATCA, a non-U.S. holder generally will not be subject to U.S. federal income tax on any gain realized on the sale or other disposition of our Class A common stock, unless:</w:t>
      </w:r>
    </w:p>
    <w:p>
      <w:pPr>
        <w:spacing w:after="0" w:line="76" w:lineRule="exact"/>
        <w:rPr>
          <w:sz w:val="20"/>
          <w:szCs w:val="20"/>
          <w:color w:val="auto"/>
        </w:rPr>
      </w:pPr>
    </w:p>
    <w:p>
      <w:pPr>
        <w:ind w:left="1000" w:right="500" w:hanging="547"/>
        <w:spacing w:after="0" w:line="263" w:lineRule="auto"/>
        <w:tabs>
          <w:tab w:leader="none" w:pos="10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in the United States and, if required by an applicable income tax treaty, is attributable to a permanent establishment or fixed base maintained by the non-U.S. holder in the United States;</w:t>
      </w:r>
    </w:p>
    <w:p>
      <w:pPr>
        <w:spacing w:after="0" w:line="89" w:lineRule="exact"/>
        <w:rPr>
          <w:rFonts w:ascii="Arial" w:cs="Arial" w:eastAsia="Arial" w:hAnsi="Arial"/>
          <w:sz w:val="18"/>
          <w:szCs w:val="18"/>
          <w:color w:val="auto"/>
        </w:rPr>
      </w:pPr>
    </w:p>
    <w:p>
      <w:pPr>
        <w:ind w:left="1000" w:right="740" w:hanging="547"/>
        <w:spacing w:after="0" w:line="277" w:lineRule="auto"/>
        <w:tabs>
          <w:tab w:leader="none" w:pos="10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75" w:lineRule="exact"/>
        <w:rPr>
          <w:rFonts w:ascii="Arial" w:cs="Arial" w:eastAsia="Arial" w:hAnsi="Arial"/>
          <w:sz w:val="18"/>
          <w:szCs w:val="18"/>
          <w:color w:val="auto"/>
        </w:rPr>
      </w:pPr>
    </w:p>
    <w:p>
      <w:pPr>
        <w:ind w:left="1000" w:right="20" w:hanging="547"/>
        <w:spacing w:after="0" w:line="279" w:lineRule="auto"/>
        <w:tabs>
          <w:tab w:leader="none" w:pos="10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our Class A common stock constitutes a “United States real property interest” by reason of our status as a United States real property holding corporation, or USRPHC, for U.S. federal income tax purposes at any time within the shorter of the five-year period preceding the disposition or the non-U.S. holder’s holding period for our Class A common stock, and our Class A common stock is not regularly traded on an established securities market during the calendar year in which the sale or other disposition occurs.</w:t>
      </w:r>
    </w:p>
    <w:p>
      <w:pPr>
        <w:spacing w:after="0" w:line="171" w:lineRule="exact"/>
        <w:rPr>
          <w:sz w:val="20"/>
          <w:szCs w:val="20"/>
          <w:color w:val="auto"/>
        </w:rPr>
      </w:pPr>
    </w:p>
    <w:p>
      <w:pPr>
        <w:jc w:val="both"/>
        <w:ind w:right="220" w:firstLine="449"/>
        <w:spacing w:after="0" w:line="286" w:lineRule="auto"/>
        <w:rPr>
          <w:sz w:val="20"/>
          <w:szCs w:val="20"/>
          <w:color w:val="auto"/>
        </w:rPr>
      </w:pPr>
      <w:r>
        <w:rPr>
          <w:rFonts w:ascii="Arial" w:cs="Arial" w:eastAsia="Arial" w:hAnsi="Arial"/>
          <w:sz w:val="17"/>
          <w:szCs w:val="17"/>
          <w:color w:val="auto"/>
        </w:rPr>
        <w:t>Determining whether we are a USRPHC depends on the fair market value of our U.S. real property interests relative to the fair market value of our other trade or business assets and our foreign real property interests. We believe that we are not currently and do not anticipate becoming a USRPHC for U.S. federal income tax purposes, although there can be no assurance we will not in the future become a USRPHC.</w:t>
      </w:r>
    </w:p>
    <w:p>
      <w:pPr>
        <w:spacing w:after="0" w:line="165" w:lineRule="exact"/>
        <w:rPr>
          <w:sz w:val="20"/>
          <w:szCs w:val="20"/>
          <w:color w:val="auto"/>
        </w:rPr>
      </w:pPr>
    </w:p>
    <w:p>
      <w:pPr>
        <w:ind w:right="60" w:firstLine="449"/>
        <w:spacing w:after="0" w:line="255"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Gain described in the second bullet point above will be subject to U.S. federal income tax at a flat 30% rate (or such lower rate specified by an applicable income tax treaty), but may be offset by certain U.S.-source capital losses (even though the individual</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40"/>
          </w:cols>
          <w:pgMar w:left="320" w:top="459" w:right="3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is not considered a resident of the United States), provided that the non-U.S. holder has timely filed U.S. federal income tax returns with respect to such losses. Gain described in the third bullet point above will generally be subject to U.S. federal income tax in the same manner as gain that is effectively connected with the conduct of a U.S. trade or business (subject to any provisions under an applicable income tax treaty), except that the branch profits tax generally will not apply. Non-U.S. holders should consult their tax advisors regarding any applicable income tax treaties that may provide for different rules.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Annual reports are required to be filed with the IRS and provided to each non-U.S. holder indicating the amount of dividends on our Class A common stock paid to such holder and the amount of any tax withheld with respect to those dividends. These information reporting requirements apply even if no withholding was required because the dividends were effectively connected with the holder’s conduct of a U.S. trade or business, or withholding was reduced or eliminated by an applicable income tax treaty. This information also may be made available under a specific treaty or agreement with the tax authorities in the country in which the non-U.S. holder resides or is established. Backup withholding, currently at a 24% rate, generally will not apply to payments to a non-U.S. holder of dividends on or the gross proceeds of a disposition of our Class A common stock provided the non-U.S. holder furnishes the required certification for its non-U.S. status, such as by providing a valid IRS Form W-8BEN, IRS Form W-8BEN-E, or IRS Form W-8ECI (or applicable successor form), or certain other requirements are met. Backup withholding may apply if the payor has actual knowledge, or reason to know, that the holder is a U.S. person who is not an exempt recipient.</w:t>
      </w:r>
    </w:p>
    <w:p>
      <w:pPr>
        <w:spacing w:after="0" w:line="181" w:lineRule="exact"/>
        <w:rPr>
          <w:sz w:val="20"/>
          <w:szCs w:val="20"/>
          <w:color w:val="auto"/>
        </w:rPr>
      </w:pPr>
    </w:p>
    <w:p>
      <w:pPr>
        <w:jc w:val="both"/>
        <w:ind w:right="20" w:firstLine="449"/>
        <w:spacing w:after="0" w:line="263" w:lineRule="auto"/>
        <w:rPr>
          <w:sz w:val="20"/>
          <w:szCs w:val="20"/>
          <w:color w:val="auto"/>
        </w:rPr>
      </w:pPr>
      <w:r>
        <w:rPr>
          <w:rFonts w:ascii="Arial" w:cs="Arial" w:eastAsia="Arial" w:hAnsi="Arial"/>
          <w:sz w:val="18"/>
          <w:szCs w:val="18"/>
          <w:color w:val="auto"/>
        </w:rPr>
        <w:t>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Withholding on Foreign Entities</w:t>
      </w:r>
    </w:p>
    <w:p>
      <w:pPr>
        <w:spacing w:after="0" w:line="121" w:lineRule="exact"/>
        <w:rPr>
          <w:sz w:val="20"/>
          <w:szCs w:val="20"/>
          <w:color w:val="auto"/>
        </w:rPr>
      </w:pPr>
    </w:p>
    <w:p>
      <w:pPr>
        <w:ind w:firstLine="449"/>
        <w:spacing w:after="0" w:line="268" w:lineRule="auto"/>
        <w:rPr>
          <w:sz w:val="20"/>
          <w:szCs w:val="20"/>
          <w:color w:val="auto"/>
        </w:rPr>
      </w:pPr>
      <w:r>
        <w:rPr>
          <w:rFonts w:ascii="Arial" w:cs="Arial" w:eastAsia="Arial" w:hAnsi="Arial"/>
          <w:sz w:val="17"/>
          <w:szCs w:val="17"/>
          <w:color w:val="auto"/>
        </w:rPr>
        <w:t>Sections 1471 through 1474 of the Code (commonly referred to as FATCA) impose a U.S. federal withholding tax of 30% on certain payments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will impose a U.S. federal withholding tax of 30% on certain payments made to a non-financial foreign entity unless such entity either certifies that it does not have any “substantial United States owners” as defined in the Code or provides the withholding agent a certification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The withholding provisions described above currently apply to payments of dividends on our Class A common stock. Subject to the recently released proposed Treasury Regulations described below, FATCA will also apply to gross proceeds from sales or other dispositions of our Class A common stock after December 31, 2018. The Treasury Department recently released proposed regulations which, if finalized in their present form, would eliminate the federal withholding tax of 30% applicable to the gross proceeds of a sale or other disposition of our Class A common stock. In its preamble to such proposed regulations, the U.S. Treasury Department stated that taxpayers may generally rely on the proposed regulations until final regulations are issued.</w:t>
      </w:r>
    </w:p>
    <w:p>
      <w:pPr>
        <w:spacing w:after="0" w:line="184"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Prospective investors are encouraged to consult with their own tax advisors regarding the possible implications of FATCA on their investment in our Class A common stock.</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40"/>
          </w:cols>
          <w:pgMar w:left="320" w:top="459" w:right="3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460"/>
        <w:spacing w:after="0"/>
        <w:tabs>
          <w:tab w:leader="none" w:pos="10680" w:val="left"/>
        </w:tabs>
        <w:rPr>
          <w:sz w:val="20"/>
          <w:szCs w:val="20"/>
          <w:color w:val="auto"/>
        </w:rPr>
      </w:pPr>
      <w:r>
        <w:rPr>
          <w:rFonts w:ascii="Arial" w:cs="Arial" w:eastAsia="Arial" w:hAnsi="Arial"/>
          <w:sz w:val="17"/>
          <w:szCs w:val="17"/>
          <w:color w:val="auto"/>
        </w:rPr>
        <w:t>The Registered Stockholders may sell their shares of Class A common stock covered hereby pursuant to brokerage transactions on the</w:t>
      </w:r>
      <w:r>
        <w:rPr>
          <w:sz w:val="20"/>
          <w:szCs w:val="20"/>
          <w:color w:val="auto"/>
        </w:rPr>
        <w:tab/>
      </w:r>
      <w:r>
        <w:rPr>
          <w:rFonts w:ascii="Arial" w:cs="Arial" w:eastAsia="Arial" w:hAnsi="Arial"/>
          <w:sz w:val="16"/>
          <w:szCs w:val="16"/>
          <w:color w:val="auto"/>
        </w:rPr>
        <w:t>, or</w:t>
      </w:r>
    </w:p>
    <w:p>
      <w:pPr>
        <w:spacing w:after="0" w:line="3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other public exchanges or registered alternative trading venues, at prevailing market prices at any time after the shares of Class A common stock are listed for trading. We are not party to any arrangement with any Registered Stockholder or any broker-dealer with respect to sales of shares of Class A common stock by the Registered Stockholders, except we have engaged financial advisors with respect to certain other matters relating to our listing, as further described below. As such, we will have no input if and when any Registered Stockholder may, or may not, elect to sell their shares of Class A common stock or the prices at which any such sales may occur, and there can be no assurance that any Registered Stockholders will sell any or all of the shares of Class A common stock covered by this prospectus.</w:t>
      </w:r>
    </w:p>
    <w:p>
      <w:pPr>
        <w:spacing w:after="0" w:line="194" w:lineRule="exact"/>
        <w:rPr>
          <w:sz w:val="20"/>
          <w:szCs w:val="20"/>
          <w:color w:val="auto"/>
        </w:rPr>
      </w:pPr>
    </w:p>
    <w:p>
      <w:pPr>
        <w:jc w:val="both"/>
        <w:ind w:right="140" w:firstLine="449"/>
        <w:spacing w:after="0" w:line="311" w:lineRule="auto"/>
        <w:rPr>
          <w:sz w:val="20"/>
          <w:szCs w:val="20"/>
          <w:color w:val="auto"/>
        </w:rPr>
      </w:pPr>
      <w:r>
        <w:rPr>
          <w:rFonts w:ascii="Arial" w:cs="Arial" w:eastAsia="Arial" w:hAnsi="Arial"/>
          <w:sz w:val="16"/>
          <w:szCs w:val="16"/>
          <w:color w:val="auto"/>
        </w:rPr>
        <w:t>We will not receive any proceeds from the sale of shares of Class A common stock by the Registered Stockholders. We expect to recognize certain non-recurring costs as part of our transition to a publicly-traded company, consisting of professional fees and other expenses. As part of our direct listing, these fees will be expensed in the period incurred and not deducted from net proceeds to the issuer as they would be in an initial public offering.</w:t>
      </w:r>
    </w:p>
    <w:p>
      <w:pPr>
        <w:spacing w:after="0" w:line="149"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In addition to sales made pursuant to this prospectus, the shares of Class A common stock covered by this prospectus may be sold by the Registered Stockholders in private transactions exempt from the registration requirements of the Securities Act.</w:t>
      </w:r>
    </w:p>
    <w:p>
      <w:pPr>
        <w:spacing w:after="0" w:line="170"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Under the securities laws of some states, shares of Class A common stock may be sold in such states only through registered or licensed brokers or dealers.</w:t>
      </w:r>
    </w:p>
    <w:p>
      <w:pPr>
        <w:spacing w:after="0" w:line="170"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If any of the Registered Stockholders utilize a broker-dealer in the sale of the shares of Class A common stock being offered by this prospectus, such broker-dealer may receive commissions in the form of discounts, concessions, or commissions from such Registered Stockholder, or commissions from purchasers of the shares of Class A common stock for whom they may act as agent or to whom they may sell as principal (which discounts, concessions, or commissions as to particular broker-dealers may be in excess of those customary in the types of transactions involved).</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80"/>
          </w:cols>
          <w:pgMar w:left="320" w:top="459" w:right="39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Cooley LLP, Palo Alto, California, and Orrick, Herrington &amp; Sutcliffe LLP, Menlo Park, California, are our legal advisors. Latham &amp; Watkins LLP is legal advisor to the financial advisors.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right="360" w:firstLine="449"/>
        <w:spacing w:after="0" w:line="263" w:lineRule="auto"/>
        <w:rPr>
          <w:sz w:val="20"/>
          <w:szCs w:val="20"/>
          <w:color w:val="auto"/>
        </w:rPr>
      </w:pPr>
      <w:r>
        <w:rPr>
          <w:rFonts w:ascii="Arial" w:cs="Arial" w:eastAsia="Arial" w:hAnsi="Arial"/>
          <w:sz w:val="18"/>
          <w:szCs w:val="18"/>
          <w:color w:val="auto"/>
        </w:rPr>
        <w:t>The financial statements as of January 31, 2019 and for the year then ended included in this prospectus have been so included in reliance on the report of PricewaterhouseCoopers LLP, an independent registered public accounting firm, given on the authority of said firm as experts in auditing and accounting.</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shares of Class A common stock covered by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Class A common stock, we refer you to the registration statement, including the exhibits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maintains an Internet website that contains reports, proxy statements, and other information about issuers like us that file electronically with the SEC. The address of that website is www.sec.gov.</w:t>
      </w:r>
    </w:p>
    <w:p>
      <w:pPr>
        <w:spacing w:after="0" w:line="196" w:lineRule="exact"/>
        <w:rPr>
          <w:sz w:val="20"/>
          <w:szCs w:val="20"/>
          <w:color w:val="auto"/>
        </w:rPr>
      </w:pPr>
    </w:p>
    <w:p>
      <w:pPr>
        <w:ind w:right="100" w:firstLine="449"/>
        <w:spacing w:after="0" w:line="293" w:lineRule="auto"/>
        <w:rPr>
          <w:sz w:val="20"/>
          <w:szCs w:val="20"/>
          <w:color w:val="auto"/>
        </w:rPr>
      </w:pPr>
      <w:r>
        <w:rPr>
          <w:rFonts w:ascii="Arial" w:cs="Arial" w:eastAsia="Arial" w:hAnsi="Arial"/>
          <w:sz w:val="16"/>
          <w:szCs w:val="16"/>
          <w:color w:val="auto"/>
        </w:rPr>
        <w:t>Upon the effectiveness of the registration statement of which this prospectus forms a part, we will become subject to the information and reporting requirements of the Exchange Act and, in accordance with this law, will file periodic reports, proxy statements, and other information with the SEC. These periodic reports, proxy statements, and other information will be available for inspection and copying at the website of the SEC referred to above. We also maintain a website at https://asana.com. Upon the effectiveness of the registration statement of which this prospectus forms a part,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40"/>
          </w:cols>
          <w:pgMar w:left="320" w:top="459" w:right="3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ASANA,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880" w:type="dxa"/>
            <w:vAlign w:val="bottom"/>
            <w:vMerge w:val="restart"/>
          </w:tcPr>
          <w:p>
            <w:pPr>
              <w:spacing w:after="0"/>
              <w:rPr>
                <w:rFonts w:ascii="Arial" w:cs="Arial" w:eastAsia="Arial" w:hAnsi="Arial"/>
                <w:sz w:val="18"/>
                <w:szCs w:val="18"/>
                <w:u w:val="single" w:color="auto"/>
                <w:color w:val="0000EE"/>
              </w:rPr>
            </w:pPr>
            <w:hyperlink w:anchor="page138">
              <w:r>
                <w:rPr>
                  <w:rFonts w:ascii="Arial" w:cs="Arial" w:eastAsia="Arial" w:hAnsi="Arial"/>
                  <w:sz w:val="18"/>
                  <w:szCs w:val="18"/>
                  <w:u w:val="single" w:color="auto"/>
                  <w:color w:val="0000EE"/>
                </w:rPr>
                <w:t>Report of Independent Registered Public Accounting Firm</w:t>
              </w:r>
            </w:hyperlink>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5"/>
        </w:trPr>
        <w:tc>
          <w:tcPr>
            <w:tcW w:w="10880" w:type="dxa"/>
            <w:vAlign w:val="bottom"/>
            <w:vMerge w:val="continue"/>
          </w:tcPr>
          <w:p>
            <w:pPr>
              <w:spacing w:after="0"/>
              <w:rPr>
                <w:sz w:val="16"/>
                <w:szCs w:val="16"/>
                <w:color w:val="auto"/>
              </w:rPr>
            </w:pPr>
          </w:p>
        </w:tc>
        <w:tc>
          <w:tcPr>
            <w:tcW w:w="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F-2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880" w:type="dxa"/>
            <w:vAlign w:val="bottom"/>
          </w:tcPr>
          <w:p>
            <w:pPr>
              <w:spacing w:after="0"/>
              <w:rPr>
                <w:rFonts w:ascii="Arial" w:cs="Arial" w:eastAsia="Arial" w:hAnsi="Arial"/>
                <w:sz w:val="18"/>
                <w:szCs w:val="18"/>
                <w:u w:val="single" w:color="auto"/>
                <w:color w:val="0000EE"/>
              </w:rPr>
            </w:pPr>
            <w:hyperlink w:anchor="page139">
              <w:r>
                <w:rPr>
                  <w:rFonts w:ascii="Arial" w:cs="Arial" w:eastAsia="Arial" w:hAnsi="Arial"/>
                  <w:sz w:val="18"/>
                  <w:szCs w:val="18"/>
                  <w:u w:val="single" w:color="auto"/>
                  <w:color w:val="0000EE"/>
                </w:rPr>
                <w:t>Consolidated Balance Sheet</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16"/>
        </w:trPr>
        <w:tc>
          <w:tcPr>
            <w:tcW w:w="10880" w:type="dxa"/>
            <w:vAlign w:val="bottom"/>
          </w:tcPr>
          <w:p>
            <w:pPr>
              <w:spacing w:after="0"/>
              <w:rPr>
                <w:rFonts w:ascii="Arial" w:cs="Arial" w:eastAsia="Arial" w:hAnsi="Arial"/>
                <w:sz w:val="18"/>
                <w:szCs w:val="18"/>
                <w:u w:val="single" w:color="auto"/>
                <w:color w:val="0000EE"/>
              </w:rPr>
            </w:pPr>
            <w:hyperlink w:anchor="page140">
              <w:r>
                <w:rPr>
                  <w:rFonts w:ascii="Arial" w:cs="Arial" w:eastAsia="Arial" w:hAnsi="Arial"/>
                  <w:sz w:val="18"/>
                  <w:szCs w:val="18"/>
                  <w:u w:val="single" w:color="auto"/>
                  <w:color w:val="0000EE"/>
                </w:rPr>
                <w:t>Consolidated Statement of Operations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16"/>
        </w:trPr>
        <w:tc>
          <w:tcPr>
            <w:tcW w:w="10880" w:type="dxa"/>
            <w:vAlign w:val="bottom"/>
          </w:tcPr>
          <w:p>
            <w:pPr>
              <w:spacing w:after="0"/>
              <w:rPr>
                <w:rFonts w:ascii="Arial" w:cs="Arial" w:eastAsia="Arial" w:hAnsi="Arial"/>
                <w:sz w:val="18"/>
                <w:szCs w:val="18"/>
                <w:u w:val="single" w:color="auto"/>
                <w:color w:val="0000EE"/>
              </w:rPr>
            </w:pPr>
            <w:hyperlink w:anchor="page141">
              <w:r>
                <w:rPr>
                  <w:rFonts w:ascii="Arial" w:cs="Arial" w:eastAsia="Arial" w:hAnsi="Arial"/>
                  <w:sz w:val="18"/>
                  <w:szCs w:val="18"/>
                  <w:u w:val="single" w:color="auto"/>
                  <w:color w:val="0000EE"/>
                </w:rPr>
                <w:t>Consolidated Statement of Comprehensive Loss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16"/>
        </w:trPr>
        <w:tc>
          <w:tcPr>
            <w:tcW w:w="10880" w:type="dxa"/>
            <w:vAlign w:val="bottom"/>
          </w:tcPr>
          <w:p>
            <w:pPr>
              <w:spacing w:after="0"/>
              <w:rPr>
                <w:rFonts w:ascii="Arial" w:cs="Arial" w:eastAsia="Arial" w:hAnsi="Arial"/>
                <w:sz w:val="18"/>
                <w:szCs w:val="18"/>
                <w:u w:val="single" w:color="auto"/>
                <w:color w:val="0000EE"/>
              </w:rPr>
            </w:pPr>
            <w:hyperlink w:anchor="page142">
              <w:r>
                <w:rPr>
                  <w:rFonts w:ascii="Arial" w:cs="Arial" w:eastAsia="Arial" w:hAnsi="Arial"/>
                  <w:sz w:val="18"/>
                  <w:szCs w:val="18"/>
                  <w:u w:val="single" w:color="auto"/>
                  <w:color w:val="0000EE"/>
                </w:rPr>
                <w:t>Consolidated Statement of Redeemable Convertible Preferred Stock and Stockholders’ Deficit</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16"/>
        </w:trPr>
        <w:tc>
          <w:tcPr>
            <w:tcW w:w="10880" w:type="dxa"/>
            <w:vAlign w:val="bottom"/>
          </w:tcPr>
          <w:p>
            <w:pPr>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Consolidated Statement of Cash Flows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230"/>
        </w:trPr>
        <w:tc>
          <w:tcPr>
            <w:tcW w:w="10880" w:type="dxa"/>
            <w:vAlign w:val="bottom"/>
          </w:tcPr>
          <w:p>
            <w:pPr>
              <w:spacing w:after="0"/>
              <w:rPr>
                <w:rFonts w:ascii="Arial" w:cs="Arial" w:eastAsia="Arial" w:hAnsi="Arial"/>
                <w:sz w:val="18"/>
                <w:szCs w:val="18"/>
                <w:u w:val="single" w:color="auto"/>
                <w:color w:val="0000EE"/>
              </w:rPr>
            </w:pPr>
            <w:hyperlink w:anchor="page144">
              <w:r>
                <w:rPr>
                  <w:rFonts w:ascii="Arial" w:cs="Arial" w:eastAsia="Arial" w:hAnsi="Arial"/>
                  <w:sz w:val="18"/>
                  <w:szCs w:val="18"/>
                  <w:u w:val="single" w:color="auto"/>
                  <w:color w:val="0000EE"/>
                </w:rPr>
                <w:t>Notes to Consolidated Financial Statements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364"/>
        </w:trPr>
        <w:tc>
          <w:tcPr>
            <w:tcW w:w="10880" w:type="dxa"/>
            <w:vAlign w:val="bottom"/>
          </w:tcPr>
          <w:p>
            <w:pPr>
              <w:ind w:left="5500"/>
              <w:spacing w:after="0"/>
              <w:rPr>
                <w:sz w:val="20"/>
                <w:szCs w:val="20"/>
                <w:color w:val="auto"/>
              </w:rPr>
            </w:pPr>
            <w:r>
              <w:rPr>
                <w:rFonts w:ascii="Arial" w:cs="Arial" w:eastAsia="Arial" w:hAnsi="Arial"/>
                <w:sz w:val="18"/>
                <w:szCs w:val="18"/>
                <w:color w:val="auto"/>
              </w:rPr>
              <w:t>F-1</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20" w:top="459" w:right="39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Asana, Inc.</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We have audited the accompanying consolidated balance sheet of Asana, Inc. and its subsidiaries (the “Company”) as of January 31, 2019, and the related consolidated statements of operations, of comprehensive loss, of redeemable convertible preferred stock and stockholders’ deficit and of cash flows for the year then ended, including the related notes (collectively referred to as the “consolidated financial statements”). In our opinion, the consolidated financial statements present fairly, in all material respects, the financial position of the Company as of January 31, 2019, and the results of its operations and its cash flows for the year then ended in conformity with accounting principles generally accepted in the United States of America.</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We conducted our audit of these consolidated financial statements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w:t>
      </w:r>
    </w:p>
    <w:p>
      <w:pPr>
        <w:spacing w:after="0" w:line="165" w:lineRule="exact"/>
        <w:rPr>
          <w:sz w:val="20"/>
          <w:szCs w:val="20"/>
          <w:color w:val="auto"/>
        </w:rPr>
      </w:pPr>
    </w:p>
    <w:p>
      <w:pPr>
        <w:jc w:val="both"/>
        <w:ind w:right="160"/>
        <w:spacing w:after="0" w:line="257" w:lineRule="auto"/>
        <w:rPr>
          <w:sz w:val="20"/>
          <w:szCs w:val="20"/>
          <w:color w:val="auto"/>
        </w:rPr>
      </w:pPr>
      <w:r>
        <w:rPr>
          <w:rFonts w:ascii="Arial" w:cs="Arial" w:eastAsia="Arial" w:hAnsi="Arial"/>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2011.</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00"/>
          </w:cols>
          <w:pgMar w:left="320" w:top="459" w:right="3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ASANA, INC.</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As 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71"/>
        </w:trPr>
        <w:tc>
          <w:tcPr>
            <w:tcW w:w="8540" w:type="dxa"/>
            <w:vAlign w:val="bottom"/>
          </w:tcPr>
          <w:p>
            <w:pPr>
              <w:spacing w:after="0"/>
              <w:rPr>
                <w:sz w:val="14"/>
                <w:szCs w:val="14"/>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6"/>
              </w:rPr>
              <w:t>January 31, 2019</w:t>
            </w:r>
          </w:p>
        </w:tc>
        <w:tc>
          <w:tcPr>
            <w:tcW w:w="100" w:type="dxa"/>
            <w:vAlign w:val="bottom"/>
          </w:tcPr>
          <w:p>
            <w:pPr>
              <w:spacing w:after="0"/>
              <w:rPr>
                <w:sz w:val="14"/>
                <w:szCs w:val="14"/>
                <w:color w:val="auto"/>
              </w:rPr>
            </w:pPr>
          </w:p>
        </w:tc>
        <w:tc>
          <w:tcPr>
            <w:tcW w:w="13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January 31, 2019</w:t>
            </w:r>
          </w:p>
        </w:tc>
        <w:tc>
          <w:tcPr>
            <w:tcW w:w="0" w:type="dxa"/>
            <w:vAlign w:val="bottom"/>
          </w:tcPr>
          <w:p>
            <w:pPr>
              <w:spacing w:after="0"/>
              <w:rPr>
                <w:sz w:val="1"/>
                <w:szCs w:val="1"/>
                <w:color w:val="auto"/>
              </w:rPr>
            </w:pPr>
          </w:p>
        </w:tc>
      </w:tr>
      <w:tr>
        <w:trPr>
          <w:trHeight w:val="142"/>
        </w:trPr>
        <w:tc>
          <w:tcPr>
            <w:tcW w:w="85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center"/>
              <w:ind w:right="54"/>
              <w:spacing w:after="0" w:line="142" w:lineRule="exact"/>
              <w:rPr>
                <w:sz w:val="20"/>
                <w:szCs w:val="20"/>
                <w:color w:val="auto"/>
              </w:rPr>
            </w:pPr>
            <w:r>
              <w:rPr>
                <w:rFonts w:ascii="Arial" w:cs="Arial" w:eastAsia="Arial" w:hAnsi="Arial"/>
                <w:sz w:val="14"/>
                <w:szCs w:val="14"/>
                <w:b w:val="1"/>
                <w:bCs w:val="1"/>
                <w:color w:val="auto"/>
                <w:w w:val="94"/>
              </w:rPr>
              <w:t>(unaudited)</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23,778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64,189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5,595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9,595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103,157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4,099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noncurrent</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3,691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113,749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Redeemable Convertible Preferred Stock, and Stockholders’ (Deficit) Equity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74"/>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3,647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31,918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43,495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Other liabilities</w:t>
            </w: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 warrant liability</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54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44,390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6)</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540" w:type="dxa"/>
            <w:vAlign w:val="bottom"/>
          </w:tcPr>
          <w:p>
            <w:pPr>
              <w:ind w:left="180"/>
              <w:spacing w:after="0" w:line="201" w:lineRule="exact"/>
              <w:rPr>
                <w:sz w:val="20"/>
                <w:szCs w:val="20"/>
                <w:color w:val="auto"/>
              </w:rPr>
            </w:pPr>
            <w:r>
              <w:rPr>
                <w:rFonts w:ascii="Arial" w:cs="Arial" w:eastAsia="Arial" w:hAnsi="Arial"/>
                <w:sz w:val="18"/>
                <w:szCs w:val="18"/>
                <w:color w:val="auto"/>
                <w:w w:val="92"/>
              </w:rPr>
              <w:t>Redeemable convertible preferred stock, $0.00001 par value; 151,101 shares authorized as of January 31, 2019;</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40" w:type="dxa"/>
            <w:vAlign w:val="bottom"/>
          </w:tcPr>
          <w:p>
            <w:pPr>
              <w:ind w:left="360"/>
              <w:spacing w:after="0"/>
              <w:rPr>
                <w:sz w:val="20"/>
                <w:szCs w:val="20"/>
                <w:color w:val="auto"/>
              </w:rPr>
            </w:pPr>
            <w:r>
              <w:rPr>
                <w:rFonts w:ascii="Arial" w:cs="Arial" w:eastAsia="Arial" w:hAnsi="Arial"/>
                <w:sz w:val="18"/>
                <w:szCs w:val="18"/>
                <w:color w:val="auto"/>
                <w:w w:val="91"/>
              </w:rPr>
              <w:t>73,547 shares issued and outstanding as of January 31, 2019; liquidation preference of $250,916 at January 31,</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40" w:type="dxa"/>
            <w:vAlign w:val="bottom"/>
          </w:tcPr>
          <w:p>
            <w:pPr>
              <w:ind w:left="360"/>
              <w:spacing w:after="0"/>
              <w:rPr>
                <w:sz w:val="20"/>
                <w:szCs w:val="20"/>
                <w:color w:val="auto"/>
              </w:rPr>
            </w:pPr>
            <w:r>
              <w:rPr>
                <w:rFonts w:ascii="Arial" w:cs="Arial" w:eastAsia="Arial" w:hAnsi="Arial"/>
                <w:sz w:val="18"/>
                <w:szCs w:val="18"/>
                <w:color w:val="auto"/>
              </w:rPr>
              <w:t>2019; no shares issued and outstanding as of January 31, 2019, pro forma (unaudited)</w:t>
            </w:r>
          </w:p>
        </w:tc>
        <w:tc>
          <w:tcPr>
            <w:tcW w:w="26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250,370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 equity</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540" w:type="dxa"/>
            <w:vAlign w:val="bottom"/>
          </w:tcPr>
          <w:p>
            <w:pPr>
              <w:ind w:left="180"/>
              <w:spacing w:after="0" w:line="201" w:lineRule="exact"/>
              <w:rPr>
                <w:sz w:val="20"/>
                <w:szCs w:val="20"/>
                <w:color w:val="auto"/>
              </w:rPr>
            </w:pPr>
            <w:r>
              <w:rPr>
                <w:rFonts w:ascii="Arial" w:cs="Arial" w:eastAsia="Arial" w:hAnsi="Arial"/>
                <w:sz w:val="18"/>
                <w:szCs w:val="18"/>
                <w:color w:val="auto"/>
                <w:w w:val="91"/>
              </w:rPr>
              <w:t>Common stock, $0.00001 par value; 540,000 shares authorized as of January 31, 2019; 68,257 shares issued and</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40" w:type="dxa"/>
            <w:vAlign w:val="bottom"/>
          </w:tcPr>
          <w:p>
            <w:pPr>
              <w:ind w:left="360"/>
              <w:spacing w:after="0"/>
              <w:rPr>
                <w:sz w:val="20"/>
                <w:szCs w:val="20"/>
                <w:color w:val="auto"/>
              </w:rPr>
            </w:pPr>
            <w:r>
              <w:rPr>
                <w:rFonts w:ascii="Arial" w:cs="Arial" w:eastAsia="Arial" w:hAnsi="Arial"/>
                <w:sz w:val="18"/>
                <w:szCs w:val="18"/>
                <w:color w:val="auto"/>
                <w:w w:val="92"/>
              </w:rPr>
              <w:t>outstanding as of January 31, 2019; 141,803 shares issued and outstanding as of January 31, 2019, pro forma</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40" w:type="dxa"/>
            <w:vAlign w:val="bottom"/>
          </w:tcPr>
          <w:p>
            <w:pPr>
              <w:ind w:left="360"/>
              <w:spacing w:after="0"/>
              <w:rPr>
                <w:sz w:val="20"/>
                <w:szCs w:val="20"/>
                <w:color w:val="auto"/>
              </w:rPr>
            </w:pPr>
            <w:r>
              <w:rPr>
                <w:rFonts w:ascii="Arial" w:cs="Arial" w:eastAsia="Arial" w:hAnsi="Arial"/>
                <w:sz w:val="18"/>
                <w:szCs w:val="18"/>
                <w:color w:val="auto"/>
              </w:rPr>
              <w:t>(unaudited)</w:t>
            </w:r>
          </w:p>
        </w:tc>
        <w:tc>
          <w:tcPr>
            <w:tcW w:w="26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30,215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280,584</w:t>
            </w: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(211,147)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(211,053)</w:t>
            </w:r>
          </w:p>
        </w:tc>
        <w:tc>
          <w:tcPr>
            <w:tcW w:w="0" w:type="dxa"/>
            <w:vAlign w:val="bottom"/>
          </w:tcPr>
          <w:p>
            <w:pPr>
              <w:spacing w:after="0"/>
              <w:rPr>
                <w:sz w:val="1"/>
                <w:szCs w:val="1"/>
                <w:color w:val="auto"/>
              </w:rPr>
            </w:pPr>
          </w:p>
        </w:tc>
      </w:tr>
      <w:tr>
        <w:trPr>
          <w:trHeight w:val="223"/>
        </w:trPr>
        <w:tc>
          <w:tcPr>
            <w:tcW w:w="8540" w:type="dxa"/>
            <w:vAlign w:val="bottom"/>
          </w:tcPr>
          <w:p>
            <w:pPr>
              <w:ind w:left="180"/>
              <w:spacing w:after="0"/>
              <w:rPr>
                <w:sz w:val="20"/>
                <w:szCs w:val="20"/>
                <w:color w:val="auto"/>
              </w:rPr>
            </w:pPr>
            <w:r>
              <w:rPr>
                <w:rFonts w:ascii="Arial" w:cs="Arial" w:eastAsia="Arial" w:hAnsi="Arial"/>
                <w:sz w:val="18"/>
                <w:szCs w:val="18"/>
                <w:color w:val="auto"/>
              </w:rPr>
              <w:t>Total stockholders’ (deficit) equity</w:t>
            </w: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(181,011)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69,453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liabilities, redeemable convertible preferred stock, and stockholders’ (deficit) equity</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113,749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40" w:type="dxa"/>
            <w:vAlign w:val="bottom"/>
            <w:vMerge w:val="restart"/>
          </w:tcPr>
          <w:p>
            <w:pPr>
              <w:ind w:left="5500"/>
              <w:spacing w:after="0"/>
              <w:rPr>
                <w:sz w:val="20"/>
                <w:szCs w:val="20"/>
                <w:color w:val="auto"/>
              </w:rPr>
            </w:pPr>
            <w:r>
              <w:rPr>
                <w:rFonts w:ascii="Arial" w:cs="Arial" w:eastAsia="Arial" w:hAnsi="Arial"/>
                <w:sz w:val="18"/>
                <w:szCs w:val="18"/>
                <w:color w:val="auto"/>
              </w:rPr>
              <w:t>F-3</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5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20" w:type="dxa"/>
            <w:vAlign w:val="bottom"/>
          </w:tcPr>
          <w:p>
            <w:pPr>
              <w:jc w:val="center"/>
              <w:ind w:left="2430"/>
              <w:spacing w:after="0"/>
              <w:rPr>
                <w:sz w:val="20"/>
                <w:szCs w:val="20"/>
                <w:color w:val="auto"/>
              </w:rPr>
            </w:pPr>
            <w:r>
              <w:rPr>
                <w:rFonts w:ascii="Arial" w:cs="Arial" w:eastAsia="Arial" w:hAnsi="Arial"/>
                <w:sz w:val="18"/>
                <w:szCs w:val="18"/>
                <w:b w:val="1"/>
                <w:bCs w:val="1"/>
                <w:color w:val="auto"/>
                <w:w w:val="98"/>
              </w:rPr>
              <w:t>ASANA, INC.</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jc w:val="center"/>
              <w:ind w:left="2430"/>
              <w:spacing w:after="0"/>
              <w:rPr>
                <w:sz w:val="20"/>
                <w:szCs w:val="20"/>
                <w:color w:val="auto"/>
              </w:rPr>
            </w:pPr>
            <w:r>
              <w:rPr>
                <w:rFonts w:ascii="Arial" w:cs="Arial" w:eastAsia="Arial" w:hAnsi="Arial"/>
                <w:sz w:val="18"/>
                <w:szCs w:val="18"/>
                <w:b w:val="1"/>
                <w:bCs w:val="1"/>
                <w:color w:val="auto"/>
                <w:w w:val="99"/>
              </w:rPr>
              <w:t>CONSOLIDATED STATEMENT OF OPERATIONS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720" w:type="dxa"/>
            <w:vAlign w:val="bottom"/>
          </w:tcPr>
          <w:p>
            <w:pPr>
              <w:jc w:val="center"/>
              <w:ind w:left="2450"/>
              <w:spacing w:after="0"/>
              <w:rPr>
                <w:sz w:val="20"/>
                <w:szCs w:val="20"/>
                <w:color w:val="auto"/>
              </w:rPr>
            </w:pPr>
            <w:r>
              <w:rPr>
                <w:rFonts w:ascii="Arial" w:cs="Arial" w:eastAsia="Arial" w:hAnsi="Arial"/>
                <w:sz w:val="18"/>
                <w:szCs w:val="18"/>
                <w:b w:val="1"/>
                <w:bCs w:val="1"/>
                <w:color w:val="auto"/>
                <w:w w:val="87"/>
              </w:rPr>
              <w:t>(in thousands, except per share amounts)</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8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8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January 31, 2019</w:t>
            </w:r>
          </w:p>
        </w:tc>
        <w:tc>
          <w:tcPr>
            <w:tcW w:w="0" w:type="dxa"/>
            <w:vAlign w:val="bottom"/>
          </w:tcPr>
          <w:p>
            <w:pPr>
              <w:spacing w:after="0"/>
              <w:rPr>
                <w:sz w:val="1"/>
                <w:szCs w:val="1"/>
                <w:color w:val="auto"/>
              </w:rPr>
            </w:pPr>
          </w:p>
        </w:tc>
      </w:tr>
      <w:tr>
        <w:trPr>
          <w:trHeight w:val="209"/>
        </w:trPr>
        <w:tc>
          <w:tcPr>
            <w:tcW w:w="8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0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76,770</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Cost of revenues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13,832</w:t>
            </w: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62,938</w:t>
            </w:r>
          </w:p>
        </w:tc>
        <w:tc>
          <w:tcPr>
            <w:tcW w:w="0" w:type="dxa"/>
            <w:vAlign w:val="bottom"/>
          </w:tcPr>
          <w:p>
            <w:pPr>
              <w:spacing w:after="0"/>
              <w:rPr>
                <w:sz w:val="1"/>
                <w:szCs w:val="1"/>
                <w:color w:val="auto"/>
              </w:rPr>
            </w:pPr>
          </w:p>
        </w:tc>
      </w:tr>
      <w:tr>
        <w:trPr>
          <w:trHeight w:val="223"/>
        </w:trPr>
        <w:tc>
          <w:tcPr>
            <w:tcW w:w="8720" w:type="dxa"/>
            <w:vAlign w:val="bottom"/>
          </w:tcPr>
          <w:p>
            <w:pPr>
              <w:spacing w:after="0"/>
              <w:rPr>
                <w:sz w:val="20"/>
                <w:szCs w:val="20"/>
                <w:color w:val="auto"/>
              </w:rPr>
            </w:pPr>
            <w:r>
              <w:rPr>
                <w:rFonts w:ascii="Arial" w:cs="Arial" w:eastAsia="Arial" w:hAnsi="Arial"/>
                <w:sz w:val="18"/>
                <w:szCs w:val="18"/>
                <w:color w:val="auto"/>
              </w:rPr>
              <w:t>Operating expenses:</w:t>
            </w:r>
          </w:p>
        </w:tc>
        <w:tc>
          <w:tcPr>
            <w:tcW w:w="10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42,585</w:t>
            </w:r>
          </w:p>
        </w:tc>
        <w:tc>
          <w:tcPr>
            <w:tcW w:w="0" w:type="dxa"/>
            <w:vAlign w:val="bottom"/>
          </w:tcPr>
          <w:p>
            <w:pPr>
              <w:spacing w:after="0"/>
              <w:rPr>
                <w:sz w:val="1"/>
                <w:szCs w:val="1"/>
                <w:color w:val="auto"/>
              </w:rPr>
            </w:pPr>
          </w:p>
        </w:tc>
      </w:tr>
      <w:tr>
        <w:trPr>
          <w:trHeight w:val="216"/>
        </w:trPr>
        <w:tc>
          <w:tcPr>
            <w:tcW w:w="872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52,106</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20,260</w:t>
            </w:r>
          </w:p>
        </w:tc>
        <w:tc>
          <w:tcPr>
            <w:tcW w:w="0" w:type="dxa"/>
            <w:vAlign w:val="bottom"/>
          </w:tcPr>
          <w:p>
            <w:pPr>
              <w:spacing w:after="0"/>
              <w:rPr>
                <w:sz w:val="1"/>
                <w:szCs w:val="1"/>
                <w:color w:val="auto"/>
              </w:rPr>
            </w:pPr>
          </w:p>
        </w:tc>
      </w:tr>
      <w:tr>
        <w:trPr>
          <w:trHeight w:val="230"/>
        </w:trPr>
        <w:tc>
          <w:tcPr>
            <w:tcW w:w="87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0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114,951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(52,013)</w:t>
            </w: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(50,900)</w:t>
            </w: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(50,928)</w:t>
            </w:r>
          </w:p>
        </w:tc>
        <w:tc>
          <w:tcPr>
            <w:tcW w:w="0" w:type="dxa"/>
            <w:vAlign w:val="bottom"/>
          </w:tcPr>
          <w:p>
            <w:pPr>
              <w:spacing w:after="0"/>
              <w:rPr>
                <w:sz w:val="1"/>
                <w:szCs w:val="1"/>
                <w:color w:val="auto"/>
              </w:rPr>
            </w:pPr>
          </w:p>
        </w:tc>
      </w:tr>
      <w:tr>
        <w:trPr>
          <w:trHeight w:val="20"/>
        </w:trPr>
        <w:tc>
          <w:tcPr>
            <w:tcW w:w="8720" w:type="dxa"/>
            <w:vAlign w:val="bottom"/>
            <w:vMerge w:val="restart"/>
          </w:tcPr>
          <w:p>
            <w:pPr>
              <w:spacing w:after="0"/>
              <w:rPr>
                <w:sz w:val="20"/>
                <w:szCs w:val="20"/>
                <w:color w:val="auto"/>
              </w:rPr>
            </w:pPr>
            <w:r>
              <w:rPr>
                <w:rFonts w:ascii="Arial" w:cs="Arial" w:eastAsia="Arial" w:hAnsi="Arial"/>
                <w:sz w:val="18"/>
                <w:szCs w:val="18"/>
                <w:b w:val="1"/>
                <w:bCs w:val="1"/>
                <w:color w:val="auto"/>
              </w:rPr>
              <w:t>Net loss per share:</w:t>
            </w:r>
          </w:p>
        </w:tc>
        <w:tc>
          <w:tcPr>
            <w:tcW w:w="1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2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0"/>
        </w:trPr>
        <w:tc>
          <w:tcPr>
            <w:tcW w:w="8720" w:type="dxa"/>
            <w:vAlign w:val="bottom"/>
            <w:vMerge w:val="restart"/>
          </w:tcPr>
          <w:p>
            <w:pPr>
              <w:spacing w:after="0"/>
              <w:rPr>
                <w:sz w:val="20"/>
                <w:szCs w:val="20"/>
                <w:color w:val="auto"/>
              </w:rPr>
            </w:pPr>
            <w:r>
              <w:rPr>
                <w:rFonts w:ascii="Arial" w:cs="Arial" w:eastAsia="Arial" w:hAnsi="Arial"/>
                <w:sz w:val="18"/>
                <w:szCs w:val="18"/>
                <w:b w:val="1"/>
                <w:bCs w:val="1"/>
                <w:color w:val="auto"/>
              </w:rPr>
              <w:t>Weighted-average shares used in calculating net loss per share:</w:t>
            </w:r>
          </w:p>
        </w:tc>
        <w:tc>
          <w:tcPr>
            <w:tcW w:w="1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2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65,214</w:t>
            </w:r>
          </w:p>
        </w:tc>
        <w:tc>
          <w:tcPr>
            <w:tcW w:w="0" w:type="dxa"/>
            <w:vAlign w:val="bottom"/>
          </w:tcPr>
          <w:p>
            <w:pPr>
              <w:spacing w:after="0"/>
              <w:rPr>
                <w:sz w:val="1"/>
                <w:szCs w:val="1"/>
                <w:color w:val="auto"/>
              </w:rPr>
            </w:pPr>
          </w:p>
        </w:tc>
      </w:tr>
      <w:tr>
        <w:trPr>
          <w:trHeight w:val="20"/>
        </w:trPr>
        <w:tc>
          <w:tcPr>
            <w:tcW w:w="8720" w:type="dxa"/>
            <w:vAlign w:val="bottom"/>
            <w:vMerge w:val="restart"/>
          </w:tcPr>
          <w:p>
            <w:pPr>
              <w:spacing w:after="0"/>
              <w:rPr>
                <w:sz w:val="20"/>
                <w:szCs w:val="20"/>
                <w:color w:val="auto"/>
              </w:rPr>
            </w:pPr>
            <w:r>
              <w:rPr>
                <w:rFonts w:ascii="Arial" w:cs="Arial" w:eastAsia="Arial" w:hAnsi="Arial"/>
                <w:sz w:val="18"/>
                <w:szCs w:val="18"/>
                <w:b w:val="1"/>
                <w:bCs w:val="1"/>
                <w:color w:val="auto"/>
              </w:rPr>
              <w:t>Pro forma net loss per share (unaudited):</w:t>
            </w:r>
          </w:p>
        </w:tc>
        <w:tc>
          <w:tcPr>
            <w:tcW w:w="1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2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0"/>
        </w:trPr>
        <w:tc>
          <w:tcPr>
            <w:tcW w:w="8720" w:type="dxa"/>
            <w:vAlign w:val="bottom"/>
            <w:vMerge w:val="restart"/>
          </w:tcPr>
          <w:p>
            <w:pPr>
              <w:spacing w:after="0"/>
              <w:rPr>
                <w:sz w:val="20"/>
                <w:szCs w:val="20"/>
                <w:color w:val="auto"/>
              </w:rPr>
            </w:pPr>
            <w:r>
              <w:rPr>
                <w:rFonts w:ascii="Arial" w:cs="Arial" w:eastAsia="Arial" w:hAnsi="Arial"/>
                <w:sz w:val="18"/>
                <w:szCs w:val="18"/>
                <w:b w:val="1"/>
                <w:bCs w:val="1"/>
                <w:color w:val="auto"/>
              </w:rPr>
              <w:t>Weighted-average shares used in calculating pro forma net loss per share (unaudited):</w:t>
            </w:r>
          </w:p>
        </w:tc>
        <w:tc>
          <w:tcPr>
            <w:tcW w:w="1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2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133,845</w:t>
            </w:r>
          </w:p>
        </w:tc>
        <w:tc>
          <w:tcPr>
            <w:tcW w:w="0" w:type="dxa"/>
            <w:vAlign w:val="bottom"/>
          </w:tcPr>
          <w:p>
            <w:pPr>
              <w:spacing w:after="0"/>
              <w:rPr>
                <w:sz w:val="1"/>
                <w:szCs w:val="1"/>
                <w:color w:val="auto"/>
              </w:rPr>
            </w:pPr>
          </w:p>
        </w:tc>
      </w:tr>
      <w:tr>
        <w:trPr>
          <w:trHeight w:val="20"/>
        </w:trPr>
        <w:tc>
          <w:tcPr>
            <w:tcW w:w="8720" w:type="dxa"/>
            <w:vAlign w:val="bottom"/>
            <w:vMerge w:val="restart"/>
          </w:tcPr>
          <w:p>
            <w:pPr>
              <w:jc w:val="center"/>
              <w:ind w:left="2430"/>
              <w:spacing w:after="0"/>
              <w:rPr>
                <w:sz w:val="20"/>
                <w:szCs w:val="20"/>
                <w:color w:val="auto"/>
              </w:rPr>
            </w:pPr>
            <w:r>
              <w:rPr>
                <w:rFonts w:ascii="Arial" w:cs="Arial" w:eastAsia="Arial" w:hAnsi="Arial"/>
                <w:sz w:val="18"/>
                <w:szCs w:val="18"/>
                <w:color w:val="auto"/>
                <w:w w:val="88"/>
              </w:rPr>
              <w:t>F-4</w:t>
            </w:r>
          </w:p>
        </w:tc>
        <w:tc>
          <w:tcPr>
            <w:tcW w:w="1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72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ASANA,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468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January 31, 2019</w:t>
            </w:r>
          </w:p>
        </w:tc>
      </w:tr>
      <w:tr>
        <w:trPr>
          <w:trHeight w:val="209"/>
        </w:trPr>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5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(50,928)</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Other comprehensive gain (loss):</w:t>
            </w:r>
          </w:p>
        </w:tc>
        <w:tc>
          <w:tcPr>
            <w:tcW w:w="5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unrealized gain on marketable securities</w:t>
            </w:r>
          </w:p>
        </w:tc>
        <w:tc>
          <w:tcPr>
            <w:tcW w:w="5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r>
      <w:tr>
        <w:trPr>
          <w:trHeight w:val="216"/>
        </w:trPr>
        <w:tc>
          <w:tcPr>
            <w:tcW w:w="4680" w:type="dxa"/>
            <w:vAlign w:val="bottom"/>
          </w:tcPr>
          <w:p>
            <w:pPr>
              <w:ind w:left="180"/>
              <w:spacing w:after="0"/>
              <w:rPr>
                <w:sz w:val="20"/>
                <w:szCs w:val="20"/>
                <w:color w:val="auto"/>
              </w:rPr>
            </w:pPr>
            <w:r>
              <w:rPr>
                <w:rFonts w:ascii="Arial" w:cs="Arial" w:eastAsia="Arial" w:hAnsi="Arial"/>
                <w:sz w:val="18"/>
                <w:szCs w:val="18"/>
                <w:color w:val="auto"/>
              </w:rPr>
              <w:t>Change in foreign currency translation adjustments</w:t>
            </w:r>
          </w:p>
        </w:tc>
        <w:tc>
          <w:tcPr>
            <w:tcW w:w="5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r>
      <w:tr>
        <w:trPr>
          <w:trHeight w:val="27"/>
        </w:trPr>
        <w:tc>
          <w:tcPr>
            <w:tcW w:w="4680" w:type="dxa"/>
            <w:vAlign w:val="bottom"/>
          </w:tcPr>
          <w:p>
            <w:pPr>
              <w:spacing w:after="0"/>
              <w:rPr>
                <w:sz w:val="2"/>
                <w:szCs w:val="2"/>
                <w:color w:val="auto"/>
              </w:rPr>
            </w:pPr>
          </w:p>
        </w:tc>
        <w:tc>
          <w:tcPr>
            <w:tcW w:w="5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5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(50,923)</w:t>
            </w:r>
          </w:p>
        </w:tc>
      </w:tr>
      <w:tr>
        <w:trPr>
          <w:trHeight w:val="20"/>
        </w:trPr>
        <w:tc>
          <w:tcPr>
            <w:tcW w:w="468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58"/>
        </w:trPr>
        <w:tc>
          <w:tcPr>
            <w:tcW w:w="4680" w:type="dxa"/>
            <w:vAlign w:val="bottom"/>
          </w:tcPr>
          <w:p>
            <w:pPr>
              <w:spacing w:after="0"/>
              <w:rPr>
                <w:sz w:val="24"/>
                <w:szCs w:val="24"/>
                <w:color w:val="auto"/>
              </w:rPr>
            </w:pPr>
          </w:p>
        </w:tc>
        <w:tc>
          <w:tcPr>
            <w:tcW w:w="5280" w:type="dxa"/>
            <w:vAlign w:val="bottom"/>
            <w:gridSpan w:val="2"/>
          </w:tcPr>
          <w:p>
            <w:pPr>
              <w:jc w:val="right"/>
              <w:ind w:right="4147"/>
              <w:spacing w:after="0"/>
              <w:rPr>
                <w:sz w:val="20"/>
                <w:szCs w:val="20"/>
                <w:color w:val="auto"/>
              </w:rPr>
            </w:pPr>
            <w:r>
              <w:rPr>
                <w:rFonts w:ascii="Arial" w:cs="Arial" w:eastAsia="Arial" w:hAnsi="Arial"/>
                <w:sz w:val="18"/>
                <w:szCs w:val="18"/>
                <w:color w:val="auto"/>
              </w:rPr>
              <w:t>F-5</w:t>
            </w: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ASANA,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REDEEMABLE CONVERTIBLE PREFERRED STOCK AND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35"/>
        </w:trPr>
        <w:tc>
          <w:tcPr>
            <w:tcW w:w="3740" w:type="dxa"/>
            <w:vAlign w:val="bottom"/>
          </w:tcPr>
          <w:p>
            <w:pPr>
              <w:spacing w:after="0"/>
              <w:rPr>
                <w:sz w:val="3"/>
                <w:szCs w:val="3"/>
                <w:color w:val="auto"/>
              </w:rPr>
            </w:pPr>
          </w:p>
        </w:tc>
        <w:tc>
          <w:tcPr>
            <w:tcW w:w="1740" w:type="dxa"/>
            <w:vAlign w:val="bottom"/>
            <w:gridSpan w:val="6"/>
            <w:vMerge w:val="restart"/>
          </w:tcPr>
          <w:p>
            <w:pPr>
              <w:jc w:val="right"/>
              <w:ind w:right="120"/>
              <w:spacing w:after="0"/>
              <w:rPr>
                <w:sz w:val="20"/>
                <w:szCs w:val="20"/>
                <w:color w:val="auto"/>
              </w:rPr>
            </w:pPr>
            <w:r>
              <w:rPr>
                <w:rFonts w:ascii="Arial" w:cs="Arial" w:eastAsia="Arial" w:hAnsi="Arial"/>
                <w:sz w:val="14"/>
                <w:szCs w:val="14"/>
                <w:b w:val="1"/>
                <w:bCs w:val="1"/>
                <w:color w:val="auto"/>
                <w:w w:val="97"/>
              </w:rPr>
              <w:t>Redeemable Convertible</w:t>
            </w: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1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3740" w:type="dxa"/>
            <w:vAlign w:val="bottom"/>
          </w:tcPr>
          <w:p>
            <w:pPr>
              <w:spacing w:after="0"/>
              <w:rPr>
                <w:sz w:val="10"/>
                <w:szCs w:val="10"/>
                <w:color w:val="auto"/>
              </w:rPr>
            </w:pPr>
          </w:p>
        </w:tc>
        <w:tc>
          <w:tcPr>
            <w:tcW w:w="1740" w:type="dxa"/>
            <w:vAlign w:val="bottom"/>
            <w:gridSpan w:val="6"/>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740" w:type="dxa"/>
            <w:vAlign w:val="bottom"/>
          </w:tcPr>
          <w:p>
            <w:pPr>
              <w:spacing w:after="0"/>
              <w:rPr>
                <w:sz w:val="7"/>
                <w:szCs w:val="7"/>
                <w:color w:val="auto"/>
              </w:rPr>
            </w:pPr>
          </w:p>
        </w:tc>
        <w:tc>
          <w:tcPr>
            <w:tcW w:w="1740" w:type="dxa"/>
            <w:vAlign w:val="bottom"/>
            <w:gridSpan w:val="6"/>
            <w:vMerge w:val="continue"/>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gridSpan w:val="2"/>
            <w:vMerge w:val="restart"/>
          </w:tcPr>
          <w:p>
            <w:pPr>
              <w:jc w:val="center"/>
              <w:ind w:right="400"/>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gridSpan w:val="2"/>
            <w:vMerge w:val="restart"/>
          </w:tcPr>
          <w:p>
            <w:pPr>
              <w:jc w:val="right"/>
              <w:ind w:right="301"/>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8"/>
        </w:trPr>
        <w:tc>
          <w:tcPr>
            <w:tcW w:w="3740" w:type="dxa"/>
            <w:vAlign w:val="bottom"/>
          </w:tcPr>
          <w:p>
            <w:pPr>
              <w:spacing w:after="0"/>
              <w:rPr>
                <w:sz w:val="5"/>
                <w:szCs w:val="5"/>
                <w:color w:val="auto"/>
              </w:rPr>
            </w:pPr>
          </w:p>
        </w:tc>
        <w:tc>
          <w:tcPr>
            <w:tcW w:w="1720" w:type="dxa"/>
            <w:vAlign w:val="bottom"/>
            <w:gridSpan w:val="5"/>
            <w:vMerge w:val="restart"/>
          </w:tcPr>
          <w:p>
            <w:pPr>
              <w:jc w:val="right"/>
              <w:ind w:right="292"/>
              <w:spacing w:after="0"/>
              <w:rPr>
                <w:sz w:val="20"/>
                <w:szCs w:val="20"/>
                <w:color w:val="auto"/>
              </w:rPr>
            </w:pPr>
            <w:r>
              <w:rPr>
                <w:rFonts w:ascii="Arial" w:cs="Arial" w:eastAsia="Arial" w:hAnsi="Arial"/>
                <w:sz w:val="14"/>
                <w:szCs w:val="14"/>
                <w:b w:val="1"/>
                <w:bCs w:val="1"/>
                <w:color w:val="auto"/>
              </w:rPr>
              <w:t>Preferred Stock</w:t>
            </w:r>
          </w:p>
        </w:tc>
        <w:tc>
          <w:tcPr>
            <w:tcW w:w="20" w:type="dxa"/>
            <w:vAlign w:val="bottom"/>
            <w:vMerge w:val="restart"/>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4"/>
            <w:vMerge w:val="restart"/>
          </w:tcPr>
          <w:p>
            <w:pPr>
              <w:jc w:val="right"/>
              <w:ind w:right="70"/>
              <w:spacing w:after="0"/>
              <w:rPr>
                <w:sz w:val="20"/>
                <w:szCs w:val="20"/>
                <w:color w:val="auto"/>
              </w:rPr>
            </w:pPr>
            <w:r>
              <w:rPr>
                <w:rFonts w:ascii="Arial" w:cs="Arial" w:eastAsia="Arial" w:hAnsi="Arial"/>
                <w:sz w:val="14"/>
                <w:szCs w:val="14"/>
                <w:b w:val="1"/>
                <w:bCs w:val="1"/>
                <w:color w:val="auto"/>
              </w:rPr>
              <w:t>Common Stock</w:t>
            </w:r>
          </w:p>
        </w:tc>
        <w:tc>
          <w:tcPr>
            <w:tcW w:w="80" w:type="dxa"/>
            <w:vAlign w:val="bottom"/>
            <w:vMerge w:val="restart"/>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3740" w:type="dxa"/>
            <w:vAlign w:val="bottom"/>
          </w:tcPr>
          <w:p>
            <w:pPr>
              <w:spacing w:after="0"/>
              <w:rPr>
                <w:sz w:val="9"/>
                <w:szCs w:val="9"/>
                <w:color w:val="auto"/>
              </w:rPr>
            </w:pPr>
          </w:p>
        </w:tc>
        <w:tc>
          <w:tcPr>
            <w:tcW w:w="1720" w:type="dxa"/>
            <w:vAlign w:val="bottom"/>
            <w:tcBorders>
              <w:bottom w:val="single" w:sz="8" w:color="auto"/>
            </w:tcBorders>
            <w:gridSpan w:val="5"/>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9"/>
                <w:szCs w:val="9"/>
                <w:color w:val="auto"/>
              </w:rPr>
            </w:pPr>
          </w:p>
        </w:tc>
        <w:tc>
          <w:tcPr>
            <w:tcW w:w="1180" w:type="dxa"/>
            <w:vAlign w:val="bottom"/>
            <w:gridSpan w:val="3"/>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98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9"/>
                <w:szCs w:val="9"/>
                <w:color w:val="auto"/>
              </w:rPr>
            </w:pPr>
          </w:p>
        </w:tc>
        <w:tc>
          <w:tcPr>
            <w:tcW w:w="9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5"/>
        </w:trPr>
        <w:tc>
          <w:tcPr>
            <w:tcW w:w="3740" w:type="dxa"/>
            <w:vAlign w:val="bottom"/>
          </w:tcPr>
          <w:p>
            <w:pPr>
              <w:spacing w:after="0"/>
              <w:rPr>
                <w:sz w:val="2"/>
                <w:szCs w:val="2"/>
                <w:color w:val="auto"/>
              </w:rPr>
            </w:pPr>
          </w:p>
        </w:tc>
        <w:tc>
          <w:tcPr>
            <w:tcW w:w="8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8"/>
              </w:rPr>
              <w:t>Amount</w:t>
            </w:r>
          </w:p>
        </w:tc>
        <w:tc>
          <w:tcPr>
            <w:tcW w:w="2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8"/>
              </w:rPr>
              <w:t>Shares</w:t>
            </w:r>
          </w:p>
        </w:tc>
        <w:tc>
          <w:tcPr>
            <w:tcW w:w="58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98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37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8"/>
              </w:rPr>
              <w:t>Paid-In</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4"/>
                <w:szCs w:val="14"/>
                <w:color w:val="auto"/>
              </w:rPr>
            </w:pPr>
          </w:p>
        </w:tc>
        <w:tc>
          <w:tcPr>
            <w:tcW w:w="840" w:type="dxa"/>
            <w:vAlign w:val="bottom"/>
            <w:gridSpan w:val="2"/>
          </w:tcPr>
          <w:p>
            <w:pPr>
              <w:jc w:val="right"/>
              <w:ind w:right="281"/>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41"/>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209"/>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Balances at February 1, 2018</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67,317</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199,364</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63,660</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18,101</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(160,219)</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(142,202)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40" w:type="dxa"/>
            <w:vAlign w:val="bottom"/>
          </w:tcPr>
          <w:p>
            <w:pPr>
              <w:ind w:left="180"/>
              <w:spacing w:after="0" w:line="201" w:lineRule="exact"/>
              <w:rPr>
                <w:sz w:val="20"/>
                <w:szCs w:val="20"/>
                <w:color w:val="auto"/>
              </w:rPr>
            </w:pPr>
            <w:r>
              <w:rPr>
                <w:rFonts w:ascii="Arial" w:cs="Arial" w:eastAsia="Arial" w:hAnsi="Arial"/>
                <w:sz w:val="18"/>
                <w:szCs w:val="18"/>
                <w:color w:val="auto"/>
                <w:w w:val="99"/>
              </w:rPr>
              <w:t>Issuance of Series E redeemable convertible</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360"/>
              <w:spacing w:after="0"/>
              <w:rPr>
                <w:sz w:val="20"/>
                <w:szCs w:val="20"/>
                <w:color w:val="auto"/>
              </w:rPr>
            </w:pPr>
            <w:r>
              <w:rPr>
                <w:rFonts w:ascii="Arial" w:cs="Arial" w:eastAsia="Arial" w:hAnsi="Arial"/>
                <w:sz w:val="18"/>
                <w:szCs w:val="18"/>
                <w:color w:val="auto"/>
              </w:rPr>
              <w:t>preferred stock, net of issuance costs</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6,230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51,006</w:t>
            </w:r>
          </w:p>
        </w:tc>
        <w:tc>
          <w:tcPr>
            <w:tcW w:w="2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7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3"/>
              </w:rPr>
              <w:t>Issuance of common stock upon the exercise of</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options</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auto"/>
            </w:tcBorders>
            <w:shd w:val="clear" w:color="auto" w:fill="CCEEFF"/>
          </w:tcPr>
          <w:p>
            <w:pPr>
              <w:spacing w:after="0"/>
              <w:rPr>
                <w:sz w:val="20"/>
                <w:szCs w:val="20"/>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4,607</w:t>
            </w:r>
          </w:p>
        </w:tc>
        <w:tc>
          <w:tcPr>
            <w:tcW w:w="20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2,930</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2,930</w:t>
            </w:r>
          </w:p>
        </w:tc>
        <w:tc>
          <w:tcPr>
            <w:tcW w:w="0" w:type="dxa"/>
            <w:vAlign w:val="bottom"/>
          </w:tcPr>
          <w:p>
            <w:pPr>
              <w:spacing w:after="0"/>
              <w:rPr>
                <w:sz w:val="1"/>
                <w:szCs w:val="1"/>
                <w:color w:val="auto"/>
              </w:rPr>
            </w:pPr>
          </w:p>
        </w:tc>
      </w:tr>
      <w:tr>
        <w:trPr>
          <w:trHeight w:val="216"/>
        </w:trPr>
        <w:tc>
          <w:tcPr>
            <w:tcW w:w="3740" w:type="dxa"/>
            <w:vAlign w:val="bottom"/>
          </w:tcPr>
          <w:p>
            <w:pPr>
              <w:ind w:left="180"/>
              <w:spacing w:after="0"/>
              <w:rPr>
                <w:sz w:val="20"/>
                <w:szCs w:val="20"/>
                <w:color w:val="auto"/>
              </w:rPr>
            </w:pPr>
            <w:r>
              <w:rPr>
                <w:rFonts w:ascii="Arial" w:cs="Arial" w:eastAsia="Arial" w:hAnsi="Arial"/>
                <w:sz w:val="18"/>
                <w:szCs w:val="18"/>
                <w:color w:val="auto"/>
              </w:rPr>
              <w:t>Vesting of early exercised stock options</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613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1"/>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Repurchases of common stock</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auto"/>
            </w:tcBorders>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374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8,585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1"/>
              <w:spacing w:after="0"/>
              <w:rPr>
                <w:sz w:val="20"/>
                <w:szCs w:val="20"/>
                <w:color w:val="auto"/>
              </w:rPr>
            </w:pPr>
            <w:r>
              <w:rPr>
                <w:rFonts w:ascii="Arial" w:cs="Arial" w:eastAsia="Arial" w:hAnsi="Arial"/>
                <w:sz w:val="18"/>
                <w:szCs w:val="18"/>
                <w:color w:val="auto"/>
              </w:rPr>
              <w:t>8,585</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Net unrealized gain on marketable securities</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374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8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(50,928)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(50,928)</w:t>
            </w:r>
          </w:p>
        </w:tc>
        <w:tc>
          <w:tcPr>
            <w:tcW w:w="0" w:type="dxa"/>
            <w:vAlign w:val="bottom"/>
          </w:tcPr>
          <w:p>
            <w:pPr>
              <w:spacing w:after="0"/>
              <w:rPr>
                <w:sz w:val="1"/>
                <w:szCs w:val="1"/>
                <w:color w:val="auto"/>
              </w:rPr>
            </w:pPr>
          </w:p>
        </w:tc>
      </w:tr>
      <w:tr>
        <w:trPr>
          <w:trHeight w:val="223"/>
        </w:trPr>
        <w:tc>
          <w:tcPr>
            <w:tcW w:w="3740" w:type="dxa"/>
            <w:vAlign w:val="bottom"/>
          </w:tcPr>
          <w:p>
            <w:pPr>
              <w:spacing w:after="0"/>
              <w:rPr>
                <w:sz w:val="20"/>
                <w:szCs w:val="20"/>
                <w:color w:val="auto"/>
              </w:rPr>
            </w:pPr>
            <w:r>
              <w:rPr>
                <w:rFonts w:ascii="Arial" w:cs="Arial" w:eastAsia="Arial" w:hAnsi="Arial"/>
                <w:sz w:val="18"/>
                <w:szCs w:val="18"/>
                <w:b w:val="1"/>
                <w:bCs w:val="1"/>
                <w:color w:val="auto"/>
              </w:rPr>
              <w:t>Balances at January 31, 2019</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73,547</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250,370</w:t>
            </w:r>
          </w:p>
        </w:tc>
        <w:tc>
          <w:tcPr>
            <w:tcW w:w="2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68,256</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30,215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(211,147</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(181,011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gridSpan w:val="4"/>
          </w:tcPr>
          <w:p>
            <w:pPr>
              <w:jc w:val="right"/>
              <w:ind w:right="780"/>
              <w:spacing w:after="0"/>
              <w:rPr>
                <w:sz w:val="20"/>
                <w:szCs w:val="20"/>
                <w:color w:val="auto"/>
              </w:rPr>
            </w:pPr>
            <w:r>
              <w:rPr>
                <w:rFonts w:ascii="Arial" w:cs="Arial" w:eastAsia="Arial" w:hAnsi="Arial"/>
                <w:sz w:val="18"/>
                <w:szCs w:val="18"/>
                <w:color w:val="auto"/>
                <w:w w:val="88"/>
              </w:rPr>
              <w:t>F-6</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1962"/>
        <w:spacing w:after="0"/>
        <w:rPr>
          <w:sz w:val="20"/>
          <w:szCs w:val="20"/>
          <w:color w:val="auto"/>
        </w:rPr>
      </w:pPr>
      <w:r>
        <w:rPr>
          <w:rFonts w:ascii="Arial" w:cs="Arial" w:eastAsia="Arial" w:hAnsi="Arial"/>
          <w:sz w:val="18"/>
          <w:szCs w:val="18"/>
          <w:b w:val="1"/>
          <w:bCs w:val="1"/>
          <w:color w:val="auto"/>
        </w:rPr>
        <w:t>ASANA, INC.</w:t>
      </w:r>
    </w:p>
    <w:p>
      <w:pPr>
        <w:spacing w:after="0" w:line="27" w:lineRule="exact"/>
        <w:rPr>
          <w:sz w:val="20"/>
          <w:szCs w:val="20"/>
          <w:color w:val="auto"/>
        </w:rPr>
      </w:pPr>
    </w:p>
    <w:p>
      <w:pPr>
        <w:jc w:val="center"/>
        <w:ind w:left="1962"/>
        <w:spacing w:after="0"/>
        <w:rPr>
          <w:sz w:val="20"/>
          <w:szCs w:val="20"/>
          <w:color w:val="auto"/>
        </w:rPr>
      </w:pPr>
      <w:r>
        <w:rPr>
          <w:rFonts w:ascii="Arial" w:cs="Arial" w:eastAsia="Arial" w:hAnsi="Arial"/>
          <w:sz w:val="17"/>
          <w:szCs w:val="17"/>
          <w:b w:val="1"/>
          <w:bCs w:val="1"/>
          <w:color w:val="auto"/>
        </w:rPr>
        <w:t>CONSOLIDATED STATEMENT OF CASH FLOWS</w:t>
      </w:r>
    </w:p>
    <w:p>
      <w:pPr>
        <w:spacing w:after="0" w:line="21" w:lineRule="exact"/>
        <w:rPr>
          <w:sz w:val="20"/>
          <w:szCs w:val="20"/>
          <w:color w:val="auto"/>
        </w:rPr>
      </w:pPr>
    </w:p>
    <w:p>
      <w:pPr>
        <w:jc w:val="center"/>
        <w:ind w:left="1962"/>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Adjustments to reconcile net loss to net cash used in operating activities: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Allowance for doubtful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Depreciation and amortization</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Amortization of deferred contract acquisition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Stock-based compensation expense</w:t>
      </w:r>
    </w:p>
    <w:p>
      <w:pPr>
        <w:spacing w:after="0" w:line="9" w:lineRule="exact"/>
        <w:rPr>
          <w:sz w:val="20"/>
          <w:szCs w:val="20"/>
          <w:color w:val="auto"/>
        </w:rPr>
      </w:pPr>
    </w:p>
    <w:p>
      <w:pPr>
        <w:ind w:left="360" w:right="3198"/>
        <w:spacing w:after="0" w:line="281" w:lineRule="auto"/>
        <w:rPr>
          <w:sz w:val="20"/>
          <w:szCs w:val="20"/>
          <w:color w:val="auto"/>
        </w:rPr>
      </w:pPr>
      <w:r>
        <w:rPr>
          <w:rFonts w:ascii="Arial" w:cs="Arial" w:eastAsia="Arial" w:hAnsi="Arial"/>
          <w:sz w:val="16"/>
          <w:szCs w:val="16"/>
          <w:color w:val="auto"/>
        </w:rPr>
        <w:t>Net amortization (accretion) of premium (discount) on marketable securities Change in fair value of redeemable convertible preferred stock warrant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1371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Accounts receivable</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Other assets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Accrued expenses and other current liabilities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Other liabilities</w:t>
      </w:r>
    </w:p>
    <w:p>
      <w:pPr>
        <w:spacing w:after="0" w:line="2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cash used in operating activities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Purchases of 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Maturities of marketable securities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Purchases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Capitalized internal-use software</w:t>
      </w:r>
    </w:p>
    <w:p>
      <w:pPr>
        <w:spacing w:after="0" w:line="2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cash used in investing activities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Proceeds from issuance of redeemable convertible preferred stock, net of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Repurchases of common stock</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Proceeds from exercise of stock options</w:t>
      </w:r>
    </w:p>
    <w:p>
      <w:pPr>
        <w:spacing w:after="0" w:line="2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Effect of foreign exchange rates on cash and cash equivalents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Net decrease in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Beginning of year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End of year</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Reconciliation of cash, cash equivalents, and restricted cash to the consolidated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1371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Restricted cash</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cash, cash equivalents, and restricted cash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cash flow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Purchase of property and equipment in 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Vesting of early exercised stock options</w:t>
      </w:r>
    </w:p>
    <w:p>
      <w:pPr>
        <w:spacing w:after="0" w:line="14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8"/>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right="58"/>
        <w:spacing w:after="0"/>
        <w:rPr>
          <w:sz w:val="20"/>
          <w:szCs w:val="20"/>
          <w:color w:val="auto"/>
        </w:rPr>
      </w:pPr>
      <w:r>
        <w:rPr>
          <w:rFonts w:ascii="Arial" w:cs="Arial" w:eastAsia="Arial" w:hAnsi="Arial"/>
          <w:sz w:val="13"/>
          <w:szCs w:val="13"/>
          <w:b w:val="1"/>
          <w:bCs w:val="1"/>
          <w:u w:val="single" w:color="auto"/>
          <w:color w:val="auto"/>
        </w:rPr>
        <w:t>January 31, 2019</w:t>
      </w:r>
    </w:p>
    <w:p>
      <w:pPr>
        <w:spacing w:after="0" w:line="207" w:lineRule="exact"/>
        <w:rPr>
          <w:sz w:val="20"/>
          <w:szCs w:val="20"/>
          <w:color w:val="auto"/>
        </w:rPr>
      </w:pPr>
    </w:p>
    <w:p>
      <w:pPr>
        <w:ind w:left="562" w:hanging="562"/>
        <w:spacing w:after="0"/>
        <w:tabs>
          <w:tab w:leader="none" w:pos="562" w:val="left"/>
        </w:tabs>
        <w:numPr>
          <w:ilvl w:val="0"/>
          <w:numId w:val="92"/>
        </w:numPr>
        <w:rPr>
          <w:rFonts w:ascii="Arial" w:cs="Arial" w:eastAsia="Arial" w:hAnsi="Arial"/>
          <w:sz w:val="16"/>
          <w:szCs w:val="16"/>
          <w:color w:val="auto"/>
        </w:rPr>
      </w:pPr>
      <w:r>
        <w:rPr>
          <w:rFonts w:ascii="Arial" w:cs="Arial" w:eastAsia="Arial" w:hAnsi="Arial"/>
          <w:sz w:val="16"/>
          <w:szCs w:val="16"/>
          <w:color w:val="auto"/>
        </w:rPr>
        <w:t>(50,928)</w:t>
      </w:r>
    </w:p>
    <w:p>
      <w:pPr>
        <w:spacing w:after="0" w:line="248"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95</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4,231</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322</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8,547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(820)</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35</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(3,427)</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(4,534)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(3,690)</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362</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4,023</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15,089</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120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12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(103,205)</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61,950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(2,850)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12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(44,662)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12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232"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51,006</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4,301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120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55,293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120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6"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120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(19,545)</w:t>
      </w:r>
    </w:p>
    <w:p>
      <w:pPr>
        <w:spacing w:after="0" w:line="225" w:lineRule="exact"/>
        <w:rPr>
          <w:sz w:val="20"/>
          <w:szCs w:val="20"/>
          <w:color w:val="auto"/>
        </w:rPr>
      </w:pPr>
    </w:p>
    <w:p>
      <w:pPr>
        <w:ind w:left="622"/>
        <w:spacing w:after="0"/>
        <w:rPr>
          <w:sz w:val="20"/>
          <w:szCs w:val="20"/>
          <w:color w:val="auto"/>
        </w:rPr>
      </w:pPr>
      <w:r>
        <w:rPr>
          <w:rFonts w:ascii="Arial" w:cs="Arial" w:eastAsia="Arial" w:hAnsi="Arial"/>
          <w:sz w:val="18"/>
          <w:szCs w:val="18"/>
          <w:color w:val="auto"/>
        </w:rPr>
        <w:t>46,125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120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6" w:lineRule="exact"/>
        <w:rPr>
          <w:sz w:val="20"/>
          <w:szCs w:val="20"/>
          <w:color w:val="auto"/>
        </w:rPr>
      </w:pPr>
    </w:p>
    <w:p>
      <w:pPr>
        <w:ind w:left="622" w:hanging="622"/>
        <w:spacing w:after="0"/>
        <w:tabs>
          <w:tab w:leader="none" w:pos="622" w:val="left"/>
        </w:tabs>
        <w:numPr>
          <w:ilvl w:val="0"/>
          <w:numId w:val="93"/>
        </w:numPr>
        <w:rPr>
          <w:rFonts w:ascii="Arial" w:cs="Arial" w:eastAsia="Arial" w:hAnsi="Arial"/>
          <w:sz w:val="18"/>
          <w:szCs w:val="18"/>
          <w:color w:val="auto"/>
        </w:rPr>
      </w:pPr>
      <w:r>
        <w:rPr>
          <w:rFonts w:ascii="Arial" w:cs="Arial" w:eastAsia="Arial" w:hAnsi="Arial"/>
          <w:sz w:val="18"/>
          <w:szCs w:val="18"/>
          <w:color w:val="auto"/>
        </w:rPr>
        <w:t>26,580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120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71120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59" w:lineRule="exact"/>
        <w:rPr>
          <w:sz w:val="20"/>
          <w:szCs w:val="20"/>
          <w:color w:val="auto"/>
        </w:rPr>
      </w:pPr>
    </w:p>
    <w:p>
      <w:pPr>
        <w:ind w:left="622" w:hanging="622"/>
        <w:spacing w:after="0"/>
        <w:tabs>
          <w:tab w:leader="none" w:pos="622" w:val="left"/>
        </w:tabs>
        <w:numPr>
          <w:ilvl w:val="0"/>
          <w:numId w:val="94"/>
        </w:numPr>
        <w:rPr>
          <w:rFonts w:ascii="Arial" w:cs="Arial" w:eastAsia="Arial" w:hAnsi="Arial"/>
          <w:sz w:val="18"/>
          <w:szCs w:val="18"/>
          <w:color w:val="auto"/>
        </w:rPr>
      </w:pPr>
      <w:r>
        <w:rPr>
          <w:rFonts w:ascii="Arial" w:cs="Arial" w:eastAsia="Arial" w:hAnsi="Arial"/>
          <w:sz w:val="18"/>
          <w:szCs w:val="18"/>
          <w:color w:val="auto"/>
        </w:rPr>
        <w:t>23,778</w:t>
      </w:r>
    </w:p>
    <w:p>
      <w:pPr>
        <w:spacing w:after="0" w:line="23" w:lineRule="exact"/>
        <w:rPr>
          <w:rFonts w:ascii="Arial" w:cs="Arial" w:eastAsia="Arial" w:hAnsi="Arial"/>
          <w:sz w:val="18"/>
          <w:szCs w:val="18"/>
          <w:color w:val="auto"/>
        </w:rPr>
      </w:pPr>
    </w:p>
    <w:p>
      <w:pPr>
        <w:ind w:left="722"/>
        <w:spacing w:after="0"/>
        <w:rPr>
          <w:rFonts w:ascii="Arial" w:cs="Arial" w:eastAsia="Arial" w:hAnsi="Arial"/>
          <w:sz w:val="18"/>
          <w:szCs w:val="18"/>
          <w:color w:val="auto"/>
        </w:rPr>
      </w:pPr>
      <w:r>
        <w:rPr>
          <w:rFonts w:ascii="Arial" w:cs="Arial" w:eastAsia="Arial" w:hAnsi="Arial"/>
          <w:sz w:val="18"/>
          <w:szCs w:val="18"/>
          <w:color w:val="auto"/>
        </w:rPr>
        <w:t>2,802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120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 w:lineRule="exact"/>
        <w:rPr>
          <w:sz w:val="20"/>
          <w:szCs w:val="20"/>
          <w:color w:val="auto"/>
        </w:rPr>
      </w:pPr>
    </w:p>
    <w:p>
      <w:pPr>
        <w:ind w:left="622" w:hanging="622"/>
        <w:spacing w:after="0"/>
        <w:tabs>
          <w:tab w:leader="none" w:pos="622" w:val="left"/>
        </w:tabs>
        <w:numPr>
          <w:ilvl w:val="0"/>
          <w:numId w:val="95"/>
        </w:numPr>
        <w:rPr>
          <w:rFonts w:ascii="Arial" w:cs="Arial" w:eastAsia="Arial" w:hAnsi="Arial"/>
          <w:sz w:val="18"/>
          <w:szCs w:val="18"/>
          <w:color w:val="auto"/>
        </w:rPr>
      </w:pPr>
      <w:r>
        <w:rPr>
          <w:rFonts w:ascii="Arial" w:cs="Arial" w:eastAsia="Arial" w:hAnsi="Arial"/>
          <w:sz w:val="18"/>
          <w:szCs w:val="18"/>
          <w:color w:val="auto"/>
        </w:rPr>
        <w:t>26,580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120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71120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59" w:lineRule="exact"/>
        <w:rPr>
          <w:sz w:val="20"/>
          <w:szCs w:val="20"/>
          <w:color w:val="auto"/>
        </w:rPr>
      </w:pPr>
    </w:p>
    <w:p>
      <w:pPr>
        <w:ind w:left="942" w:hanging="942"/>
        <w:spacing w:after="0"/>
        <w:tabs>
          <w:tab w:leader="none" w:pos="942" w:val="left"/>
        </w:tabs>
        <w:numPr>
          <w:ilvl w:val="0"/>
          <w:numId w:val="96"/>
        </w:numPr>
        <w:rPr>
          <w:rFonts w:ascii="Arial" w:cs="Arial" w:eastAsia="Arial" w:hAnsi="Arial"/>
          <w:sz w:val="18"/>
          <w:szCs w:val="18"/>
          <w:color w:val="auto"/>
        </w:rPr>
      </w:pPr>
      <w:r>
        <w:rPr>
          <w:rFonts w:ascii="Arial" w:cs="Arial" w:eastAsia="Arial" w:hAnsi="Arial"/>
          <w:sz w:val="18"/>
          <w:szCs w:val="18"/>
          <w:color w:val="auto"/>
        </w:rPr>
        <w:t>24</w:t>
      </w:r>
    </w:p>
    <w:p>
      <w:pPr>
        <w:spacing w:after="0" w:line="23" w:lineRule="exact"/>
        <w:rPr>
          <w:rFonts w:ascii="Arial" w:cs="Arial" w:eastAsia="Arial" w:hAnsi="Arial"/>
          <w:sz w:val="18"/>
          <w:szCs w:val="18"/>
          <w:color w:val="auto"/>
        </w:rPr>
      </w:pPr>
    </w:p>
    <w:p>
      <w:pPr>
        <w:ind w:left="842"/>
        <w:spacing w:after="0"/>
        <w:rPr>
          <w:rFonts w:ascii="Arial" w:cs="Arial" w:eastAsia="Arial" w:hAnsi="Arial"/>
          <w:sz w:val="18"/>
          <w:szCs w:val="18"/>
          <w:color w:val="auto"/>
        </w:rPr>
      </w:pPr>
      <w:r>
        <w:rPr>
          <w:rFonts w:ascii="Arial" w:cs="Arial" w:eastAsia="Arial" w:hAnsi="Arial"/>
          <w:sz w:val="18"/>
          <w:szCs w:val="18"/>
          <w:color w:val="auto"/>
        </w:rPr>
        <w:t>613</w:t>
      </w:r>
    </w:p>
    <w:p>
      <w:pPr>
        <w:sectPr>
          <w:pgSz w:w="11900" w:h="16838" w:orient="portrait"/>
          <w:cols w:equalWidth="0" w:num="2">
            <w:col w:w="9278" w:space="720"/>
            <w:col w:w="1182"/>
          </w:cols>
          <w:pgMar w:left="320" w:top="459" w:right="39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Organization and Description of Business</w:t>
      </w:r>
    </w:p>
    <w:p>
      <w:pPr>
        <w:spacing w:after="0" w:line="117" w:lineRule="exact"/>
        <w:rPr>
          <w:sz w:val="20"/>
          <w:szCs w:val="20"/>
          <w:color w:val="auto"/>
        </w:rPr>
      </w:pPr>
    </w:p>
    <w:p>
      <w:pPr>
        <w:ind w:right="220" w:firstLine="449"/>
        <w:spacing w:after="0" w:line="342" w:lineRule="auto"/>
        <w:rPr>
          <w:sz w:val="20"/>
          <w:szCs w:val="20"/>
          <w:color w:val="auto"/>
        </w:rPr>
      </w:pPr>
      <w:r>
        <w:rPr>
          <w:rFonts w:ascii="Arial" w:cs="Arial" w:eastAsia="Arial" w:hAnsi="Arial"/>
          <w:sz w:val="16"/>
          <w:szCs w:val="16"/>
          <w:color w:val="auto"/>
        </w:rPr>
        <w:t>Asana, Inc. (“Asana” or the “Company”) was incorporated in the state of Delaware on December 16, 2008. Asana is a work management platform that helps teams orchestrate work, from daily tasks to cross-functional strategic initiatives. The Company is headquartered in San Francisco, California.</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Summary of Significant Accounting Policies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The accompanying consolidated financial statements have been prepared in conformity with generally accepted accounting principles in the United States of America (“U.S. GAAP”) and include the accounts of the Company’s wholly-owned subsidiaries. All intercompany transactions and balances have been eliminated on consolidation.</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Fiscal Year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fiscal year ends on January 31. For example, references to fiscal 2019 refer to the fiscal year ended January 31, 2019.</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Unaudited Pro Forma Balance Sheet Information</w:t>
      </w:r>
    </w:p>
    <w:p>
      <w:pPr>
        <w:spacing w:after="0" w:line="117" w:lineRule="exact"/>
        <w:rPr>
          <w:sz w:val="20"/>
          <w:szCs w:val="20"/>
          <w:color w:val="auto"/>
        </w:rPr>
      </w:pPr>
    </w:p>
    <w:p>
      <w:pPr>
        <w:ind w:right="60" w:firstLine="449"/>
        <w:spacing w:after="0" w:line="255" w:lineRule="auto"/>
        <w:rPr>
          <w:sz w:val="20"/>
          <w:szCs w:val="20"/>
          <w:color w:val="auto"/>
        </w:rPr>
      </w:pPr>
      <w:r>
        <w:rPr>
          <w:rFonts w:ascii="Arial" w:cs="Arial" w:eastAsia="Arial" w:hAnsi="Arial"/>
          <w:sz w:val="18"/>
          <w:szCs w:val="18"/>
          <w:color w:val="auto"/>
        </w:rPr>
        <w:t>The accompanying unaudited pro forma consolidated balance sheet assumes all shares of the Company’s redeemable convertible preferred stock had automatically converted into 73,546,849 shares of common stock on a one-for-one basis as if such conversion had occurred on January 31, 2019. The Company’s redeemable convertible preferred stock warrants expire upon the earliest of the seven-year anniversary of their issuance, a liquidation transaction, or the closing of a firm commitment underwritten public offering of the Company’s common stock. As a result, the unaudited pro forma balance sheet assumes the expiration of the warrants and the resulting write-off of the redeemable convertible preferred stock warrant liability as of January 31, 2019.</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20" w:firstLine="449"/>
        <w:spacing w:after="0" w:line="257"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amounts reported and disclosed in the consolidated financial statements and accompanying notes. Estimates and assumptions reflected in the consolidated financial statements include, but are not limited to, the useful lives and carrying values of long-lived assets, fair value of common stock, stock-based compensation expense, period of benefit for deferred contract acquisition costs, and income taxes. Actual results could differ from those estimates.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60" w:firstLine="449"/>
        <w:spacing w:after="0" w:line="311" w:lineRule="auto"/>
        <w:rPr>
          <w:sz w:val="20"/>
          <w:szCs w:val="20"/>
          <w:color w:val="auto"/>
        </w:rPr>
      </w:pPr>
      <w:r>
        <w:rPr>
          <w:rFonts w:ascii="Arial" w:cs="Arial" w:eastAsia="Arial" w:hAnsi="Arial"/>
          <w:sz w:val="16"/>
          <w:szCs w:val="16"/>
          <w:color w:val="auto"/>
        </w:rPr>
        <w:t xml:space="preserve">The Company derives its revenues from monthly and annual subscription fees earned from customers accessing the platform. The Company’s policy is to exclude sales and other indirect taxes when measuring the transaction price of its subscription agreements. The Company accounts for revenue contracts with customers by applying the requirements of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includes the following steps:</w:t>
      </w:r>
    </w:p>
    <w:p>
      <w:pPr>
        <w:spacing w:after="0" w:line="54" w:lineRule="exact"/>
        <w:rPr>
          <w:sz w:val="20"/>
          <w:szCs w:val="20"/>
          <w:color w:val="auto"/>
        </w:rPr>
      </w:pPr>
    </w:p>
    <w:p>
      <w:pPr>
        <w:ind w:left="1000" w:hanging="547"/>
        <w:spacing w:after="0"/>
        <w:tabs>
          <w:tab w:leader="none" w:pos="10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Identification of the contract, or contracts, with the customer;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20"/>
          </w:cols>
          <w:pgMar w:left="320" w:top="459" w:right="3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Recognition of the revenues when, or as, the Company satisfies a performance obligation.</w:t>
      </w:r>
    </w:p>
    <w:p>
      <w:pPr>
        <w:spacing w:after="0" w:line="225"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The Company’s subscription agreements generally have monthly or annual contractual terms and are billed in advance. Revenues are recognized ratably over the related contractual term beginning on the date that the platform is made available to a customer. The Company recognizes revenues ratably because the customer receives and consumes the benefits of the platform throughout the contractual period. Access to the platform represents a series of distinct services that comprise a single performance obligation that is satisfied over time. The Company’s contracts are generally non-cancelable and do not provide for refunds to customers in the event of cancellations.</w:t>
      </w:r>
    </w:p>
    <w:p>
      <w:pPr>
        <w:spacing w:after="0" w:line="188" w:lineRule="exact"/>
        <w:rPr>
          <w:sz w:val="20"/>
          <w:szCs w:val="20"/>
          <w:color w:val="auto"/>
        </w:rPr>
      </w:pPr>
    </w:p>
    <w:p>
      <w:pPr>
        <w:ind w:right="460" w:firstLine="449"/>
        <w:spacing w:after="0" w:line="342" w:lineRule="auto"/>
        <w:rPr>
          <w:sz w:val="20"/>
          <w:szCs w:val="20"/>
          <w:color w:val="auto"/>
        </w:rPr>
      </w:pPr>
      <w:r>
        <w:rPr>
          <w:rFonts w:ascii="Arial" w:cs="Arial" w:eastAsia="Arial" w:hAnsi="Arial"/>
          <w:sz w:val="16"/>
          <w:szCs w:val="16"/>
          <w:color w:val="auto"/>
        </w:rPr>
        <w:t>A majority of the Company’s contracts give a right to bill for additional usage, which is deemed variable consideration. An estimate of variable consideration is included in the transaction price if it is probable that a significant reversal of cumulative revenue recognized will not occur.</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Future revenues related to performance obligations that are unsatisfied or partially unsatisfied at the end of the reporting period were</w:t>
      </w:r>
    </w:p>
    <w:p>
      <w:pPr>
        <w:spacing w:after="0" w:line="23" w:lineRule="exact"/>
        <w:rPr>
          <w:sz w:val="20"/>
          <w:szCs w:val="20"/>
          <w:color w:val="auto"/>
        </w:rPr>
      </w:pPr>
    </w:p>
    <w:p>
      <w:pPr>
        <w:ind w:right="420"/>
        <w:spacing w:after="0" w:line="260" w:lineRule="auto"/>
        <w:rPr>
          <w:sz w:val="20"/>
          <w:szCs w:val="20"/>
          <w:color w:val="auto"/>
        </w:rPr>
      </w:pPr>
      <w:r>
        <w:rPr>
          <w:rFonts w:ascii="Arial" w:cs="Arial" w:eastAsia="Arial" w:hAnsi="Arial"/>
          <w:sz w:val="18"/>
          <w:szCs w:val="18"/>
          <w:color w:val="auto"/>
        </w:rPr>
        <w:t>$31.9 million, presented as deferred revenue in the consolidated balance sheet as of January 31, 2019. The unsatisfied performance obligations will be satisfied over the next twelve months.</w:t>
      </w:r>
    </w:p>
    <w:p>
      <w:pPr>
        <w:spacing w:after="0" w:line="29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Deferred Contract Acquisition Costs</w:t>
      </w:r>
    </w:p>
    <w:p>
      <w:pPr>
        <w:spacing w:after="0" w:line="117" w:lineRule="exact"/>
        <w:rPr>
          <w:sz w:val="20"/>
          <w:szCs w:val="20"/>
          <w:color w:val="auto"/>
        </w:rPr>
      </w:pPr>
    </w:p>
    <w:p>
      <w:pPr>
        <w:ind w:right="220" w:firstLine="449"/>
        <w:spacing w:after="0" w:line="259" w:lineRule="auto"/>
        <w:rPr>
          <w:sz w:val="20"/>
          <w:szCs w:val="20"/>
          <w:color w:val="auto"/>
        </w:rPr>
      </w:pPr>
      <w:r>
        <w:rPr>
          <w:rFonts w:ascii="Arial" w:cs="Arial" w:eastAsia="Arial" w:hAnsi="Arial"/>
          <w:sz w:val="18"/>
          <w:szCs w:val="18"/>
          <w:color w:val="auto"/>
        </w:rPr>
        <w:t>Deferred contract acquisition costs represent gross deferred contract acquisition costs less accumulated amortization. Sales commissions earned by the Company’s sales force and bonuses earned by executives, as well as related payroll taxes, are considered to be incremental and recoverable costs of obtaining a contract with a customer. As a result, these amounts have been capitalized as deferred contract acquisition costs within prepaid and other current assets and other assets on the consolidated balance sheet.</w:t>
      </w:r>
    </w:p>
    <w:p>
      <w:pPr>
        <w:spacing w:after="0" w:line="187" w:lineRule="exact"/>
        <w:rPr>
          <w:sz w:val="20"/>
          <w:szCs w:val="20"/>
          <w:color w:val="auto"/>
        </w:rPr>
      </w:pPr>
    </w:p>
    <w:p>
      <w:pPr>
        <w:jc w:val="both"/>
        <w:ind w:right="100" w:firstLine="449"/>
        <w:spacing w:after="0" w:line="263" w:lineRule="auto"/>
        <w:rPr>
          <w:sz w:val="20"/>
          <w:szCs w:val="20"/>
          <w:color w:val="auto"/>
        </w:rPr>
      </w:pPr>
      <w:r>
        <w:rPr>
          <w:rFonts w:ascii="Arial" w:cs="Arial" w:eastAsia="Arial" w:hAnsi="Arial"/>
          <w:sz w:val="18"/>
          <w:szCs w:val="18"/>
          <w:color w:val="auto"/>
        </w:rPr>
        <w:t>Deferred contract acquisition costs are amortized over a period of benefit of three years. The period of benefit was estimated by considering factors such as historical customer attrition rates, the useful life of the Company’s technology, and the impact of competition in the software-as-a-service industry. As a result, these amounts have been capitalized as deferred contract acquisition costs.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activity of deferred contract acquisition costs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67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January 31, 2019</w:t>
            </w:r>
          </w:p>
        </w:tc>
      </w:tr>
      <w:tr>
        <w:trPr>
          <w:trHeight w:val="210"/>
        </w:trPr>
        <w:tc>
          <w:tcPr>
            <w:tcW w:w="6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Beginning balance</w:t>
            </w:r>
          </w:p>
        </w:tc>
        <w:tc>
          <w:tcPr>
            <w:tcW w:w="3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Capitalization of contract acquisition costs</w:t>
            </w:r>
          </w:p>
        </w:tc>
        <w:tc>
          <w:tcPr>
            <w:tcW w:w="3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2,394</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contract acquisition costs</w:t>
            </w:r>
          </w:p>
        </w:tc>
        <w:tc>
          <w:tcPr>
            <w:tcW w:w="3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(323)</w:t>
            </w:r>
          </w:p>
        </w:tc>
      </w:tr>
      <w:tr>
        <w:trPr>
          <w:trHeight w:val="223"/>
        </w:trPr>
        <w:tc>
          <w:tcPr>
            <w:tcW w:w="6780" w:type="dxa"/>
            <w:vAlign w:val="bottom"/>
          </w:tcPr>
          <w:p>
            <w:pPr>
              <w:spacing w:after="0"/>
              <w:rPr>
                <w:sz w:val="20"/>
                <w:szCs w:val="20"/>
                <w:color w:val="auto"/>
              </w:rPr>
            </w:pPr>
            <w:r>
              <w:rPr>
                <w:rFonts w:ascii="Arial" w:cs="Arial" w:eastAsia="Arial" w:hAnsi="Arial"/>
                <w:sz w:val="18"/>
                <w:szCs w:val="18"/>
                <w:b w:val="1"/>
                <w:bCs w:val="1"/>
                <w:color w:val="auto"/>
              </w:rPr>
              <w:t>Ending balance</w:t>
            </w:r>
          </w:p>
        </w:tc>
        <w:tc>
          <w:tcPr>
            <w:tcW w:w="3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2,071</w:t>
            </w:r>
          </w:p>
        </w:tc>
        <w:tc>
          <w:tcPr>
            <w:tcW w:w="14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Deferred contract acquisition costs, current</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797</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Deferred contract acquisition costs, noncurrent</w:t>
            </w:r>
          </w:p>
        </w:tc>
        <w:tc>
          <w:tcPr>
            <w:tcW w:w="3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1,274</w:t>
            </w:r>
          </w:p>
        </w:tc>
      </w:tr>
      <w:tr>
        <w:trPr>
          <w:trHeight w:val="27"/>
        </w:trPr>
        <w:tc>
          <w:tcPr>
            <w:tcW w:w="67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deferred contract acquisition costs</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2,071</w:t>
            </w:r>
          </w:p>
        </w:tc>
      </w:tr>
      <w:tr>
        <w:trPr>
          <w:trHeight w:val="20"/>
        </w:trPr>
        <w:tc>
          <w:tcPr>
            <w:tcW w:w="67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Research and development expenses consist primarily of personnel-related expenses such as salaries and related benefits for the Company’s product development employees. Also included are non-personnel costs such</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40"/>
          </w:cols>
          <w:pgMar w:left="320" w:top="459" w:right="3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as product design costs, third-party services and consulting expenses, depreciation expense related to equipment used in research and development activities, and allocation of the Company’s general overhead expenses.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Advertising Expenses</w:t>
      </w:r>
    </w:p>
    <w:p>
      <w:pPr>
        <w:spacing w:after="0" w:line="117"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Advertising expenses are charged to sales and marketing expense in the consolidated statement of operations as incurred. Advertising expenses were $19.9 million for the year ended January 31, 2019.</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The Company records stock-based compensation expense for all stock-based awards made to employees, non-employees, and directors based on estimated fair values recognized over the requisite service period. The fair value of options granted to employees for purposes of calculating stock-based compensation expense is estimated on the grant date using the Black-Scholes pricing model. The Black-Scholes pricing model requires the Company to make assumptions and judgments about the inputs used in the calculation, including the expected term (weighted-average period of time that the options granted are expected to be outstanding), the volatility of the Company’s common stock, risk-free interest rate, and expected dividend yield. The expected term represents the period that the Company’s stock- based awards are expected to be outstanding. The expected term assumptions are determined based on the vesting terms, exercise terms, and contractual lives of the options. The volatility is based on an average of the historical volatilities of the common stock of comparable public companies with characteristics similar to those of the Company. The risk-free rate is based on the U.S. Treasury yield curve in effect at the time of grant for periods corresponding with the expected life of the option. The Company’s expected dividend yield input is zero as it has not historically paid, nor does it expect in the future to pay, cash dividends on its common stock. Stock-based compensation expense is recognized as expense over the requisite service period, which is generally the vesting period of the respective award. The Company uses the straight-line method for expense attribution. The Company accounts for forfeitures as they occur.</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Foreign Currency Translation and Transactions</w:t>
      </w:r>
    </w:p>
    <w:p>
      <w:pPr>
        <w:spacing w:after="0" w:line="117"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The functional currency of each of the Company’s wholly owned subsidiaries is the applicable local currency or the U.S. dollar. The translation of foreign currencies into U.S. dollars is performed for assets and liabilities using current foreign currency exchange rates in effect at the balance sheet date and for revenues and expense accounts using average foreign currency exchange rates during the period. Capital accounts are translated at historical foreign currency exchange rates. Translation gains and losses are included in stockholders’ deficit as a component of accumulated other comprehensive income (loss). Adjustments that arise from foreign currency exchange rate changes on transactions denominated in a currency other than the functional currency are included in other income (expense), net on the consolidated statement of operations and were not material for the year ended January 31, 2019.</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right="440" w:firstLine="449"/>
        <w:spacing w:after="0" w:line="301" w:lineRule="auto"/>
        <w:rPr>
          <w:sz w:val="20"/>
          <w:szCs w:val="20"/>
          <w:color w:val="auto"/>
        </w:rPr>
      </w:pPr>
      <w:r>
        <w:rPr>
          <w:rFonts w:ascii="Arial" w:cs="Arial" w:eastAsia="Arial" w:hAnsi="Arial"/>
          <w:sz w:val="16"/>
          <w:szCs w:val="16"/>
          <w:color w:val="auto"/>
        </w:rPr>
        <w:t>The Company’s chief operating decision-maker is its Chief Executive Officer (“CEO”), who reviews financial information presented on a consolidated basis for purposes of making operating decisions, assessing financial performance, and allocating resources. The Company manages its operations and allocates resources as a single operating segment. Further, the Company manages, monitors, and reports its financial results as a single reportable segment. For information regarding the Company’s revenues and long-lived assets by geographic area, see Note 12.</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considers all highly liquid investments with original maturities at the date of purchase of three months or less to be cash equivalents.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are stated at cost, which approximates fair value.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20"/>
          </w:cols>
          <w:pgMar w:left="320" w:top="459" w:right="3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80" w:firstLine="449"/>
        <w:spacing w:after="0" w:line="308" w:lineRule="auto"/>
        <w:rPr>
          <w:sz w:val="20"/>
          <w:szCs w:val="20"/>
          <w:color w:val="auto"/>
        </w:rPr>
      </w:pPr>
      <w:r>
        <w:rPr>
          <w:rFonts w:ascii="Arial" w:cs="Arial" w:eastAsia="Arial" w:hAnsi="Arial"/>
          <w:sz w:val="17"/>
          <w:szCs w:val="17"/>
          <w:color w:val="auto"/>
        </w:rPr>
        <w:t>Under various facilities operating lease agreements, the Company is required to maintain a restricted cash deposit as collateral. The Company had $2.8 million of restricted cash for use as security deposits for standby letters of credit issued to landlords as of January 31, 2019.</w:t>
      </w:r>
    </w:p>
    <w:p>
      <w:pPr>
        <w:spacing w:after="0" w:line="146" w:lineRule="exact"/>
        <w:rPr>
          <w:sz w:val="20"/>
          <w:szCs w:val="20"/>
          <w:color w:val="auto"/>
        </w:rPr>
      </w:pPr>
    </w:p>
    <w:p>
      <w:pPr>
        <w:ind w:right="360" w:firstLine="449"/>
        <w:spacing w:after="0" w:line="263" w:lineRule="auto"/>
        <w:rPr>
          <w:sz w:val="20"/>
          <w:szCs w:val="20"/>
          <w:color w:val="auto"/>
        </w:rPr>
      </w:pPr>
      <w:r>
        <w:rPr>
          <w:rFonts w:ascii="Arial" w:cs="Arial" w:eastAsia="Arial" w:hAnsi="Arial"/>
          <w:sz w:val="18"/>
          <w:szCs w:val="18"/>
          <w:color w:val="auto"/>
        </w:rPr>
        <w:t>Cash, cash equivalents, and restricted cash as reported in the Company’s consolidated statement of cash flows includes the aggregate amounts of cash, cash equivalents, and restricted cash as shown on the consolidated balance sheet. Cash, cash equivalents, and restricted cash as reported in the Company’s consolidated statement of cash flows consist of the following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1"/>
              </w:rPr>
              <w:t>As of</w:t>
            </w:r>
          </w:p>
        </w:tc>
        <w:tc>
          <w:tcPr>
            <w:tcW w:w="26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As of</w:t>
            </w:r>
          </w:p>
        </w:tc>
      </w:tr>
      <w:tr>
        <w:trPr>
          <w:trHeight w:val="171"/>
        </w:trPr>
        <w:tc>
          <w:tcPr>
            <w:tcW w:w="57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5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5"/>
              </w:rPr>
              <w:t>February 1, 2018</w:t>
            </w:r>
          </w:p>
        </w:tc>
        <w:tc>
          <w:tcPr>
            <w:tcW w:w="12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January 31, 2019</w:t>
            </w:r>
          </w:p>
        </w:tc>
      </w:tr>
      <w:tr>
        <w:trPr>
          <w:trHeight w:val="210"/>
        </w:trPr>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6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44,659</w:t>
            </w:r>
          </w:p>
        </w:tc>
        <w:tc>
          <w:tcPr>
            <w:tcW w:w="3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23,778</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5740" w:type="dxa"/>
            <w:vAlign w:val="bottom"/>
          </w:tcPr>
          <w:p>
            <w:pPr>
              <w:spacing w:after="0"/>
              <w:rPr>
                <w:sz w:val="20"/>
                <w:szCs w:val="20"/>
                <w:color w:val="auto"/>
              </w:rPr>
            </w:pPr>
            <w:r>
              <w:rPr>
                <w:rFonts w:ascii="Arial" w:cs="Arial" w:eastAsia="Arial" w:hAnsi="Arial"/>
                <w:sz w:val="18"/>
                <w:szCs w:val="18"/>
                <w:color w:val="auto"/>
              </w:rPr>
              <w:t>Restricted cash</w:t>
            </w:r>
          </w:p>
        </w:tc>
        <w:tc>
          <w:tcPr>
            <w:tcW w:w="26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1,466</w:t>
            </w:r>
          </w:p>
        </w:tc>
        <w:tc>
          <w:tcPr>
            <w:tcW w:w="3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2,802</w:t>
            </w:r>
          </w:p>
        </w:tc>
        <w:tc>
          <w:tcPr>
            <w:tcW w:w="60" w:type="dxa"/>
            <w:vAlign w:val="bottom"/>
          </w:tcPr>
          <w:p>
            <w:pPr>
              <w:spacing w:after="0"/>
              <w:rPr>
                <w:sz w:val="19"/>
                <w:szCs w:val="19"/>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w:t>
            </w:r>
          </w:p>
        </w:tc>
        <w:tc>
          <w:tcPr>
            <w:tcW w:w="294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46,125</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26,580</w:t>
            </w:r>
          </w:p>
        </w:tc>
      </w:tr>
      <w:tr>
        <w:trPr>
          <w:trHeight w:val="20"/>
        </w:trPr>
        <w:tc>
          <w:tcPr>
            <w:tcW w:w="5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17" w:lineRule="exact"/>
        <w:rPr>
          <w:sz w:val="20"/>
          <w:szCs w:val="20"/>
          <w:color w:val="auto"/>
        </w:rPr>
      </w:pPr>
    </w:p>
    <w:p>
      <w:pPr>
        <w:ind w:right="80" w:firstLine="449"/>
        <w:spacing w:after="0" w:line="271" w:lineRule="auto"/>
        <w:rPr>
          <w:sz w:val="20"/>
          <w:szCs w:val="20"/>
          <w:color w:val="auto"/>
        </w:rPr>
      </w:pPr>
      <w:r>
        <w:rPr>
          <w:rFonts w:ascii="Arial" w:cs="Arial" w:eastAsia="Arial" w:hAnsi="Arial"/>
          <w:sz w:val="17"/>
          <w:szCs w:val="17"/>
          <w:color w:val="auto"/>
        </w:rPr>
        <w:t>Marketable securities are partially comprised of marketable securities, including U.S. government securities, commercial paper, and corporate bonds with an original maturity or a remaining maturity at the time of purchase of greater than three months and no more than 12 months. These marketable securities are classified as available-for-sale securities and are carried at fair value with unrealized gains and losses reported as a separate component of stockholders’ deficit. Interest receivable on these securities is presented in prepaid expenses and other current assets on the consolidated balance sheet. Realized gains and losses and other-than-temporary impairments, if any, on available-for-sale securities are recognized upon sale and are included in other income (expense), net in the consolidated statement of operations. The cost of securities sold is based on the specific identification method. Marketable securities are reviewed periodically to identify possible other-than-temporary impairments. No impairment loss has been recorded on the securities during the year ended January 31, 2019.</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117" w:lineRule="exact"/>
        <w:rPr>
          <w:sz w:val="20"/>
          <w:szCs w:val="20"/>
          <w:color w:val="auto"/>
        </w:rPr>
      </w:pPr>
    </w:p>
    <w:p>
      <w:pPr>
        <w:jc w:val="both"/>
        <w:ind w:right="180" w:firstLine="449"/>
        <w:spacing w:after="0" w:line="263" w:lineRule="auto"/>
        <w:rPr>
          <w:sz w:val="20"/>
          <w:szCs w:val="20"/>
          <w:color w:val="auto"/>
        </w:rPr>
      </w:pPr>
      <w:r>
        <w:rPr>
          <w:rFonts w:ascii="Arial" w:cs="Arial" w:eastAsia="Arial" w:hAnsi="Arial"/>
          <w:sz w:val="18"/>
          <w:szCs w:val="18"/>
          <w:color w:val="auto"/>
        </w:rPr>
        <w:t>Accounts receivable are stated at realizable value, net of allowance for doubtful accounts. The Company’s estimate is based on historical collection experience and a review of the current status of accounts receivable. The Company’s allowance for doubtful accounts was $0.1 million as of January 31, 2019.</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360" w:firstLine="449"/>
        <w:spacing w:after="0" w:line="311" w:lineRule="auto"/>
        <w:rPr>
          <w:sz w:val="20"/>
          <w:szCs w:val="20"/>
          <w:color w:val="auto"/>
        </w:rPr>
      </w:pPr>
      <w:r>
        <w:rPr>
          <w:rFonts w:ascii="Arial" w:cs="Arial" w:eastAsia="Arial" w:hAnsi="Arial"/>
          <w:sz w:val="16"/>
          <w:szCs w:val="16"/>
          <w:color w:val="auto"/>
        </w:rPr>
        <w:t>Financial instruments that potentially subject the Company to a concentration of credit risk consist of cash, cash equivalents, and marketable securities. Substantially all the Company’s cash and cash equivalents are held by four financial institutions that management believes are of high credit quality. Such deposits may, at times, exceed federally insured limits. Cash equivalents are invested in highly rated money market funds.</w:t>
      </w:r>
    </w:p>
    <w:p>
      <w:pPr>
        <w:spacing w:after="0" w:line="149" w:lineRule="exact"/>
        <w:rPr>
          <w:sz w:val="20"/>
          <w:szCs w:val="20"/>
          <w:color w:val="auto"/>
        </w:rPr>
      </w:pPr>
    </w:p>
    <w:p>
      <w:pPr>
        <w:ind w:right="220" w:firstLine="449"/>
        <w:spacing w:after="0" w:line="311" w:lineRule="auto"/>
        <w:rPr>
          <w:sz w:val="20"/>
          <w:szCs w:val="20"/>
          <w:color w:val="auto"/>
        </w:rPr>
      </w:pPr>
      <w:r>
        <w:rPr>
          <w:rFonts w:ascii="Arial" w:cs="Arial" w:eastAsia="Arial" w:hAnsi="Arial"/>
          <w:sz w:val="16"/>
          <w:szCs w:val="16"/>
          <w:color w:val="auto"/>
        </w:rPr>
        <w:t>A large portion of the Company’s customers authorize the Company to bill their credit card accounts through the Company’s third-party payment processing partners, presenting additional credit risk. For the year ended January 31, 2019, there were no individual customers that accounted for 10% or more of the Company’s revenues. The Company had one customer that accounted for 12% of accounts receivable as of January 31, 2019.</w:t>
      </w:r>
    </w:p>
    <w:p>
      <w:pPr>
        <w:spacing w:after="0" w:line="2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The carrying amounts reflected in the consolidated balance sheet for cash equivalents, marketable securities, accounts receivable, and accounts payable approximate their respective fair values due to the short maturities of those instruments. Available-for-sale marketable securities are recorded at fair value on the consolidated balance sheet. The Company’s redeemable convertible preferred stock warrant liability is carried at fair value, as discussed in Note 8.</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40"/>
          </w:cols>
          <w:pgMar w:left="320" w:top="459" w:right="3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300" w:firstLine="449"/>
        <w:spacing w:after="0" w:line="259" w:lineRule="auto"/>
        <w:rPr>
          <w:sz w:val="20"/>
          <w:szCs w:val="20"/>
          <w:color w:val="auto"/>
        </w:rPr>
      </w:pPr>
      <w:r>
        <w:rPr>
          <w:rFonts w:ascii="Arial" w:cs="Arial" w:eastAsia="Arial" w:hAnsi="Arial"/>
          <w:sz w:val="18"/>
          <w:szCs w:val="18"/>
          <w:color w:val="auto"/>
        </w:rPr>
        <w:t>The Company leases facilities under noncancelable operating leases with various expiration dates through fiscal 2024. Several lease agreements contain clauses for rent abatements. For purposes of recognizing minimum rent expense on a straight-line basis over the term of the lease, the Company uses the date of initial possession to begin amortization. The Company recognizes lease payments on a straight-line basis over the lease term. The Company has no lease agreements that are classified as capital leases.</w:t>
      </w:r>
    </w:p>
    <w:p>
      <w:pPr>
        <w:spacing w:after="0" w:line="18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Rent expense is recognized on a straight-line basis over the term of the leases and accordingly, the Company records the difference between cash rent payments and the recognition of rent expense as a deferred rent liability included within accrued expenses and other current liabilities on the consolidated balance sheet. Incentives granted under the Company’s leases for allowances to fund leasehold improvements are deferred and recognized as adjustments to rent expense on a straight-line basis over the term of the lease.</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The Company records its property and equipment at cost. Depreciation is computed on the straight-line method over the estimated useful lives of two to three years. Leasehold improvements are amortized over the remaining period of the lease, or the estimated useful life of the improvement, whichever is shorter. Repair and maintenance expenditures, which are not considered improvements and do not extend the useful life of an asset, are expensed as incurred.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860" w:type="dxa"/>
            <w:vAlign w:val="bottom"/>
            <w:gridSpan w:val="2"/>
          </w:tcPr>
          <w:p>
            <w:pPr>
              <w:spacing w:after="0"/>
              <w:rPr>
                <w:sz w:val="20"/>
                <w:szCs w:val="20"/>
                <w:color w:val="auto"/>
              </w:rPr>
            </w:pPr>
            <w:r>
              <w:rPr>
                <w:rFonts w:ascii="Arial" w:cs="Arial" w:eastAsia="Arial" w:hAnsi="Arial"/>
                <w:sz w:val="14"/>
                <w:szCs w:val="14"/>
                <w:b w:val="1"/>
                <w:bCs w:val="1"/>
                <w:color w:val="auto"/>
              </w:rPr>
              <w:t>Asset Type</w:t>
            </w:r>
          </w:p>
        </w:tc>
        <w:tc>
          <w:tcPr>
            <w:tcW w:w="4320" w:type="dxa"/>
            <w:vAlign w:val="bottom"/>
            <w:gridSpan w:val="2"/>
          </w:tcPr>
          <w:p>
            <w:pPr>
              <w:ind w:left="1780"/>
              <w:spacing w:after="0"/>
              <w:rPr>
                <w:sz w:val="20"/>
                <w:szCs w:val="20"/>
                <w:color w:val="auto"/>
              </w:rPr>
            </w:pPr>
            <w:r>
              <w:rPr>
                <w:rFonts w:ascii="Arial" w:cs="Arial" w:eastAsia="Arial" w:hAnsi="Arial"/>
                <w:sz w:val="14"/>
                <w:szCs w:val="14"/>
                <w:b w:val="1"/>
                <w:bCs w:val="1"/>
                <w:color w:val="auto"/>
              </w:rPr>
              <w:t>Life (Years)</w:t>
            </w:r>
          </w:p>
        </w:tc>
      </w:tr>
      <w:tr>
        <w:trPr>
          <w:trHeight w:val="195"/>
        </w:trPr>
        <w:tc>
          <w:tcPr>
            <w:tcW w:w="6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Desktop and other computer equipment</w:t>
            </w:r>
          </w:p>
        </w:tc>
        <w:tc>
          <w:tcPr>
            <w:tcW w:w="120" w:type="dxa"/>
            <w:vAlign w:val="bottom"/>
          </w:tcPr>
          <w:p>
            <w:pPr>
              <w:spacing w:after="0"/>
              <w:rPr>
                <w:sz w:val="16"/>
                <w:szCs w:val="16"/>
                <w:color w:val="auto"/>
              </w:rPr>
            </w:pPr>
          </w:p>
        </w:tc>
        <w:tc>
          <w:tcPr>
            <w:tcW w:w="4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6"/>
                <w:szCs w:val="16"/>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43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4320" w:type="dxa"/>
            <w:vAlign w:val="bottom"/>
            <w:gridSpan w:val="2"/>
          </w:tcPr>
          <w:p>
            <w:pPr>
              <w:ind w:left="1100"/>
              <w:spacing w:after="0"/>
              <w:rPr>
                <w:sz w:val="20"/>
                <w:szCs w:val="20"/>
                <w:color w:val="auto"/>
              </w:rPr>
            </w:pPr>
            <w:r>
              <w:rPr>
                <w:rFonts w:ascii="Arial" w:cs="Arial" w:eastAsia="Arial" w:hAnsi="Arial"/>
                <w:sz w:val="18"/>
                <w:szCs w:val="18"/>
                <w:color w:val="auto"/>
                <w:w w:val="90"/>
              </w:rPr>
              <w:t>Shorter of lease term or estimated useful life</w:t>
            </w:r>
          </w:p>
        </w:tc>
      </w:tr>
      <w:tr>
        <w:trPr>
          <w:trHeight w:val="230"/>
        </w:trPr>
        <w:tc>
          <w:tcPr>
            <w:tcW w:w="6860" w:type="dxa"/>
            <w:vAlign w:val="bottom"/>
            <w:gridSpan w:val="2"/>
          </w:tcPr>
          <w:p>
            <w:pPr>
              <w:spacing w:after="0"/>
              <w:rPr>
                <w:sz w:val="20"/>
                <w:szCs w:val="20"/>
                <w:color w:val="auto"/>
              </w:rPr>
            </w:pPr>
            <w:r>
              <w:rPr>
                <w:rFonts w:ascii="Arial" w:cs="Arial" w:eastAsia="Arial" w:hAnsi="Arial"/>
                <w:sz w:val="18"/>
                <w:szCs w:val="18"/>
                <w:color w:val="auto"/>
              </w:rPr>
              <w:t>Capitalized internal-use software</w:t>
            </w:r>
          </w:p>
        </w:tc>
        <w:tc>
          <w:tcPr>
            <w:tcW w:w="43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Capitalized Internal-Use Software</w:t>
      </w:r>
    </w:p>
    <w:p>
      <w:pPr>
        <w:spacing w:after="0" w:line="117" w:lineRule="exact"/>
        <w:rPr>
          <w:sz w:val="20"/>
          <w:szCs w:val="20"/>
          <w:color w:val="auto"/>
        </w:rPr>
      </w:pPr>
    </w:p>
    <w:p>
      <w:pPr>
        <w:jc w:val="both"/>
        <w:ind w:right="420" w:firstLine="449"/>
        <w:spacing w:after="0" w:line="311" w:lineRule="auto"/>
        <w:rPr>
          <w:sz w:val="20"/>
          <w:szCs w:val="20"/>
          <w:color w:val="auto"/>
        </w:rPr>
      </w:pPr>
      <w:r>
        <w:rPr>
          <w:rFonts w:ascii="Arial" w:cs="Arial" w:eastAsia="Arial" w:hAnsi="Arial"/>
          <w:sz w:val="16"/>
          <w:szCs w:val="16"/>
          <w:color w:val="auto"/>
        </w:rPr>
        <w:t>The Company capitalizes certain internal software development costs, consisting primarily of direct labor associated with creating the internally developed software. Capitalized costs are amortized using the straight-line method over the estimated useful life of the software once it is ready for its intended use. The Company believes the straight-line recognition method best approximates the manner in which the expected benefit will be derived.</w:t>
      </w:r>
    </w:p>
    <w:p>
      <w:pPr>
        <w:spacing w:after="0" w:line="2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right="60" w:firstLine="449"/>
        <w:spacing w:after="0" w:line="296" w:lineRule="auto"/>
        <w:rPr>
          <w:sz w:val="20"/>
          <w:szCs w:val="20"/>
          <w:color w:val="auto"/>
        </w:rPr>
      </w:pPr>
      <w:r>
        <w:rPr>
          <w:rFonts w:ascii="Arial" w:cs="Arial" w:eastAsia="Arial" w:hAnsi="Arial"/>
          <w:sz w:val="16"/>
          <w:szCs w:val="16"/>
          <w:color w:val="auto"/>
        </w:rPr>
        <w:t>The Company evaluates its long-lived assets for impairment whenever events or changes in circumstances indicate that the carrying amount of such asset groups may not be recoverable. Recoverability of assets to be held and used is measured by a comparison of the carrying amount of an asset group to future undiscounted net cash flows expected to be generated by the asset group.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 No impairment charges have been recorded during the year ended January 31, 2019.</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right="100" w:firstLine="449"/>
        <w:spacing w:after="0" w:line="311" w:lineRule="auto"/>
        <w:rPr>
          <w:sz w:val="20"/>
          <w:szCs w:val="20"/>
          <w:color w:val="auto"/>
        </w:rPr>
      </w:pPr>
      <w:r>
        <w:rPr>
          <w:rFonts w:ascii="Arial" w:cs="Arial" w:eastAsia="Arial" w:hAnsi="Arial"/>
          <w:sz w:val="16"/>
          <w:szCs w:val="16"/>
          <w:color w:val="auto"/>
        </w:rPr>
        <w:t>The Company accounts for income taxes under the asset and liability method, which requires that deferred income taxes be provided for temporary differences between the tax basis of the Company’s assets and liabilities and their financial statement reported amounts. In addition, deferred tax assets are recorded for the future benefit of utilizing net operating loss carryforwards and research and development credit carryforwards.</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40"/>
          </w:cols>
          <w:pgMar w:left="320" w:top="459" w:right="3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A valuation allowance is provided against deferred tax assets unless it is more likely than not that they will be realized. If there is significant negative evidence that the near term realization of certain assets are deemed unlikely, the Company would record a valuation allowance against the deferred tax assets. The Company regularly assesses the continuing need for a valuation allowance against its deferred tax assets. Significant judgment is required to determine whether a valuation allowance continues to be necessary and the amount of such valuation allowance, if appropriate. The Company considers all available evidence, both positive and negative, to determine, based on the weight of available evidence, whether it is more likely than not that some or all of the deferred tax assets will not be realized. In evaluating the continued need for a valuation allowance, the Company considers, among other things, the nature, frequency, and severity of current and cumulative losses, forecasts of future profitability, and the duration of statutory carryforward periods.</w:t>
      </w:r>
    </w:p>
    <w:p>
      <w:pPr>
        <w:spacing w:after="0" w:line="166" w:lineRule="exact"/>
        <w:rPr>
          <w:sz w:val="20"/>
          <w:szCs w:val="20"/>
          <w:color w:val="auto"/>
        </w:rPr>
      </w:pPr>
    </w:p>
    <w:p>
      <w:pPr>
        <w:ind w:right="180" w:firstLine="449"/>
        <w:spacing w:after="0" w:line="311" w:lineRule="auto"/>
        <w:rPr>
          <w:sz w:val="20"/>
          <w:szCs w:val="20"/>
          <w:color w:val="auto"/>
        </w:rPr>
      </w:pPr>
      <w:r>
        <w:rPr>
          <w:rFonts w:ascii="Arial" w:cs="Arial" w:eastAsia="Arial" w:hAnsi="Arial"/>
          <w:sz w:val="16"/>
          <w:szCs w:val="16"/>
          <w:color w:val="auto"/>
        </w:rPr>
        <w:t xml:space="preserve">The Company performs a comprehensive review of potential uncertain tax positions in each jurisdiction in which the Company operates. The Company accounts for uncertain tax positions in accordance with ASC 740, </w:t>
      </w:r>
      <w:r>
        <w:rPr>
          <w:rFonts w:ascii="Arial" w:cs="Arial" w:eastAsia="Arial" w:hAnsi="Arial"/>
          <w:sz w:val="16"/>
          <w:szCs w:val="16"/>
          <w:i w:val="1"/>
          <w:iCs w:val="1"/>
          <w:color w:val="auto"/>
        </w:rPr>
        <w:t>Income Taxes</w:t>
      </w:r>
      <w:r>
        <w:rPr>
          <w:rFonts w:ascii="Arial" w:cs="Arial" w:eastAsia="Arial" w:hAnsi="Arial"/>
          <w:sz w:val="16"/>
          <w:szCs w:val="16"/>
          <w:color w:val="auto"/>
        </w:rPr>
        <w:t>. ASC 740 prescribes a recognition threshold and measurement attribute for the financial statement recognition and measurement of a tax provision that an entity takes or expects to take in a tax return.</w:t>
      </w:r>
    </w:p>
    <w:p>
      <w:pPr>
        <w:spacing w:after="0" w:line="2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Redeemable Convertible Preferred Stock Warrants</w:t>
      </w:r>
    </w:p>
    <w:p>
      <w:pPr>
        <w:spacing w:after="0" w:line="117" w:lineRule="exact"/>
        <w:rPr>
          <w:sz w:val="20"/>
          <w:szCs w:val="20"/>
          <w:color w:val="auto"/>
        </w:rPr>
      </w:pPr>
    </w:p>
    <w:p>
      <w:pPr>
        <w:ind w:right="120" w:firstLine="449"/>
        <w:spacing w:after="0" w:line="296" w:lineRule="auto"/>
        <w:rPr>
          <w:sz w:val="20"/>
          <w:szCs w:val="20"/>
          <w:color w:val="auto"/>
        </w:rPr>
      </w:pPr>
      <w:r>
        <w:rPr>
          <w:rFonts w:ascii="Arial" w:cs="Arial" w:eastAsia="Arial" w:hAnsi="Arial"/>
          <w:sz w:val="16"/>
          <w:szCs w:val="16"/>
          <w:color w:val="auto"/>
        </w:rPr>
        <w:t>Redeemable convertible preferred stock warrants for the Company’s Series B redeemable convertible preferred stock are classified as liabilities on the Company’s balance sheet. The redeemable convertible preferred stock warrants are subject to reassessment at each balance sheet date, and any change in fair value is recognized as a component of other income (expense), net. The Company will continue to adjust the liability for changes in fair value until the earlier of when the redeemable convertible preferred stock warrants are exercised or upon expiration on the earlier of the seven-year anniversary of their issuance, a liquidation transaction, or the closing of a firm commitment underwritten public offering of the Company’s common stock.</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right="40" w:firstLine="449"/>
        <w:spacing w:after="0" w:line="296" w:lineRule="auto"/>
        <w:rPr>
          <w:sz w:val="20"/>
          <w:szCs w:val="20"/>
          <w:color w:val="auto"/>
        </w:rPr>
      </w:pPr>
      <w:r>
        <w:rPr>
          <w:rFonts w:ascii="Arial" w:cs="Arial" w:eastAsia="Arial" w:hAnsi="Arial"/>
          <w:sz w:val="16"/>
          <w:szCs w:val="16"/>
          <w:color w:val="auto"/>
        </w:rPr>
        <w:t>Basic and diluted net loss per share attributable to common stockholders is presented in conformity with the two-class method required for participating securities. All series of the Company’s redeemable convertible preferred stock and early exercised stock options are considered to be participating securities because all holders are entitled to receive a non-cumulative dividend on a pari passu basis in the event that a dividend is paid on the common stock. The holders of the redeemable convertible preferred stock and early exercised stock options do not have a contractual obligation to share in the Company’s losses. As such, the Company’s net loss for the year ended January 31, 2019 was not allocated to these participating securities.</w:t>
      </w:r>
    </w:p>
    <w:p>
      <w:pPr>
        <w:spacing w:after="0" w:line="161" w:lineRule="exact"/>
        <w:rPr>
          <w:sz w:val="20"/>
          <w:szCs w:val="20"/>
          <w:color w:val="auto"/>
        </w:rPr>
      </w:pPr>
    </w:p>
    <w:p>
      <w:pPr>
        <w:jc w:val="both"/>
        <w:ind w:right="220" w:firstLine="449"/>
        <w:spacing w:after="0" w:line="311" w:lineRule="auto"/>
        <w:rPr>
          <w:sz w:val="20"/>
          <w:szCs w:val="20"/>
          <w:color w:val="auto"/>
        </w:rPr>
      </w:pPr>
      <w:r>
        <w:rPr>
          <w:rFonts w:ascii="Arial" w:cs="Arial" w:eastAsia="Arial" w:hAnsi="Arial"/>
          <w:sz w:val="16"/>
          <w:szCs w:val="16"/>
          <w:color w:val="auto"/>
        </w:rPr>
        <w:t>The rights, including the liquidation and dividend rights, of the holders of Class A and Class B common stock are identical, except with respect to voting. As the liquidation and dividend rights are identical, the undistributed earnings are allocated on a proportionate basis and the resulting net loss per share attributed to common stockholders will, therefore, be the same for both Class A and Class B common stock on an individual or combined basis.</w:t>
      </w:r>
    </w:p>
    <w:p>
      <w:pPr>
        <w:spacing w:after="0" w:line="149" w:lineRule="exact"/>
        <w:rPr>
          <w:sz w:val="20"/>
          <w:szCs w:val="20"/>
          <w:color w:val="auto"/>
        </w:rPr>
      </w:pPr>
    </w:p>
    <w:p>
      <w:pPr>
        <w:ind w:right="620" w:firstLine="449"/>
        <w:spacing w:after="0" w:line="277" w:lineRule="auto"/>
        <w:rPr>
          <w:sz w:val="20"/>
          <w:szCs w:val="20"/>
          <w:color w:val="auto"/>
        </w:rPr>
      </w:pPr>
      <w:r>
        <w:rPr>
          <w:rFonts w:ascii="Arial" w:cs="Arial" w:eastAsia="Arial" w:hAnsi="Arial"/>
          <w:sz w:val="18"/>
          <w:szCs w:val="18"/>
          <w:color w:val="auto"/>
        </w:rPr>
        <w:t>Under the two-class method, basic net loss per share attributable to common stockholders is computed by dividing the net loss attributable to common stockholders by the weighted-average number of shares of common stock outstanding during the period.</w:t>
      </w:r>
    </w:p>
    <w:p>
      <w:pPr>
        <w:spacing w:after="0" w:line="170" w:lineRule="exact"/>
        <w:rPr>
          <w:sz w:val="20"/>
          <w:szCs w:val="20"/>
          <w:color w:val="auto"/>
        </w:rPr>
      </w:pPr>
    </w:p>
    <w:p>
      <w:pPr>
        <w:ind w:right="340" w:firstLine="449"/>
        <w:spacing w:after="0" w:line="311" w:lineRule="auto"/>
        <w:rPr>
          <w:sz w:val="20"/>
          <w:szCs w:val="20"/>
          <w:color w:val="auto"/>
        </w:rPr>
      </w:pPr>
      <w:r>
        <w:rPr>
          <w:rFonts w:ascii="Arial" w:cs="Arial" w:eastAsia="Arial" w:hAnsi="Arial"/>
          <w:sz w:val="16"/>
          <w:szCs w:val="16"/>
          <w:color w:val="auto"/>
        </w:rPr>
        <w:t>Diluted earnings per share attributable to common stockholders adjusts basic earnings per share for the potentially dilutive impact of redeemable convertible preferred stock warrants, stock options, and redeemable convertible preferred stock. As the Company has reported losses for all periods presented, all potentially dilutive securities are anti-dilutive, and accordingly, basic net loss per share equals diluted net loss per share.</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20"/>
          </w:cols>
          <w:pgMar w:left="320" w:top="459" w:right="3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17" w:lineRule="exact"/>
        <w:rPr>
          <w:sz w:val="20"/>
          <w:szCs w:val="20"/>
          <w:color w:val="auto"/>
        </w:rPr>
      </w:pPr>
    </w:p>
    <w:p>
      <w:pPr>
        <w:jc w:val="both"/>
        <w:ind w:right="80" w:firstLine="449"/>
        <w:spacing w:after="0" w:line="255"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(“ASU 2016-02”), which modified lease accounting for both lessees and lessors to increase transparency and comparability by recognizing lease assets and lease liabilities by lessees for those leases classified as operating leases under previous accounting standards and disclosing key information about leasing arrangements. The Company estimates approximately $14.0 million to $18.0 million of total right-of-use assets and $16.0 million to $20.0 million of total lease liabilities would be recognized on the consolidated balance sheet as of February 1, 2019, the Company’s adoption date. Other than as disclosed, the Company does not expect the standard to have a material impact on the remaining consolidated financial statements.</w:t>
      </w:r>
    </w:p>
    <w:p>
      <w:pPr>
        <w:spacing w:after="0" w:line="192"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which requires the measurement and recognition of expected credit losses for financial assets held at amortized cost. It also eliminates the</w:t>
      </w:r>
      <w:r>
        <w:rPr>
          <w:rFonts w:ascii="Arial" w:cs="Arial" w:eastAsia="Arial" w:hAnsi="Arial"/>
          <w:sz w:val="17"/>
          <w:szCs w:val="17"/>
          <w:i w:val="1"/>
          <w:iCs w:val="1"/>
          <w:color w:val="auto"/>
        </w:rPr>
        <w:t xml:space="preserve"> </w:t>
      </w:r>
      <w:r>
        <w:rPr>
          <w:rFonts w:ascii="Arial" w:cs="Arial" w:eastAsia="Arial" w:hAnsi="Arial"/>
          <w:sz w:val="17"/>
          <w:szCs w:val="17"/>
          <w:color w:val="auto"/>
        </w:rPr>
        <w:t>concept of other-than-temporary impairment and requires credit losses related to available-for-sale debt securities to be recorded through an allowance for credit losses rather than as a reduction in the amortized cost basis of the securities. These changes will result in more timely recognition of credit losses. The guidance is effective for the Company for fiscal years beginning after December 15, 2022 and interim periods within those fiscal years. Early adoption is permitted. The Company is currently evaluating the impact and timing of adopting ASU No. 2016-13.</w:t>
      </w:r>
    </w:p>
    <w:p>
      <w:pPr>
        <w:spacing w:after="0" w:line="178" w:lineRule="exact"/>
        <w:rPr>
          <w:sz w:val="20"/>
          <w:szCs w:val="20"/>
          <w:color w:val="auto"/>
        </w:rPr>
      </w:pPr>
    </w:p>
    <w:p>
      <w:pPr>
        <w:ind w:right="60" w:firstLine="449"/>
        <w:spacing w:after="0" w:line="271" w:lineRule="auto"/>
        <w:rPr>
          <w:sz w:val="20"/>
          <w:szCs w:val="20"/>
          <w:color w:val="auto"/>
        </w:rPr>
      </w:pPr>
      <w:r>
        <w:rPr>
          <w:rFonts w:ascii="Arial" w:cs="Arial" w:eastAsia="Arial" w:hAnsi="Arial"/>
          <w:sz w:val="17"/>
          <w:szCs w:val="17"/>
          <w:color w:val="auto"/>
        </w:rPr>
        <w:t>In February 2018, the FASB issued ASU No. 2018-02</w:t>
      </w:r>
      <w:r>
        <w:rPr>
          <w:rFonts w:ascii="Arial" w:cs="Arial" w:eastAsia="Arial" w:hAnsi="Arial"/>
          <w:sz w:val="17"/>
          <w:szCs w:val="17"/>
          <w:i w:val="1"/>
          <w:iCs w:val="1"/>
          <w:color w:val="auto"/>
        </w:rPr>
        <w:t>, Reclassification of Certain Tax Effects from Accumulated Other Comprehensive Income</w:t>
      </w:r>
      <w:r>
        <w:rPr>
          <w:rFonts w:ascii="Arial" w:cs="Arial" w:eastAsia="Arial" w:hAnsi="Arial"/>
          <w:sz w:val="17"/>
          <w:szCs w:val="17"/>
          <w:color w:val="auto"/>
        </w:rPr>
        <w:t>. Under existing U.S. GAAP, the effects of changes in tax rates and laws on deferred tax balances are recorded as a component of income tax expense in the period in which the law was enacted. When deferred tax balances related to items originally recorded in accumulated other comprehensive income are adjusted, certain tax effects become stranded in accumulated other comprehensive income. The amendments in ASU No. 2018-02 allow a reclassification from accumulated other comprehensive income to retained earnings for stranded tax effects resulting from the 2017 Tax Cuts and Jobs Act. The amendments in ASU No. 2018-02 also require certain disclosures about stranded tax effects. The guidance is effective for the Company for fiscal years beginning after December 15, 2018 and interim periods within those fiscal years. The Company does not expect the impact of adoption to have a material impact on its consolidated financial statements.</w:t>
      </w:r>
    </w:p>
    <w:p>
      <w:pPr>
        <w:spacing w:after="0" w:line="178" w:lineRule="exact"/>
        <w:rPr>
          <w:sz w:val="20"/>
          <w:szCs w:val="20"/>
          <w:color w:val="auto"/>
        </w:rPr>
      </w:pPr>
    </w:p>
    <w:p>
      <w:pPr>
        <w:ind w:right="120" w:firstLine="449"/>
        <w:spacing w:after="0" w:line="275" w:lineRule="auto"/>
        <w:rPr>
          <w:sz w:val="20"/>
          <w:szCs w:val="20"/>
          <w:color w:val="auto"/>
        </w:rPr>
      </w:pPr>
      <w:r>
        <w:rPr>
          <w:rFonts w:ascii="Arial" w:cs="Arial" w:eastAsia="Arial" w:hAnsi="Arial"/>
          <w:sz w:val="17"/>
          <w:szCs w:val="17"/>
          <w:color w:val="auto"/>
        </w:rPr>
        <w:t>In August 2018, the FASB issued ASU No. 2018-13</w:t>
      </w:r>
      <w:r>
        <w:rPr>
          <w:rFonts w:ascii="Arial" w:cs="Arial" w:eastAsia="Arial" w:hAnsi="Arial"/>
          <w:sz w:val="17"/>
          <w:szCs w:val="17"/>
          <w:i w:val="1"/>
          <w:iCs w:val="1"/>
          <w:color w:val="auto"/>
        </w:rPr>
        <w:t>, Fair Value Measurement (Topic 820)</w:t>
      </w:r>
      <w:r>
        <w:rPr>
          <w:rFonts w:ascii="Arial" w:cs="Arial" w:eastAsia="Arial" w:hAnsi="Arial"/>
          <w:sz w:val="17"/>
          <w:szCs w:val="17"/>
          <w:color w:val="auto"/>
        </w:rPr>
        <w:t>, which amends disclosure requirements for fair value measurements by requiring new disclosures, modifying existing requirements, and eliminating others. The amendments are the result of a broader disclosure project, which aims to improve the effectiveness of disclosures. ASU No. 2018-13 is effective for the Company for fiscal years beginning after December 15, 2019 and interim periods within those fiscal years. Early adoption is permitted. The Company does not expect the adoption to have a significant impact on its disclosures and is currently evaluating the timing of adopting ASU No. 2018-13.</w:t>
      </w:r>
    </w:p>
    <w:p>
      <w:pPr>
        <w:spacing w:after="0" w:line="176" w:lineRule="exact"/>
        <w:rPr>
          <w:sz w:val="20"/>
          <w:szCs w:val="20"/>
          <w:color w:val="auto"/>
        </w:rPr>
      </w:pPr>
    </w:p>
    <w:p>
      <w:pPr>
        <w:jc w:val="both"/>
        <w:ind w:right="540" w:firstLine="449"/>
        <w:spacing w:after="0" w:line="287" w:lineRule="auto"/>
        <w:rPr>
          <w:sz w:val="20"/>
          <w:szCs w:val="20"/>
          <w:color w:val="auto"/>
        </w:rPr>
      </w:pPr>
      <w:r>
        <w:rPr>
          <w:rFonts w:ascii="Arial" w:cs="Arial" w:eastAsia="Arial" w:hAnsi="Arial"/>
          <w:sz w:val="16"/>
          <w:szCs w:val="16"/>
          <w:color w:val="auto"/>
        </w:rPr>
        <w:t>In August 2018, the FASB issued ASU No. 2018-15</w:t>
      </w:r>
      <w:r>
        <w:rPr>
          <w:rFonts w:ascii="Arial" w:cs="Arial" w:eastAsia="Arial" w:hAnsi="Arial"/>
          <w:sz w:val="16"/>
          <w:szCs w:val="16"/>
          <w:i w:val="1"/>
          <w:iCs w:val="1"/>
          <w:color w:val="auto"/>
        </w:rPr>
        <w:t>, Intangibles-Goodwill and Other-Internal-Use Software (Subtopic 350-40),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for Implementation Costs Incurred in a Cloud Computing Arrangement That Is a Service Contract. </w:t>
      </w:r>
      <w:r>
        <w:rPr>
          <w:rFonts w:ascii="Arial" w:cs="Arial" w:eastAsia="Arial" w:hAnsi="Arial"/>
          <w:sz w:val="16"/>
          <w:szCs w:val="16"/>
          <w:color w:val="auto"/>
        </w:rPr>
        <w:t>Under existing U.S. GAAP, there is</w:t>
      </w:r>
      <w:r>
        <w:rPr>
          <w:rFonts w:ascii="Arial" w:cs="Arial" w:eastAsia="Arial" w:hAnsi="Arial"/>
          <w:sz w:val="16"/>
          <w:szCs w:val="16"/>
          <w:i w:val="1"/>
          <w:iCs w:val="1"/>
          <w:color w:val="auto"/>
        </w:rPr>
        <w:t xml:space="preserve"> </w:t>
      </w:r>
      <w:r>
        <w:rPr>
          <w:rFonts w:ascii="Arial" w:cs="Arial" w:eastAsia="Arial" w:hAnsi="Arial"/>
          <w:sz w:val="16"/>
          <w:szCs w:val="16"/>
          <w:color w:val="auto"/>
        </w:rPr>
        <w:t>diversity in practice in accounting for the costs of implementing cloud computing arrangements that are service contracts. The amendments in ASU</w:t>
      </w:r>
    </w:p>
    <w:p>
      <w:pPr>
        <w:spacing w:after="0" w:line="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No. 2018-15 amend the definition of a hosting arrangement and requires a customer in a hosting arrangement that is a service contract to capitalize certain costs as if the arrangement were an internal-use software project. The guidance is effective for the Company for fiscal years beginning after December 15, 2020 and interim periods within fiscal years beginning after December 15, 2021. Early adoption is permitted. The Company is currently evaluating the impact and timing of adopting ASU No. 2018-15.</w:t>
      </w:r>
    </w:p>
    <w:p>
      <w:pPr>
        <w:spacing w:after="0" w:line="193"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Simplifying the Accounting for Income Taxes (Topic 740)</w:t>
      </w:r>
      <w:r>
        <w:rPr>
          <w:rFonts w:ascii="Arial" w:cs="Arial" w:eastAsia="Arial" w:hAnsi="Arial"/>
          <w:sz w:val="18"/>
          <w:szCs w:val="18"/>
          <w:color w:val="auto"/>
        </w:rPr>
        <w:t>. The amendments in the updated guidance simplify the accounting for income taxes by removing</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80"/>
          </w:cols>
          <w:pgMar w:left="320" w:top="459" w:right="39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certain exceptions and improving consistent application of other areas of the topic by clarifying the guidance. The amendments in this update are effective for the Company for fiscal years beginning after December 15, 2021 and interim periods within fiscal years beginning after December 15, 2022. Early adoption is permitted. The Company is currently evaluating the impact and timing of adopting ASU No. 2019-12.</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 xml:space="preserve">In March 2016, the FASB issued ASU No. 2016-09, </w:t>
      </w:r>
      <w:r>
        <w:rPr>
          <w:rFonts w:ascii="Arial" w:cs="Arial" w:eastAsia="Arial" w:hAnsi="Arial"/>
          <w:sz w:val="18"/>
          <w:szCs w:val="18"/>
          <w:i w:val="1"/>
          <w:iCs w:val="1"/>
          <w:color w:val="auto"/>
        </w:rPr>
        <w:t>Improvements to Employee Share-Based Payment Accounting (Topic 718),</w:t>
      </w:r>
      <w:r>
        <w:rPr>
          <w:rFonts w:ascii="Arial" w:cs="Arial" w:eastAsia="Arial" w:hAnsi="Arial"/>
          <w:sz w:val="18"/>
          <w:szCs w:val="18"/>
          <w:color w:val="auto"/>
        </w:rPr>
        <w:t xml:space="preserve"> which aligns with the FASB’s current simplification initiatives. The major areas for simplification in ASU No. 2016-09 involve several aspects of the accounting for stock-based payment transactions, including income tax consequences, classification of awards as either equity or liabilities, and classification on the statement of cash flows. Specifically, ASU No. 2016-09 has introduced updates to minimum statutory tax withholding requirements, policy elections surrounding forfeitures, expected term, intrinsic values, and changes to the classification of certain stock-based payment related transactions on the statement of cash flows. The Company adopted ASU No. 2016-09 effective as of February 1, 2018. The adoption of the guidance did not have a material impact on the Company’s consolidated financial statements.</w:t>
      </w:r>
    </w:p>
    <w:p>
      <w:pPr>
        <w:spacing w:after="0" w:line="195" w:lineRule="exact"/>
        <w:rPr>
          <w:sz w:val="20"/>
          <w:szCs w:val="20"/>
          <w:color w:val="auto"/>
        </w:rPr>
      </w:pPr>
    </w:p>
    <w:p>
      <w:pPr>
        <w:ind w:right="60" w:firstLine="449"/>
        <w:spacing w:after="0" w:line="311" w:lineRule="auto"/>
        <w:rPr>
          <w:sz w:val="20"/>
          <w:szCs w:val="20"/>
          <w:color w:val="auto"/>
        </w:rPr>
      </w:pPr>
      <w:r>
        <w:rPr>
          <w:rFonts w:ascii="Arial" w:cs="Arial" w:eastAsia="Arial" w:hAnsi="Arial"/>
          <w:sz w:val="16"/>
          <w:szCs w:val="16"/>
          <w:color w:val="auto"/>
        </w:rPr>
        <w:t xml:space="preserve">In May 2017, the FASB issued ASU No. 2017-09, </w:t>
      </w:r>
      <w:r>
        <w:rPr>
          <w:rFonts w:ascii="Arial" w:cs="Arial" w:eastAsia="Arial" w:hAnsi="Arial"/>
          <w:sz w:val="16"/>
          <w:szCs w:val="16"/>
          <w:i w:val="1"/>
          <w:iCs w:val="1"/>
          <w:color w:val="auto"/>
        </w:rPr>
        <w:t>Compensation-Stock Compensation (Topic 718): Scope of Modification Accounting</w:t>
      </w:r>
      <w:r>
        <w:rPr>
          <w:rFonts w:ascii="Arial" w:cs="Arial" w:eastAsia="Arial" w:hAnsi="Arial"/>
          <w:sz w:val="16"/>
          <w:szCs w:val="16"/>
          <w:color w:val="auto"/>
        </w:rPr>
        <w:t>, which clarifies the changes to terms or conditions of a share-based payment award that require an entity to apply modification accounting. The Company adopted ASU 2017-09 as of February 1, 2018. The adoption of the guidance did not have a material impact on the Company’s consolidated financial statements.</w:t>
      </w:r>
    </w:p>
    <w:p>
      <w:pPr>
        <w:spacing w:after="0" w:line="149" w:lineRule="exact"/>
        <w:rPr>
          <w:sz w:val="20"/>
          <w:szCs w:val="20"/>
          <w:color w:val="auto"/>
        </w:rPr>
      </w:pPr>
    </w:p>
    <w:p>
      <w:pPr>
        <w:ind w:right="220" w:firstLine="449"/>
        <w:spacing w:after="0" w:line="257" w:lineRule="auto"/>
        <w:rPr>
          <w:sz w:val="20"/>
          <w:szCs w:val="20"/>
          <w:color w:val="auto"/>
        </w:rPr>
      </w:pPr>
      <w:r>
        <w:rPr>
          <w:rFonts w:ascii="Arial" w:cs="Arial" w:eastAsia="Arial" w:hAnsi="Arial"/>
          <w:sz w:val="18"/>
          <w:szCs w:val="18"/>
          <w:color w:val="auto"/>
        </w:rPr>
        <w:t xml:space="preserve">In June 2018, the FASB issued ASU No. 2018-07, </w:t>
      </w:r>
      <w:r>
        <w:rPr>
          <w:rFonts w:ascii="Arial" w:cs="Arial" w:eastAsia="Arial" w:hAnsi="Arial"/>
          <w:sz w:val="18"/>
          <w:szCs w:val="18"/>
          <w:i w:val="1"/>
          <w:iCs w:val="1"/>
          <w:color w:val="auto"/>
        </w:rPr>
        <w:t>Improvements to Non-employee Share-Based Payment Accounting</w:t>
      </w:r>
      <w:r>
        <w:rPr>
          <w:rFonts w:ascii="Arial" w:cs="Arial" w:eastAsia="Arial" w:hAnsi="Arial"/>
          <w:sz w:val="18"/>
          <w:szCs w:val="18"/>
          <w:color w:val="auto"/>
        </w:rPr>
        <w:t>. Under existing U.S. GAAP, the measurement date for equity awards granted to non-employees is the earlier of the performance commitment date or the date the performance is complete. The amendments in ASU No. 2018-07 allow for measurement of these awards on the grant date, consistent with equity awards granted to employees. The Company adopted ASU 2018-07 as of February 1, 2018. The adoption of the guidance did not have a material impact on the Company’s consolidated financial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Measurements</w:t>
      </w:r>
    </w:p>
    <w:p>
      <w:pPr>
        <w:spacing w:after="0" w:line="121" w:lineRule="exact"/>
        <w:rPr>
          <w:sz w:val="20"/>
          <w:szCs w:val="20"/>
          <w:color w:val="auto"/>
        </w:rPr>
      </w:pPr>
    </w:p>
    <w:p>
      <w:pPr>
        <w:ind w:right="320" w:firstLine="449"/>
        <w:spacing w:after="0" w:line="296" w:lineRule="auto"/>
        <w:rPr>
          <w:sz w:val="20"/>
          <w:szCs w:val="20"/>
          <w:color w:val="auto"/>
        </w:rPr>
      </w:pPr>
      <w:r>
        <w:rPr>
          <w:rFonts w:ascii="Arial" w:cs="Arial" w:eastAsia="Arial" w:hAnsi="Arial"/>
          <w:sz w:val="16"/>
          <w:szCs w:val="16"/>
          <w:color w:val="auto"/>
        </w:rPr>
        <w:t>The Company accounts for its financial assets at fair value. In determining and disclosing fair value, the Company uses a fair value hierarchy established by U.S. GAAP. The guidance defines fair value as an exit price, representing the amount that would be received upon the sale of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Company utilizes a three-tier fair value hierarchy, which prioritizes the inputs used in measuring fair value as follows:</w:t>
      </w:r>
    </w:p>
    <w:p>
      <w:pPr>
        <w:spacing w:after="0" w:line="161" w:lineRule="exact"/>
        <w:rPr>
          <w:sz w:val="20"/>
          <w:szCs w:val="20"/>
          <w:color w:val="auto"/>
        </w:rPr>
      </w:pPr>
    </w:p>
    <w:p>
      <w:pPr>
        <w:ind w:left="460"/>
        <w:spacing w:after="0"/>
        <w:tabs>
          <w:tab w:leader="none" w:pos="11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Observable inputs such as quoted prices in active markets.</w:t>
      </w:r>
    </w:p>
    <w:p>
      <w:pPr>
        <w:spacing w:after="0" w:line="225" w:lineRule="exact"/>
        <w:rPr>
          <w:sz w:val="20"/>
          <w:szCs w:val="20"/>
          <w:color w:val="auto"/>
        </w:rPr>
      </w:pPr>
    </w:p>
    <w:p>
      <w:pPr>
        <w:ind w:left="460"/>
        <w:spacing w:after="0"/>
        <w:tabs>
          <w:tab w:leader="none" w:pos="11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other than the quoted prices in active markets that are observable either directly or indirectly.</w:t>
      </w:r>
    </w:p>
    <w:p>
      <w:pPr>
        <w:spacing w:after="0" w:line="225" w:lineRule="exact"/>
        <w:rPr>
          <w:sz w:val="20"/>
          <w:szCs w:val="20"/>
          <w:color w:val="auto"/>
        </w:rPr>
      </w:pPr>
    </w:p>
    <w:p>
      <w:pPr>
        <w:ind w:left="460"/>
        <w:spacing w:after="0"/>
        <w:tabs>
          <w:tab w:leader="none" w:pos="11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in which there is little or no market data and that are significant to the fair value of the assets or liabilities.</w:t>
      </w:r>
    </w:p>
    <w:p>
      <w:pPr>
        <w:spacing w:after="0" w:line="225" w:lineRule="exact"/>
        <w:rPr>
          <w:sz w:val="20"/>
          <w:szCs w:val="20"/>
          <w:color w:val="auto"/>
        </w:rPr>
      </w:pPr>
    </w:p>
    <w:p>
      <w:pPr>
        <w:ind w:right="920" w:firstLine="449"/>
        <w:spacing w:after="0" w:line="308" w:lineRule="auto"/>
        <w:rPr>
          <w:sz w:val="20"/>
          <w:szCs w:val="20"/>
          <w:color w:val="auto"/>
        </w:rPr>
      </w:pPr>
      <w:r>
        <w:rPr>
          <w:rFonts w:ascii="Arial" w:cs="Arial" w:eastAsia="Arial" w:hAnsi="Arial"/>
          <w:sz w:val="17"/>
          <w:szCs w:val="17"/>
          <w:color w:val="auto"/>
        </w:rPr>
        <w:t>In determining fair value, the Company utilizes valuation techniques that maximize the use of observable inputs and minimize the use of unobservable inputs to the extent possible as well as considers counterparty credit risk in its assessment of fair value.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20"/>
          </w:cols>
          <w:pgMar w:left="320" w:top="459" w:right="3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The following table summarizes, for assets and liabilities measured at fair value, the respective fair value and classification by level of input within the fair value hierarchy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6"/>
          </w:tcPr>
          <w:p>
            <w:pPr>
              <w:ind w:left="140"/>
              <w:spacing w:after="0"/>
              <w:rPr>
                <w:sz w:val="20"/>
                <w:szCs w:val="20"/>
                <w:color w:val="auto"/>
              </w:rPr>
            </w:pPr>
            <w:r>
              <w:rPr>
                <w:rFonts w:ascii="Arial" w:cs="Arial" w:eastAsia="Arial" w:hAnsi="Arial"/>
                <w:sz w:val="14"/>
                <w:szCs w:val="14"/>
                <w:b w:val="1"/>
                <w:bCs w:val="1"/>
                <w:color w:val="auto"/>
              </w:rPr>
              <w:t>January 31, 2019</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7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w w:val="88"/>
              </w:rPr>
              <w:t>Level 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96"/>
        </w:trPr>
        <w:tc>
          <w:tcPr>
            <w:tcW w:w="7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Cash equivalents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22,787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w w:val="99"/>
              </w:rPr>
              <w:t>$ 22,787</w:t>
            </w:r>
          </w:p>
        </w:tc>
        <w:tc>
          <w:tcPr>
            <w:tcW w:w="40" w:type="dxa"/>
            <w:vAlign w:val="bottom"/>
            <w:shd w:val="clear" w:color="auto" w:fill="CCEEFF"/>
          </w:tcPr>
          <w:p>
            <w:pPr>
              <w:spacing w:after="0"/>
              <w:rPr>
                <w:sz w:val="18"/>
                <w:szCs w:val="18"/>
                <w:color w:val="auto"/>
              </w:rPr>
            </w:pPr>
          </w:p>
        </w:tc>
      </w:tr>
      <w:tr>
        <w:trPr>
          <w:trHeight w:val="230"/>
        </w:trPr>
        <w:tc>
          <w:tcPr>
            <w:tcW w:w="7600" w:type="dxa"/>
            <w:vAlign w:val="bottom"/>
          </w:tcPr>
          <w:p>
            <w:pPr>
              <w:ind w:left="360"/>
              <w:spacing w:after="0"/>
              <w:rPr>
                <w:sz w:val="20"/>
                <w:szCs w:val="20"/>
                <w:color w:val="auto"/>
              </w:rPr>
            </w:pPr>
            <w:r>
              <w:rPr>
                <w:rFonts w:ascii="Arial" w:cs="Arial" w:eastAsia="Arial" w:hAnsi="Arial"/>
                <w:sz w:val="18"/>
                <w:szCs w:val="18"/>
                <w:color w:val="auto"/>
              </w:rPr>
              <w:t>Total cash equivalents</w:t>
            </w: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22,787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22,787</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7600" w:type="dxa"/>
            <w:vAlign w:val="bottom"/>
          </w:tcPr>
          <w:p>
            <w:pPr>
              <w:ind w:left="180"/>
              <w:spacing w:after="0"/>
              <w:rPr>
                <w:sz w:val="20"/>
                <w:szCs w:val="20"/>
                <w:color w:val="auto"/>
              </w:rPr>
            </w:pPr>
            <w:r>
              <w:rPr>
                <w:rFonts w:ascii="Arial" w:cs="Arial" w:eastAsia="Arial" w:hAnsi="Arial"/>
                <w:sz w:val="18"/>
                <w:szCs w:val="18"/>
                <w:color w:val="auto"/>
              </w:rPr>
              <w:t>U.S. treasury bonds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9,530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9,530</w:t>
            </w:r>
          </w:p>
        </w:tc>
        <w:tc>
          <w:tcPr>
            <w:tcW w:w="40" w:type="dxa"/>
            <w:vAlign w:val="bottom"/>
          </w:tcPr>
          <w:p>
            <w:pPr>
              <w:spacing w:after="0"/>
              <w:rPr>
                <w:sz w:val="18"/>
                <w:szCs w:val="18"/>
                <w:color w:val="auto"/>
              </w:rPr>
            </w:pPr>
          </w:p>
        </w:tc>
      </w:tr>
      <w:tr>
        <w:trPr>
          <w:trHeight w:val="216"/>
        </w:trPr>
        <w:tc>
          <w:tcPr>
            <w:tcW w:w="7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paper</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38,498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38,498</w:t>
            </w:r>
          </w:p>
        </w:tc>
        <w:tc>
          <w:tcPr>
            <w:tcW w:w="40" w:type="dxa"/>
            <w:vAlign w:val="bottom"/>
            <w:shd w:val="clear" w:color="auto" w:fill="CCEEFF"/>
          </w:tcPr>
          <w:p>
            <w:pPr>
              <w:spacing w:after="0"/>
              <w:rPr>
                <w:sz w:val="18"/>
                <w:szCs w:val="18"/>
                <w:color w:val="auto"/>
              </w:rPr>
            </w:pPr>
          </w:p>
        </w:tc>
      </w:tr>
      <w:tr>
        <w:trPr>
          <w:trHeight w:val="216"/>
        </w:trPr>
        <w:tc>
          <w:tcPr>
            <w:tcW w:w="7600" w:type="dxa"/>
            <w:vAlign w:val="bottom"/>
          </w:tcPr>
          <w:p>
            <w:pPr>
              <w:ind w:left="180"/>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16,161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40" w:type="dxa"/>
            <w:vAlign w:val="bottom"/>
            <w:gridSpan w:val="5"/>
          </w:tcPr>
          <w:p>
            <w:pPr>
              <w:jc w:val="right"/>
              <w:ind w:right="20"/>
              <w:spacing w:after="0"/>
              <w:rPr>
                <w:sz w:val="20"/>
                <w:szCs w:val="20"/>
                <w:color w:val="auto"/>
              </w:rPr>
            </w:pPr>
            <w:r>
              <w:rPr>
                <w:rFonts w:ascii="Arial" w:cs="Arial" w:eastAsia="Arial" w:hAnsi="Arial"/>
                <w:sz w:val="18"/>
                <w:szCs w:val="18"/>
                <w:color w:val="auto"/>
              </w:rPr>
              <w:t>16,161</w:t>
            </w:r>
          </w:p>
        </w:tc>
        <w:tc>
          <w:tcPr>
            <w:tcW w:w="40" w:type="dxa"/>
            <w:vAlign w:val="bottom"/>
          </w:tcPr>
          <w:p>
            <w:pPr>
              <w:spacing w:after="0"/>
              <w:rPr>
                <w:sz w:val="18"/>
                <w:szCs w:val="18"/>
                <w:color w:val="auto"/>
              </w:rPr>
            </w:pPr>
          </w:p>
        </w:tc>
      </w:tr>
      <w:tr>
        <w:trPr>
          <w:trHeight w:val="27"/>
        </w:trPr>
        <w:tc>
          <w:tcPr>
            <w:tcW w:w="7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marketable securities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54,659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64,189</w:t>
            </w:r>
          </w:p>
        </w:tc>
        <w:tc>
          <w:tcPr>
            <w:tcW w:w="40" w:type="dxa"/>
            <w:vAlign w:val="bottom"/>
            <w:shd w:val="clear" w:color="auto" w:fill="CCEEFF"/>
          </w:tcPr>
          <w:p>
            <w:pPr>
              <w:spacing w:after="0"/>
              <w:rPr>
                <w:sz w:val="18"/>
                <w:szCs w:val="18"/>
                <w:color w:val="auto"/>
              </w:rPr>
            </w:pPr>
          </w:p>
        </w:tc>
      </w:tr>
      <w:tr>
        <w:trPr>
          <w:trHeight w:val="223"/>
        </w:trPr>
        <w:tc>
          <w:tcPr>
            <w:tcW w:w="760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32,317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54,659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1"/>
              </w:rPr>
              <w:t>$ 86,976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7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7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Redeemable convertible preferred stock warrant liability</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94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40" w:type="dxa"/>
            <w:vAlign w:val="bottom"/>
          </w:tcPr>
          <w:p>
            <w:pPr>
              <w:spacing w:after="0"/>
              <w:rPr>
                <w:sz w:val="18"/>
                <w:szCs w:val="18"/>
                <w:color w:val="auto"/>
              </w:rPr>
            </w:pPr>
          </w:p>
        </w:tc>
      </w:tr>
      <w:tr>
        <w:trPr>
          <w:trHeight w:val="27"/>
        </w:trPr>
        <w:tc>
          <w:tcPr>
            <w:tcW w:w="7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7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94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w:t>
            </w:r>
          </w:p>
        </w:tc>
        <w:tc>
          <w:tcPr>
            <w:tcW w:w="40" w:type="dxa"/>
            <w:vAlign w:val="bottom"/>
            <w:shd w:val="clear" w:color="auto" w:fill="CCEEFF"/>
          </w:tcPr>
          <w:p>
            <w:pPr>
              <w:spacing w:after="0"/>
              <w:rPr>
                <w:sz w:val="18"/>
                <w:szCs w:val="18"/>
                <w:color w:val="auto"/>
              </w:rPr>
            </w:pPr>
          </w:p>
        </w:tc>
      </w:tr>
      <w:tr>
        <w:trPr>
          <w:trHeight w:val="20"/>
        </w:trPr>
        <w:tc>
          <w:tcPr>
            <w:tcW w:w="7860" w:type="dxa"/>
            <w:vAlign w:val="bottom"/>
            <w:gridSpan w:val="2"/>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10460" w:type="dxa"/>
            <w:vAlign w:val="bottom"/>
            <w:gridSpan w:val="13"/>
          </w:tcPr>
          <w:p>
            <w:pPr>
              <w:ind w:left="460"/>
              <w:spacing w:after="0"/>
              <w:rPr>
                <w:sz w:val="20"/>
                <w:szCs w:val="20"/>
                <w:color w:val="auto"/>
              </w:rPr>
            </w:pPr>
            <w:r>
              <w:rPr>
                <w:rFonts w:ascii="Arial" w:cs="Arial" w:eastAsia="Arial" w:hAnsi="Arial"/>
                <w:sz w:val="18"/>
                <w:szCs w:val="18"/>
                <w:color w:val="auto"/>
                <w:w w:val="91"/>
              </w:rPr>
              <w:t>There were no transfers of financial assets or liabilities into or out of Level 1, Level 2, or Level 3 during the year ended January 31, 2019.</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9500" w:type="dxa"/>
            <w:vAlign w:val="bottom"/>
            <w:gridSpan w:val="9"/>
          </w:tcPr>
          <w:p>
            <w:pPr>
              <w:ind w:left="460"/>
              <w:spacing w:after="0"/>
              <w:rPr>
                <w:sz w:val="20"/>
                <w:szCs w:val="20"/>
                <w:color w:val="auto"/>
              </w:rPr>
            </w:pPr>
            <w:r>
              <w:rPr>
                <w:rFonts w:ascii="Arial" w:cs="Arial" w:eastAsia="Arial" w:hAnsi="Arial"/>
                <w:sz w:val="18"/>
                <w:szCs w:val="18"/>
                <w:color w:val="auto"/>
                <w:w w:val="93"/>
              </w:rPr>
              <w:t>The following table summarizes the change in the redeemable convertible preferred stock warrant liability (in thousands):</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1"/>
        </w:trPr>
        <w:tc>
          <w:tcPr>
            <w:tcW w:w="7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gridSpan w:val="4"/>
          </w:tcPr>
          <w:p>
            <w:pPr>
              <w:ind w:left="20"/>
              <w:spacing w:after="0"/>
              <w:rPr>
                <w:sz w:val="20"/>
                <w:szCs w:val="20"/>
                <w:color w:val="auto"/>
              </w:rPr>
            </w:pPr>
            <w:r>
              <w:rPr>
                <w:rFonts w:ascii="Arial" w:cs="Arial" w:eastAsia="Arial" w:hAnsi="Arial"/>
                <w:sz w:val="14"/>
                <w:szCs w:val="14"/>
                <w:b w:val="1"/>
                <w:bCs w:val="1"/>
                <w:color w:val="auto"/>
              </w:rPr>
              <w:t>Amount</w:t>
            </w:r>
          </w:p>
        </w:tc>
      </w:tr>
      <w:tr>
        <w:trPr>
          <w:trHeight w:val="210"/>
        </w:trPr>
        <w:tc>
          <w:tcPr>
            <w:tcW w:w="7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February 1, 2018</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7600" w:type="dxa"/>
            <w:vAlign w:val="bottom"/>
          </w:tcPr>
          <w:p>
            <w:pPr>
              <w:spacing w:after="0"/>
              <w:rPr>
                <w:sz w:val="20"/>
                <w:szCs w:val="20"/>
                <w:color w:val="auto"/>
              </w:rPr>
            </w:pPr>
            <w:r>
              <w:rPr>
                <w:rFonts w:ascii="Arial" w:cs="Arial" w:eastAsia="Arial" w:hAnsi="Arial"/>
                <w:sz w:val="18"/>
                <w:szCs w:val="18"/>
                <w:color w:val="auto"/>
                <w:w w:val="93"/>
              </w:rPr>
              <w:t>Adjustment resulting from change in fair value recognized in the consolidated statement of operations</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9"/>
                <w:szCs w:val="19"/>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31, 2019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94</w:t>
            </w:r>
          </w:p>
        </w:tc>
      </w:tr>
      <w:tr>
        <w:trPr>
          <w:trHeight w:val="20"/>
        </w:trPr>
        <w:tc>
          <w:tcPr>
            <w:tcW w:w="7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unrealized gains related to marketable securities on the Company’s consolidated balance sheet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8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3"/>
              </w:rPr>
              <w:t>Gross</w:t>
            </w:r>
          </w:p>
        </w:tc>
        <w:tc>
          <w:tcPr>
            <w:tcW w:w="8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7"/>
              </w:rPr>
              <w:t>Gains</w:t>
            </w:r>
          </w:p>
        </w:tc>
        <w:tc>
          <w:tcPr>
            <w:tcW w:w="820" w:type="dxa"/>
            <w:vAlign w:val="bottom"/>
            <w:gridSpan w:val="3"/>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treasury bonds</w:t>
            </w:r>
          </w:p>
        </w:tc>
        <w:tc>
          <w:tcPr>
            <w:tcW w:w="46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Commercial paper</w:t>
            </w:r>
          </w:p>
        </w:tc>
        <w:tc>
          <w:tcPr>
            <w:tcW w:w="4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ind w:left="80"/>
              <w:spacing w:after="0"/>
              <w:rPr>
                <w:sz w:val="20"/>
                <w:szCs w:val="20"/>
                <w:color w:val="auto"/>
              </w:rPr>
            </w:pPr>
            <w:r>
              <w:rPr>
                <w:rFonts w:ascii="Arial" w:cs="Arial" w:eastAsia="Arial" w:hAnsi="Arial"/>
                <w:sz w:val="18"/>
                <w:szCs w:val="18"/>
                <w:color w:val="auto"/>
              </w:rPr>
              <w:t>38,498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38,498</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4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16,139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16,161</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Balances at January 31, 2019</w:t>
            </w:r>
          </w:p>
        </w:tc>
        <w:tc>
          <w:tcPr>
            <w:tcW w:w="46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3"/>
              </w:rPr>
              <w:t>64,166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64,189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80" w:type="dxa"/>
            <w:vAlign w:val="bottom"/>
          </w:tcPr>
          <w:p>
            <w:pPr>
              <w:spacing w:after="0"/>
              <w:rPr>
                <w:sz w:val="24"/>
                <w:szCs w:val="24"/>
                <w:color w:val="auto"/>
              </w:rPr>
            </w:pPr>
          </w:p>
        </w:tc>
        <w:tc>
          <w:tcPr>
            <w:tcW w:w="4800" w:type="dxa"/>
            <w:vAlign w:val="bottom"/>
            <w:gridSpan w:val="2"/>
          </w:tcPr>
          <w:p>
            <w:pPr>
              <w:jc w:val="right"/>
              <w:ind w:right="2707"/>
              <w:spacing w:after="0"/>
              <w:rPr>
                <w:sz w:val="20"/>
                <w:szCs w:val="20"/>
                <w:color w:val="auto"/>
              </w:rPr>
            </w:pPr>
            <w:r>
              <w:rPr>
                <w:rFonts w:ascii="Arial" w:cs="Arial" w:eastAsia="Arial" w:hAnsi="Arial"/>
                <w:sz w:val="18"/>
                <w:szCs w:val="18"/>
                <w:color w:val="auto"/>
              </w:rPr>
              <w:t>F-16</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Balance Sheet Components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As of</w:t>
            </w:r>
          </w:p>
        </w:tc>
      </w:tr>
      <w:tr>
        <w:trPr>
          <w:trHeight w:val="171"/>
        </w:trPr>
        <w:tc>
          <w:tcPr>
            <w:tcW w:w="9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2"/>
              </w:rPr>
              <w:t>January 31, 2019</w:t>
            </w:r>
          </w:p>
        </w:tc>
      </w:tr>
      <w:tr>
        <w:trPr>
          <w:trHeight w:val="209"/>
        </w:trPr>
        <w:tc>
          <w:tcPr>
            <w:tcW w:w="9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Desktop and other computer equipment</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2,255</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98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1,641</w:t>
            </w:r>
          </w:p>
        </w:tc>
        <w:tc>
          <w:tcPr>
            <w:tcW w:w="120" w:type="dxa"/>
            <w:vAlign w:val="bottom"/>
          </w:tcPr>
          <w:p>
            <w:pPr>
              <w:spacing w:after="0"/>
              <w:rPr>
                <w:sz w:val="18"/>
                <w:szCs w:val="18"/>
                <w:color w:val="auto"/>
              </w:rPr>
            </w:pPr>
          </w:p>
        </w:tc>
      </w:tr>
      <w:tr>
        <w:trPr>
          <w:trHeight w:val="216"/>
        </w:trPr>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8,704</w:t>
            </w:r>
          </w:p>
        </w:tc>
        <w:tc>
          <w:tcPr>
            <w:tcW w:w="120" w:type="dxa"/>
            <w:vAlign w:val="bottom"/>
            <w:shd w:val="clear" w:color="auto" w:fill="CCEEFF"/>
          </w:tcPr>
          <w:p>
            <w:pPr>
              <w:spacing w:after="0"/>
              <w:rPr>
                <w:sz w:val="18"/>
                <w:szCs w:val="18"/>
                <w:color w:val="auto"/>
              </w:rPr>
            </w:pPr>
          </w:p>
        </w:tc>
      </w:tr>
      <w:tr>
        <w:trPr>
          <w:trHeight w:val="216"/>
        </w:trPr>
        <w:tc>
          <w:tcPr>
            <w:tcW w:w="9880" w:type="dxa"/>
            <w:vAlign w:val="bottom"/>
          </w:tcPr>
          <w:p>
            <w:pPr>
              <w:spacing w:after="0"/>
              <w:rPr>
                <w:sz w:val="20"/>
                <w:szCs w:val="20"/>
                <w:color w:val="auto"/>
              </w:rPr>
            </w:pPr>
            <w:r>
              <w:rPr>
                <w:rFonts w:ascii="Arial" w:cs="Arial" w:eastAsia="Arial" w:hAnsi="Arial"/>
                <w:sz w:val="18"/>
                <w:szCs w:val="18"/>
                <w:color w:val="auto"/>
              </w:rPr>
              <w:t>Capitalized internal-use software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8,919</w:t>
            </w:r>
          </w:p>
        </w:tc>
        <w:tc>
          <w:tcPr>
            <w:tcW w:w="120" w:type="dxa"/>
            <w:vAlign w:val="bottom"/>
          </w:tcPr>
          <w:p>
            <w:pPr>
              <w:spacing w:after="0"/>
              <w:rPr>
                <w:sz w:val="18"/>
                <w:szCs w:val="18"/>
                <w:color w:val="auto"/>
              </w:rPr>
            </w:pPr>
          </w:p>
        </w:tc>
      </w:tr>
      <w:tr>
        <w:trPr>
          <w:trHeight w:val="216"/>
        </w:trPr>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8"/>
                <w:szCs w:val="18"/>
                <w:color w:val="auto"/>
              </w:rPr>
            </w:pPr>
          </w:p>
        </w:tc>
      </w:tr>
      <w:tr>
        <w:trPr>
          <w:trHeight w:val="223"/>
        </w:trPr>
        <w:tc>
          <w:tcPr>
            <w:tcW w:w="9880" w:type="dxa"/>
            <w:vAlign w:val="bottom"/>
          </w:tcPr>
          <w:p>
            <w:pPr>
              <w:ind w:left="360"/>
              <w:spacing w:after="0"/>
              <w:rPr>
                <w:sz w:val="20"/>
                <w:szCs w:val="20"/>
                <w:color w:val="auto"/>
              </w:rPr>
            </w:pPr>
            <w:r>
              <w:rPr>
                <w:rFonts w:ascii="Arial" w:cs="Arial" w:eastAsia="Arial" w:hAnsi="Arial"/>
                <w:sz w:val="18"/>
                <w:szCs w:val="18"/>
                <w:color w:val="auto"/>
              </w:rPr>
              <w:t>Total gross property and equipment</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21,568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(17,469)</w:t>
            </w:r>
          </w:p>
        </w:tc>
      </w:tr>
      <w:tr>
        <w:trPr>
          <w:trHeight w:val="223"/>
        </w:trPr>
        <w:tc>
          <w:tcPr>
            <w:tcW w:w="9880" w:type="dxa"/>
            <w:vAlign w:val="bottom"/>
          </w:tcPr>
          <w:p>
            <w:pPr>
              <w:ind w:left="360"/>
              <w:spacing w:after="0"/>
              <w:rPr>
                <w:sz w:val="20"/>
                <w:szCs w:val="20"/>
                <w:color w:val="auto"/>
              </w:rPr>
            </w:pPr>
            <w:r>
              <w:rPr>
                <w:rFonts w:ascii="Arial" w:cs="Arial" w:eastAsia="Arial" w:hAnsi="Arial"/>
                <w:sz w:val="18"/>
                <w:szCs w:val="18"/>
                <w:color w:val="auto"/>
              </w:rPr>
              <w:t>Total property and equipment, net</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4,099</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
        </w:trPr>
        <w:tc>
          <w:tcPr>
            <w:tcW w:w="9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Depreciation and amortization expense for the year ended January 31, 2019 was $2.9 million.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changes in the carrying value of capitalized internal-use software costs for the year ended January 31, 2019 are as follows (in thousands):</w:t>
      </w:r>
    </w:p>
    <w:p>
      <w:pPr>
        <w:sectPr>
          <w:pgSz w:w="11900" w:h="16838" w:orient="portrait"/>
          <w:cols w:equalWidth="0" w:num="1">
            <w:col w:w="11240"/>
          </w:cols>
          <w:pgMar w:left="320" w:top="459" w:right="33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Balance as of February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Capitalization of internal-use software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internal-use software costs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Balance as of January 31, 2019</w:t>
      </w:r>
    </w:p>
    <w:p>
      <w:pPr>
        <w:spacing w:after="0" w:line="36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Prepaid expenses and other current assets consisted of the following (in thousands):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54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Deferred contract acquisition costs,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Other current assets</w:t>
      </w:r>
    </w:p>
    <w:p>
      <w:pPr>
        <w:spacing w:after="0" w:line="2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prepaid expenses and other current assets</w:t>
      </w:r>
    </w:p>
    <w:p>
      <w:pPr>
        <w:spacing w:after="0" w:line="3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Accrued expenses and other current liabilities consisted of the following (in thousands):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Accrued payroll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Accrued taxes for fringe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Other liabilities</w:t>
      </w:r>
    </w:p>
    <w:p>
      <w:pPr>
        <w:spacing w:after="0" w:line="2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accrued expenses and other current liabilities</w:t>
      </w:r>
    </w:p>
    <w:p>
      <w:pPr>
        <w:spacing w:after="0" w:line="21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ind w:left="620"/>
        <w:spacing w:after="0"/>
        <w:rPr>
          <w:sz w:val="20"/>
          <w:szCs w:val="20"/>
          <w:color w:val="auto"/>
        </w:rPr>
      </w:pPr>
      <w:r>
        <w:rPr>
          <w:rFonts w:ascii="Arial" w:cs="Arial" w:eastAsia="Arial" w:hAnsi="Arial"/>
          <w:sz w:val="14"/>
          <w:szCs w:val="14"/>
          <w:b w:val="1"/>
          <w:bCs w:val="1"/>
          <w:u w:val="single" w:color="auto"/>
          <w:color w:val="auto"/>
        </w:rPr>
        <w:t>Amount</w:t>
      </w:r>
    </w:p>
    <w:p>
      <w:pPr>
        <w:spacing w:after="0" w:line="25"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$ 1,801</w:t>
      </w:r>
    </w:p>
    <w:p>
      <w:pPr>
        <w:spacing w:after="0" w:line="8"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597</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(1,357)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5715</wp:posOffset>
            </wp:positionV>
            <wp:extent cx="36004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2"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$ 1,041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As of</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January 31, 2019</w:t>
      </w:r>
    </w:p>
    <w:p>
      <w:pPr>
        <w:spacing w:after="0" w:line="9" w:lineRule="exact"/>
        <w:rPr>
          <w:sz w:val="20"/>
          <w:szCs w:val="20"/>
          <w:color w:val="auto"/>
        </w:rPr>
      </w:pPr>
    </w:p>
    <w:p>
      <w:pPr>
        <w:ind w:left="780" w:hanging="776"/>
        <w:spacing w:after="0"/>
        <w:tabs>
          <w:tab w:leader="none" w:pos="780" w:val="left"/>
        </w:tabs>
        <w:numPr>
          <w:ilvl w:val="0"/>
          <w:numId w:val="99"/>
        </w:numPr>
        <w:rPr>
          <w:rFonts w:ascii="Arial" w:cs="Arial" w:eastAsia="Arial" w:hAnsi="Arial"/>
          <w:sz w:val="17"/>
          <w:szCs w:val="17"/>
          <w:color w:val="auto"/>
        </w:rPr>
      </w:pPr>
      <w:r>
        <w:rPr>
          <w:rFonts w:ascii="Arial" w:cs="Arial" w:eastAsia="Arial" w:hAnsi="Arial"/>
          <w:sz w:val="17"/>
          <w:szCs w:val="17"/>
          <w:color w:val="auto"/>
        </w:rPr>
        <w:t>7,460</w:t>
      </w:r>
    </w:p>
    <w:p>
      <w:pPr>
        <w:spacing w:after="0" w:line="19" w:lineRule="exact"/>
        <w:rPr>
          <w:rFonts w:ascii="Arial" w:cs="Arial" w:eastAsia="Arial" w:hAnsi="Arial"/>
          <w:sz w:val="17"/>
          <w:szCs w:val="17"/>
          <w:color w:val="auto"/>
        </w:rPr>
      </w:pPr>
    </w:p>
    <w:p>
      <w:pPr>
        <w:ind w:left="920"/>
        <w:spacing w:after="0"/>
        <w:rPr>
          <w:rFonts w:ascii="Arial" w:cs="Arial" w:eastAsia="Arial" w:hAnsi="Arial"/>
          <w:sz w:val="17"/>
          <w:szCs w:val="17"/>
          <w:color w:val="auto"/>
        </w:rPr>
      </w:pPr>
      <w:r>
        <w:rPr>
          <w:rFonts w:ascii="Arial" w:cs="Arial" w:eastAsia="Arial" w:hAnsi="Arial"/>
          <w:sz w:val="17"/>
          <w:szCs w:val="17"/>
          <w:color w:val="auto"/>
        </w:rPr>
        <w:t>797</w:t>
      </w:r>
    </w:p>
    <w:p>
      <w:pPr>
        <w:spacing w:after="0" w:line="21" w:lineRule="exact"/>
        <w:rPr>
          <w:sz w:val="20"/>
          <w:szCs w:val="20"/>
          <w:color w:val="auto"/>
        </w:rPr>
      </w:pPr>
    </w:p>
    <w:p>
      <w:pPr>
        <w:ind w:left="780"/>
        <w:spacing w:after="0"/>
        <w:rPr>
          <w:sz w:val="20"/>
          <w:szCs w:val="20"/>
          <w:color w:val="auto"/>
        </w:rPr>
      </w:pPr>
      <w:r>
        <w:rPr>
          <w:rFonts w:ascii="Arial" w:cs="Arial" w:eastAsia="Arial" w:hAnsi="Arial"/>
          <w:sz w:val="17"/>
          <w:szCs w:val="17"/>
          <w:color w:val="auto"/>
        </w:rPr>
        <w:t>1,338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543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spacing w:after="0" w:line="13" w:lineRule="exact"/>
        <w:rPr>
          <w:sz w:val="20"/>
          <w:szCs w:val="20"/>
          <w:color w:val="auto"/>
        </w:rPr>
      </w:pPr>
    </w:p>
    <w:p>
      <w:pPr>
        <w:ind w:left="780" w:hanging="776"/>
        <w:spacing w:after="0"/>
        <w:tabs>
          <w:tab w:leader="none" w:pos="7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9,595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22225</wp:posOffset>
            </wp:positionV>
            <wp:extent cx="7543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5438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39370</wp:posOffset>
            </wp:positionV>
            <wp:extent cx="7543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As of</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January 31, 2019</w:t>
      </w:r>
    </w:p>
    <w:p>
      <w:pPr>
        <w:spacing w:after="0" w:line="9" w:lineRule="exact"/>
        <w:rPr>
          <w:sz w:val="20"/>
          <w:szCs w:val="20"/>
          <w:color w:val="auto"/>
        </w:rPr>
      </w:pPr>
    </w:p>
    <w:p>
      <w:pPr>
        <w:ind w:left="780" w:hanging="776"/>
        <w:spacing w:after="0"/>
        <w:tabs>
          <w:tab w:leader="none" w:pos="7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2,342</w:t>
      </w:r>
    </w:p>
    <w:p>
      <w:pPr>
        <w:spacing w:after="0" w:line="19" w:lineRule="exact"/>
        <w:rPr>
          <w:rFonts w:ascii="Arial" w:cs="Arial" w:eastAsia="Arial" w:hAnsi="Arial"/>
          <w:sz w:val="17"/>
          <w:szCs w:val="17"/>
          <w:color w:val="auto"/>
        </w:rPr>
      </w:pPr>
    </w:p>
    <w:p>
      <w:pPr>
        <w:ind w:left="780"/>
        <w:spacing w:after="0"/>
        <w:rPr>
          <w:rFonts w:ascii="Arial" w:cs="Arial" w:eastAsia="Arial" w:hAnsi="Arial"/>
          <w:sz w:val="17"/>
          <w:szCs w:val="17"/>
          <w:color w:val="auto"/>
        </w:rPr>
      </w:pPr>
      <w:r>
        <w:rPr>
          <w:rFonts w:ascii="Arial" w:cs="Arial" w:eastAsia="Arial" w:hAnsi="Arial"/>
          <w:sz w:val="17"/>
          <w:szCs w:val="17"/>
          <w:color w:val="auto"/>
        </w:rPr>
        <w:t>2,291</w:t>
      </w:r>
    </w:p>
    <w:p>
      <w:pPr>
        <w:spacing w:after="0" w:line="20" w:lineRule="exact"/>
        <w:rPr>
          <w:rFonts w:ascii="Arial" w:cs="Arial" w:eastAsia="Arial" w:hAnsi="Arial"/>
          <w:sz w:val="17"/>
          <w:szCs w:val="17"/>
          <w:color w:val="auto"/>
        </w:rPr>
      </w:pPr>
    </w:p>
    <w:p>
      <w:pPr>
        <w:ind w:left="780"/>
        <w:spacing w:after="0"/>
        <w:rPr>
          <w:rFonts w:ascii="Arial" w:cs="Arial" w:eastAsia="Arial" w:hAnsi="Arial"/>
          <w:sz w:val="17"/>
          <w:szCs w:val="17"/>
          <w:color w:val="auto"/>
        </w:rPr>
      </w:pPr>
      <w:r>
        <w:rPr>
          <w:rFonts w:ascii="Arial" w:cs="Arial" w:eastAsia="Arial" w:hAnsi="Arial"/>
          <w:sz w:val="17"/>
          <w:szCs w:val="17"/>
          <w:color w:val="auto"/>
        </w:rPr>
        <w:t>3,297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543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spacing w:after="0" w:line="13" w:lineRule="exact"/>
        <w:rPr>
          <w:sz w:val="20"/>
          <w:szCs w:val="20"/>
          <w:color w:val="auto"/>
        </w:rPr>
      </w:pPr>
    </w:p>
    <w:p>
      <w:pPr>
        <w:ind w:left="780" w:hanging="776"/>
        <w:spacing w:after="0"/>
        <w:tabs>
          <w:tab w:leader="none" w:pos="78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7,930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22225</wp:posOffset>
            </wp:positionV>
            <wp:extent cx="7543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5438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39370</wp:posOffset>
            </wp:positionV>
            <wp:extent cx="7543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sectPr>
          <w:pgSz w:w="11900" w:h="16838" w:orient="portrait"/>
          <w:cols w:equalWidth="0" w:num="2">
            <w:col w:w="9260" w:space="720"/>
            <w:col w:w="1260"/>
          </w:cols>
          <w:pgMar w:left="320" w:top="459" w:right="339" w:bottom="1440" w:gutter="0" w:footer="0" w:header="0"/>
          <w:type w:val="continuous"/>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Convertible Promissory Note</w:t>
      </w:r>
    </w:p>
    <w:p>
      <w:pPr>
        <w:spacing w:after="0" w:line="121" w:lineRule="exact"/>
        <w:rPr>
          <w:sz w:val="20"/>
          <w:szCs w:val="20"/>
          <w:color w:val="auto"/>
        </w:rPr>
      </w:pPr>
    </w:p>
    <w:p>
      <w:pPr>
        <w:ind w:right="60" w:firstLine="449"/>
        <w:spacing w:after="0" w:line="254" w:lineRule="auto"/>
        <w:rPr>
          <w:sz w:val="20"/>
          <w:szCs w:val="20"/>
          <w:color w:val="auto"/>
        </w:rPr>
      </w:pPr>
      <w:r>
        <w:rPr>
          <w:rFonts w:ascii="Arial" w:cs="Arial" w:eastAsia="Arial" w:hAnsi="Arial"/>
          <w:sz w:val="18"/>
          <w:szCs w:val="18"/>
          <w:color w:val="auto"/>
        </w:rPr>
        <w:t>In January 2018, the Company entered into a convertible note purchase agreement with an entity affiliated with its CEO. Pursuant to this convertible note purchase agreement, the Company has the right to sell convertible promissory notes of the Company having an aggregate principal amount of up to $75 million from time to time until January 19, 2023. Each convertible promissory note is to have a maturity date of nine years following the date that the first convertible promissory note is sold by the Company and is to bear interest at the then current prime rate, compounded annually. At the Company’s option, all or any portion of the principal and accrued interest may be converted into either the Company’s equity securities being issued in the Company’s next equity financing at the purchase price per share of such financing or the Company’s most recently completed Series D redeemable convertible preferred stock financing. As of January 31, 2019, the Company has not issued any convertible promissory notes pursuant to this convertible note purchase agreement.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leases office space under various operating lease agreements expiring at various dates through fiscal 2024.</w:t>
      </w:r>
    </w:p>
    <w:p>
      <w:pPr>
        <w:spacing w:after="0" w:line="225" w:lineRule="exact"/>
        <w:rPr>
          <w:sz w:val="20"/>
          <w:szCs w:val="20"/>
          <w:color w:val="auto"/>
        </w:rPr>
      </w:pPr>
    </w:p>
    <w:p>
      <w:pPr>
        <w:ind w:right="640" w:firstLine="449"/>
        <w:spacing w:after="0" w:line="277" w:lineRule="auto"/>
        <w:rPr>
          <w:sz w:val="20"/>
          <w:szCs w:val="20"/>
          <w:color w:val="auto"/>
        </w:rPr>
      </w:pPr>
      <w:r>
        <w:rPr>
          <w:rFonts w:ascii="Arial" w:cs="Arial" w:eastAsia="Arial" w:hAnsi="Arial"/>
          <w:sz w:val="18"/>
          <w:szCs w:val="18"/>
          <w:color w:val="auto"/>
        </w:rPr>
        <w:t>The following is a schedule of the future minimum lease payments required under non-cancelable operating leases as of January 31, 2019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93"/>
              </w:rPr>
              <w:t>Year Ending January 31,</w:t>
            </w:r>
          </w:p>
        </w:tc>
        <w:tc>
          <w:tcPr>
            <w:tcW w:w="8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5"/>
              </w:rPr>
              <w:t>Minimum Lease</w:t>
            </w:r>
          </w:p>
        </w:tc>
        <w:tc>
          <w:tcPr>
            <w:tcW w:w="0" w:type="dxa"/>
            <w:vAlign w:val="bottom"/>
          </w:tcPr>
          <w:p>
            <w:pPr>
              <w:spacing w:after="0"/>
              <w:rPr>
                <w:sz w:val="1"/>
                <w:szCs w:val="1"/>
                <w:color w:val="auto"/>
              </w:rPr>
            </w:pPr>
          </w:p>
        </w:tc>
      </w:tr>
      <w:tr>
        <w:trPr>
          <w:trHeight w:val="178"/>
        </w:trPr>
        <w:tc>
          <w:tcPr>
            <w:tcW w:w="1540" w:type="dxa"/>
            <w:vAlign w:val="bottom"/>
            <w:tcBorders>
              <w:bottom w:val="single" w:sz="8" w:color="auto"/>
            </w:tcBorders>
            <w:vMerge w:val="continue"/>
          </w:tcPr>
          <w:p>
            <w:pPr>
              <w:spacing w:after="0"/>
              <w:rPr>
                <w:sz w:val="15"/>
                <w:szCs w:val="15"/>
                <w:color w:val="auto"/>
              </w:rPr>
            </w:pPr>
          </w:p>
        </w:tc>
        <w:tc>
          <w:tcPr>
            <w:tcW w:w="8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3"/>
          </w:tcPr>
          <w:p>
            <w:pPr>
              <w:jc w:val="center"/>
              <w:ind w:right="160"/>
              <w:spacing w:after="0" w:line="158" w:lineRule="exact"/>
              <w:rPr>
                <w:sz w:val="20"/>
                <w:szCs w:val="20"/>
                <w:color w:val="auto"/>
              </w:rPr>
            </w:pPr>
            <w:r>
              <w:rPr>
                <w:rFonts w:ascii="Arial" w:cs="Arial" w:eastAsia="Arial" w:hAnsi="Arial"/>
                <w:sz w:val="14"/>
                <w:szCs w:val="14"/>
                <w:b w:val="1"/>
                <w:bCs w:val="1"/>
                <w:color w:val="auto"/>
                <w:w w:val="90"/>
              </w:rPr>
              <w:t>Payments</w:t>
            </w:r>
          </w:p>
        </w:tc>
        <w:tc>
          <w:tcPr>
            <w:tcW w:w="0" w:type="dxa"/>
            <w:vAlign w:val="bottom"/>
          </w:tcPr>
          <w:p>
            <w:pPr>
              <w:spacing w:after="0"/>
              <w:rPr>
                <w:sz w:val="1"/>
                <w:szCs w:val="1"/>
                <w:color w:val="auto"/>
              </w:rPr>
            </w:pPr>
          </w:p>
        </w:tc>
      </w:tr>
      <w:tr>
        <w:trPr>
          <w:trHeight w:val="203"/>
        </w:trPr>
        <w:tc>
          <w:tcPr>
            <w:tcW w:w="15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2020</w:t>
            </w:r>
          </w:p>
        </w:tc>
        <w:tc>
          <w:tcPr>
            <w:tcW w:w="8460" w:type="dxa"/>
            <w:vAlign w:val="bottom"/>
            <w:tcBorders>
              <w:top w:val="single" w:sz="8" w:color="CCEEFF"/>
            </w:tcBorders>
            <w:gridSpan w:val="2"/>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8,708</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2021</w:t>
            </w:r>
          </w:p>
        </w:tc>
        <w:tc>
          <w:tcPr>
            <w:tcW w:w="8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10,699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8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6,899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2023</w:t>
            </w:r>
          </w:p>
        </w:tc>
        <w:tc>
          <w:tcPr>
            <w:tcW w:w="8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1,748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8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54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8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29,802</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Rent expense was $5.8 million for the year ended January 31, 2019.</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Standby Letters of Credit</w:t>
      </w:r>
    </w:p>
    <w:p>
      <w:pPr>
        <w:spacing w:after="0" w:line="117" w:lineRule="exact"/>
        <w:rPr>
          <w:sz w:val="20"/>
          <w:szCs w:val="20"/>
          <w:color w:val="auto"/>
        </w:rPr>
      </w:pPr>
    </w:p>
    <w:p>
      <w:pPr>
        <w:jc w:val="both"/>
        <w:ind w:right="20" w:firstLine="449"/>
        <w:spacing w:after="0" w:line="308" w:lineRule="auto"/>
        <w:rPr>
          <w:sz w:val="20"/>
          <w:szCs w:val="20"/>
          <w:color w:val="auto"/>
        </w:rPr>
      </w:pPr>
      <w:r>
        <w:rPr>
          <w:rFonts w:ascii="Arial" w:cs="Arial" w:eastAsia="Arial" w:hAnsi="Arial"/>
          <w:sz w:val="17"/>
          <w:szCs w:val="17"/>
          <w:color w:val="auto"/>
        </w:rPr>
        <w:t>As of January 31, 2019, the Company had several letters of credit outstanding related to its operating leases totaling $2.8 million. The letters of credit expire at various dates between 2021 to 2023. All standby letters of credit are included in restricted cash, noncurrent as of January 31, 2019.</w:t>
      </w:r>
    </w:p>
    <w:p>
      <w:pPr>
        <w:spacing w:after="0" w:line="25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17"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In December 2018, the Company entered into a 27-month contract with Amazon Web Services for hosting-related services. Pursuant to the terms of the contract, the Company is required to spend a minimum of $9.0 million within the first year and an additional minimum of $11.0 million within the second year. As of January 31, 2019, the Company has $18.5 million remaining on the commitment.</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17" w:lineRule="exact"/>
        <w:rPr>
          <w:sz w:val="20"/>
          <w:szCs w:val="20"/>
          <w:color w:val="auto"/>
        </w:rPr>
      </w:pPr>
    </w:p>
    <w:p>
      <w:pPr>
        <w:ind w:right="280" w:firstLine="449"/>
        <w:spacing w:after="0" w:line="263" w:lineRule="auto"/>
        <w:rPr>
          <w:sz w:val="20"/>
          <w:szCs w:val="20"/>
          <w:color w:val="auto"/>
        </w:rPr>
      </w:pPr>
      <w:r>
        <w:rPr>
          <w:rFonts w:ascii="Arial" w:cs="Arial" w:eastAsia="Arial" w:hAnsi="Arial"/>
          <w:sz w:val="18"/>
          <w:szCs w:val="18"/>
          <w:color w:val="auto"/>
        </w:rPr>
        <w:t>The Company has entered into indemnification agreements with its directors and officers that may require the Company to indemnify its directors and officers against any liabilities that may arise by reason of their status or service as directors or officers, other than liabilities arising from willful misconduct of the individual.</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320" w:top="459" w:right="3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75" w:lineRule="auto"/>
        <w:rPr>
          <w:sz w:val="20"/>
          <w:szCs w:val="20"/>
          <w:color w:val="auto"/>
        </w:rPr>
      </w:pPr>
      <w:r>
        <w:rPr>
          <w:rFonts w:ascii="Arial" w:cs="Arial" w:eastAsia="Arial" w:hAnsi="Arial"/>
          <w:sz w:val="17"/>
          <w:szCs w:val="17"/>
          <w:color w:val="auto"/>
        </w:rPr>
        <w:t>Additionally, in the ordinary course of business, the Company enters into agreements of varying scope and terms pursuant to which it agrees to indemnify customers, vendors, lessors, business partners, and other parties with respect to certain matters, including, but not limited to, losses arising out of the breach of such agreements, services to be provided by the Company, or from intellectual property infringement claims made by third parties. No demands have been made upon the Company to provide indemnification under such agreements, and there are no claims that the Company is aware of that could have a material adverse effect on its financial position, results of operations, or cash flows.</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color w:val="auto"/>
        </w:rPr>
        <w:t>From time to time in the normal course of business, the Company may be subject to various claims and other legal matters arising in the ordinary course of business. The Company believes that none of its current legal proceedings will have a material adverse effect on its financial position, results of operations, or cash flows.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Net Loss per Share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calculation of basic and diluted net loss per share (in thousands, except per share data):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Year Ended</w:t>
            </w:r>
          </w:p>
        </w:tc>
      </w:tr>
      <w:tr>
        <w:trPr>
          <w:trHeight w:val="171"/>
        </w:trPr>
        <w:tc>
          <w:tcPr>
            <w:tcW w:w="79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6"/>
              </w:rPr>
              <w:t>January 31, 2019</w:t>
            </w:r>
          </w:p>
        </w:tc>
      </w:tr>
      <w:tr>
        <w:trPr>
          <w:trHeight w:val="196"/>
        </w:trPr>
        <w:tc>
          <w:tcPr>
            <w:tcW w:w="7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20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Net loss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(50,928)</w:t>
            </w:r>
          </w:p>
        </w:tc>
      </w:tr>
      <w:tr>
        <w:trPr>
          <w:trHeight w:val="20"/>
        </w:trPr>
        <w:tc>
          <w:tcPr>
            <w:tcW w:w="7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Weighted-average shares used in calculating net loss per share, basic and diluted</w:t>
            </w:r>
          </w:p>
        </w:tc>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65,214</w:t>
            </w:r>
          </w:p>
        </w:tc>
      </w:tr>
      <w:tr>
        <w:trPr>
          <w:trHeight w:val="20"/>
        </w:trPr>
        <w:tc>
          <w:tcPr>
            <w:tcW w:w="7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(0.78)</w:t>
            </w:r>
          </w:p>
        </w:tc>
      </w:tr>
      <w:tr>
        <w:trPr>
          <w:trHeight w:val="20"/>
        </w:trPr>
        <w:tc>
          <w:tcPr>
            <w:tcW w:w="7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40" w:firstLine="449"/>
        <w:spacing w:after="0" w:line="277" w:lineRule="auto"/>
        <w:rPr>
          <w:sz w:val="20"/>
          <w:szCs w:val="20"/>
          <w:color w:val="auto"/>
        </w:rPr>
      </w:pPr>
      <w:r>
        <w:rPr>
          <w:rFonts w:ascii="Arial" w:cs="Arial" w:eastAsia="Arial" w:hAnsi="Arial"/>
          <w:sz w:val="18"/>
          <w:szCs w:val="18"/>
          <w:color w:val="auto"/>
        </w:rPr>
        <w:t>The potential shares of common stock that were excluded from the computation of diluted net loss per share for the period presented because including them would have been anti-dilutive are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60" w:type="dxa"/>
            <w:vAlign w:val="bottom"/>
          </w:tcPr>
          <w:p>
            <w:pPr>
              <w:spacing w:after="0"/>
              <w:rPr>
                <w:sz w:val="14"/>
                <w:szCs w:val="14"/>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9760" w:type="dxa"/>
            <w:vAlign w:val="bottom"/>
          </w:tcPr>
          <w:p>
            <w:pPr>
              <w:spacing w:after="0"/>
              <w:rPr>
                <w:sz w:val="14"/>
                <w:szCs w:val="14"/>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January 31, 2019</w:t>
            </w:r>
          </w:p>
        </w:tc>
      </w:tr>
      <w:tr>
        <w:trPr>
          <w:trHeight w:val="210"/>
        </w:trPr>
        <w:tc>
          <w:tcPr>
            <w:tcW w:w="9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Redeemable convertible preferred stock</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73,547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Stock options</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33,878</w:t>
            </w:r>
          </w:p>
        </w:tc>
      </w:t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Early exercised stock options</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781</w:t>
            </w:r>
          </w:p>
        </w:tc>
      </w:tr>
      <w:tr>
        <w:trPr>
          <w:trHeight w:val="223"/>
        </w:trPr>
        <w:tc>
          <w:tcPr>
            <w:tcW w:w="9760" w:type="dxa"/>
            <w:vAlign w:val="bottom"/>
          </w:tcPr>
          <w:p>
            <w:pPr>
              <w:spacing w:after="0"/>
              <w:rPr>
                <w:sz w:val="20"/>
                <w:szCs w:val="20"/>
                <w:color w:val="auto"/>
              </w:rPr>
            </w:pPr>
            <w:r>
              <w:rPr>
                <w:rFonts w:ascii="Arial" w:cs="Arial" w:eastAsia="Arial" w:hAnsi="Arial"/>
                <w:sz w:val="18"/>
                <w:szCs w:val="18"/>
                <w:color w:val="auto"/>
              </w:rPr>
              <w:t>Redeemable convertible preferred stock warrants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9"/>
                <w:szCs w:val="19"/>
                <w:color w:val="auto"/>
              </w:rPr>
            </w:pPr>
          </w:p>
        </w:tc>
      </w:t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108,243</w:t>
            </w:r>
          </w:p>
        </w:tc>
      </w:tr>
      <w:tr>
        <w:trPr>
          <w:trHeight w:val="20"/>
        </w:trPr>
        <w:tc>
          <w:tcPr>
            <w:tcW w:w="97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Unaudited Pro Forma Net Loss per Share</w:t>
      </w:r>
    </w:p>
    <w:p>
      <w:pPr>
        <w:spacing w:after="0" w:line="117" w:lineRule="exact"/>
        <w:rPr>
          <w:sz w:val="20"/>
          <w:szCs w:val="20"/>
          <w:color w:val="auto"/>
        </w:rPr>
      </w:pPr>
    </w:p>
    <w:p>
      <w:pPr>
        <w:ind w:right="240" w:firstLine="449"/>
        <w:spacing w:after="0" w:line="263" w:lineRule="auto"/>
        <w:rPr>
          <w:sz w:val="20"/>
          <w:szCs w:val="20"/>
          <w:color w:val="auto"/>
        </w:rPr>
      </w:pPr>
      <w:r>
        <w:rPr>
          <w:rFonts w:ascii="Arial" w:cs="Arial" w:eastAsia="Arial" w:hAnsi="Arial"/>
          <w:sz w:val="18"/>
          <w:szCs w:val="18"/>
          <w:color w:val="auto"/>
        </w:rPr>
        <w:t>Unaudited pro forma net loss per share for the year ended January 31, 2019 has been computed assuming the conversion of all redeemable convertible preferred stock and the expiration of redeemable convertible preferred stock warrants as of the beginning of the period or the original date of issuance, if later.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320" w:top="459" w:right="3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calculation of pro forma basic and diluted net loss per share (in thousands, except per share data):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8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January 31, 2019</w:t>
            </w:r>
          </w:p>
        </w:tc>
      </w:tr>
      <w:tr>
        <w:trPr>
          <w:trHeight w:val="142"/>
        </w:trPr>
        <w:tc>
          <w:tcPr>
            <w:tcW w:w="82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2"/>
                <w:szCs w:val="12"/>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Net loss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(50,928)</w:t>
            </w: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redeemable convertible preferred stock warrant liability</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w:t>
            </w:r>
          </w:p>
        </w:tc>
      </w:tr>
      <w:tr>
        <w:trPr>
          <w:trHeight w:val="223"/>
        </w:trPr>
        <w:tc>
          <w:tcPr>
            <w:tcW w:w="8200" w:type="dxa"/>
            <w:vAlign w:val="bottom"/>
          </w:tcPr>
          <w:p>
            <w:pPr>
              <w:spacing w:after="0"/>
              <w:rPr>
                <w:sz w:val="20"/>
                <w:szCs w:val="20"/>
                <w:color w:val="auto"/>
              </w:rPr>
            </w:pPr>
            <w:r>
              <w:rPr>
                <w:rFonts w:ascii="Arial" w:cs="Arial" w:eastAsia="Arial" w:hAnsi="Arial"/>
                <w:sz w:val="18"/>
                <w:szCs w:val="18"/>
                <w:color w:val="auto"/>
              </w:rPr>
              <w:t>Pro forma net loss</w:t>
            </w:r>
          </w:p>
        </w:tc>
        <w:tc>
          <w:tcPr>
            <w:tcW w:w="16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(50,893)</w:t>
            </w:r>
          </w:p>
        </w:tc>
        <w:tc>
          <w:tcPr>
            <w:tcW w:w="120" w:type="dxa"/>
            <w:vAlign w:val="bottom"/>
          </w:tcPr>
          <w:p>
            <w:pPr>
              <w:spacing w:after="0"/>
              <w:rPr>
                <w:sz w:val="19"/>
                <w:szCs w:val="19"/>
                <w:color w:val="auto"/>
              </w:rPr>
            </w:pPr>
          </w:p>
        </w:tc>
      </w:tr>
      <w:tr>
        <w:trPr>
          <w:trHeight w:val="20"/>
        </w:trPr>
        <w:tc>
          <w:tcPr>
            <w:tcW w:w="8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Weighted-average shares used in calculating net loss per share, basic and diluted</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65,214</w:t>
            </w: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Pro forma adjustment to reflect conversion of redeemable convertible preferred stock</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68,631</w:t>
            </w:r>
          </w:p>
        </w:tc>
      </w:tr>
      <w:tr>
        <w:trPr>
          <w:trHeight w:val="223"/>
        </w:trPr>
        <w:tc>
          <w:tcPr>
            <w:tcW w:w="8200" w:type="dxa"/>
            <w:vAlign w:val="bottom"/>
          </w:tcPr>
          <w:p>
            <w:pPr>
              <w:spacing w:after="0"/>
              <w:rPr>
                <w:sz w:val="20"/>
                <w:szCs w:val="20"/>
                <w:color w:val="auto"/>
              </w:rPr>
            </w:pPr>
            <w:r>
              <w:rPr>
                <w:rFonts w:ascii="Arial" w:cs="Arial" w:eastAsia="Arial" w:hAnsi="Arial"/>
                <w:sz w:val="18"/>
                <w:szCs w:val="18"/>
                <w:color w:val="auto"/>
              </w:rPr>
              <w:t>Weighted-average shares used in computing pro forma net loss per share, basic and diluted</w:t>
            </w:r>
          </w:p>
        </w:tc>
        <w:tc>
          <w:tcPr>
            <w:tcW w:w="16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133,845</w:t>
            </w:r>
          </w:p>
        </w:tc>
        <w:tc>
          <w:tcPr>
            <w:tcW w:w="120" w:type="dxa"/>
            <w:vAlign w:val="bottom"/>
          </w:tcPr>
          <w:p>
            <w:pPr>
              <w:spacing w:after="0"/>
              <w:rPr>
                <w:sz w:val="19"/>
                <w:szCs w:val="19"/>
                <w:color w:val="auto"/>
              </w:rPr>
            </w:pPr>
          </w:p>
        </w:tc>
      </w:tr>
      <w:tr>
        <w:trPr>
          <w:trHeight w:val="20"/>
        </w:trPr>
        <w:tc>
          <w:tcPr>
            <w:tcW w:w="8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 basic and diluted</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(0.38)</w:t>
            </w:r>
          </w:p>
        </w:tc>
      </w:tr>
      <w:tr>
        <w:trPr>
          <w:trHeight w:val="20"/>
        </w:trPr>
        <w:tc>
          <w:tcPr>
            <w:tcW w:w="8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Series 1 Redeemable Convertible Preferred Stock and Series A—Series E Redeemable Convertible Preferred Stock</w:t>
      </w:r>
    </w:p>
    <w:p>
      <w:pPr>
        <w:spacing w:after="0" w:line="121" w:lineRule="exact"/>
        <w:rPr>
          <w:sz w:val="20"/>
          <w:szCs w:val="20"/>
          <w:color w:val="auto"/>
        </w:rPr>
      </w:pPr>
    </w:p>
    <w:p>
      <w:pPr>
        <w:ind w:right="400" w:firstLine="449"/>
        <w:spacing w:after="0" w:line="277" w:lineRule="auto"/>
        <w:rPr>
          <w:sz w:val="20"/>
          <w:szCs w:val="20"/>
          <w:color w:val="auto"/>
        </w:rPr>
      </w:pPr>
      <w:r>
        <w:rPr>
          <w:rFonts w:ascii="Arial" w:cs="Arial" w:eastAsia="Arial" w:hAnsi="Arial"/>
          <w:sz w:val="18"/>
          <w:szCs w:val="18"/>
          <w:color w:val="auto"/>
        </w:rPr>
        <w:t>There are eight authorized series of redeemable convertible preferred stock which total 151,101,040 shares. There have been no shares issued of Series A-1, Series B-1, Series C-1, Series D-1, or Series E-1 redeemable convertible preferred stock.</w:t>
      </w:r>
    </w:p>
    <w:p>
      <w:pPr>
        <w:spacing w:after="0" w:line="170"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In fiscal 2010, one of the Company’s founders exchanged 1,560,000 shares of vested common stock and cash of less than $0.1 million into 1,560,000 shares of Series 1 redeemable convertible preferred stock.</w:t>
      </w:r>
    </w:p>
    <w:p>
      <w:pPr>
        <w:spacing w:after="0" w:line="170" w:lineRule="exact"/>
        <w:rPr>
          <w:sz w:val="20"/>
          <w:szCs w:val="20"/>
          <w:color w:val="auto"/>
        </w:rPr>
      </w:pPr>
    </w:p>
    <w:p>
      <w:pPr>
        <w:ind w:right="760" w:firstLine="449"/>
        <w:spacing w:after="0" w:line="277" w:lineRule="auto"/>
        <w:rPr>
          <w:sz w:val="20"/>
          <w:szCs w:val="20"/>
          <w:color w:val="auto"/>
        </w:rPr>
      </w:pPr>
      <w:r>
        <w:rPr>
          <w:rFonts w:ascii="Arial" w:cs="Arial" w:eastAsia="Arial" w:hAnsi="Arial"/>
          <w:sz w:val="18"/>
          <w:szCs w:val="18"/>
          <w:color w:val="auto"/>
        </w:rPr>
        <w:t>The following table summarizes the Company’s redeemable convertible preferred stock at January 31, 2019 (in thousands, except per share amounts):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48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89"/>
              </w:rPr>
              <w:t>Shares</w:t>
            </w: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Shares Issued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Original</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5"/>
              </w:rPr>
              <w:t>Liquidation</w:t>
            </w: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13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and</w:t>
            </w:r>
          </w:p>
        </w:tc>
        <w:tc>
          <w:tcPr>
            <w:tcW w:w="160" w:type="dxa"/>
            <w:vAlign w:val="bottom"/>
          </w:tcPr>
          <w:p>
            <w:pPr>
              <w:spacing w:after="0"/>
              <w:rPr>
                <w:sz w:val="12"/>
                <w:szCs w:val="12"/>
                <w:color w:val="auto"/>
              </w:rPr>
            </w:pPr>
          </w:p>
        </w:tc>
        <w:tc>
          <w:tcPr>
            <w:tcW w:w="11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Issuance Price</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580" w:type="dxa"/>
            <w:vAlign w:val="bottom"/>
          </w:tcPr>
          <w:p>
            <w:pPr>
              <w:spacing w:after="0"/>
              <w:rPr>
                <w:sz w:val="15"/>
                <w:szCs w:val="15"/>
                <w:color w:val="auto"/>
              </w:rPr>
            </w:pPr>
          </w:p>
        </w:tc>
        <w:tc>
          <w:tcPr>
            <w:tcW w:w="14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5"/>
              </w:rPr>
              <w:t>Authorized</w:t>
            </w: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Outstanding</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Per Share</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Preference</w:t>
            </w:r>
          </w:p>
        </w:tc>
        <w:tc>
          <w:tcPr>
            <w:tcW w:w="0" w:type="dxa"/>
            <w:vAlign w:val="bottom"/>
          </w:tcPr>
          <w:p>
            <w:pPr>
              <w:spacing w:after="0"/>
              <w:rPr>
                <w:sz w:val="1"/>
                <w:szCs w:val="1"/>
                <w:color w:val="auto"/>
              </w:rPr>
            </w:pPr>
          </w:p>
        </w:tc>
      </w:tr>
      <w:tr>
        <w:trPr>
          <w:trHeight w:val="210"/>
        </w:trPr>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1</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Series A</w:t>
            </w:r>
          </w:p>
        </w:tc>
        <w:tc>
          <w:tcPr>
            <w:tcW w:w="1480" w:type="dxa"/>
            <w:vAlign w:val="bottom"/>
            <w:gridSpan w:val="3"/>
          </w:tcPr>
          <w:p>
            <w:pPr>
              <w:jc w:val="right"/>
              <w:ind w:right="300"/>
              <w:spacing w:after="0"/>
              <w:rPr>
                <w:sz w:val="20"/>
                <w:szCs w:val="20"/>
                <w:color w:val="auto"/>
              </w:rPr>
            </w:pPr>
            <w:r>
              <w:rPr>
                <w:rFonts w:ascii="Arial" w:cs="Arial" w:eastAsia="Arial" w:hAnsi="Arial"/>
                <w:sz w:val="18"/>
                <w:szCs w:val="18"/>
                <w:color w:val="auto"/>
              </w:rPr>
              <w:t>20,771</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20,771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0.51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10,416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10,512</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Series A-1</w:t>
            </w:r>
          </w:p>
        </w:tc>
        <w:tc>
          <w:tcPr>
            <w:tcW w:w="14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20,771</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Series B</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11,000</w:t>
            </w:r>
          </w:p>
        </w:tc>
        <w:tc>
          <w:tcPr>
            <w:tcW w:w="2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10,447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2.71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28,193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28,292</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Series B-1</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11,000</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Series C</w:t>
            </w:r>
          </w:p>
        </w:tc>
        <w:tc>
          <w:tcPr>
            <w:tcW w:w="1480" w:type="dxa"/>
            <w:vAlign w:val="bottom"/>
            <w:gridSpan w:val="3"/>
          </w:tcPr>
          <w:p>
            <w:pPr>
              <w:jc w:val="right"/>
              <w:ind w:right="300"/>
              <w:spacing w:after="0"/>
              <w:rPr>
                <w:sz w:val="20"/>
                <w:szCs w:val="20"/>
                <w:color w:val="auto"/>
              </w:rPr>
            </w:pPr>
            <w:r>
              <w:rPr>
                <w:rFonts w:ascii="Arial" w:cs="Arial" w:eastAsia="Arial" w:hAnsi="Arial"/>
                <w:sz w:val="18"/>
                <w:szCs w:val="18"/>
                <w:color w:val="auto"/>
              </w:rPr>
              <w:t>21,000</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20,186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4.27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85,980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86,112</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Series C-1</w:t>
            </w:r>
          </w:p>
        </w:tc>
        <w:tc>
          <w:tcPr>
            <w:tcW w:w="14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21,000</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Series D</w:t>
            </w:r>
          </w:p>
        </w:tc>
        <w:tc>
          <w:tcPr>
            <w:tcW w:w="1480" w:type="dxa"/>
            <w:vAlign w:val="bottom"/>
            <w:gridSpan w:val="3"/>
          </w:tcPr>
          <w:p>
            <w:pPr>
              <w:jc w:val="right"/>
              <w:ind w:right="300"/>
              <w:spacing w:after="0"/>
              <w:rPr>
                <w:sz w:val="20"/>
                <w:szCs w:val="20"/>
                <w:color w:val="auto"/>
              </w:rPr>
            </w:pPr>
            <w:r>
              <w:rPr>
                <w:rFonts w:ascii="Arial" w:cs="Arial" w:eastAsia="Arial" w:hAnsi="Arial"/>
                <w:sz w:val="18"/>
                <w:szCs w:val="18"/>
                <w:color w:val="auto"/>
              </w:rPr>
              <w:t>15,000</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14,353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74,845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Series D-1</w:t>
            </w:r>
          </w:p>
        </w:tc>
        <w:tc>
          <w:tcPr>
            <w:tcW w:w="14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15,000</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Series E</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7,000</w:t>
            </w:r>
          </w:p>
        </w:tc>
        <w:tc>
          <w:tcPr>
            <w:tcW w:w="2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6,230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8.19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50,931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51,000</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Series E-1</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7,000</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8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151,101</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73,547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250,370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250,916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8867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64" w:lineRule="exact"/>
        <w:rPr>
          <w:sz w:val="20"/>
          <w:szCs w:val="20"/>
          <w:color w:val="auto"/>
        </w:rPr>
      </w:pPr>
    </w:p>
    <w:p>
      <w:pPr>
        <w:spacing w:after="0"/>
        <w:tabs>
          <w:tab w:leader="none" w:pos="460" w:val="left"/>
        </w:tabs>
        <w:rPr>
          <w:sz w:val="20"/>
          <w:szCs w:val="20"/>
          <w:color w:val="auto"/>
        </w:rPr>
      </w:pPr>
      <w:r>
        <w:rPr>
          <w:rFonts w:ascii="Arial" w:cs="Arial" w:eastAsia="Arial" w:hAnsi="Arial"/>
          <w:sz w:val="14"/>
          <w:szCs w:val="14"/>
          <w:color w:val="auto"/>
        </w:rPr>
        <w:t>Note:</w:t>
      </w:r>
      <w:r>
        <w:rPr>
          <w:sz w:val="20"/>
          <w:szCs w:val="20"/>
          <w:color w:val="auto"/>
        </w:rPr>
        <w:tab/>
      </w:r>
      <w:r>
        <w:rPr>
          <w:rFonts w:ascii="Arial" w:cs="Arial" w:eastAsia="Arial" w:hAnsi="Arial"/>
          <w:sz w:val="13"/>
          <w:szCs w:val="13"/>
          <w:color w:val="auto"/>
        </w:rPr>
        <w:t>Certain figures may not sum due to rounding.</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40"/>
          </w:cols>
          <w:pgMar w:left="320" w:top="459" w:right="3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rights, preferences and privileges of the above redeemable convertible preferred stock are as follows: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1 Redeemable Convertible Preferred Stock</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Conversion Rights</w:t>
      </w:r>
    </w:p>
    <w:p>
      <w:pPr>
        <w:spacing w:after="0" w:line="117"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Each share of Series 1 redeemable convertible preferred stock is convertible, at the option of the holder, at any time, into shares of Class A common stock determined by dividing $1.00 by the conversion price, which is initially $1.00. Effective immediately upon the purchase by an investor of Series 1 redeemable convertible preferred stock in connection with a future equity financing, each share of Series 1 preferred stock shall automatically convert into shares of the series of preferred stock of the Company issued in the next equity financing (defined as an event where at least $1 million worth of new preferred stock is issued) at the conversion ratio (the inverse of the ratio at which a share of subsequent preferred stock is convertible into common stock of the Company).</w:t>
      </w:r>
    </w:p>
    <w:p>
      <w:pPr>
        <w:spacing w:after="0" w:line="192" w:lineRule="exact"/>
        <w:rPr>
          <w:sz w:val="20"/>
          <w:szCs w:val="20"/>
          <w:color w:val="auto"/>
        </w:rPr>
      </w:pPr>
    </w:p>
    <w:p>
      <w:pPr>
        <w:ind w:right="60" w:firstLine="449"/>
        <w:spacing w:after="0" w:line="270" w:lineRule="auto"/>
        <w:rPr>
          <w:sz w:val="20"/>
          <w:szCs w:val="20"/>
          <w:color w:val="auto"/>
        </w:rPr>
      </w:pPr>
      <w:r>
        <w:rPr>
          <w:rFonts w:ascii="Arial" w:cs="Arial" w:eastAsia="Arial" w:hAnsi="Arial"/>
          <w:sz w:val="17"/>
          <w:szCs w:val="17"/>
          <w:color w:val="auto"/>
        </w:rPr>
        <w:t>Each share of Series 1 redeemable convertible preferred stock will automatically convert into shares of Class A common stock at the then effective conversion price for each such share immediately upon the earlier of (i) the Company’s sale of its common stock in a firm commitment of an underwritten initial public offering pursuant to a registration statement under the Securities Act of 1933, as amended, which results in aggregate gross proceeds to the Company of $75 million (net of underwriting discounts and commissions), (ii) the date specified by the written consent or agreement of the holders of a majority of the then outstanding shares of Series 1 redeemable convertible preferred stock, voting together as a single class, (iii) immediately following the approval of a liquidation transaction (as defined in the Company’s Amended and Restated Certificate of Incorporation) by the holders of a majority of the then-outstanding shares of common stock, or (iv) the date on which all shares of redeemable convertible preferred stock are automatically converted into shares of common stock pursuant to the vote or written consent of the holders of the majority of the then-outstanding shares of Series A and Series B redeemable convertible preferred stock, voting together as a single class.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Subject to the dividends that the holders of the outstanding shares of redeemable convertible preferred stock are entitled to receive, the holders of Series 1 redeemable convertible preferred stock shall be entitled to receive noncumulative dividends, when and as declared by the Board, on a pro rata basis with the holders of common stock, based on the number of shares of common stock held by each (assuming conversion of all the Series 1 redeemable convertible preferred stock into common stock). As of January 31, 2019, no dividends have been declared.</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11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Upon liquidation, dissolution or winding up of the Company, the holder of the Series 1 redeemable convertible preferred stock shall be entitled to receive after the payment of the liquidation preference of redeemable convertible preferred stock, all remaining assets available for distribution, if any, to be distributed ratably among the holders of the Series 1 redeemable convertible preferred stock and common stock. If available assets are insufficient to pay the full liquidation preference, the available assets will be distributed pro rata to the holders of the redeemable convertible preferred stock based on the preferential amount each holder is entitled to receive.</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Voting</w:t>
      </w:r>
    </w:p>
    <w:p>
      <w:pPr>
        <w:spacing w:after="0" w:line="117"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The holder of each share of Series 1 redeemable convertible preferred stock has the right to 100 votes for each share of Class A common stock into which such preferred stock could then be converted. Such holder has voting rights and powers equal to those of the holders of common stock and the holders of Series 1 redeemable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40"/>
          </w:cols>
          <w:pgMar w:left="320" w:top="459" w:right="3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convertible preferred stock and common stock shall vote together as a single class on all matters. The holder of shares of Series 1 redeemable convertible preferred stock does not have the right to vote as redeemable convertible preferred stock on any matters.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Redemption</w:t>
      </w:r>
    </w:p>
    <w:p>
      <w:pPr>
        <w:spacing w:after="0" w:line="117"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While Series 1 redeemable convertible preferred stock does not have mandatory redemption provisions, it is contingently redeemable upon a deemed liquidation event.</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Classification of Series 1 Redeemable Convertible Preferred Stock</w:t>
      </w:r>
    </w:p>
    <w:p>
      <w:pPr>
        <w:spacing w:after="0" w:line="117"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The deemed liquidation preference provisions of the Series 1 redeemable convertible preferred stock are considered contingent redemption provisions that are not solely within the Company’s control. Accordingly, the Series 1 redeemable convertible preferred stock has been presented outside of permanent equity in the mezzanine section of the consolidated balance sheet.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A–Series E Redeemable Convertible Preferred Stock</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Conversion Rights</w:t>
      </w:r>
    </w:p>
    <w:p>
      <w:pPr>
        <w:spacing w:after="0" w:line="117" w:lineRule="exact"/>
        <w:rPr>
          <w:sz w:val="20"/>
          <w:szCs w:val="20"/>
          <w:color w:val="auto"/>
        </w:rPr>
      </w:pPr>
    </w:p>
    <w:p>
      <w:pPr>
        <w:ind w:firstLine="449"/>
        <w:spacing w:after="0" w:line="289" w:lineRule="auto"/>
        <w:rPr>
          <w:sz w:val="20"/>
          <w:szCs w:val="20"/>
          <w:color w:val="auto"/>
        </w:rPr>
      </w:pPr>
      <w:r>
        <w:rPr>
          <w:rFonts w:ascii="Arial" w:cs="Arial" w:eastAsia="Arial" w:hAnsi="Arial"/>
          <w:sz w:val="16"/>
          <w:szCs w:val="16"/>
          <w:color w:val="auto"/>
        </w:rPr>
        <w:t>Each share of Series A and Series A-1 redeemable convertible preferred stock is convertible, at the option of the holder, at any time, into shares of common stock determined by dividing $0.51 by the conversion price. Each share of Series B and Series B-1 redeemable convertible preferred stock is convertible, at the option of the holder, at any time, into shares of common stock determined by dividing $2.71 by the conversion price. Each share of Series C and Series C-1 redeemable convertible preferred stock is convertible, at the option of the holder, at any time, into shares of common stock determined by dividing $4.27 by the conversion price. Each share of Series D and Series D-1 redeemable convertible preferred stock is convertible, at the option of the holder, at any time, into shares of common stock determined by dividing $5.23 by the conversion price. Each share of Series E and Series E-1 redeemable convertible preferred stock is convertible, at the option of the holder, at any time, into shares of common stock determined by dividing $8.19 by the conversion price. The initial conversion price per share of the redeemable convertible preferred stock is the original issue price. The conversion price is subject to adjustments such as stock splits, common stock dividends, combinations, subdivisions, recapitalizations, or the like.</w:t>
      </w:r>
    </w:p>
    <w:p>
      <w:pPr>
        <w:spacing w:after="0" w:line="166" w:lineRule="exact"/>
        <w:rPr>
          <w:sz w:val="20"/>
          <w:szCs w:val="20"/>
          <w:color w:val="auto"/>
        </w:rPr>
      </w:pPr>
    </w:p>
    <w:p>
      <w:pPr>
        <w:ind w:right="60" w:firstLine="449"/>
        <w:spacing w:after="0" w:line="254" w:lineRule="auto"/>
        <w:rPr>
          <w:sz w:val="20"/>
          <w:szCs w:val="20"/>
          <w:color w:val="auto"/>
        </w:rPr>
      </w:pPr>
      <w:r>
        <w:rPr>
          <w:rFonts w:ascii="Arial" w:cs="Arial" w:eastAsia="Arial" w:hAnsi="Arial"/>
          <w:sz w:val="18"/>
          <w:szCs w:val="18"/>
          <w:color w:val="auto"/>
        </w:rPr>
        <w:t>Each share of Series A, Series B, Series C, Series D, and Series E redeemable convertible preferred stock and each share of Series A-1, Series B-1, Series C-1, Series D-1, and Series E-1 will automatically convert into one share of Class A common stock or Class B common stock, respectively, at the then effective conversion price for each such share immediately upon the earlier of (i) the Company’s sale of its common stock in a firm commitment of an underwritten initial public offering pursuant to a registration statement under the Securities Act of 1933, as amended, which results in aggregate gross proceeds to the Company of $100 million (net of underwriting discounts and commissions) or (ii) the date specified by the written consent or agreement of the holders of a majority of the then outstanding shares of Series A, Series B, Series C, Series D, and Series E redeemable convertible preferred stock, voting together as a single class.</w:t>
      </w:r>
    </w:p>
    <w:p>
      <w:pPr>
        <w:spacing w:after="0" w:line="30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260" w:firstLine="449"/>
        <w:spacing w:after="0" w:line="257" w:lineRule="auto"/>
        <w:rPr>
          <w:sz w:val="20"/>
          <w:szCs w:val="20"/>
          <w:color w:val="auto"/>
        </w:rPr>
      </w:pPr>
      <w:r>
        <w:rPr>
          <w:rFonts w:ascii="Arial" w:cs="Arial" w:eastAsia="Arial" w:hAnsi="Arial"/>
          <w:sz w:val="18"/>
          <w:szCs w:val="18"/>
          <w:color w:val="auto"/>
        </w:rPr>
        <w:t>The holders of the outstanding shares of redeemable convertible preferred stock are entitled to receive, when and if declared by the Board of Directors, a noncumulative dividend at the annual rate of $0.04 per share for Series A and Series A-1, $0.22 per share for Series B and Series B-1, $0.34 per share for Series C and Series C-1, $0.42 per share for Series D and Series D-1, and $0.65 per share for Series E and Series E-1. Such dividends are payable in preference to any dividends for common stock or Series 1 redeemable convertible preferred stock declared by the Board of Directors. After payments of such dividends, any additional dividends shall be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320" w:top="459" w:right="3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distributed among holders of Series A–E redeemable convertible preferred stock, Series 1 redeemable convertible preferred stock, and common stock pro rata based on the number of shares held by each holder (assuming conversion of all such stock into common stock). No dividends have been declared as of January 31, 2019.</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117"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Upon liquidation, dissolution, or winding up of the Company, the holders of the redeemable convertible preferred stock shall be entitled to receive, prior and in preference to any distribution of any of the assets or surplus funds of the Company to the holders of shares of common stock or Series 1 redeemable convertible preferred stock, an amount equal to $0.51 per share for Series A and Series A-1, $2.71 per share for Series B and Series B-1, $4.27 per share for Series C and Series C-1, $5.23 per share for Series D and Series D-1, and $8.19 per share for Series E and Series E-1, plus any declared but unpaid dividends on such shares (“liquidation preference”). After the payment of the liquidation preference, all remaining assets available for distribution, if any, shall be distributed ratably among the holders of the Series A—E redeemable convertible preferred stock, Series 1 redeemable convertible preferred stock, and common stock. If the assets of the Company are insufficient to permit payments of the full amounts described above, then the assets shall be distributed ratably among the holders of the redeemable convertible preferred stock in proportion to the full amounts they would otherwise be entitled to receive. After payment to the holders of redeemable convertible preferred stock of the full amounts they are entitled to receive, the entire remaining assets of the Company shall be distributed ratably among the holders of Series 1 redeemable convertible preferred stock and common stock.</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Voting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holders of each share of Series A, Series B, Series C or Series D redeemable convertible preferred stock have the right to one hundred</w:t>
      </w:r>
    </w:p>
    <w:p>
      <w:pPr>
        <w:spacing w:after="0" w:line="35" w:lineRule="exact"/>
        <w:rPr>
          <w:sz w:val="20"/>
          <w:szCs w:val="20"/>
          <w:color w:val="auto"/>
        </w:rPr>
      </w:pPr>
    </w:p>
    <w:p>
      <w:pPr>
        <w:ind w:firstLine="8"/>
        <w:spacing w:after="0" w:line="286" w:lineRule="auto"/>
        <w:tabs>
          <w:tab w:leader="none" w:pos="435" w:val="left"/>
        </w:tabs>
        <w:numPr>
          <w:ilvl w:val="0"/>
          <w:numId w:val="103"/>
        </w:numPr>
        <w:rPr>
          <w:rFonts w:ascii="Arial" w:cs="Arial" w:eastAsia="Arial" w:hAnsi="Arial"/>
          <w:sz w:val="16"/>
          <w:szCs w:val="16"/>
          <w:color w:val="auto"/>
        </w:rPr>
      </w:pPr>
      <w:r>
        <w:rPr>
          <w:rFonts w:ascii="Arial" w:cs="Arial" w:eastAsia="Arial" w:hAnsi="Arial"/>
          <w:sz w:val="16"/>
          <w:szCs w:val="16"/>
          <w:color w:val="auto"/>
        </w:rPr>
        <w:t>votes for each share of Class A common stock into which such Series A, Series B, Series C, Series D or Series E redeemable convertible preferred stock could then be converted. The holders of each share of Series A-1, Series B-1, Series C-1, Series D-1 or Series E-1 redeemable convertible preferred stock shall have the right to one (1) vote for each share of Class B common stock into which such Series could then be converted. Such holder has voting rights and powers equal to those of the holders of common stock. The holders of a majority of the outstanding shares of Series A redeemable convertible preferred stock, voting as a separate class, are entitled to elect one member of the Board of Directors. The holders of a majority of the voting power of the then outstanding shares of common stock, voting as a separate class, are entitled to elect one member of the Board of Directors. The holders of a majority of the voting power of the then outstanding shares of common stock and Series 1 redeemable convertible preferred stock, voting together as a single class, are entitled to elect two members to the Company’s Board of Directors. The holders of a majority of the voting power of the then outstanding shares of common stock, Series 1 redeemable convertible preferred stock, and Series A—E redeemable convertible preferred stock, voting together as a single class, are entitled to elect the remaining members to the Company’s Board of Directors.</w:t>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Redemption</w:t>
      </w:r>
    </w:p>
    <w:p>
      <w:pPr>
        <w:spacing w:after="0" w:line="117"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While Series A, Series B, Series C, Series D, and Series E redeemable convertible preferred stock do not have mandatory redemption provisions, they are contingently redeemable upon a deemed liquidation event.</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Classification of Series A–E Redeemable Convertible Preferred Stock</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The deemed liquidation preference provisions of the Series A, Series B, Series C, Series D, and Series E redeemable convertible preferred stock are considered contingent redemption provisions that are not solely within the Company’s control. Accordingly, the Series A, Series B, Series C, Series D, and Series E redeemable convertible preferred stock have been presented outside of permanent equity in the mezzanine section of the consolidated balance sheet.</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60"/>
          </w:cols>
          <w:pgMar w:left="320" w:top="459" w:right="41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Series B Redeemable Convertible Preferred Stock Warrants</w:t>
      </w:r>
    </w:p>
    <w:p>
      <w:pPr>
        <w:spacing w:after="0" w:line="121" w:lineRule="exact"/>
        <w:rPr>
          <w:sz w:val="20"/>
          <w:szCs w:val="20"/>
          <w:color w:val="auto"/>
        </w:rPr>
      </w:pPr>
    </w:p>
    <w:p>
      <w:pPr>
        <w:ind w:right="100" w:firstLine="449"/>
        <w:spacing w:after="0" w:line="255" w:lineRule="auto"/>
        <w:rPr>
          <w:sz w:val="20"/>
          <w:szCs w:val="20"/>
          <w:color w:val="auto"/>
        </w:rPr>
      </w:pPr>
      <w:r>
        <w:rPr>
          <w:rFonts w:ascii="Arial" w:cs="Arial" w:eastAsia="Arial" w:hAnsi="Arial"/>
          <w:sz w:val="18"/>
          <w:szCs w:val="18"/>
          <w:color w:val="auto"/>
        </w:rPr>
        <w:t>In connection with the revision and extension of the Company’s corporate headquarters office lease agreement in November 2012, the Company issued fully exercisable redeemable convertible preferred stock warrants to purchase 36,928 shares of the Company’s Series B redeemable convertible preferred stock at a price of $2.71. The warrants are subject to expiration if not exercised before November 29, 2019, upon sale or merger of the Company, or the closing of a firm commitment underwritten public offering of the Company’s common stock pursuant to a registration statement under the U.S. Securities Act of 1933. The change in fair value of the redeemable convertible preferred stock warrant liability for the year ended January 31, 2019 was less than $0.1 million.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Deficit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right="200" w:firstLine="449"/>
        <w:spacing w:after="0" w:line="275" w:lineRule="auto"/>
        <w:rPr>
          <w:sz w:val="20"/>
          <w:szCs w:val="20"/>
          <w:color w:val="auto"/>
        </w:rPr>
      </w:pPr>
      <w:r>
        <w:rPr>
          <w:rFonts w:ascii="Arial" w:cs="Arial" w:eastAsia="Arial" w:hAnsi="Arial"/>
          <w:sz w:val="17"/>
          <w:szCs w:val="17"/>
          <w:color w:val="auto"/>
        </w:rPr>
        <w:t>There are two classes of common stock that total 540,000,000 authorized shares: 270,000,000 authorized shares of Class A common stock and 270,000,000 authorized shares of Class B common stock. The rights of the holders of Class A common stock and Class B common stock are identical, except with respect to voting and conversion. Each share of Class A common stock is entitled to 100 votes per share and is convertible into one share of Class B common stock. Each share of Class B common stock is entitled to one vote per share. There are 61,434,870 shares of Class A common stock and 6,821,680 shares of Class B common stock issued and outstanding as of January 31, 2019.</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Common Stock Reserved for Future Issuance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January 31, 2019, the Company had reserved the following shares of common stock for future issuance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80" w:type="dxa"/>
            <w:vAlign w:val="bottom"/>
          </w:tcPr>
          <w:p>
            <w:pPr>
              <w:spacing w:after="0"/>
              <w:rPr>
                <w:sz w:val="14"/>
                <w:szCs w:val="14"/>
                <w:color w:val="auto"/>
              </w:rPr>
            </w:pPr>
          </w:p>
        </w:tc>
        <w:tc>
          <w:tcPr>
            <w:tcW w:w="14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As of</w:t>
            </w:r>
          </w:p>
        </w:tc>
      </w:tr>
      <w:tr>
        <w:trPr>
          <w:trHeight w:val="185"/>
        </w:trPr>
        <w:tc>
          <w:tcPr>
            <w:tcW w:w="9780" w:type="dxa"/>
            <w:vAlign w:val="bottom"/>
          </w:tcPr>
          <w:p>
            <w:pPr>
              <w:spacing w:after="0"/>
              <w:rPr>
                <w:sz w:val="16"/>
                <w:szCs w:val="16"/>
                <w:color w:val="auto"/>
              </w:rPr>
            </w:pPr>
          </w:p>
        </w:tc>
        <w:tc>
          <w:tcPr>
            <w:tcW w:w="14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January 31, 2019</w:t>
            </w:r>
          </w:p>
        </w:tc>
      </w:tr>
      <w:tr>
        <w:trPr>
          <w:trHeight w:val="210"/>
        </w:trPr>
        <w:tc>
          <w:tcPr>
            <w:tcW w:w="9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Conversion of Series 1 redeemable convertible preferred stock</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20" w:type="dxa"/>
            <w:vAlign w:val="bottom"/>
          </w:tcPr>
          <w:p>
            <w:pPr>
              <w:spacing w:after="0"/>
              <w:rPr>
                <w:sz w:val="18"/>
                <w:szCs w:val="18"/>
                <w:color w:val="auto"/>
              </w:rPr>
            </w:pPr>
          </w:p>
        </w:tc>
      </w:tr>
      <w:tr>
        <w:trPr>
          <w:trHeight w:val="216"/>
        </w:trPr>
        <w:tc>
          <w:tcPr>
            <w:tcW w:w="9780" w:type="dxa"/>
            <w:vAlign w:val="bottom"/>
          </w:tcPr>
          <w:p>
            <w:pPr>
              <w:spacing w:after="0"/>
              <w:rPr>
                <w:sz w:val="20"/>
                <w:szCs w:val="20"/>
                <w:color w:val="auto"/>
              </w:rPr>
            </w:pPr>
            <w:r>
              <w:rPr>
                <w:rFonts w:ascii="Arial" w:cs="Arial" w:eastAsia="Arial" w:hAnsi="Arial"/>
                <w:sz w:val="18"/>
                <w:szCs w:val="18"/>
                <w:color w:val="auto"/>
              </w:rPr>
              <w:t>Conversion of Series A redeemable convertible preferred stock</w:t>
            </w:r>
          </w:p>
        </w:tc>
        <w:tc>
          <w:tcPr>
            <w:tcW w:w="1460" w:type="dxa"/>
            <w:vAlign w:val="bottom"/>
          </w:tcPr>
          <w:p>
            <w:pPr>
              <w:jc w:val="right"/>
              <w:spacing w:after="0"/>
              <w:rPr>
                <w:sz w:val="20"/>
                <w:szCs w:val="20"/>
                <w:color w:val="auto"/>
              </w:rPr>
            </w:pPr>
            <w:r>
              <w:rPr>
                <w:rFonts w:ascii="Arial" w:cs="Arial" w:eastAsia="Arial" w:hAnsi="Arial"/>
                <w:sz w:val="18"/>
                <w:szCs w:val="18"/>
                <w:color w:val="auto"/>
              </w:rPr>
              <w:t>20,771</w:t>
            </w:r>
          </w:p>
        </w:tc>
        <w:tc>
          <w:tcPr>
            <w:tcW w:w="20" w:type="dxa"/>
            <w:vAlign w:val="bottom"/>
          </w:tcPr>
          <w:p>
            <w:pPr>
              <w:spacing w:after="0"/>
              <w:rPr>
                <w:sz w:val="18"/>
                <w:szCs w:val="18"/>
                <w:color w:val="auto"/>
              </w:rPr>
            </w:pPr>
          </w:p>
        </w:tc>
      </w:tr>
      <w:tr>
        <w:trPr>
          <w:trHeight w:val="216"/>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Conversion of Series B redeemable convertible preferred stock</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10,447</w:t>
            </w:r>
          </w:p>
        </w:tc>
        <w:tc>
          <w:tcPr>
            <w:tcW w:w="20" w:type="dxa"/>
            <w:vAlign w:val="bottom"/>
          </w:tcPr>
          <w:p>
            <w:pPr>
              <w:spacing w:after="0"/>
              <w:rPr>
                <w:sz w:val="18"/>
                <w:szCs w:val="18"/>
                <w:color w:val="auto"/>
              </w:rPr>
            </w:pPr>
          </w:p>
        </w:tc>
      </w:tr>
      <w:tr>
        <w:trPr>
          <w:trHeight w:val="216"/>
        </w:trPr>
        <w:tc>
          <w:tcPr>
            <w:tcW w:w="9780" w:type="dxa"/>
            <w:vAlign w:val="bottom"/>
          </w:tcPr>
          <w:p>
            <w:pPr>
              <w:spacing w:after="0"/>
              <w:rPr>
                <w:sz w:val="20"/>
                <w:szCs w:val="20"/>
                <w:color w:val="auto"/>
              </w:rPr>
            </w:pPr>
            <w:r>
              <w:rPr>
                <w:rFonts w:ascii="Arial" w:cs="Arial" w:eastAsia="Arial" w:hAnsi="Arial"/>
                <w:sz w:val="18"/>
                <w:szCs w:val="18"/>
                <w:color w:val="auto"/>
              </w:rPr>
              <w:t>Warrants to purchase Series B redeemable convertible preferred stock</w:t>
            </w:r>
          </w:p>
        </w:tc>
        <w:tc>
          <w:tcPr>
            <w:tcW w:w="146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r>
      <w:tr>
        <w:trPr>
          <w:trHeight w:val="216"/>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Conversion of Series C redeemable convertible preferred stock</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20,186</w:t>
            </w:r>
          </w:p>
        </w:tc>
        <w:tc>
          <w:tcPr>
            <w:tcW w:w="20" w:type="dxa"/>
            <w:vAlign w:val="bottom"/>
          </w:tcPr>
          <w:p>
            <w:pPr>
              <w:spacing w:after="0"/>
              <w:rPr>
                <w:sz w:val="18"/>
                <w:szCs w:val="18"/>
                <w:color w:val="auto"/>
              </w:rPr>
            </w:pPr>
          </w:p>
        </w:tc>
      </w:tr>
      <w:tr>
        <w:trPr>
          <w:trHeight w:val="216"/>
        </w:trPr>
        <w:tc>
          <w:tcPr>
            <w:tcW w:w="9780" w:type="dxa"/>
            <w:vAlign w:val="bottom"/>
          </w:tcPr>
          <w:p>
            <w:pPr>
              <w:spacing w:after="0"/>
              <w:rPr>
                <w:sz w:val="20"/>
                <w:szCs w:val="20"/>
                <w:color w:val="auto"/>
              </w:rPr>
            </w:pPr>
            <w:r>
              <w:rPr>
                <w:rFonts w:ascii="Arial" w:cs="Arial" w:eastAsia="Arial" w:hAnsi="Arial"/>
                <w:sz w:val="18"/>
                <w:szCs w:val="18"/>
                <w:color w:val="auto"/>
              </w:rPr>
              <w:t>Conversion of Series D redeemable convertible preferred stock</w:t>
            </w:r>
          </w:p>
        </w:tc>
        <w:tc>
          <w:tcPr>
            <w:tcW w:w="1460" w:type="dxa"/>
            <w:vAlign w:val="bottom"/>
          </w:tcPr>
          <w:p>
            <w:pPr>
              <w:jc w:val="right"/>
              <w:spacing w:after="0"/>
              <w:rPr>
                <w:sz w:val="20"/>
                <w:szCs w:val="20"/>
                <w:color w:val="auto"/>
              </w:rPr>
            </w:pPr>
            <w:r>
              <w:rPr>
                <w:rFonts w:ascii="Arial" w:cs="Arial" w:eastAsia="Arial" w:hAnsi="Arial"/>
                <w:sz w:val="18"/>
                <w:szCs w:val="18"/>
                <w:color w:val="auto"/>
              </w:rPr>
              <w:t>14,353</w:t>
            </w:r>
          </w:p>
        </w:tc>
        <w:tc>
          <w:tcPr>
            <w:tcW w:w="20" w:type="dxa"/>
            <w:vAlign w:val="bottom"/>
          </w:tcPr>
          <w:p>
            <w:pPr>
              <w:spacing w:after="0"/>
              <w:rPr>
                <w:sz w:val="18"/>
                <w:szCs w:val="18"/>
                <w:color w:val="auto"/>
              </w:rPr>
            </w:pPr>
          </w:p>
        </w:tc>
      </w:tr>
      <w:tr>
        <w:trPr>
          <w:trHeight w:val="216"/>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Conversion of Series E redeemable convertible preferred stock</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6,230</w:t>
            </w:r>
          </w:p>
        </w:tc>
        <w:tc>
          <w:tcPr>
            <w:tcW w:w="20" w:type="dxa"/>
            <w:vAlign w:val="bottom"/>
          </w:tcPr>
          <w:p>
            <w:pPr>
              <w:spacing w:after="0"/>
              <w:rPr>
                <w:sz w:val="18"/>
                <w:szCs w:val="18"/>
                <w:color w:val="auto"/>
              </w:rPr>
            </w:pPr>
          </w:p>
        </w:tc>
      </w:tr>
      <w:tr>
        <w:trPr>
          <w:trHeight w:val="216"/>
        </w:trPr>
        <w:tc>
          <w:tcPr>
            <w:tcW w:w="9780" w:type="dxa"/>
            <w:vAlign w:val="bottom"/>
          </w:tcPr>
          <w:p>
            <w:pPr>
              <w:spacing w:after="0"/>
              <w:rPr>
                <w:sz w:val="20"/>
                <w:szCs w:val="20"/>
                <w:color w:val="auto"/>
              </w:rPr>
            </w:pPr>
            <w:r>
              <w:rPr>
                <w:rFonts w:ascii="Arial" w:cs="Arial" w:eastAsia="Arial" w:hAnsi="Arial"/>
                <w:sz w:val="18"/>
                <w:szCs w:val="18"/>
                <w:color w:val="auto"/>
              </w:rPr>
              <w:t>Common stock options issued and outstanding</w:t>
            </w:r>
          </w:p>
        </w:tc>
        <w:tc>
          <w:tcPr>
            <w:tcW w:w="1460" w:type="dxa"/>
            <w:vAlign w:val="bottom"/>
          </w:tcPr>
          <w:p>
            <w:pPr>
              <w:jc w:val="right"/>
              <w:spacing w:after="0"/>
              <w:rPr>
                <w:sz w:val="20"/>
                <w:szCs w:val="20"/>
                <w:color w:val="auto"/>
              </w:rPr>
            </w:pPr>
            <w:r>
              <w:rPr>
                <w:rFonts w:ascii="Arial" w:cs="Arial" w:eastAsia="Arial" w:hAnsi="Arial"/>
                <w:sz w:val="18"/>
                <w:szCs w:val="18"/>
                <w:color w:val="auto"/>
              </w:rPr>
              <w:t>33,878</w:t>
            </w:r>
          </w:p>
        </w:tc>
        <w:tc>
          <w:tcPr>
            <w:tcW w:w="20" w:type="dxa"/>
            <w:vAlign w:val="bottom"/>
          </w:tcPr>
          <w:p>
            <w:pPr>
              <w:spacing w:after="0"/>
              <w:rPr>
                <w:sz w:val="18"/>
                <w:szCs w:val="18"/>
                <w:color w:val="auto"/>
              </w:rPr>
            </w:pPr>
          </w:p>
        </w:tc>
      </w:tr>
      <w:tr>
        <w:trPr>
          <w:trHeight w:val="216"/>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Common stock options available for future issuance</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2,748</w:t>
            </w:r>
          </w:p>
        </w:tc>
        <w:tc>
          <w:tcPr>
            <w:tcW w:w="20" w:type="dxa"/>
            <w:vAlign w:val="bottom"/>
          </w:tcPr>
          <w:p>
            <w:pPr>
              <w:spacing w:after="0"/>
              <w:rPr>
                <w:sz w:val="18"/>
                <w:szCs w:val="18"/>
                <w:color w:val="auto"/>
              </w:rPr>
            </w:pPr>
          </w:p>
        </w:tc>
      </w:tr>
      <w:tr>
        <w:trPr>
          <w:trHeight w:val="223"/>
        </w:trPr>
        <w:tc>
          <w:tcPr>
            <w:tcW w:w="978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110,210</w:t>
            </w:r>
          </w:p>
        </w:tc>
        <w:tc>
          <w:tcPr>
            <w:tcW w:w="20" w:type="dxa"/>
            <w:vAlign w:val="bottom"/>
            <w:tcBorders>
              <w:bottom w:val="single" w:sz="8" w:color="auto"/>
            </w:tcBorders>
          </w:tcPr>
          <w:p>
            <w:pPr>
              <w:spacing w:after="0"/>
              <w:rPr>
                <w:sz w:val="19"/>
                <w:szCs w:val="19"/>
                <w:color w:val="auto"/>
              </w:rPr>
            </w:pPr>
          </w:p>
        </w:tc>
      </w:tr>
      <w:tr>
        <w:trPr>
          <w:trHeight w:val="20"/>
        </w:trPr>
        <w:tc>
          <w:tcPr>
            <w:tcW w:w="97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right="80" w:firstLine="449"/>
        <w:spacing w:after="0" w:line="263" w:lineRule="auto"/>
        <w:rPr>
          <w:sz w:val="20"/>
          <w:szCs w:val="20"/>
          <w:color w:val="auto"/>
        </w:rPr>
      </w:pPr>
      <w:r>
        <w:rPr>
          <w:rFonts w:ascii="Arial" w:cs="Arial" w:eastAsia="Arial" w:hAnsi="Arial"/>
          <w:sz w:val="18"/>
          <w:szCs w:val="18"/>
          <w:color w:val="auto"/>
        </w:rPr>
        <w:t>The Company has a 2009 Stock Plan (the “2009 Plan”) and a 2012 Stock Plan (the “2012 Plan”). Both plans were initially established to grant stock options to employees and consultants of the Company to assist in attracting, retaining, and motivating employees and consultants and to provide incentives to promote the success of the Company’s business.</w:t>
      </w:r>
    </w:p>
    <w:p>
      <w:pPr>
        <w:spacing w:after="0" w:line="184" w:lineRule="exact"/>
        <w:rPr>
          <w:sz w:val="20"/>
          <w:szCs w:val="20"/>
          <w:color w:val="auto"/>
        </w:rPr>
      </w:pPr>
    </w:p>
    <w:p>
      <w:pPr>
        <w:ind w:right="100" w:firstLine="449"/>
        <w:spacing w:after="0" w:line="311" w:lineRule="auto"/>
        <w:rPr>
          <w:sz w:val="20"/>
          <w:szCs w:val="20"/>
          <w:color w:val="auto"/>
        </w:rPr>
      </w:pPr>
      <w:r>
        <w:rPr>
          <w:rFonts w:ascii="Arial" w:cs="Arial" w:eastAsia="Arial" w:hAnsi="Arial"/>
          <w:sz w:val="16"/>
          <w:szCs w:val="16"/>
          <w:color w:val="auto"/>
        </w:rPr>
        <w:t>Options granted under both plans may be either incentive stock options (“ISOs”) or nonqualified stock options (“NSOs”). ISOs may be granted only to Company employees (including officers and directors who are also employees). NSOs may be granted to Company employees and consultants. Restricted stock may also be granted under the 2012 Plan. Options under the 2012 Plan may be granted for periods of up to 10 years. The</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40"/>
          </w:cols>
          <w:pgMar w:left="320" w:top="459" w:right="3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exercise price of an ISO and NSO shall not be less than 100% of the estimated fair value of the shares on the date of grant as determined by the Board of Directors. Options granted generally vest over four years and vest at a rate of 25% upon the first anniversary of the issuance date and 1/48 per month thereafter.</w:t>
      </w:r>
    </w:p>
    <w:p>
      <w:pPr>
        <w:spacing w:after="0" w:line="184"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Shares of common stock purchased under both plans are subject to certain restrictions and repurchase rights, including the right of first refusal by the Company for sale or transfer of shares to outside parties.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Activity under the Company’s combined stock plans are set forth below (in thousands, except years and per share data):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Weighted-</w:t>
            </w:r>
          </w:p>
        </w:tc>
        <w:tc>
          <w:tcPr>
            <w:tcW w:w="13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Weighted-</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3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14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Exercise</w:t>
            </w:r>
          </w:p>
        </w:tc>
        <w:tc>
          <w:tcPr>
            <w:tcW w:w="13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Remaining</w:t>
            </w:r>
          </w:p>
        </w:tc>
        <w:tc>
          <w:tcPr>
            <w:tcW w:w="100" w:type="dxa"/>
            <w:vAlign w:val="bottom"/>
          </w:tcPr>
          <w:p>
            <w:pPr>
              <w:spacing w:after="0"/>
              <w:rPr>
                <w:sz w:val="12"/>
                <w:szCs w:val="12"/>
                <w:color w:val="auto"/>
              </w:rPr>
            </w:pPr>
          </w:p>
        </w:tc>
        <w:tc>
          <w:tcPr>
            <w:tcW w:w="11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Price Per</w:t>
            </w:r>
          </w:p>
        </w:tc>
        <w:tc>
          <w:tcPr>
            <w:tcW w:w="13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940" w:type="dxa"/>
            <w:vAlign w:val="bottom"/>
          </w:tcPr>
          <w:p>
            <w:pPr>
              <w:spacing w:after="0"/>
              <w:rPr>
                <w:sz w:val="14"/>
                <w:szCs w:val="14"/>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Share</w:t>
            </w: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(in years)</w:t>
            </w:r>
          </w:p>
        </w:tc>
        <w:tc>
          <w:tcPr>
            <w:tcW w:w="100" w:type="dxa"/>
            <w:vAlign w:val="bottom"/>
          </w:tcPr>
          <w:p>
            <w:pPr>
              <w:spacing w:after="0"/>
              <w:rPr>
                <w:sz w:val="14"/>
                <w:szCs w:val="14"/>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209"/>
        </w:trPr>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Balances at February 1, 2018</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29,892</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31,873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Options canceled</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(2,010)</w:t>
            </w: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1.61</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Options granted</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10,603</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2.37</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Options exercised</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(4,607)</w:t>
            </w: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0.93</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6,113</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January 31, 2019</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33,878</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74,127</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8"/>
                <w:szCs w:val="18"/>
                <w:color w:val="auto"/>
              </w:rPr>
              <w:t>Vested and exercisable at January 31, 2019</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1.03</w:t>
            </w: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5.9</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46,153</w:t>
            </w:r>
          </w:p>
        </w:tc>
        <w:tc>
          <w:tcPr>
            <w:tcW w:w="0" w:type="dxa"/>
            <w:vAlign w:val="bottom"/>
          </w:tcPr>
          <w:p>
            <w:pPr>
              <w:spacing w:after="0" w:line="20" w:lineRule="exact"/>
              <w:rPr>
                <w:sz w:val="1"/>
                <w:szCs w:val="1"/>
                <w:color w:val="auto"/>
              </w:rPr>
            </w:pPr>
          </w:p>
        </w:tc>
      </w:tr>
      <w:tr>
        <w:trPr>
          <w:trHeight w:val="210"/>
        </w:trPr>
        <w:tc>
          <w:tcPr>
            <w:tcW w:w="5940" w:type="dxa"/>
            <w:vAlign w:val="bottom"/>
            <w:vMerge w:val="continue"/>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17,271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at January 31, 2019</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34,659</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75,749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weighted-average grant-date fair value of options granted during the year ended January 31, 2019 was $1.23 per share.</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Early Exercise of Employee Options</w:t>
      </w:r>
    </w:p>
    <w:p>
      <w:pPr>
        <w:spacing w:after="0" w:line="117" w:lineRule="exact"/>
        <w:rPr>
          <w:sz w:val="20"/>
          <w:szCs w:val="20"/>
          <w:color w:val="auto"/>
        </w:rPr>
      </w:pPr>
    </w:p>
    <w:p>
      <w:pPr>
        <w:ind w:right="20" w:firstLine="449"/>
        <w:spacing w:after="0" w:line="275" w:lineRule="auto"/>
        <w:rPr>
          <w:sz w:val="20"/>
          <w:szCs w:val="20"/>
          <w:color w:val="auto"/>
        </w:rPr>
      </w:pPr>
      <w:r>
        <w:rPr>
          <w:rFonts w:ascii="Arial" w:cs="Arial" w:eastAsia="Arial" w:hAnsi="Arial"/>
          <w:sz w:val="17"/>
          <w:szCs w:val="17"/>
          <w:color w:val="auto"/>
        </w:rPr>
        <w:t>The 2009 Plan and 2012 Plan allow for the early exercise of stock options. The consideration received for an early exercise of an option is considered to be a deposit of the exercise price, and the related dollar amount is recorded as a liability and reflected in accrued expenses and other current liabilities and other liabilities in the consolidated balance sheet. This liability is reclassified to additional paid-in capital as the awards vest. If a stock option is early exercised, the unvested shares may be repurchased by the Company in case of employment termination at the price paid by the purchaser for such shares. As of January 31, 2019, shares that were subject to repurchase totaled 781,386 shares.</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Determination of Fair Values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assumptions used in the Black-Scholes pricing model for stock-based compensation for the year ended January 31, 2019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3520" w:type="dxa"/>
            <w:vAlign w:val="bottom"/>
            <w:tcBorders>
              <w:bottom w:val="single" w:sz="8" w:color="CCEEFF"/>
            </w:tcBorders>
          </w:tcPr>
          <w:p>
            <w:pPr>
              <w:spacing w:after="0"/>
              <w:rPr>
                <w:sz w:val="14"/>
                <w:szCs w:val="14"/>
                <w:color w:val="auto"/>
              </w:rPr>
            </w:pPr>
          </w:p>
        </w:tc>
        <w:tc>
          <w:tcPr>
            <w:tcW w:w="636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January 31, 2019</w:t>
            </w:r>
          </w:p>
        </w:tc>
        <w:tc>
          <w:tcPr>
            <w:tcW w:w="220" w:type="dxa"/>
            <w:vAlign w:val="bottom"/>
            <w:tcBorders>
              <w:bottom w:val="single" w:sz="8" w:color="CCEEFF"/>
            </w:tcBorders>
          </w:tcPr>
          <w:p>
            <w:pPr>
              <w:spacing w:after="0"/>
              <w:rPr>
                <w:sz w:val="14"/>
                <w:szCs w:val="14"/>
                <w:color w:val="auto"/>
              </w:rPr>
            </w:pPr>
          </w:p>
        </w:tc>
      </w:tr>
      <w:tr>
        <w:trPr>
          <w:trHeight w:val="209"/>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 - 3.1%</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Expected term</w:t>
            </w:r>
          </w:p>
        </w:tc>
        <w:tc>
          <w:tcPr>
            <w:tcW w:w="63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 years</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6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Expected volatility</w:t>
            </w:r>
          </w:p>
        </w:tc>
        <w:tc>
          <w:tcPr>
            <w:tcW w:w="7720" w:type="dxa"/>
            <w:vAlign w:val="bottom"/>
            <w:gridSpan w:val="3"/>
          </w:tcPr>
          <w:p>
            <w:pPr>
              <w:jc w:val="right"/>
              <w:ind w:right="60"/>
              <w:spacing w:after="0"/>
              <w:rPr>
                <w:sz w:val="20"/>
                <w:szCs w:val="20"/>
                <w:color w:val="auto"/>
              </w:rPr>
            </w:pPr>
            <w:r>
              <w:rPr>
                <w:rFonts w:ascii="Arial" w:cs="Arial" w:eastAsia="Arial" w:hAnsi="Arial"/>
                <w:sz w:val="18"/>
                <w:szCs w:val="18"/>
                <w:color w:val="auto"/>
              </w:rPr>
              <w:t>41.6% - 46.6%</w:t>
            </w:r>
          </w:p>
        </w:tc>
      </w:tr>
      <w:tr>
        <w:trPr>
          <w:trHeight w:val="350"/>
        </w:trPr>
        <w:tc>
          <w:tcPr>
            <w:tcW w:w="3520" w:type="dxa"/>
            <w:vAlign w:val="bottom"/>
          </w:tcPr>
          <w:p>
            <w:pPr>
              <w:spacing w:after="0"/>
              <w:rPr>
                <w:sz w:val="24"/>
                <w:szCs w:val="24"/>
                <w:color w:val="auto"/>
              </w:rPr>
            </w:pPr>
          </w:p>
        </w:tc>
        <w:tc>
          <w:tcPr>
            <w:tcW w:w="7720" w:type="dxa"/>
            <w:vAlign w:val="bottom"/>
            <w:gridSpan w:val="3"/>
          </w:tcPr>
          <w:p>
            <w:pPr>
              <w:jc w:val="right"/>
              <w:ind w:right="5440"/>
              <w:spacing w:after="0"/>
              <w:rPr>
                <w:sz w:val="20"/>
                <w:szCs w:val="20"/>
                <w:color w:val="auto"/>
              </w:rPr>
            </w:pPr>
            <w:r>
              <w:rPr>
                <w:rFonts w:ascii="Arial" w:cs="Arial" w:eastAsia="Arial" w:hAnsi="Arial"/>
                <w:sz w:val="18"/>
                <w:szCs w:val="18"/>
                <w:color w:val="auto"/>
              </w:rPr>
              <w:t>F-25</w:t>
            </w:r>
          </w:p>
        </w:tc>
      </w:tr>
    </w:tbl>
    <w:p>
      <w:pPr>
        <w:sectPr>
          <w:pgSz w:w="11900" w:h="16838" w:orient="portrait"/>
          <w:cols w:equalWidth="0" w:num="1">
            <w:col w:w="11240"/>
          </w:cols>
          <w:pgMar w:left="320" w:top="459" w:right="3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Stock-based compensation for stock-based awards to employees and non-employees in the Company’s consolidated statement of operations for the year ended January 31, 2019 is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66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2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2"/>
              </w:rPr>
              <w:t>January 31, 2019</w:t>
            </w:r>
          </w:p>
        </w:tc>
      </w:tr>
      <w:tr>
        <w:trPr>
          <w:trHeight w:val="209"/>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3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5,160</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3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2,108</w:t>
            </w:r>
          </w:p>
        </w:tc>
      </w:tr>
      <w:tr>
        <w:trPr>
          <w:trHeight w:val="223"/>
        </w:trPr>
        <w:tc>
          <w:tcPr>
            <w:tcW w:w="66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w:t>
            </w:r>
          </w:p>
        </w:tc>
        <w:tc>
          <w:tcPr>
            <w:tcW w:w="60" w:type="dxa"/>
            <w:vAlign w:val="bottom"/>
          </w:tcPr>
          <w:p>
            <w:pPr>
              <w:spacing w:after="0"/>
              <w:rPr>
                <w:sz w:val="19"/>
                <w:szCs w:val="19"/>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stock-based compensation expense</w:t>
            </w: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8,547</w:t>
            </w:r>
          </w:p>
        </w:tc>
      </w:tr>
      <w:tr>
        <w:trPr>
          <w:trHeight w:val="20"/>
        </w:trPr>
        <w:tc>
          <w:tcPr>
            <w:tcW w:w="66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stock-based compensation expense related to options granted to non-employees for the year ended January 31, 2019 was not material.</w:t>
      </w:r>
    </w:p>
    <w:p>
      <w:pPr>
        <w:spacing w:after="0" w:line="237"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As of January 31, 2019, there were total unrecognized compensation costs of $17.1 million, which are expected to be recognized over a weighted-average period of 3.6 years.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Tender Offer</w:t>
      </w:r>
    </w:p>
    <w:p>
      <w:pPr>
        <w:spacing w:after="0" w:line="117" w:lineRule="exact"/>
        <w:rPr>
          <w:sz w:val="20"/>
          <w:szCs w:val="20"/>
          <w:color w:val="auto"/>
        </w:rPr>
      </w:pPr>
    </w:p>
    <w:p>
      <w:pPr>
        <w:ind w:right="100" w:firstLine="449"/>
        <w:spacing w:after="0" w:line="255" w:lineRule="auto"/>
        <w:rPr>
          <w:sz w:val="20"/>
          <w:szCs w:val="20"/>
          <w:color w:val="auto"/>
        </w:rPr>
      </w:pPr>
      <w:r>
        <w:rPr>
          <w:rFonts w:ascii="Arial" w:cs="Arial" w:eastAsia="Arial" w:hAnsi="Arial"/>
          <w:sz w:val="18"/>
          <w:szCs w:val="18"/>
          <w:color w:val="auto"/>
        </w:rPr>
        <w:t>In April 2018, the Company’s board of directors approved a plan for a private trust, whose sole trustee and grantor is the Company’s founder and CEO, to purchase shares of the Company’s Class A and Class B common stock from certain current and former employees of the Company. The tender offer closed in May 2018, at which time the Company recorded $3.8 million as compensation expense related to the excess of the selling price per share of common stock paid to the Company’s employees and former employees over the fair value of the tendered shares. This amount is included in the total stock-based compensation expense shown in the table above. A total of 1,500,814 shares were tendered in the offer for an aggregate purchase price of $7.1 million.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Employee Benefit Plans</w:t>
      </w:r>
    </w:p>
    <w:p>
      <w:pPr>
        <w:spacing w:after="0" w:line="121" w:lineRule="exact"/>
        <w:rPr>
          <w:sz w:val="20"/>
          <w:szCs w:val="20"/>
          <w:color w:val="auto"/>
        </w:rPr>
      </w:pPr>
    </w:p>
    <w:p>
      <w:pPr>
        <w:ind w:right="120" w:firstLine="449"/>
        <w:spacing w:after="0" w:line="257" w:lineRule="auto"/>
        <w:rPr>
          <w:sz w:val="20"/>
          <w:szCs w:val="20"/>
          <w:color w:val="auto"/>
        </w:rPr>
      </w:pPr>
      <w:r>
        <w:rPr>
          <w:rFonts w:ascii="Arial" w:cs="Arial" w:eastAsia="Arial" w:hAnsi="Arial"/>
          <w:sz w:val="18"/>
          <w:szCs w:val="18"/>
          <w:color w:val="auto"/>
        </w:rPr>
        <w:t>In January 2011, the Company adopted a defined contribution retirement savings plan under Section 401(k) of the Internal Revenue Code. This plan covers all employees within the United States who meet minimum age and service requirements and allows participants to defer a portion of their annual compensation on a pre-tax basis. The Company’s contributions to the plan may be made at the discretion of the Board of Directors. There have been no contributions to the plan by the Company since the inception of the plan. Additionally, the Company engages in required pension plans of respective countries in which operations exist.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the provision for income taxes for the year ended January 31, 2019 were as follows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408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January 31, 2019</w:t>
            </w:r>
          </w:p>
        </w:tc>
      </w:tr>
      <w:tr>
        <w:trPr>
          <w:trHeight w:val="196"/>
        </w:trPr>
        <w:tc>
          <w:tcPr>
            <w:tcW w:w="4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56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Foreign</w:t>
            </w:r>
          </w:p>
        </w:tc>
        <w:tc>
          <w:tcPr>
            <w:tcW w:w="56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9"/>
                <w:szCs w:val="19"/>
                <w:color w:val="auto"/>
              </w:rPr>
            </w:pPr>
          </w:p>
        </w:tc>
      </w:tr>
      <w:tr>
        <w:trPr>
          <w:trHeight w:val="216"/>
        </w:trPr>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provision for income taxes</w:t>
            </w:r>
          </w:p>
        </w:tc>
        <w:tc>
          <w:tcPr>
            <w:tcW w:w="56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r>
      <w:tr>
        <w:trPr>
          <w:trHeight w:val="20"/>
        </w:trPr>
        <w:tc>
          <w:tcPr>
            <w:tcW w:w="408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4080" w:type="dxa"/>
            <w:vAlign w:val="bottom"/>
          </w:tcPr>
          <w:p>
            <w:pPr>
              <w:spacing w:after="0"/>
              <w:rPr>
                <w:sz w:val="24"/>
                <w:szCs w:val="24"/>
                <w:color w:val="auto"/>
              </w:rPr>
            </w:pPr>
          </w:p>
        </w:tc>
        <w:tc>
          <w:tcPr>
            <w:tcW w:w="5820" w:type="dxa"/>
            <w:vAlign w:val="bottom"/>
            <w:gridSpan w:val="2"/>
          </w:tcPr>
          <w:p>
            <w:pPr>
              <w:jc w:val="right"/>
              <w:ind w:right="4010"/>
              <w:spacing w:after="0"/>
              <w:rPr>
                <w:sz w:val="20"/>
                <w:szCs w:val="20"/>
                <w:color w:val="auto"/>
              </w:rPr>
            </w:pPr>
            <w:r>
              <w:rPr>
                <w:rFonts w:ascii="Arial" w:cs="Arial" w:eastAsia="Arial" w:hAnsi="Arial"/>
                <w:sz w:val="18"/>
                <w:szCs w:val="18"/>
                <w:color w:val="auto"/>
              </w:rPr>
              <w:t>F-26</w:t>
            </w: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loss before income taxes for the year ended January 31, 2019 were as follows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Year Ended</w:t>
            </w:r>
          </w:p>
        </w:tc>
      </w:tr>
      <w:tr>
        <w:trPr>
          <w:trHeight w:val="171"/>
        </w:trPr>
        <w:tc>
          <w:tcPr>
            <w:tcW w:w="53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6"/>
              </w:rPr>
              <w:t>January 31, 2019</w:t>
            </w:r>
          </w:p>
        </w:tc>
      </w:tr>
      <w:tr>
        <w:trPr>
          <w:trHeight w:val="209"/>
        </w:trPr>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w:t>
            </w:r>
          </w:p>
        </w:tc>
        <w:tc>
          <w:tcPr>
            <w:tcW w:w="46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(51,102)</w:t>
            </w:r>
          </w:p>
        </w:tc>
        <w:tc>
          <w:tcPr>
            <w:tcW w:w="120" w:type="dxa"/>
            <w:vAlign w:val="bottom"/>
            <w:tcBorders>
              <w:top w:val="single" w:sz="8" w:color="CCEEFF"/>
            </w:tcBorders>
            <w:shd w:val="clear" w:color="auto" w:fill="CCEEFF"/>
          </w:tcPr>
          <w:p>
            <w:pPr>
              <w:spacing w:after="0"/>
              <w:rPr>
                <w:sz w:val="18"/>
                <w:szCs w:val="18"/>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Foreign</w:t>
            </w:r>
          </w:p>
        </w:tc>
        <w:tc>
          <w:tcPr>
            <w:tcW w:w="4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19"/>
                <w:szCs w:val="19"/>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4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(50,900)</w:t>
            </w:r>
          </w:p>
        </w:tc>
      </w:tr>
      <w:tr>
        <w:trPr>
          <w:trHeight w:val="20"/>
        </w:trPr>
        <w:tc>
          <w:tcPr>
            <w:tcW w:w="53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40" w:firstLine="449"/>
        <w:spacing w:after="0" w:line="277" w:lineRule="auto"/>
        <w:rPr>
          <w:sz w:val="20"/>
          <w:szCs w:val="20"/>
          <w:color w:val="auto"/>
        </w:rPr>
      </w:pPr>
      <w:r>
        <w:rPr>
          <w:rFonts w:ascii="Arial" w:cs="Arial" w:eastAsia="Arial" w:hAnsi="Arial"/>
          <w:sz w:val="18"/>
          <w:szCs w:val="18"/>
          <w:color w:val="auto"/>
        </w:rPr>
        <w:t>The reconciliation between the statutory federal income tax and the Company’s effective tax rates as a percentage of loss before income taxes for year ended January 31, 2019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71"/>
        </w:trPr>
        <w:tc>
          <w:tcPr>
            <w:tcW w:w="97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January 31, 2019</w:t>
            </w:r>
          </w:p>
        </w:tc>
        <w:tc>
          <w:tcPr>
            <w:tcW w:w="220" w:type="dxa"/>
            <w:vAlign w:val="bottom"/>
            <w:tcBorders>
              <w:bottom w:val="single" w:sz="8" w:color="CCEEFF"/>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Federal tax rate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Research and development credits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760" w:type="dxa"/>
            <w:vAlign w:val="bottom"/>
            <w:vMerge w:val="restart"/>
          </w:tcPr>
          <w:p>
            <w:pPr>
              <w:spacing w:after="0"/>
              <w:rPr>
                <w:sz w:val="20"/>
                <w:szCs w:val="20"/>
                <w:color w:val="auto"/>
              </w:rPr>
            </w:pPr>
            <w:r>
              <w:rPr>
                <w:rFonts w:ascii="Arial" w:cs="Arial" w:eastAsia="Arial" w:hAnsi="Arial"/>
                <w:sz w:val="18"/>
                <w:szCs w:val="18"/>
                <w:color w:val="auto"/>
              </w:rPr>
              <w:t>Effective income tax rate</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7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4"/>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9760" w:type="dxa"/>
            <w:vAlign w:val="bottom"/>
            <w:vMerge w:val="restart"/>
          </w:tcPr>
          <w:p>
            <w:pPr>
              <w:ind w:left="460"/>
              <w:spacing w:after="0"/>
              <w:rPr>
                <w:sz w:val="20"/>
                <w:szCs w:val="20"/>
                <w:color w:val="auto"/>
              </w:rPr>
            </w:pPr>
            <w:r>
              <w:rPr>
                <w:rFonts w:ascii="Arial" w:cs="Arial" w:eastAsia="Arial" w:hAnsi="Arial"/>
                <w:sz w:val="18"/>
                <w:szCs w:val="18"/>
                <w:color w:val="auto"/>
              </w:rPr>
              <w:t>The major components of deferred tax assets as of January 31, 2019 are as follows (in thousands):</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7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9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71"/>
        </w:trPr>
        <w:tc>
          <w:tcPr>
            <w:tcW w:w="9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2"/>
              </w:rPr>
              <w:t>January 31, 2019</w:t>
            </w:r>
          </w:p>
        </w:tc>
        <w:tc>
          <w:tcPr>
            <w:tcW w:w="0" w:type="dxa"/>
            <w:vAlign w:val="bottom"/>
          </w:tcPr>
          <w:p>
            <w:pPr>
              <w:spacing w:after="0"/>
              <w:rPr>
                <w:sz w:val="1"/>
                <w:szCs w:val="1"/>
                <w:color w:val="auto"/>
              </w:rPr>
            </w:pPr>
          </w:p>
        </w:tc>
      </w:tr>
      <w:tr>
        <w:trPr>
          <w:trHeight w:val="210"/>
        </w:trPr>
        <w:tc>
          <w:tcPr>
            <w:tcW w:w="9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operating loss carryforwards</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45,503</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Research and development tax credits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9,170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4"/>
          </w:tcPr>
          <w:p>
            <w:pPr>
              <w:jc w:val="right"/>
              <w:ind w:right="140"/>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Reserves and accrued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23"/>
        </w:trPr>
        <w:tc>
          <w:tcPr>
            <w:tcW w:w="9760" w:type="dxa"/>
            <w:vAlign w:val="bottom"/>
          </w:tcPr>
          <w:p>
            <w:pPr>
              <w:ind w:left="360"/>
              <w:spacing w:after="0"/>
              <w:rPr>
                <w:sz w:val="20"/>
                <w:szCs w:val="20"/>
                <w:color w:val="auto"/>
              </w:rPr>
            </w:pPr>
            <w:r>
              <w:rPr>
                <w:rFonts w:ascii="Arial" w:cs="Arial" w:eastAsia="Arial" w:hAnsi="Arial"/>
                <w:sz w:val="18"/>
                <w:szCs w:val="18"/>
                <w:color w:val="auto"/>
              </w:rPr>
              <w:t>Gross deferred tax assets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57,155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(57,155)</w:t>
            </w:r>
          </w:p>
        </w:tc>
        <w:tc>
          <w:tcPr>
            <w:tcW w:w="0" w:type="dxa"/>
            <w:vAlign w:val="bottom"/>
          </w:tcPr>
          <w:p>
            <w:pPr>
              <w:spacing w:after="0"/>
              <w:rPr>
                <w:sz w:val="1"/>
                <w:szCs w:val="1"/>
                <w:color w:val="auto"/>
              </w:rPr>
            </w:pPr>
          </w:p>
        </w:tc>
      </w:tr>
      <w:tr>
        <w:trPr>
          <w:trHeight w:val="223"/>
        </w:trPr>
        <w:tc>
          <w:tcPr>
            <w:tcW w:w="9760" w:type="dxa"/>
            <w:vAlign w:val="bottom"/>
          </w:tcPr>
          <w:p>
            <w:pPr>
              <w:ind w:left="360"/>
              <w:spacing w:after="0"/>
              <w:rPr>
                <w:sz w:val="20"/>
                <w:szCs w:val="20"/>
                <w:color w:val="auto"/>
              </w:rPr>
            </w:pPr>
            <w:r>
              <w:rPr>
                <w:rFonts w:ascii="Arial" w:cs="Arial" w:eastAsia="Arial" w:hAnsi="Arial"/>
                <w:sz w:val="18"/>
                <w:szCs w:val="18"/>
                <w:color w:val="auto"/>
              </w:rPr>
              <w:t>Net deferred tax assets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49"/>
        <w:spacing w:after="0" w:line="311" w:lineRule="auto"/>
        <w:rPr>
          <w:sz w:val="20"/>
          <w:szCs w:val="20"/>
          <w:color w:val="auto"/>
        </w:rPr>
      </w:pPr>
      <w:r>
        <w:rPr>
          <w:rFonts w:ascii="Arial" w:cs="Arial" w:eastAsia="Arial" w:hAnsi="Arial"/>
          <w:sz w:val="16"/>
          <w:szCs w:val="16"/>
          <w:color w:val="auto"/>
        </w:rPr>
        <w:t>During the year ended January 31, 2019, the valuation allowance increased by $13.7 million. The increase in the valuation allowance during the year ended January 31, 2019 was primarily driven by losses generated in the United States. As of January 31, 2019, the Company believes it is not more likely than not that the deferred tax assets will be fully realizable and continues to maintain a full valuation allowance against its deferred tax assets.</w:t>
      </w:r>
    </w:p>
    <w:p>
      <w:pPr>
        <w:spacing w:after="0" w:line="149" w:lineRule="exact"/>
        <w:rPr>
          <w:sz w:val="20"/>
          <w:szCs w:val="20"/>
          <w:color w:val="auto"/>
        </w:rPr>
      </w:pPr>
    </w:p>
    <w:p>
      <w:pPr>
        <w:ind w:right="220" w:firstLine="449"/>
        <w:spacing w:after="0" w:line="263" w:lineRule="auto"/>
        <w:rPr>
          <w:sz w:val="20"/>
          <w:szCs w:val="20"/>
          <w:color w:val="auto"/>
        </w:rPr>
      </w:pPr>
      <w:r>
        <w:rPr>
          <w:rFonts w:ascii="Arial" w:cs="Arial" w:eastAsia="Arial" w:hAnsi="Arial"/>
          <w:sz w:val="18"/>
          <w:szCs w:val="18"/>
          <w:color w:val="auto"/>
        </w:rPr>
        <w:t>As of January 31, 2019, the Company had federal net operating loss carryforwards of $187.7 million. As of January 31, 2019, the Company’s state net operating loss carryforwards were $88.8 million. The federal and state net operating losses, if not used, will begin to expire in 2029. Federal net operating losses generated after January 31, 2018 will carry forward indefinitely.</w:t>
      </w:r>
    </w:p>
    <w:p>
      <w:pPr>
        <w:spacing w:after="0" w:line="184" w:lineRule="exact"/>
        <w:rPr>
          <w:sz w:val="20"/>
          <w:szCs w:val="20"/>
          <w:color w:val="auto"/>
        </w:rPr>
      </w:pPr>
    </w:p>
    <w:p>
      <w:pPr>
        <w:jc w:val="both"/>
        <w:ind w:right="180" w:firstLine="449"/>
        <w:spacing w:after="0" w:line="263" w:lineRule="auto"/>
        <w:rPr>
          <w:sz w:val="20"/>
          <w:szCs w:val="20"/>
          <w:color w:val="auto"/>
        </w:rPr>
      </w:pPr>
      <w:r>
        <w:rPr>
          <w:rFonts w:ascii="Arial" w:cs="Arial" w:eastAsia="Arial" w:hAnsi="Arial"/>
          <w:sz w:val="18"/>
          <w:szCs w:val="18"/>
          <w:color w:val="auto"/>
        </w:rPr>
        <w:t>The Company has federal and California research and development tax credit carryforwards of $7.2 million and $5.9 million, respectively, to offset future taxable income. The federal research and development tax credits, if not used, will begin to expire in 2030, while the state tax credit carryforwards may be carried forward indefinitely.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320" w:top="459" w:right="3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20" w:firstLine="449"/>
        <w:spacing w:after="0" w:line="263" w:lineRule="auto"/>
        <w:rPr>
          <w:sz w:val="20"/>
          <w:szCs w:val="20"/>
          <w:color w:val="auto"/>
        </w:rPr>
      </w:pPr>
      <w:r>
        <w:rPr>
          <w:rFonts w:ascii="Arial" w:cs="Arial" w:eastAsia="Arial" w:hAnsi="Arial"/>
          <w:sz w:val="18"/>
          <w:szCs w:val="18"/>
          <w:color w:val="auto"/>
        </w:rPr>
        <w:t>The Tax Reform Act of 1986 limits the use of net operating loss and tax credit carryforwards in certain situations where changes occur in the stock ownership of a company. In the event it is determined that the Company has had a change in ownership, the utilization of the carryforwards could be restricted.</w:t>
      </w:r>
    </w:p>
    <w:p>
      <w:pPr>
        <w:spacing w:after="0" w:line="184"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Foreign withholding taxes have not been provided for the cumulative undistributed earnings of the Company’s foreign subsidiaries as of January 31, 2019. The Company’s present intention is that such undistributed earnings be permanently reinvested.</w:t>
      </w:r>
    </w:p>
    <w:p>
      <w:pPr>
        <w:spacing w:after="0" w:line="170" w:lineRule="exact"/>
        <w:rPr>
          <w:sz w:val="20"/>
          <w:szCs w:val="20"/>
          <w:color w:val="auto"/>
        </w:rPr>
      </w:pPr>
    </w:p>
    <w:p>
      <w:pPr>
        <w:ind w:right="120" w:firstLine="449"/>
        <w:spacing w:after="0" w:line="296" w:lineRule="auto"/>
        <w:rPr>
          <w:sz w:val="20"/>
          <w:szCs w:val="20"/>
          <w:color w:val="auto"/>
        </w:rPr>
      </w:pPr>
      <w:r>
        <w:rPr>
          <w:rFonts w:ascii="Arial" w:cs="Arial" w:eastAsia="Arial" w:hAnsi="Arial"/>
          <w:sz w:val="16"/>
          <w:szCs w:val="16"/>
          <w:color w:val="auto"/>
        </w:rPr>
        <w:t>In December 2017, the Securities and Exchange Commission staff issued Staff Accounting Bulletin No. 118, which addresses how a company recognizes provisional amounts when a company does not have the necessary information available, prepared, or analyzed (including computations) in reasonable detail to complete its accounting for the effect of the changes in the Tax Cuts and Jobs Act. The measurement period ends when a company has obtained, prepared, and analyzed the information necessary to finalize its accounting, but cannot extend beyond one year. As of January 31, 2019, the Company has completed its analysis, and there were no adjustments from the original amounts accounted for during the year ended January 31, 2018.</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beginning and ending amounts of gross unrecognized tax benefits was as follows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9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January 31, 2019</w:t>
            </w:r>
          </w:p>
        </w:tc>
      </w:tr>
      <w:tr>
        <w:trPr>
          <w:trHeight w:val="210"/>
        </w:trPr>
        <w:tc>
          <w:tcPr>
            <w:tcW w:w="9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the beginning of the year</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9980" w:type="dxa"/>
            <w:vAlign w:val="bottom"/>
          </w:tcPr>
          <w:p>
            <w:pPr>
              <w:spacing w:after="0"/>
              <w:rPr>
                <w:sz w:val="20"/>
                <w:szCs w:val="20"/>
                <w:color w:val="auto"/>
              </w:rPr>
            </w:pPr>
            <w:r>
              <w:rPr>
                <w:rFonts w:ascii="Arial" w:cs="Arial" w:eastAsia="Arial" w:hAnsi="Arial"/>
                <w:sz w:val="18"/>
                <w:szCs w:val="18"/>
                <w:color w:val="auto"/>
              </w:rPr>
              <w:t>Increases—current period tax positions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884</w:t>
            </w:r>
          </w:p>
        </w:tc>
        <w:tc>
          <w:tcPr>
            <w:tcW w:w="40" w:type="dxa"/>
            <w:vAlign w:val="bottom"/>
          </w:tcPr>
          <w:p>
            <w:pPr>
              <w:spacing w:after="0"/>
              <w:rPr>
                <w:sz w:val="18"/>
                <w:szCs w:val="18"/>
                <w:color w:val="auto"/>
              </w:rPr>
            </w:pPr>
          </w:p>
        </w:tc>
      </w:tr>
      <w:tr>
        <w:trPr>
          <w:trHeight w:val="216"/>
        </w:trPr>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Increases—prior period tax positions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w:t>
            </w:r>
          </w:p>
        </w:tc>
        <w:tc>
          <w:tcPr>
            <w:tcW w:w="40" w:type="dxa"/>
            <w:vAlign w:val="bottom"/>
            <w:shd w:val="clear" w:color="auto" w:fill="CCEEFF"/>
          </w:tcPr>
          <w:p>
            <w:pPr>
              <w:spacing w:after="0"/>
              <w:rPr>
                <w:sz w:val="18"/>
                <w:szCs w:val="18"/>
                <w:color w:val="auto"/>
              </w:rPr>
            </w:pPr>
          </w:p>
        </w:tc>
      </w:tr>
      <w:tr>
        <w:trPr>
          <w:trHeight w:val="223"/>
        </w:trPr>
        <w:tc>
          <w:tcPr>
            <w:tcW w:w="9980" w:type="dxa"/>
            <w:vAlign w:val="bottom"/>
          </w:tcPr>
          <w:p>
            <w:pPr>
              <w:spacing w:after="0"/>
              <w:rPr>
                <w:sz w:val="20"/>
                <w:szCs w:val="20"/>
                <w:color w:val="auto"/>
              </w:rPr>
            </w:pPr>
            <w:r>
              <w:rPr>
                <w:rFonts w:ascii="Arial" w:cs="Arial" w:eastAsia="Arial" w:hAnsi="Arial"/>
                <w:sz w:val="18"/>
                <w:szCs w:val="18"/>
                <w:color w:val="auto"/>
              </w:rPr>
              <w:t>Balance at the end of the year</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3,261</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9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60" w:firstLine="449"/>
        <w:spacing w:after="0" w:line="308" w:lineRule="auto"/>
        <w:rPr>
          <w:sz w:val="20"/>
          <w:szCs w:val="20"/>
          <w:color w:val="auto"/>
        </w:rPr>
      </w:pPr>
      <w:r>
        <w:rPr>
          <w:rFonts w:ascii="Arial" w:cs="Arial" w:eastAsia="Arial" w:hAnsi="Arial"/>
          <w:sz w:val="17"/>
          <w:szCs w:val="17"/>
          <w:color w:val="auto"/>
        </w:rPr>
        <w:t>The Company’s policy is to include interest and penalties related to unrecognized tax benefits within the Company’s benefit from (provision for) income taxes. As of January 31, 2019, the Company has not accrued for interest and penalties related to the unrecognized tax benefits.</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January 31, 2019, there are no unrecognized tax benefits that if recognized, that would affect the Company’s effective tax rate.</w:t>
      </w:r>
    </w:p>
    <w:p>
      <w:pPr>
        <w:spacing w:after="0" w:line="225"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The Company files federal and state tax returns in the United States and in Ireland. The Company’s tax years since inception are open to examination by federal and state taxing authorities, and the tax years 2014 through 2017 remain open in Ireland.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Geographic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set forth revenues and long-lived assets by geographic area for the year ended January 31, 2019 (in thousands):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53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January 31, 2019</w:t>
            </w: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4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46,221</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International</w:t>
            </w:r>
          </w:p>
        </w:tc>
        <w:tc>
          <w:tcPr>
            <w:tcW w:w="4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30,549</w:t>
            </w:r>
          </w:p>
        </w:tc>
        <w:tc>
          <w:tcPr>
            <w:tcW w:w="60" w:type="dxa"/>
            <w:vAlign w:val="bottom"/>
          </w:tcPr>
          <w:p>
            <w:pPr>
              <w:spacing w:after="0"/>
              <w:rPr>
                <w:sz w:val="19"/>
                <w:szCs w:val="19"/>
                <w:color w:val="auto"/>
              </w:rPr>
            </w:pPr>
          </w:p>
        </w:tc>
      </w:tr>
      <w:tr>
        <w:trPr>
          <w:trHeight w:val="216"/>
        </w:trPr>
        <w:tc>
          <w:tcPr>
            <w:tcW w:w="5380" w:type="dxa"/>
            <w:vAlign w:val="bottom"/>
            <w:shd w:val="clear" w:color="auto" w:fill="CCEEFF"/>
          </w:tcPr>
          <w:p>
            <w:pPr>
              <w:spacing w:after="0"/>
              <w:rPr>
                <w:sz w:val="18"/>
                <w:szCs w:val="18"/>
                <w:color w:val="auto"/>
              </w:rPr>
            </w:pPr>
          </w:p>
        </w:tc>
        <w:tc>
          <w:tcPr>
            <w:tcW w:w="4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76,770</w:t>
            </w:r>
          </w:p>
        </w:tc>
      </w:tr>
      <w:tr>
        <w:trPr>
          <w:trHeight w:val="20"/>
        </w:trPr>
        <w:tc>
          <w:tcPr>
            <w:tcW w:w="53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Revenues by geography are based on the billing address of the customer.</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40"/>
          </w:cols>
          <w:pgMar w:left="320" w:top="459" w:right="3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As of</w:t>
            </w:r>
          </w:p>
        </w:tc>
      </w:tr>
      <w:tr>
        <w:trPr>
          <w:trHeight w:val="171"/>
        </w:trPr>
        <w:tc>
          <w:tcPr>
            <w:tcW w:w="54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2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2"/>
              </w:rPr>
              <w:t>January 31, 2019</w:t>
            </w:r>
          </w:p>
        </w:tc>
      </w:tr>
      <w:tr>
        <w:trPr>
          <w:trHeight w:val="209"/>
        </w:trPr>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45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3,981</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5480" w:type="dxa"/>
            <w:vAlign w:val="bottom"/>
          </w:tcPr>
          <w:p>
            <w:pPr>
              <w:spacing w:after="0"/>
              <w:rPr>
                <w:sz w:val="20"/>
                <w:szCs w:val="20"/>
                <w:color w:val="auto"/>
              </w:rPr>
            </w:pPr>
            <w:r>
              <w:rPr>
                <w:rFonts w:ascii="Arial" w:cs="Arial" w:eastAsia="Arial" w:hAnsi="Arial"/>
                <w:sz w:val="18"/>
                <w:szCs w:val="18"/>
                <w:color w:val="auto"/>
              </w:rPr>
              <w:t>International</w:t>
            </w:r>
          </w:p>
        </w:tc>
        <w:tc>
          <w:tcPr>
            <w:tcW w:w="45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60" w:type="dxa"/>
            <w:vAlign w:val="bottom"/>
          </w:tcPr>
          <w:p>
            <w:pPr>
              <w:spacing w:after="0"/>
              <w:rPr>
                <w:sz w:val="19"/>
                <w:szCs w:val="19"/>
                <w:color w:val="auto"/>
              </w:rPr>
            </w:pPr>
          </w:p>
        </w:tc>
      </w:tr>
      <w:tr>
        <w:trPr>
          <w:trHeight w:val="216"/>
        </w:trPr>
        <w:tc>
          <w:tcPr>
            <w:tcW w:w="5480" w:type="dxa"/>
            <w:vAlign w:val="bottom"/>
            <w:shd w:val="clear" w:color="auto" w:fill="CCEEFF"/>
          </w:tcPr>
          <w:p>
            <w:pPr>
              <w:spacing w:after="0"/>
              <w:rPr>
                <w:sz w:val="18"/>
                <w:szCs w:val="18"/>
                <w:color w:val="auto"/>
              </w:rPr>
            </w:pPr>
          </w:p>
        </w:tc>
        <w:tc>
          <w:tcPr>
            <w:tcW w:w="4760" w:type="dxa"/>
            <w:vAlign w:val="bottom"/>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4,099</w:t>
            </w:r>
          </w:p>
        </w:tc>
      </w:tr>
      <w:tr>
        <w:trPr>
          <w:trHeight w:val="20"/>
        </w:trPr>
        <w:tc>
          <w:tcPr>
            <w:tcW w:w="54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Related Party Transactions</w:t>
      </w:r>
    </w:p>
    <w:p>
      <w:pPr>
        <w:spacing w:after="0" w:line="121"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The Company has a recurring subscription agreement with a company affiliated with a Board member of the Company. The total contract value was $0.3 million for the year ended January 31, 2019. The Company recognized revenues of $0.2 million under this subscription agreement during the year ended January 31, 2019.</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Subsequent events have been evaluated through January 31, 2020, which is the date the consolidated financial statements were available for issuance.</w:t>
      </w:r>
    </w:p>
    <w:p>
      <w:pPr>
        <w:spacing w:after="0" w:line="248" w:lineRule="exact"/>
        <w:rPr>
          <w:sz w:val="20"/>
          <w:szCs w:val="20"/>
          <w:color w:val="auto"/>
        </w:rPr>
      </w:pPr>
    </w:p>
    <w:p>
      <w:pPr>
        <w:ind w:right="160" w:firstLine="449"/>
        <w:spacing w:after="0" w:line="263" w:lineRule="auto"/>
        <w:rPr>
          <w:sz w:val="20"/>
          <w:szCs w:val="20"/>
          <w:color w:val="auto"/>
        </w:rPr>
      </w:pPr>
      <w:r>
        <w:rPr>
          <w:rFonts w:ascii="Arial" w:cs="Arial" w:eastAsia="Arial" w:hAnsi="Arial"/>
          <w:sz w:val="18"/>
          <w:szCs w:val="18"/>
          <w:color w:val="auto"/>
        </w:rPr>
        <w:t>In February 2019, the Company amended its 2012 Stock Plan to increase the number of shares reserved for issuance under the 2012 Plan from 41,099,254 to 52,299,254 shares. Additionally in September 2019, the Company amended the 2012 Plan to allow for the issuance of restricted stock units (“RSUs”).</w:t>
      </w:r>
    </w:p>
    <w:p>
      <w:pPr>
        <w:spacing w:after="0" w:line="184" w:lineRule="exact"/>
        <w:rPr>
          <w:sz w:val="20"/>
          <w:szCs w:val="20"/>
          <w:color w:val="auto"/>
        </w:rPr>
      </w:pPr>
    </w:p>
    <w:p>
      <w:pPr>
        <w:ind w:right="100" w:firstLine="449"/>
        <w:spacing w:after="0" w:line="273" w:lineRule="auto"/>
        <w:rPr>
          <w:sz w:val="20"/>
          <w:szCs w:val="20"/>
          <w:color w:val="auto"/>
        </w:rPr>
      </w:pPr>
      <w:r>
        <w:rPr>
          <w:rFonts w:ascii="Arial" w:cs="Arial" w:eastAsia="Arial" w:hAnsi="Arial"/>
          <w:sz w:val="17"/>
          <w:szCs w:val="17"/>
          <w:color w:val="auto"/>
        </w:rPr>
        <w:t>In February 2019, the Company entered into a new lease agreement for approximately 265,890 square feet of office space in San Francisco, California, to serve as its new corporate headquarters. As part of the agreement, the Company is required to issue a $17.0 million letter of credit upon access to the office space in April 2020. The Company expects to start making recurring rental payments under the lease in the third quarter of fiscal 2021. The lease expiration date is October 2033. The Company’s Chief Executive Officer acts as a personal guarantor to the lease for the full rent payments over the 148-month term should the Company default on its obligations. Future minimum payments and capital commitments for the lease, including the tenant improvement allowances of $26.6 million, total $466.0 million.</w:t>
      </w:r>
    </w:p>
    <w:p>
      <w:pPr>
        <w:spacing w:after="0" w:line="178" w:lineRule="exact"/>
        <w:rPr>
          <w:sz w:val="20"/>
          <w:szCs w:val="20"/>
          <w:color w:val="auto"/>
        </w:rPr>
      </w:pPr>
    </w:p>
    <w:p>
      <w:pPr>
        <w:ind w:right="420" w:firstLine="449"/>
        <w:spacing w:after="0" w:line="263" w:lineRule="auto"/>
        <w:rPr>
          <w:sz w:val="20"/>
          <w:szCs w:val="20"/>
          <w:color w:val="auto"/>
        </w:rPr>
      </w:pPr>
      <w:r>
        <w:rPr>
          <w:rFonts w:ascii="Arial" w:cs="Arial" w:eastAsia="Arial" w:hAnsi="Arial"/>
          <w:sz w:val="18"/>
          <w:szCs w:val="18"/>
          <w:color w:val="auto"/>
        </w:rPr>
        <w:t>In May 2019, the Company amended its convertible note agreement with the entity affiliated with its CEO by increasing the available aggregate principal amount of up to $75 million to $125 million. Subsequently, in connection with the 2020 Note described below, this note agreement was terminated.</w:t>
      </w:r>
    </w:p>
    <w:p>
      <w:pPr>
        <w:spacing w:after="0" w:line="184" w:lineRule="exact"/>
        <w:rPr>
          <w:sz w:val="20"/>
          <w:szCs w:val="20"/>
          <w:color w:val="auto"/>
        </w:rPr>
      </w:pPr>
    </w:p>
    <w:p>
      <w:pPr>
        <w:jc w:val="both"/>
        <w:ind w:right="300" w:firstLine="449"/>
        <w:spacing w:after="0" w:line="301" w:lineRule="auto"/>
        <w:rPr>
          <w:sz w:val="20"/>
          <w:szCs w:val="20"/>
          <w:color w:val="auto"/>
        </w:rPr>
      </w:pPr>
      <w:r>
        <w:rPr>
          <w:rFonts w:ascii="Arial" w:cs="Arial" w:eastAsia="Arial" w:hAnsi="Arial"/>
          <w:sz w:val="16"/>
          <w:szCs w:val="16"/>
          <w:color w:val="auto"/>
        </w:rPr>
        <w:t>In October 2019, certain of the Company’s stockholders conducted a tender offer for shares of the Company’s outstanding Class A common stock and Class B common stock and purchased an aggregate of 4,647,127 shares of the Company’s outstanding Class A common stock and Class B common stock from certain other stockholders at a purchase price of $15.82 per share, for an aggregate purchase price of $73.5 million, resulting in stock-based compensation expense of $38.7 million for the excess of the selling price per share over the fair value of the tendered shares.</w:t>
      </w:r>
    </w:p>
    <w:p>
      <w:pPr>
        <w:spacing w:after="0" w:line="157" w:lineRule="exact"/>
        <w:rPr>
          <w:sz w:val="20"/>
          <w:szCs w:val="20"/>
          <w:color w:val="auto"/>
        </w:rPr>
      </w:pPr>
    </w:p>
    <w:p>
      <w:pPr>
        <w:ind w:right="100" w:firstLine="449"/>
        <w:spacing w:after="0" w:line="293" w:lineRule="auto"/>
        <w:rPr>
          <w:sz w:val="20"/>
          <w:szCs w:val="20"/>
          <w:color w:val="auto"/>
        </w:rPr>
      </w:pPr>
      <w:r>
        <w:rPr>
          <w:rFonts w:ascii="Arial" w:cs="Arial" w:eastAsia="Arial" w:hAnsi="Arial"/>
          <w:sz w:val="16"/>
          <w:szCs w:val="16"/>
          <w:color w:val="auto"/>
        </w:rPr>
        <w:t>In January 2020, the Company issued to an entity affiliated with the Company’s CEO an unsecured senior mandatory convertible promissory note in the aggregate principal amount of $300.0 million, or the 2020 Note. The 2020 Note accrues interest at a rate of 3.5% per annum, which will compound annually and (other than in connection with our bankruptcy, insolvency, or other similar events) will mandatorily convert into shares of the Company’s Class B common stock. The 2020 Note matures on January 30, 2025, and on that date, depending on the trading price of the Class A common stock, the Company will issue between 11,282,390 and 18,051,810 shares of Class B common stock upon mandatory conversion of the 2020 Note, subject to customary anti-dilution and other adjustments. However, the Company may convert the 2020 Note in advance of the maturity date, at the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320" w:top="459" w:right="3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Company’s option, and issue the lesser number of shares described above prior to the maturity date if the trading price of Class A common stock exceeds $31.58 per share (subject to customary anti-dilution and other adjustments in connection with certain extraordinary transactions) for 20 or more trading days in the 30 consecutive trading day period ending on the last trading day of the immediately preceding calendar quarter. The 2020 Note is not transferable except to affiliates, contains no financial or restrictive covenants, and is expressly subordinated in right of payment to any of the Company’s existing or future secured indebtedness. Additionally, the 2020 Note contains limited events of default, including bankruptcy or insolvency, upon which the principal amount outstanding under the 2020 Note, together with all accrued unpaid interest, become immediately due and payable. As of the date of the issuance of these consolidated financial statements, $300.0 million was outstanding under this agreement.</w:t>
      </w:r>
    </w:p>
    <w:p>
      <w:pPr>
        <w:spacing w:after="0" w:line="17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Subsequent to January 31, 2019, the Company granted options for 11,079,546 shares of common stock with exercise prices ranging from $3.70 to $8.08 per share to employees, non-employees, and directors, and 90,936 shares underlying RSUs, which generally vest over four years subject to continued service.</w:t>
      </w:r>
    </w:p>
    <w:p>
      <w:pPr>
        <w:spacing w:after="0" w:line="184" w:lineRule="exact"/>
        <w:rPr>
          <w:sz w:val="20"/>
          <w:szCs w:val="20"/>
          <w:color w:val="auto"/>
        </w:rPr>
      </w:pPr>
    </w:p>
    <w:p>
      <w:pPr>
        <w:ind w:right="240" w:firstLine="449"/>
        <w:spacing w:after="0" w:line="277" w:lineRule="auto"/>
        <w:rPr>
          <w:sz w:val="20"/>
          <w:szCs w:val="20"/>
          <w:color w:val="auto"/>
        </w:rPr>
      </w:pPr>
      <w:r>
        <w:rPr>
          <w:rFonts w:ascii="Arial" w:cs="Arial" w:eastAsia="Arial" w:hAnsi="Arial"/>
          <w:sz w:val="18"/>
          <w:szCs w:val="18"/>
          <w:color w:val="auto"/>
        </w:rPr>
        <w:t>Additionally, subsequent to January 31, 2019, the Company entered into several other lease agreements with commitments totaling approximately $13.0 million through fiscal 2024.</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00"/>
          </w:cols>
          <w:pgMar w:left="320" w:top="459" w:right="379" w:bottom="1440" w:gutter="0" w:footer="0" w:header="0"/>
        </w:sectPr>
      </w:pPr>
    </w:p>
    <w:bookmarkStart w:id="166" w:name="page167"/>
    <w:bookmarkEnd w:id="16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3392170</wp:posOffset>
            </wp:positionV>
            <wp:extent cx="4123055" cy="82296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123055" cy="82296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ind w:right="120" w:firstLine="449"/>
        <w:spacing w:after="0" w:line="342" w:lineRule="auto"/>
        <w:rPr>
          <w:sz w:val="20"/>
          <w:szCs w:val="20"/>
          <w:color w:val="auto"/>
        </w:rPr>
      </w:pPr>
      <w:r>
        <w:rPr>
          <w:rFonts w:ascii="Arial" w:cs="Arial" w:eastAsia="Arial" w:hAnsi="Arial"/>
          <w:sz w:val="16"/>
          <w:szCs w:val="16"/>
          <w:color w:val="auto"/>
        </w:rPr>
        <w:t>The following table sets forth the costs and expenses to be paid by the Registrant in connection with this registration statement and the listing of our Class A common stock. All amounts are estimates except for the Securities and Exchange Commission, or the SEC, registration fee and the listing fee.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32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10320" w:type="dxa"/>
            <w:vAlign w:val="bottom"/>
          </w:tcPr>
          <w:p>
            <w:pPr>
              <w:ind w:left="600"/>
              <w:spacing w:after="0"/>
              <w:rPr>
                <w:sz w:val="20"/>
                <w:szCs w:val="20"/>
                <w:color w:val="auto"/>
              </w:rPr>
            </w:pPr>
            <w:r>
              <w:rPr>
                <w:rFonts w:ascii="Arial" w:cs="Arial" w:eastAsia="Arial" w:hAnsi="Arial"/>
                <w:sz w:val="18"/>
                <w:szCs w:val="18"/>
                <w:color w:val="auto"/>
              </w:rPr>
              <w:t>listing fee</w:t>
            </w:r>
          </w:p>
        </w:tc>
        <w:tc>
          <w:tcPr>
            <w:tcW w:w="46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10320" w:type="dxa"/>
            <w:vAlign w:val="bottom"/>
            <w:shd w:val="clear" w:color="auto" w:fill="CCEEFF"/>
          </w:tcPr>
          <w:p>
            <w:pPr>
              <w:spacing w:after="0"/>
              <w:rPr>
                <w:sz w:val="20"/>
                <w:szCs w:val="20"/>
                <w:color w:val="auto"/>
              </w:rPr>
            </w:pPr>
            <w:r>
              <w:rPr>
                <w:rFonts w:ascii="Arial" w:cs="Arial" w:eastAsia="Arial" w:hAnsi="Arial"/>
                <w:sz w:val="18"/>
                <w:szCs w:val="18"/>
                <w:color w:val="auto"/>
              </w:rPr>
              <w:t>Printing fees and expenses</w:t>
            </w:r>
          </w:p>
        </w:tc>
        <w:tc>
          <w:tcPr>
            <w:tcW w:w="4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46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1032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4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Custodian, transfer agent, and registrar fees</w:t>
            </w:r>
          </w:p>
        </w:tc>
        <w:tc>
          <w:tcPr>
            <w:tcW w:w="46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10320" w:type="dxa"/>
            <w:vAlign w:val="bottom"/>
            <w:shd w:val="clear" w:color="auto" w:fill="CCEEFF"/>
          </w:tcPr>
          <w:p>
            <w:pPr>
              <w:spacing w:after="0"/>
              <w:rPr>
                <w:sz w:val="20"/>
                <w:szCs w:val="20"/>
                <w:color w:val="auto"/>
              </w:rPr>
            </w:pPr>
            <w:r>
              <w:rPr>
                <w:rFonts w:ascii="Arial" w:cs="Arial" w:eastAsia="Arial" w:hAnsi="Arial"/>
                <w:sz w:val="18"/>
                <w:szCs w:val="18"/>
                <w:color w:val="auto"/>
              </w:rPr>
              <w:t>Other advisors’ fees</w:t>
            </w:r>
          </w:p>
        </w:tc>
        <w:tc>
          <w:tcPr>
            <w:tcW w:w="4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10320" w:type="dxa"/>
            <w:vAlign w:val="bottom"/>
          </w:tcPr>
          <w:p>
            <w:pPr>
              <w:spacing w:after="0"/>
              <w:rPr>
                <w:sz w:val="20"/>
                <w:szCs w:val="20"/>
                <w:color w:val="auto"/>
              </w:rPr>
            </w:pPr>
            <w:r>
              <w:rPr>
                <w:rFonts w:ascii="Arial" w:cs="Arial" w:eastAsia="Arial" w:hAnsi="Arial"/>
                <w:sz w:val="18"/>
                <w:szCs w:val="18"/>
                <w:color w:val="auto"/>
              </w:rPr>
              <w:t>Miscellaneous fees and expenses</w:t>
            </w:r>
          </w:p>
        </w:tc>
        <w:tc>
          <w:tcPr>
            <w:tcW w:w="4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10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10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8867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64" w:lineRule="exact"/>
        <w:rPr>
          <w:sz w:val="20"/>
          <w:szCs w:val="20"/>
          <w:color w:val="auto"/>
        </w:rPr>
      </w:pPr>
    </w:p>
    <w:p>
      <w:pPr>
        <w:ind w:left="460" w:hanging="452"/>
        <w:spacing w:after="0"/>
        <w:tabs>
          <w:tab w:leader="none" w:pos="46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To be provided by amendment.</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1" w:lineRule="exact"/>
        <w:rPr>
          <w:sz w:val="20"/>
          <w:szCs w:val="20"/>
          <w:color w:val="auto"/>
        </w:rPr>
      </w:pPr>
    </w:p>
    <w:p>
      <w:pPr>
        <w:ind w:right="160" w:firstLine="449"/>
        <w:spacing w:after="0" w:line="254" w:lineRule="auto"/>
        <w:rPr>
          <w:sz w:val="20"/>
          <w:szCs w:val="20"/>
          <w:color w:val="auto"/>
        </w:rPr>
      </w:pPr>
      <w:r>
        <w:rPr>
          <w:rFonts w:ascii="Arial" w:cs="Arial" w:eastAsia="Arial" w:hAnsi="Arial"/>
          <w:sz w:val="18"/>
          <w:szCs w:val="18"/>
          <w:color w:val="auto"/>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Our amended and restated certificate of incorporation that will be in effect following the effectiveness of this registration statement, permits indemnification of our directors, officers, employees and other agents to the maximum extent permitted by the Delaware General Corporation Law, and our amended and restated bylaws that will be in effect following the effectiveness of this registration statement provide that we will indemnify our directors and officers and permit us to indemnify our employees and other agents, in each case to the maximum extent permitted by the Delaware General Corporation Law.</w:t>
      </w:r>
    </w:p>
    <w:p>
      <w:pPr>
        <w:spacing w:after="0" w:line="195"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We have entered into indemnification agreements with our directors and officers, whereby we have agreed to indemnify our directors and officers to the fullest extent permitted by law, including indemnification against expenses and liabilities incurred in legal proceedings to which the director or officer was, or is threatened to be made, a party by reason of the fact that such director or officer is or was a director, officer, employee, or agent of Asana, Inc., provided that such director or officer acted in good faith and in a manner that the director or officer reasonably believed to be in, or not opposed to, the best interest of Asana, Inc. At present, there is no pending litigation or proceeding involving a director or officer of Asana, Inc. regarding which indemnification is sought, nor is the registrant aware of any threatened litigation that may result in claims for indemnification.</w:t>
      </w:r>
    </w:p>
    <w:p>
      <w:pPr>
        <w:spacing w:after="0" w:line="178"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We maintain insurance policies that indemnify our directors and officers against various liabilities arising under the Securities Act and the Exchange Act that might be incurred by any director or officer in his or her capacity as such.</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Since February 1, 2017, the Registrant has issued and sold the following unregistered securities:</w:t>
      </w:r>
    </w:p>
    <w:p>
      <w:pPr>
        <w:spacing w:after="0" w:line="131" w:lineRule="exact"/>
        <w:rPr>
          <w:sz w:val="20"/>
          <w:szCs w:val="20"/>
          <w:color w:val="auto"/>
        </w:rPr>
      </w:pPr>
    </w:p>
    <w:p>
      <w:pPr>
        <w:ind w:left="1000" w:right="360" w:hanging="357"/>
        <w:spacing w:after="0" w:line="277" w:lineRule="auto"/>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Options to employees, directors, and consultants to purchase an aggregate of 30,097,756 shares of common stock under its Amended and Restated 2012 Stock Plan, or the 2012 Plan, with per share exercise prices ranging from $1.60 to $8.08.</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40"/>
          </w:cols>
          <w:pgMar w:left="320" w:top="459" w:right="3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357"/>
        <w:spacing w:after="0"/>
        <w:tabs>
          <w:tab w:leader="none" w:pos="10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An aggregate of 90,936 RSUs to employees, directors, and consultants to be settled in shares of common stock under its 2012 Plan.</w:t>
      </w:r>
    </w:p>
    <w:p>
      <w:pPr>
        <w:spacing w:after="0" w:line="142" w:lineRule="exact"/>
        <w:rPr>
          <w:rFonts w:ascii="Arial" w:cs="Arial" w:eastAsia="Arial" w:hAnsi="Arial"/>
          <w:sz w:val="17"/>
          <w:szCs w:val="17"/>
          <w:color w:val="auto"/>
        </w:rPr>
      </w:pPr>
    </w:p>
    <w:p>
      <w:pPr>
        <w:ind w:left="1000" w:right="360" w:hanging="357"/>
        <w:spacing w:after="0" w:line="308" w:lineRule="auto"/>
        <w:tabs>
          <w:tab w:leader="none" w:pos="10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11,938,341 shares of common stock to its employees, directors, consultants, and other service providers upon exercise of options granted under its 2012 Plan, with purchase prices ranging from $0.001 to $7.50, for an aggregate purchase price of $13.4 million.</w:t>
      </w:r>
    </w:p>
    <w:p>
      <w:pPr>
        <w:spacing w:after="0" w:line="51" w:lineRule="exact"/>
        <w:rPr>
          <w:rFonts w:ascii="Arial" w:cs="Arial" w:eastAsia="Arial" w:hAnsi="Arial"/>
          <w:sz w:val="17"/>
          <w:szCs w:val="17"/>
          <w:color w:val="auto"/>
        </w:rPr>
      </w:pPr>
    </w:p>
    <w:p>
      <w:pPr>
        <w:jc w:val="both"/>
        <w:ind w:left="1000" w:hanging="357"/>
        <w:spacing w:after="0" w:line="311" w:lineRule="auto"/>
        <w:tabs>
          <w:tab w:leader="none" w:pos="10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In August 2017, a convertible promissory note in the principal amount of $15.0 million, or the 2017 Note, to the Dustin Moskovitz Trust. The aggregate principal amount and accrued interest on the 2017 Note converted into 2,923,425 shares of the Registrant’s Series D preferred stock at a conversion price of $5.23 per share upon the closing of the Registrant’s Series D preferred stock financing in January 2018.</w:t>
      </w:r>
    </w:p>
    <w:p>
      <w:pPr>
        <w:spacing w:after="0" w:line="54" w:lineRule="exact"/>
        <w:rPr>
          <w:rFonts w:ascii="Arial" w:cs="Arial" w:eastAsia="Arial" w:hAnsi="Arial"/>
          <w:sz w:val="16"/>
          <w:szCs w:val="16"/>
          <w:color w:val="auto"/>
        </w:rPr>
      </w:pPr>
    </w:p>
    <w:p>
      <w:pPr>
        <w:ind w:left="1000" w:right="180" w:hanging="357"/>
        <w:spacing w:after="0" w:line="277" w:lineRule="auto"/>
        <w:tabs>
          <w:tab w:leader="none" w:pos="10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 two closings in January 2018, 11,429,642 shares of the Registrant’s Series D preferred stock at a purchase price of $5.23 per share for an aggregate purchase price of approximately $59.7 million.</w:t>
      </w:r>
    </w:p>
    <w:p>
      <w:pPr>
        <w:spacing w:after="0" w:line="75" w:lineRule="exact"/>
        <w:rPr>
          <w:rFonts w:ascii="Arial" w:cs="Arial" w:eastAsia="Arial" w:hAnsi="Arial"/>
          <w:sz w:val="18"/>
          <w:szCs w:val="18"/>
          <w:color w:val="auto"/>
        </w:rPr>
      </w:pPr>
    </w:p>
    <w:p>
      <w:pPr>
        <w:ind w:left="1000" w:right="80" w:hanging="357"/>
        <w:spacing w:after="0" w:line="277" w:lineRule="auto"/>
        <w:tabs>
          <w:tab w:leader="none" w:pos="10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 November 2018, an aggregate of 6,229,843 shares of the Registrant’s Series E preferred stock at a purchase price of $8.19 per share for an aggregate purchase price of approximately $51.0 million.</w:t>
      </w:r>
    </w:p>
    <w:p>
      <w:pPr>
        <w:spacing w:after="0" w:line="75" w:lineRule="exact"/>
        <w:rPr>
          <w:rFonts w:ascii="Arial" w:cs="Arial" w:eastAsia="Arial" w:hAnsi="Arial"/>
          <w:sz w:val="18"/>
          <w:szCs w:val="18"/>
          <w:color w:val="auto"/>
        </w:rPr>
      </w:pPr>
    </w:p>
    <w:p>
      <w:pPr>
        <w:ind w:left="1000" w:right="60" w:hanging="357"/>
        <w:spacing w:after="0" w:line="277" w:lineRule="auto"/>
        <w:tabs>
          <w:tab w:leader="none" w:pos="10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 January 2020, a 3.5% senior mandatory convertible promissory note due January 30, 2025 in the principal amount of $300.0 million to the Dustin Moskovitz Trust.</w:t>
      </w:r>
    </w:p>
    <w:p>
      <w:pPr>
        <w:spacing w:after="0" w:line="170" w:lineRule="exact"/>
        <w:rPr>
          <w:sz w:val="20"/>
          <w:szCs w:val="20"/>
          <w:color w:val="auto"/>
        </w:rPr>
      </w:pPr>
    </w:p>
    <w:p>
      <w:pPr>
        <w:ind w:right="80" w:firstLine="449"/>
        <w:spacing w:after="0" w:line="293" w:lineRule="auto"/>
        <w:rPr>
          <w:sz w:val="20"/>
          <w:szCs w:val="20"/>
          <w:color w:val="auto"/>
        </w:rPr>
      </w:pPr>
      <w:r>
        <w:rPr>
          <w:rFonts w:ascii="Arial" w:cs="Arial" w:eastAsia="Arial" w:hAnsi="Arial"/>
          <w:sz w:val="16"/>
          <w:szCs w:val="16"/>
          <w:color w:val="auto"/>
        </w:rPr>
        <w:t>None of the foregoing transactions involved any underwriters, underwriting discounts or commissions, or any public offering. Unless otherwise stated, the sales of the above securities were deemed to be exempt from registration under the Securities Act in reliance upon Section 4(a)(2) of the Securities Act (or Regulation D or Regulation S promulgated thereunder) or Rule 701 promulgated under Section 3(b) of the Securities Act as transactions by an issuer not involving any public offering or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20"/>
          </w:cols>
          <w:pgMar w:left="320" w:top="459" w:right="3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35" w:lineRule="exact"/>
        <w:rPr>
          <w:sz w:val="20"/>
          <w:szCs w:val="20"/>
          <w:color w:val="auto"/>
        </w:rPr>
      </w:pPr>
    </w:p>
    <w:p>
      <w:pPr>
        <w:ind w:left="1000" w:hanging="432"/>
        <w:spacing w:after="0"/>
        <w:tabs>
          <w:tab w:leader="none" w:pos="1000" w:val="left"/>
        </w:tabs>
        <w:numPr>
          <w:ilvl w:val="0"/>
          <w:numId w:val="107"/>
        </w:numPr>
        <w:rPr>
          <w:rFonts w:ascii="Arial" w:cs="Arial" w:eastAsia="Arial" w:hAnsi="Arial"/>
          <w:sz w:val="18"/>
          <w:szCs w:val="18"/>
          <w:i w:val="1"/>
          <w:iCs w:val="1"/>
          <w:color w:val="auto"/>
        </w:rPr>
      </w:pPr>
      <w:r>
        <w:rPr>
          <w:rFonts w:ascii="Arial" w:cs="Arial" w:eastAsia="Arial" w:hAnsi="Arial"/>
          <w:sz w:val="18"/>
          <w:szCs w:val="18"/>
          <w:i w:val="1"/>
          <w:iCs w:val="1"/>
          <w:color w:val="auto"/>
        </w:rPr>
        <w:t>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8"/>
              </w:rPr>
              <w:t>Exhibit</w:t>
            </w:r>
          </w:p>
        </w:tc>
        <w:tc>
          <w:tcPr>
            <w:tcW w:w="10080" w:type="dxa"/>
            <w:vAlign w:val="bottom"/>
            <w:vMerge w:val="restart"/>
          </w:tcPr>
          <w:p>
            <w:pPr>
              <w:ind w:left="4660"/>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71"/>
        </w:trPr>
        <w:tc>
          <w:tcPr>
            <w:tcW w:w="11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8"/>
              </w:rPr>
              <w:t>Number</w:t>
            </w:r>
          </w:p>
        </w:tc>
        <w:tc>
          <w:tcPr>
            <w:tcW w:w="10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w:t>
            </w:r>
          </w:p>
        </w:tc>
        <w:tc>
          <w:tcPr>
            <w:tcW w:w="640" w:type="dxa"/>
            <w:vAlign w:val="bottom"/>
          </w:tcPr>
          <w:p>
            <w:pPr>
              <w:spacing w:after="0"/>
              <w:rPr>
                <w:sz w:val="24"/>
                <w:szCs w:val="24"/>
                <w:color w:val="auto"/>
              </w:rPr>
            </w:pPr>
          </w:p>
        </w:tc>
        <w:tc>
          <w:tcPr>
            <w:tcW w:w="10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Amended and Restated Certificate of Incorporation of the Registrant, as currently in effect</w:t>
            </w:r>
          </w:p>
        </w:tc>
        <w:tc>
          <w:tcPr>
            <w:tcW w:w="0" w:type="dxa"/>
            <w:vAlign w:val="bottom"/>
          </w:tcPr>
          <w:p>
            <w:pPr>
              <w:spacing w:after="0"/>
              <w:rPr>
                <w:sz w:val="1"/>
                <w:szCs w:val="1"/>
                <w:color w:val="auto"/>
              </w:rPr>
            </w:pPr>
          </w:p>
        </w:tc>
      </w:tr>
      <w:tr>
        <w:trPr>
          <w:trHeight w:val="324"/>
        </w:trPr>
        <w:tc>
          <w:tcPr>
            <w:tcW w:w="52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64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5"/>
              </w:rPr>
              <w:t>Form of Restated Certificate of Incorporation of the Registrant, to be in effect following the effectiveness of the registration statement</w:t>
            </w:r>
          </w:p>
        </w:tc>
        <w:tc>
          <w:tcPr>
            <w:tcW w:w="0" w:type="dxa"/>
            <w:vAlign w:val="bottom"/>
          </w:tcPr>
          <w:p>
            <w:pPr>
              <w:spacing w:after="0"/>
              <w:rPr>
                <w:sz w:val="1"/>
                <w:szCs w:val="1"/>
                <w:color w:val="auto"/>
              </w:rPr>
            </w:pPr>
          </w:p>
        </w:tc>
      </w:tr>
      <w:tr>
        <w:trPr>
          <w:trHeight w:val="324"/>
        </w:trPr>
        <w:tc>
          <w:tcPr>
            <w:tcW w:w="520" w:type="dxa"/>
            <w:vAlign w:val="bottom"/>
          </w:tcPr>
          <w:p>
            <w:pPr>
              <w:jc w:val="right"/>
              <w:ind w:right="12"/>
              <w:spacing w:after="0"/>
              <w:rPr>
                <w:sz w:val="20"/>
                <w:szCs w:val="20"/>
                <w:color w:val="auto"/>
              </w:rPr>
            </w:pPr>
            <w:r>
              <w:rPr>
                <w:rFonts w:ascii="Arial" w:cs="Arial" w:eastAsia="Arial" w:hAnsi="Arial"/>
                <w:sz w:val="18"/>
                <w:szCs w:val="18"/>
                <w:color w:val="auto"/>
              </w:rPr>
              <w:t>3.3*</w:t>
            </w:r>
          </w:p>
        </w:tc>
        <w:tc>
          <w:tcPr>
            <w:tcW w:w="64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Amended and Restated Bylaws of the Registrant, as currently in effect</w:t>
            </w:r>
          </w:p>
        </w:tc>
        <w:tc>
          <w:tcPr>
            <w:tcW w:w="0" w:type="dxa"/>
            <w:vAlign w:val="bottom"/>
          </w:tcPr>
          <w:p>
            <w:pPr>
              <w:spacing w:after="0"/>
              <w:rPr>
                <w:sz w:val="1"/>
                <w:szCs w:val="1"/>
                <w:color w:val="auto"/>
              </w:rPr>
            </w:pPr>
          </w:p>
        </w:tc>
      </w:tr>
      <w:tr>
        <w:trPr>
          <w:trHeight w:val="324"/>
        </w:trPr>
        <w:tc>
          <w:tcPr>
            <w:tcW w:w="52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64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Form of Restated Bylaws of the Registrant, to be in effect following the effectiveness of the registration statement</w:t>
            </w:r>
          </w:p>
        </w:tc>
        <w:tc>
          <w:tcPr>
            <w:tcW w:w="0" w:type="dxa"/>
            <w:vAlign w:val="bottom"/>
          </w:tcPr>
          <w:p>
            <w:pPr>
              <w:spacing w:after="0"/>
              <w:rPr>
                <w:sz w:val="1"/>
                <w:szCs w:val="1"/>
                <w:color w:val="auto"/>
              </w:rPr>
            </w:pPr>
          </w:p>
        </w:tc>
      </w:tr>
      <w:tr>
        <w:trPr>
          <w:trHeight w:val="324"/>
        </w:trPr>
        <w:tc>
          <w:tcPr>
            <w:tcW w:w="520" w:type="dxa"/>
            <w:vAlign w:val="bottom"/>
          </w:tcPr>
          <w:p>
            <w:pPr>
              <w:jc w:val="right"/>
              <w:ind w:right="12"/>
              <w:spacing w:after="0"/>
              <w:rPr>
                <w:sz w:val="20"/>
                <w:szCs w:val="20"/>
                <w:color w:val="auto"/>
              </w:rPr>
            </w:pPr>
            <w:r>
              <w:rPr>
                <w:rFonts w:ascii="Arial" w:cs="Arial" w:eastAsia="Arial" w:hAnsi="Arial"/>
                <w:sz w:val="18"/>
                <w:szCs w:val="18"/>
                <w:color w:val="auto"/>
              </w:rPr>
              <w:t>4.1*</w:t>
            </w:r>
          </w:p>
        </w:tc>
        <w:tc>
          <w:tcPr>
            <w:tcW w:w="64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Form of Registrant’s Common Stock Certificate</w:t>
            </w:r>
          </w:p>
        </w:tc>
        <w:tc>
          <w:tcPr>
            <w:tcW w:w="0" w:type="dxa"/>
            <w:vAlign w:val="bottom"/>
          </w:tcPr>
          <w:p>
            <w:pPr>
              <w:spacing w:after="0"/>
              <w:rPr>
                <w:sz w:val="1"/>
                <w:szCs w:val="1"/>
                <w:color w:val="auto"/>
              </w:rPr>
            </w:pPr>
          </w:p>
        </w:tc>
      </w:tr>
      <w:tr>
        <w:trPr>
          <w:trHeight w:val="310"/>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4.2</w:t>
            </w:r>
          </w:p>
        </w:tc>
        <w:tc>
          <w:tcPr>
            <w:tcW w:w="64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0"/>
              </w:rPr>
              <w:t>Amended and Restated Investors’ Rights Agreement, dated as of November 15, 2018, by and among the Registrant and certain investors of</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the Registrant</w:t>
            </w:r>
          </w:p>
        </w:tc>
        <w:tc>
          <w:tcPr>
            <w:tcW w:w="0" w:type="dxa"/>
            <w:vAlign w:val="bottom"/>
          </w:tcPr>
          <w:p>
            <w:pPr>
              <w:spacing w:after="0"/>
              <w:rPr>
                <w:sz w:val="1"/>
                <w:szCs w:val="1"/>
                <w:color w:val="auto"/>
              </w:rPr>
            </w:pPr>
          </w:p>
        </w:tc>
      </w:tr>
      <w:tr>
        <w:trPr>
          <w:trHeight w:val="310"/>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4.3</w:t>
            </w:r>
          </w:p>
        </w:tc>
        <w:tc>
          <w:tcPr>
            <w:tcW w:w="64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3"/>
              </w:rPr>
              <w:t>Unsecured Senior Mandatory Convertible Promissory Note, dated as of January 30, 2020, by and among the Registrant and the Dustin</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Moskovitz Trust</w:t>
            </w:r>
          </w:p>
        </w:tc>
        <w:tc>
          <w:tcPr>
            <w:tcW w:w="0" w:type="dxa"/>
            <w:vAlign w:val="bottom"/>
          </w:tcPr>
          <w:p>
            <w:pPr>
              <w:spacing w:after="0"/>
              <w:rPr>
                <w:sz w:val="1"/>
                <w:szCs w:val="1"/>
                <w:color w:val="auto"/>
              </w:rPr>
            </w:pPr>
          </w:p>
        </w:tc>
      </w:tr>
      <w:tr>
        <w:trPr>
          <w:trHeight w:val="324"/>
        </w:trPr>
        <w:tc>
          <w:tcPr>
            <w:tcW w:w="520" w:type="dxa"/>
            <w:vAlign w:val="bottom"/>
          </w:tcPr>
          <w:p>
            <w:pPr>
              <w:jc w:val="right"/>
              <w:ind w:right="12"/>
              <w:spacing w:after="0"/>
              <w:rPr>
                <w:sz w:val="20"/>
                <w:szCs w:val="20"/>
                <w:color w:val="auto"/>
              </w:rPr>
            </w:pPr>
            <w:r>
              <w:rPr>
                <w:rFonts w:ascii="Arial" w:cs="Arial" w:eastAsia="Arial" w:hAnsi="Arial"/>
                <w:sz w:val="18"/>
                <w:szCs w:val="18"/>
                <w:color w:val="auto"/>
              </w:rPr>
              <w:t>5.1*</w:t>
            </w:r>
          </w:p>
        </w:tc>
        <w:tc>
          <w:tcPr>
            <w:tcW w:w="64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Opinion of Orrick, Herrington &amp; Sutcliffe LLP</w:t>
            </w:r>
          </w:p>
        </w:tc>
        <w:tc>
          <w:tcPr>
            <w:tcW w:w="0" w:type="dxa"/>
            <w:vAlign w:val="bottom"/>
          </w:tcPr>
          <w:p>
            <w:pPr>
              <w:spacing w:after="0"/>
              <w:rPr>
                <w:sz w:val="1"/>
                <w:szCs w:val="1"/>
                <w:color w:val="auto"/>
              </w:rPr>
            </w:pPr>
          </w:p>
        </w:tc>
      </w:tr>
      <w:tr>
        <w:trPr>
          <w:trHeight w:val="324"/>
        </w:trPr>
        <w:tc>
          <w:tcPr>
            <w:tcW w:w="520" w:type="dxa"/>
            <w:vAlign w:val="bottom"/>
          </w:tcPr>
          <w:p>
            <w:pPr>
              <w:jc w:val="right"/>
              <w:ind w:right="12"/>
              <w:spacing w:after="0"/>
              <w:rPr>
                <w:sz w:val="20"/>
                <w:szCs w:val="20"/>
                <w:color w:val="auto"/>
              </w:rPr>
            </w:pPr>
            <w:r>
              <w:rPr>
                <w:rFonts w:ascii="Arial" w:cs="Arial" w:eastAsia="Arial" w:hAnsi="Arial"/>
                <w:sz w:val="18"/>
                <w:szCs w:val="18"/>
                <w:color w:val="auto"/>
                <w:w w:val="95"/>
              </w:rPr>
              <w:t>10.1*</w:t>
            </w:r>
          </w:p>
        </w:tc>
        <w:tc>
          <w:tcPr>
            <w:tcW w:w="64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Form of Indemnification Agreement entered into between the Registrant and each of its directors and executive officers</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10.2</w:t>
            </w:r>
          </w:p>
        </w:tc>
        <w:tc>
          <w:tcPr>
            <w:tcW w:w="64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2009 Stock Plan, as amended, and forms of agreement thereunder</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10.3</w:t>
            </w:r>
          </w:p>
        </w:tc>
        <w:tc>
          <w:tcPr>
            <w:tcW w:w="64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Amended and Restated 2012 Stock Plan, and forms of agreement thereunder</w:t>
            </w:r>
          </w:p>
        </w:tc>
        <w:tc>
          <w:tcPr>
            <w:tcW w:w="0" w:type="dxa"/>
            <w:vAlign w:val="bottom"/>
          </w:tcPr>
          <w:p>
            <w:pPr>
              <w:spacing w:after="0"/>
              <w:rPr>
                <w:sz w:val="1"/>
                <w:szCs w:val="1"/>
                <w:color w:val="auto"/>
              </w:rPr>
            </w:pPr>
          </w:p>
        </w:tc>
      </w:tr>
      <w:tr>
        <w:trPr>
          <w:trHeight w:val="324"/>
        </w:trPr>
        <w:tc>
          <w:tcPr>
            <w:tcW w:w="520" w:type="dxa"/>
            <w:vAlign w:val="bottom"/>
          </w:tcPr>
          <w:p>
            <w:pPr>
              <w:jc w:val="right"/>
              <w:ind w:right="12"/>
              <w:spacing w:after="0"/>
              <w:rPr>
                <w:sz w:val="20"/>
                <w:szCs w:val="20"/>
                <w:color w:val="auto"/>
              </w:rPr>
            </w:pPr>
            <w:r>
              <w:rPr>
                <w:rFonts w:ascii="Arial" w:cs="Arial" w:eastAsia="Arial" w:hAnsi="Arial"/>
                <w:sz w:val="18"/>
                <w:szCs w:val="18"/>
                <w:color w:val="auto"/>
                <w:w w:val="95"/>
              </w:rPr>
              <w:t>10.4*</w:t>
            </w:r>
          </w:p>
        </w:tc>
        <w:tc>
          <w:tcPr>
            <w:tcW w:w="64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2020 Equity Incentive Plan, and forms of agreement thereunder</w:t>
            </w:r>
          </w:p>
        </w:tc>
        <w:tc>
          <w:tcPr>
            <w:tcW w:w="0" w:type="dxa"/>
            <w:vAlign w:val="bottom"/>
          </w:tcPr>
          <w:p>
            <w:pPr>
              <w:spacing w:after="0"/>
              <w:rPr>
                <w:sz w:val="1"/>
                <w:szCs w:val="1"/>
                <w:color w:val="auto"/>
              </w:rPr>
            </w:pPr>
          </w:p>
        </w:tc>
      </w:tr>
      <w:tr>
        <w:trPr>
          <w:trHeight w:val="324"/>
        </w:trPr>
        <w:tc>
          <w:tcPr>
            <w:tcW w:w="520" w:type="dxa"/>
            <w:vAlign w:val="bottom"/>
          </w:tcPr>
          <w:p>
            <w:pPr>
              <w:jc w:val="right"/>
              <w:ind w:right="12"/>
              <w:spacing w:after="0"/>
              <w:rPr>
                <w:sz w:val="20"/>
                <w:szCs w:val="20"/>
                <w:color w:val="auto"/>
              </w:rPr>
            </w:pPr>
            <w:r>
              <w:rPr>
                <w:rFonts w:ascii="Arial" w:cs="Arial" w:eastAsia="Arial" w:hAnsi="Arial"/>
                <w:sz w:val="18"/>
                <w:szCs w:val="18"/>
                <w:color w:val="auto"/>
                <w:w w:val="95"/>
              </w:rPr>
              <w:t>10.5*</w:t>
            </w:r>
          </w:p>
        </w:tc>
        <w:tc>
          <w:tcPr>
            <w:tcW w:w="64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Offer Letter between Dustin Moskovitz and the Registrant, dated February 4, 2009</w:t>
            </w:r>
          </w:p>
        </w:tc>
        <w:tc>
          <w:tcPr>
            <w:tcW w:w="0" w:type="dxa"/>
            <w:vAlign w:val="bottom"/>
          </w:tcPr>
          <w:p>
            <w:pPr>
              <w:spacing w:after="0"/>
              <w:rPr>
                <w:sz w:val="1"/>
                <w:szCs w:val="1"/>
                <w:color w:val="auto"/>
              </w:rPr>
            </w:pPr>
          </w:p>
        </w:tc>
      </w:tr>
      <w:tr>
        <w:trPr>
          <w:trHeight w:val="324"/>
        </w:trPr>
        <w:tc>
          <w:tcPr>
            <w:tcW w:w="520" w:type="dxa"/>
            <w:vAlign w:val="bottom"/>
          </w:tcPr>
          <w:p>
            <w:pPr>
              <w:jc w:val="right"/>
              <w:ind w:right="12"/>
              <w:spacing w:after="0"/>
              <w:rPr>
                <w:sz w:val="20"/>
                <w:szCs w:val="20"/>
                <w:color w:val="auto"/>
              </w:rPr>
            </w:pPr>
            <w:r>
              <w:rPr>
                <w:rFonts w:ascii="Arial" w:cs="Arial" w:eastAsia="Arial" w:hAnsi="Arial"/>
                <w:sz w:val="18"/>
                <w:szCs w:val="18"/>
                <w:color w:val="auto"/>
                <w:w w:val="95"/>
              </w:rPr>
              <w:t>10.6*</w:t>
            </w:r>
          </w:p>
        </w:tc>
        <w:tc>
          <w:tcPr>
            <w:tcW w:w="64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Lease between Swig 631 Folsom, LLC, SIC Holdings, LLC. and the Registrant, dated as of February 22, 2019</w:t>
            </w:r>
          </w:p>
        </w:tc>
        <w:tc>
          <w:tcPr>
            <w:tcW w:w="0" w:type="dxa"/>
            <w:vAlign w:val="bottom"/>
          </w:tcPr>
          <w:p>
            <w:pPr>
              <w:spacing w:after="0"/>
              <w:rPr>
                <w:sz w:val="1"/>
                <w:szCs w:val="1"/>
                <w:color w:val="auto"/>
              </w:rPr>
            </w:pPr>
          </w:p>
        </w:tc>
      </w:tr>
      <w:tr>
        <w:trPr>
          <w:trHeight w:val="324"/>
        </w:trPr>
        <w:tc>
          <w:tcPr>
            <w:tcW w:w="520" w:type="dxa"/>
            <w:vAlign w:val="bottom"/>
          </w:tcPr>
          <w:p>
            <w:pPr>
              <w:jc w:val="right"/>
              <w:ind w:right="12"/>
              <w:spacing w:after="0"/>
              <w:rPr>
                <w:sz w:val="20"/>
                <w:szCs w:val="20"/>
                <w:color w:val="auto"/>
              </w:rPr>
            </w:pPr>
            <w:r>
              <w:rPr>
                <w:rFonts w:ascii="Arial" w:cs="Arial" w:eastAsia="Arial" w:hAnsi="Arial"/>
                <w:sz w:val="18"/>
                <w:szCs w:val="18"/>
                <w:color w:val="auto"/>
                <w:w w:val="95"/>
              </w:rPr>
              <w:t>10.7*</w:t>
            </w:r>
          </w:p>
        </w:tc>
        <w:tc>
          <w:tcPr>
            <w:tcW w:w="64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Lease between AE-Hamm’s Property Owner, LLC and the Registrant, dated as of May 27, 2011, as amended</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21.1</w:t>
            </w:r>
          </w:p>
        </w:tc>
        <w:tc>
          <w:tcPr>
            <w:tcW w:w="64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List of subsidiaries</w:t>
            </w:r>
          </w:p>
        </w:tc>
        <w:tc>
          <w:tcPr>
            <w:tcW w:w="0" w:type="dxa"/>
            <w:vAlign w:val="bottom"/>
          </w:tcPr>
          <w:p>
            <w:pPr>
              <w:spacing w:after="0"/>
              <w:rPr>
                <w:sz w:val="1"/>
                <w:szCs w:val="1"/>
                <w:color w:val="auto"/>
              </w:rPr>
            </w:pPr>
          </w:p>
        </w:tc>
      </w:tr>
      <w:tr>
        <w:trPr>
          <w:trHeight w:val="324"/>
        </w:trPr>
        <w:tc>
          <w:tcPr>
            <w:tcW w:w="520" w:type="dxa"/>
            <w:vAlign w:val="bottom"/>
          </w:tcPr>
          <w:p>
            <w:pPr>
              <w:jc w:val="right"/>
              <w:ind w:right="12"/>
              <w:spacing w:after="0"/>
              <w:rPr>
                <w:sz w:val="20"/>
                <w:szCs w:val="20"/>
                <w:color w:val="auto"/>
              </w:rPr>
            </w:pPr>
            <w:r>
              <w:rPr>
                <w:rFonts w:ascii="Arial" w:cs="Arial" w:eastAsia="Arial" w:hAnsi="Arial"/>
                <w:sz w:val="18"/>
                <w:szCs w:val="18"/>
                <w:color w:val="auto"/>
                <w:w w:val="95"/>
              </w:rPr>
              <w:t>23.1*</w:t>
            </w:r>
          </w:p>
        </w:tc>
        <w:tc>
          <w:tcPr>
            <w:tcW w:w="64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Consent of Orrick, Herrington &amp; Sutcliffe LLP (included in Exhibit 5.1)</w:t>
            </w:r>
          </w:p>
        </w:tc>
        <w:tc>
          <w:tcPr>
            <w:tcW w:w="0" w:type="dxa"/>
            <w:vAlign w:val="bottom"/>
          </w:tcPr>
          <w:p>
            <w:pPr>
              <w:spacing w:after="0"/>
              <w:rPr>
                <w:sz w:val="1"/>
                <w:szCs w:val="1"/>
                <w:color w:val="auto"/>
              </w:rPr>
            </w:pPr>
          </w:p>
        </w:tc>
      </w:tr>
      <w:tr>
        <w:trPr>
          <w:trHeight w:val="324"/>
        </w:trPr>
        <w:tc>
          <w:tcPr>
            <w:tcW w:w="520" w:type="dxa"/>
            <w:vAlign w:val="bottom"/>
          </w:tcPr>
          <w:p>
            <w:pPr>
              <w:jc w:val="right"/>
              <w:ind w:right="12"/>
              <w:spacing w:after="0"/>
              <w:rPr>
                <w:sz w:val="20"/>
                <w:szCs w:val="20"/>
                <w:color w:val="auto"/>
              </w:rPr>
            </w:pPr>
            <w:r>
              <w:rPr>
                <w:rFonts w:ascii="Arial" w:cs="Arial" w:eastAsia="Arial" w:hAnsi="Arial"/>
                <w:sz w:val="18"/>
                <w:szCs w:val="18"/>
                <w:color w:val="auto"/>
                <w:w w:val="95"/>
              </w:rPr>
              <w:t>23.2*</w:t>
            </w:r>
          </w:p>
        </w:tc>
        <w:tc>
          <w:tcPr>
            <w:tcW w:w="64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324"/>
        </w:trPr>
        <w:tc>
          <w:tcPr>
            <w:tcW w:w="520" w:type="dxa"/>
            <w:vAlign w:val="bottom"/>
          </w:tcPr>
          <w:p>
            <w:pPr>
              <w:jc w:val="right"/>
              <w:ind w:right="12"/>
              <w:spacing w:after="0"/>
              <w:rPr>
                <w:sz w:val="20"/>
                <w:szCs w:val="20"/>
                <w:color w:val="auto"/>
              </w:rPr>
            </w:pPr>
            <w:r>
              <w:rPr>
                <w:rFonts w:ascii="Arial" w:cs="Arial" w:eastAsia="Arial" w:hAnsi="Arial"/>
                <w:sz w:val="18"/>
                <w:szCs w:val="18"/>
                <w:color w:val="auto"/>
                <w:w w:val="95"/>
              </w:rPr>
              <w:t>24.1*</w:t>
            </w:r>
          </w:p>
        </w:tc>
        <w:tc>
          <w:tcPr>
            <w:tcW w:w="64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Power of Attorney (included on the signature page to this Registration Statement)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50" w:lineRule="exact"/>
        <w:rPr>
          <w:sz w:val="20"/>
          <w:szCs w:val="20"/>
          <w:color w:val="auto"/>
        </w:rPr>
      </w:pPr>
    </w:p>
    <w:p>
      <w:pPr>
        <w:ind w:left="460" w:hanging="452"/>
        <w:spacing w:after="0"/>
        <w:tabs>
          <w:tab w:leader="none" w:pos="46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To be filed by amendment.</w:t>
      </w:r>
    </w:p>
    <w:p>
      <w:pPr>
        <w:spacing w:after="0" w:line="234" w:lineRule="exact"/>
        <w:rPr>
          <w:rFonts w:ascii="Arial" w:cs="Arial" w:eastAsia="Arial" w:hAnsi="Arial"/>
          <w:sz w:val="14"/>
          <w:szCs w:val="14"/>
          <w:color w:val="auto"/>
        </w:rPr>
      </w:pPr>
    </w:p>
    <w:p>
      <w:pPr>
        <w:ind w:left="1000" w:hanging="432"/>
        <w:spacing w:after="0"/>
        <w:tabs>
          <w:tab w:leader="none" w:pos="1000" w:val="left"/>
        </w:tabs>
        <w:numPr>
          <w:ilvl w:val="1"/>
          <w:numId w:val="108"/>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Statement Schedules.</w:t>
      </w:r>
    </w:p>
    <w:p>
      <w:pPr>
        <w:spacing w:after="0" w:line="225" w:lineRule="exact"/>
        <w:rPr>
          <w:sz w:val="20"/>
          <w:szCs w:val="20"/>
          <w:color w:val="auto"/>
        </w:rPr>
      </w:pPr>
    </w:p>
    <w:p>
      <w:pPr>
        <w:ind w:right="340" w:firstLine="449"/>
        <w:spacing w:after="0" w:line="277" w:lineRule="auto"/>
        <w:rPr>
          <w:sz w:val="20"/>
          <w:szCs w:val="20"/>
          <w:color w:val="auto"/>
        </w:rPr>
      </w:pPr>
      <w:r>
        <w:rPr>
          <w:rFonts w:ascii="Arial" w:cs="Arial" w:eastAsia="Arial" w:hAnsi="Arial"/>
          <w:sz w:val="18"/>
          <w:szCs w:val="18"/>
          <w:color w:val="auto"/>
        </w:rPr>
        <w:t>All other financial statement schedules are omitted because they are not applicable or the information is included in the Registrant’s consolidated financial statements or related notes.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40"/>
          </w:cols>
          <w:pgMar w:left="320" w:top="459" w:right="3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w:t>
      </w:r>
    </w:p>
    <w:p>
      <w:pPr>
        <w:spacing w:after="0" w:line="131" w:lineRule="exact"/>
        <w:rPr>
          <w:sz w:val="20"/>
          <w:szCs w:val="20"/>
          <w:color w:val="auto"/>
        </w:rPr>
      </w:pPr>
    </w:p>
    <w:p>
      <w:pPr>
        <w:ind w:left="1000" w:hanging="432"/>
        <w:spacing w:after="0"/>
        <w:tabs>
          <w:tab w:leader="none" w:pos="10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30" w:lineRule="exact"/>
        <w:rPr>
          <w:rFonts w:ascii="Arial" w:cs="Arial" w:eastAsia="Arial" w:hAnsi="Arial"/>
          <w:sz w:val="18"/>
          <w:szCs w:val="18"/>
          <w:color w:val="auto"/>
        </w:rPr>
      </w:pPr>
    </w:p>
    <w:p>
      <w:pPr>
        <w:ind w:left="1460" w:hanging="453"/>
        <w:spacing w:after="0"/>
        <w:tabs>
          <w:tab w:leader="none" w:pos="14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as amended, or the Securities Act.</w:t>
      </w:r>
    </w:p>
    <w:p>
      <w:pPr>
        <w:spacing w:after="0" w:line="130" w:lineRule="exact"/>
        <w:rPr>
          <w:rFonts w:ascii="Arial" w:cs="Arial" w:eastAsia="Arial" w:hAnsi="Arial"/>
          <w:sz w:val="18"/>
          <w:szCs w:val="18"/>
          <w:color w:val="auto"/>
        </w:rPr>
      </w:pPr>
    </w:p>
    <w:p>
      <w:pPr>
        <w:ind w:left="1460" w:hanging="453"/>
        <w:spacing w:after="0" w:line="263" w:lineRule="auto"/>
        <w:tabs>
          <w:tab w:leader="none" w:pos="14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89" w:lineRule="exact"/>
        <w:rPr>
          <w:rFonts w:ascii="Arial" w:cs="Arial" w:eastAsia="Arial" w:hAnsi="Arial"/>
          <w:sz w:val="18"/>
          <w:szCs w:val="18"/>
          <w:color w:val="auto"/>
        </w:rPr>
      </w:pPr>
    </w:p>
    <w:p>
      <w:pPr>
        <w:ind w:left="1460" w:right="40" w:hanging="453"/>
        <w:spacing w:after="0" w:line="277" w:lineRule="auto"/>
        <w:tabs>
          <w:tab w:leader="none" w:pos="14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75" w:lineRule="exact"/>
        <w:rPr>
          <w:rFonts w:ascii="Arial" w:cs="Arial" w:eastAsia="Arial" w:hAnsi="Arial"/>
          <w:sz w:val="18"/>
          <w:szCs w:val="18"/>
          <w:color w:val="auto"/>
        </w:rPr>
      </w:pPr>
    </w:p>
    <w:p>
      <w:pPr>
        <w:jc w:val="both"/>
        <w:ind w:left="1000" w:right="80" w:hanging="432"/>
        <w:spacing w:after="0" w:line="263" w:lineRule="auto"/>
        <w:tabs>
          <w:tab w:leader="none" w:pos="10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9" w:lineRule="exact"/>
        <w:rPr>
          <w:rFonts w:ascii="Arial" w:cs="Arial" w:eastAsia="Arial" w:hAnsi="Arial"/>
          <w:sz w:val="18"/>
          <w:szCs w:val="18"/>
          <w:color w:val="auto"/>
        </w:rPr>
      </w:pPr>
    </w:p>
    <w:p>
      <w:pPr>
        <w:ind w:left="1000" w:right="540" w:hanging="432"/>
        <w:spacing w:after="0" w:line="277" w:lineRule="auto"/>
        <w:tabs>
          <w:tab w:leader="none" w:pos="10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sz w:val="20"/>
          <w:szCs w:val="20"/>
          <w:color w:val="auto"/>
        </w:rPr>
      </w:pPr>
    </w:p>
    <w:p>
      <w:pPr>
        <w:ind w:right="40" w:firstLine="449"/>
        <w:spacing w:after="0" w:line="271"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provisions described in Item 14 above,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 that:</w:t>
      </w:r>
    </w:p>
    <w:p>
      <w:pPr>
        <w:spacing w:after="0" w:line="131" w:lineRule="exact"/>
        <w:rPr>
          <w:sz w:val="20"/>
          <w:szCs w:val="20"/>
          <w:color w:val="auto"/>
        </w:rPr>
      </w:pPr>
    </w:p>
    <w:p>
      <w:pPr>
        <w:ind w:left="1000" w:right="60" w:hanging="432"/>
        <w:spacing w:after="0" w:line="291" w:lineRule="auto"/>
        <w:tabs>
          <w:tab w:leader="none" w:pos="10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w:t>
      </w:r>
    </w:p>
    <w:p>
      <w:pPr>
        <w:ind w:left="1000"/>
        <w:spacing w:after="0"/>
        <w:rPr>
          <w:rFonts w:ascii="Arial" w:cs="Arial" w:eastAsia="Arial" w:hAnsi="Arial"/>
          <w:sz w:val="16"/>
          <w:szCs w:val="16"/>
          <w:color w:val="auto"/>
        </w:rPr>
      </w:pPr>
      <w:r>
        <w:rPr>
          <w:rFonts w:ascii="Arial" w:cs="Arial" w:eastAsia="Arial" w:hAnsi="Arial"/>
          <w:sz w:val="17"/>
          <w:szCs w:val="17"/>
          <w:color w:val="auto"/>
        </w:rPr>
        <w:t>(4) or 497(h) under the Securities Act shall be deemed to be part of this registration statement as of the time it was declared effective.</w:t>
      </w:r>
    </w:p>
    <w:p>
      <w:pPr>
        <w:spacing w:after="0" w:line="127" w:lineRule="exact"/>
        <w:rPr>
          <w:rFonts w:ascii="Arial" w:cs="Arial" w:eastAsia="Arial" w:hAnsi="Arial"/>
          <w:sz w:val="16"/>
          <w:szCs w:val="16"/>
          <w:color w:val="auto"/>
        </w:rPr>
      </w:pPr>
    </w:p>
    <w:p>
      <w:pPr>
        <w:jc w:val="both"/>
        <w:ind w:left="1000" w:right="120" w:hanging="432"/>
        <w:spacing w:after="0" w:line="263" w:lineRule="auto"/>
        <w:tabs>
          <w:tab w:leader="none" w:pos="10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20"/>
          </w:cols>
          <w:pgMar w:left="320" w:top="459" w:right="3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Pursuant to the requirements of the Securities Act, the Registrant has duly caused this Registration Statement to be signed on its behalf by the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80" w:type="dxa"/>
            <w:vAlign w:val="bottom"/>
          </w:tcPr>
          <w:p>
            <w:pPr>
              <w:spacing w:after="0"/>
              <w:rPr>
                <w:sz w:val="20"/>
                <w:szCs w:val="20"/>
                <w:color w:val="auto"/>
              </w:rPr>
            </w:pPr>
            <w:r>
              <w:rPr>
                <w:rFonts w:ascii="Arial" w:cs="Arial" w:eastAsia="Arial" w:hAnsi="Arial"/>
                <w:sz w:val="18"/>
                <w:szCs w:val="18"/>
                <w:color w:val="auto"/>
                <w:w w:val="91"/>
              </w:rPr>
              <w:t>undersigned, thereunto duly authorized, in the City of San Francisco, State of California, on</w:t>
            </w:r>
          </w:p>
        </w:tc>
        <w:tc>
          <w:tcPr>
            <w:tcW w:w="4560" w:type="dxa"/>
            <w:vAlign w:val="bottom"/>
            <w:gridSpan w:val="2"/>
          </w:tcPr>
          <w:p>
            <w:pPr>
              <w:jc w:val="right"/>
              <w:ind w:right="3270"/>
              <w:spacing w:after="0"/>
              <w:rPr>
                <w:sz w:val="20"/>
                <w:szCs w:val="20"/>
                <w:color w:val="auto"/>
              </w:rPr>
            </w:pPr>
            <w:r>
              <w:rPr>
                <w:rFonts w:ascii="Arial" w:cs="Arial" w:eastAsia="Arial" w:hAnsi="Arial"/>
                <w:sz w:val="18"/>
                <w:szCs w:val="18"/>
                <w:color w:val="auto"/>
              </w:rPr>
              <w:t>, 2020.</w:t>
            </w:r>
          </w:p>
        </w:tc>
      </w:tr>
      <w:tr>
        <w:trPr>
          <w:trHeight w:val="445"/>
        </w:trPr>
        <w:tc>
          <w:tcPr>
            <w:tcW w:w="6680" w:type="dxa"/>
            <w:vAlign w:val="bottom"/>
          </w:tcPr>
          <w:p>
            <w:pPr>
              <w:spacing w:after="0"/>
              <w:rPr>
                <w:sz w:val="24"/>
                <w:szCs w:val="24"/>
                <w:color w:val="auto"/>
              </w:rPr>
            </w:pPr>
          </w:p>
        </w:tc>
        <w:tc>
          <w:tcPr>
            <w:tcW w:w="4560" w:type="dxa"/>
            <w:vAlign w:val="bottom"/>
            <w:gridSpan w:val="2"/>
          </w:tcPr>
          <w:p>
            <w:pPr>
              <w:ind w:left="80"/>
              <w:spacing w:after="0"/>
              <w:rPr>
                <w:sz w:val="20"/>
                <w:szCs w:val="20"/>
                <w:color w:val="auto"/>
              </w:rPr>
            </w:pPr>
            <w:r>
              <w:rPr>
                <w:rFonts w:ascii="Arial" w:cs="Arial" w:eastAsia="Arial" w:hAnsi="Arial"/>
                <w:sz w:val="18"/>
                <w:szCs w:val="18"/>
                <w:b w:val="1"/>
                <w:bCs w:val="1"/>
                <w:color w:val="auto"/>
              </w:rPr>
              <w:t>ASANA, INC.</w:t>
            </w:r>
          </w:p>
        </w:tc>
      </w:tr>
      <w:tr>
        <w:trPr>
          <w:trHeight w:val="432"/>
        </w:trPr>
        <w:tc>
          <w:tcPr>
            <w:tcW w:w="6680" w:type="dxa"/>
            <w:vAlign w:val="bottom"/>
          </w:tcPr>
          <w:p>
            <w:pPr>
              <w:spacing w:after="0"/>
              <w:rPr>
                <w:sz w:val="24"/>
                <w:szCs w:val="24"/>
                <w:color w:val="auto"/>
              </w:rPr>
            </w:pPr>
          </w:p>
        </w:tc>
        <w:tc>
          <w:tcPr>
            <w:tcW w:w="4560" w:type="dxa"/>
            <w:vAlign w:val="bottom"/>
            <w:gridSpan w:val="2"/>
          </w:tcPr>
          <w:p>
            <w:pPr>
              <w:ind w:left="80"/>
              <w:spacing w:after="0"/>
              <w:rPr>
                <w:sz w:val="20"/>
                <w:szCs w:val="20"/>
                <w:color w:val="auto"/>
              </w:rPr>
            </w:pPr>
            <w:r>
              <w:rPr>
                <w:rFonts w:ascii="Arial" w:cs="Arial" w:eastAsia="Arial" w:hAnsi="Arial"/>
                <w:sz w:val="18"/>
                <w:szCs w:val="18"/>
                <w:color w:val="auto"/>
              </w:rPr>
              <w:t>By:</w:t>
            </w:r>
          </w:p>
        </w:tc>
      </w:tr>
      <w:tr>
        <w:trPr>
          <w:trHeight w:val="209"/>
        </w:trPr>
        <w:tc>
          <w:tcPr>
            <w:tcW w:w="6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1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Dustin Moskovitz</w:t>
            </w:r>
          </w:p>
        </w:tc>
      </w:tr>
      <w:tr>
        <w:trPr>
          <w:trHeight w:val="230"/>
        </w:trPr>
        <w:tc>
          <w:tcPr>
            <w:tcW w:w="6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120" w:type="dxa"/>
            <w:vAlign w:val="bottom"/>
          </w:tcPr>
          <w:p>
            <w:pPr>
              <w:ind w:left="40"/>
              <w:spacing w:after="0"/>
              <w:rPr>
                <w:sz w:val="20"/>
                <w:szCs w:val="20"/>
                <w:color w:val="auto"/>
              </w:rPr>
            </w:pPr>
            <w:r>
              <w:rPr>
                <w:rFonts w:ascii="Arial" w:cs="Arial" w:eastAsia="Arial" w:hAnsi="Arial"/>
                <w:sz w:val="18"/>
                <w:szCs w:val="18"/>
                <w:color w:val="auto"/>
              </w:rPr>
              <w:t>President, Chief Executive Officer, and Chair</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100" w:firstLine="449"/>
        <w:spacing w:after="0" w:line="270"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Dustin Moskovitz, Tim Wan, and Eleanor Lacey, and each of them, as his or her true and lawful attorneys-in-fact and agents, with full power of substitution and resubstitution, for him or her and in his or her name, place and stead, in any and all capacities, to sign the Registration Statement on Form S-1 of Asana, Inc., and any or all amendments (including post-effective amendments) thereto and any new registration statement with respect to the offering contemplated thereby filed pursuant to Rule 462(b) of the Securities Act of 1933, as amended,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connection therewith and about the premises, as fully to all intents and purposes as he or she might or could do in person, hereby ratifying and confirming all that said attorneys-in-fact and agents, or their, his or her substitute or substitutes, may lawfully do or cause to be done by virtue hereof.</w:t>
      </w:r>
    </w:p>
    <w:p>
      <w:pPr>
        <w:spacing w:after="0" w:line="181"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0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94"/>
              </w:rPr>
              <w:t>Name</w:t>
            </w:r>
          </w:p>
        </w:tc>
        <w:tc>
          <w:tcPr>
            <w:tcW w:w="19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00" w:type="dxa"/>
            <w:vAlign w:val="bottom"/>
          </w:tcPr>
          <w:p>
            <w:pPr>
              <w:jc w:val="center"/>
              <w:spacing w:after="0"/>
              <w:rPr>
                <w:sz w:val="20"/>
                <w:szCs w:val="20"/>
                <w:color w:val="auto"/>
              </w:rPr>
            </w:pPr>
            <w:r>
              <w:rPr>
                <w:rFonts w:ascii="Arial" w:cs="Arial" w:eastAsia="Arial" w:hAnsi="Arial"/>
                <w:sz w:val="14"/>
                <w:szCs w:val="14"/>
                <w:b w:val="1"/>
                <w:bCs w:val="1"/>
                <w:color w:val="auto"/>
              </w:rPr>
              <w:t>Title</w:t>
            </w:r>
          </w:p>
        </w:tc>
        <w:tc>
          <w:tcPr>
            <w:tcW w:w="2360" w:type="dxa"/>
            <w:vAlign w:val="bottom"/>
          </w:tcPr>
          <w:p>
            <w:pPr>
              <w:spacing w:after="0"/>
              <w:rPr>
                <w:sz w:val="14"/>
                <w:szCs w:val="14"/>
                <w:color w:val="auto"/>
              </w:rPr>
            </w:pPr>
          </w:p>
        </w:tc>
        <w:tc>
          <w:tcPr>
            <w:tcW w:w="16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Date</w:t>
            </w:r>
          </w:p>
        </w:tc>
      </w:tr>
      <w:tr>
        <w:trPr>
          <w:trHeight w:val="20"/>
        </w:trPr>
        <w:tc>
          <w:tcPr>
            <w:tcW w:w="19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18"/>
        </w:trPr>
        <w:tc>
          <w:tcPr>
            <w:tcW w:w="19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5060" w:type="dxa"/>
            <w:vAlign w:val="bottom"/>
            <w:gridSpan w:val="3"/>
          </w:tcPr>
          <w:p>
            <w:pPr>
              <w:jc w:val="center"/>
              <w:spacing w:after="0"/>
              <w:rPr>
                <w:sz w:val="20"/>
                <w:szCs w:val="20"/>
                <w:color w:val="auto"/>
              </w:rPr>
            </w:pPr>
            <w:r>
              <w:rPr>
                <w:rFonts w:ascii="Arial" w:cs="Arial" w:eastAsia="Arial" w:hAnsi="Arial"/>
                <w:sz w:val="18"/>
                <w:szCs w:val="18"/>
                <w:color w:val="auto"/>
                <w:w w:val="91"/>
              </w:rPr>
              <w:t>President, Chief Executive Officer, and Chair</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 2020</w:t>
            </w:r>
          </w:p>
        </w:tc>
      </w:tr>
      <w:tr>
        <w:trPr>
          <w:trHeight w:val="224"/>
        </w:trPr>
        <w:tc>
          <w:tcPr>
            <w:tcW w:w="4160" w:type="dxa"/>
            <w:vAlign w:val="bottom"/>
            <w:gridSpan w:val="3"/>
          </w:tcPr>
          <w:p>
            <w:pPr>
              <w:jc w:val="center"/>
              <w:spacing w:after="0"/>
              <w:rPr>
                <w:sz w:val="20"/>
                <w:szCs w:val="20"/>
                <w:color w:val="auto"/>
              </w:rPr>
            </w:pPr>
            <w:r>
              <w:rPr>
                <w:rFonts w:ascii="Arial" w:cs="Arial" w:eastAsia="Arial" w:hAnsi="Arial"/>
                <w:sz w:val="18"/>
                <w:szCs w:val="18"/>
                <w:color w:val="auto"/>
                <w:w w:val="94"/>
              </w:rPr>
              <w:t>Dustin Moskovitz</w:t>
            </w:r>
          </w:p>
        </w:tc>
        <w:tc>
          <w:tcPr>
            <w:tcW w:w="5060" w:type="dxa"/>
            <w:vAlign w:val="bottom"/>
            <w:gridSpan w:val="3"/>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23"/>
        </w:trPr>
        <w:tc>
          <w:tcPr>
            <w:tcW w:w="19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5060" w:type="dxa"/>
            <w:vAlign w:val="bottom"/>
            <w:gridSpan w:val="3"/>
          </w:tcPr>
          <w:p>
            <w:pPr>
              <w:jc w:val="center"/>
              <w:spacing w:after="0"/>
              <w:rPr>
                <w:sz w:val="20"/>
                <w:szCs w:val="20"/>
                <w:color w:val="auto"/>
              </w:rPr>
            </w:pPr>
            <w:r>
              <w:rPr>
                <w:rFonts w:ascii="Arial" w:cs="Arial" w:eastAsia="Arial" w:hAnsi="Arial"/>
                <w:sz w:val="18"/>
                <w:szCs w:val="18"/>
                <w:color w:val="auto"/>
                <w:w w:val="93"/>
              </w:rPr>
              <w:t>Chief Financial Officer</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 2020</w:t>
            </w:r>
          </w:p>
        </w:tc>
      </w:tr>
      <w:tr>
        <w:trPr>
          <w:trHeight w:val="224"/>
        </w:trPr>
        <w:tc>
          <w:tcPr>
            <w:tcW w:w="4160" w:type="dxa"/>
            <w:vAlign w:val="bottom"/>
            <w:gridSpan w:val="3"/>
          </w:tcPr>
          <w:p>
            <w:pPr>
              <w:jc w:val="center"/>
              <w:spacing w:after="0"/>
              <w:rPr>
                <w:sz w:val="20"/>
                <w:szCs w:val="20"/>
                <w:color w:val="auto"/>
              </w:rPr>
            </w:pPr>
            <w:r>
              <w:rPr>
                <w:rFonts w:ascii="Arial" w:cs="Arial" w:eastAsia="Arial" w:hAnsi="Arial"/>
                <w:sz w:val="18"/>
                <w:szCs w:val="18"/>
                <w:color w:val="auto"/>
                <w:w w:val="94"/>
              </w:rPr>
              <w:t>Tim Wan</w:t>
            </w:r>
          </w:p>
        </w:tc>
        <w:tc>
          <w:tcPr>
            <w:tcW w:w="5060" w:type="dxa"/>
            <w:vAlign w:val="bottom"/>
            <w:gridSpan w:val="3"/>
          </w:tcPr>
          <w:p>
            <w:pPr>
              <w:jc w:val="center"/>
              <w:spacing w:after="0"/>
              <w:rPr>
                <w:sz w:val="20"/>
                <w:szCs w:val="20"/>
                <w:color w:val="auto"/>
              </w:rPr>
            </w:pPr>
            <w:r>
              <w:rPr>
                <w:rFonts w:ascii="Arial" w:cs="Arial" w:eastAsia="Arial" w:hAnsi="Arial"/>
                <w:sz w:val="18"/>
                <w:szCs w:val="18"/>
                <w:i w:val="1"/>
                <w:iCs w:val="1"/>
                <w:color w:val="auto"/>
                <w:w w:val="94"/>
              </w:rPr>
              <w:t>(Principal Financial and Accounting Officer)</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23"/>
        </w:trPr>
        <w:tc>
          <w:tcPr>
            <w:tcW w:w="19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506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 2020</w:t>
            </w:r>
          </w:p>
        </w:tc>
      </w:tr>
      <w:tr>
        <w:trPr>
          <w:trHeight w:val="224"/>
        </w:trPr>
        <w:tc>
          <w:tcPr>
            <w:tcW w:w="4160" w:type="dxa"/>
            <w:vAlign w:val="bottom"/>
            <w:gridSpan w:val="3"/>
          </w:tcPr>
          <w:p>
            <w:pPr>
              <w:jc w:val="center"/>
              <w:spacing w:after="0"/>
              <w:rPr>
                <w:sz w:val="20"/>
                <w:szCs w:val="20"/>
                <w:color w:val="auto"/>
              </w:rPr>
            </w:pPr>
            <w:r>
              <w:rPr>
                <w:rFonts w:ascii="Arial" w:cs="Arial" w:eastAsia="Arial" w:hAnsi="Arial"/>
                <w:sz w:val="18"/>
                <w:szCs w:val="18"/>
                <w:color w:val="auto"/>
                <w:w w:val="88"/>
              </w:rPr>
              <w:t>Sydney Carey</w:t>
            </w: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23"/>
        </w:trPr>
        <w:tc>
          <w:tcPr>
            <w:tcW w:w="19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506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 2020</w:t>
            </w:r>
          </w:p>
        </w:tc>
      </w:tr>
      <w:tr>
        <w:trPr>
          <w:trHeight w:val="224"/>
        </w:trPr>
        <w:tc>
          <w:tcPr>
            <w:tcW w:w="4160" w:type="dxa"/>
            <w:vAlign w:val="bottom"/>
            <w:gridSpan w:val="3"/>
          </w:tcPr>
          <w:p>
            <w:pPr>
              <w:jc w:val="center"/>
              <w:spacing w:after="0"/>
              <w:rPr>
                <w:sz w:val="20"/>
                <w:szCs w:val="20"/>
                <w:color w:val="auto"/>
              </w:rPr>
            </w:pPr>
            <w:r>
              <w:rPr>
                <w:rFonts w:ascii="Arial" w:cs="Arial" w:eastAsia="Arial" w:hAnsi="Arial"/>
                <w:sz w:val="18"/>
                <w:szCs w:val="18"/>
                <w:color w:val="auto"/>
                <w:w w:val="91"/>
              </w:rPr>
              <w:t>Matthew Cohler</w:t>
            </w: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23"/>
        </w:trPr>
        <w:tc>
          <w:tcPr>
            <w:tcW w:w="19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506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 2020</w:t>
            </w:r>
          </w:p>
        </w:tc>
      </w:tr>
      <w:tr>
        <w:trPr>
          <w:trHeight w:val="224"/>
        </w:trPr>
        <w:tc>
          <w:tcPr>
            <w:tcW w:w="4160" w:type="dxa"/>
            <w:vAlign w:val="bottom"/>
            <w:gridSpan w:val="3"/>
          </w:tcPr>
          <w:p>
            <w:pPr>
              <w:jc w:val="center"/>
              <w:spacing w:after="0"/>
              <w:rPr>
                <w:sz w:val="20"/>
                <w:szCs w:val="20"/>
                <w:color w:val="auto"/>
              </w:rPr>
            </w:pPr>
            <w:r>
              <w:rPr>
                <w:rFonts w:ascii="Arial" w:cs="Arial" w:eastAsia="Arial" w:hAnsi="Arial"/>
                <w:sz w:val="18"/>
                <w:szCs w:val="18"/>
                <w:color w:val="auto"/>
                <w:w w:val="95"/>
              </w:rPr>
              <w:t>Adam D’Angelo</w:t>
            </w: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23"/>
        </w:trPr>
        <w:tc>
          <w:tcPr>
            <w:tcW w:w="19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506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 2020</w:t>
            </w:r>
          </w:p>
        </w:tc>
      </w:tr>
      <w:tr>
        <w:trPr>
          <w:trHeight w:val="224"/>
        </w:trPr>
        <w:tc>
          <w:tcPr>
            <w:tcW w:w="4160" w:type="dxa"/>
            <w:vAlign w:val="bottom"/>
            <w:gridSpan w:val="3"/>
          </w:tcPr>
          <w:p>
            <w:pPr>
              <w:jc w:val="center"/>
              <w:spacing w:after="0"/>
              <w:rPr>
                <w:sz w:val="20"/>
                <w:szCs w:val="20"/>
                <w:color w:val="auto"/>
              </w:rPr>
            </w:pPr>
            <w:r>
              <w:rPr>
                <w:rFonts w:ascii="Arial" w:cs="Arial" w:eastAsia="Arial" w:hAnsi="Arial"/>
                <w:sz w:val="18"/>
                <w:szCs w:val="18"/>
                <w:color w:val="auto"/>
                <w:w w:val="94"/>
              </w:rPr>
              <w:t>Lorrie Norrington</w:t>
            </w: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23"/>
        </w:trPr>
        <w:tc>
          <w:tcPr>
            <w:tcW w:w="19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506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 2020</w:t>
            </w:r>
          </w:p>
        </w:tc>
      </w:tr>
      <w:tr>
        <w:trPr>
          <w:trHeight w:val="224"/>
        </w:trPr>
        <w:tc>
          <w:tcPr>
            <w:tcW w:w="4160" w:type="dxa"/>
            <w:vAlign w:val="bottom"/>
            <w:gridSpan w:val="3"/>
          </w:tcPr>
          <w:p>
            <w:pPr>
              <w:jc w:val="center"/>
              <w:spacing w:after="0"/>
              <w:rPr>
                <w:sz w:val="20"/>
                <w:szCs w:val="20"/>
                <w:color w:val="auto"/>
              </w:rPr>
            </w:pPr>
            <w:r>
              <w:rPr>
                <w:rFonts w:ascii="Arial" w:cs="Arial" w:eastAsia="Arial" w:hAnsi="Arial"/>
                <w:sz w:val="18"/>
                <w:szCs w:val="18"/>
                <w:color w:val="auto"/>
                <w:w w:val="94"/>
              </w:rPr>
              <w:t>Anne Raimondi</w:t>
            </w: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23"/>
        </w:trPr>
        <w:tc>
          <w:tcPr>
            <w:tcW w:w="19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506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 2020</w:t>
            </w:r>
          </w:p>
        </w:tc>
      </w:tr>
      <w:tr>
        <w:trPr>
          <w:trHeight w:val="224"/>
        </w:trPr>
        <w:tc>
          <w:tcPr>
            <w:tcW w:w="4160" w:type="dxa"/>
            <w:vAlign w:val="bottom"/>
            <w:gridSpan w:val="3"/>
          </w:tcPr>
          <w:p>
            <w:pPr>
              <w:jc w:val="center"/>
              <w:spacing w:after="0"/>
              <w:rPr>
                <w:sz w:val="20"/>
                <w:szCs w:val="20"/>
                <w:color w:val="auto"/>
              </w:rPr>
            </w:pPr>
            <w:r>
              <w:rPr>
                <w:rFonts w:ascii="Arial" w:cs="Arial" w:eastAsia="Arial" w:hAnsi="Arial"/>
                <w:sz w:val="18"/>
                <w:szCs w:val="18"/>
                <w:color w:val="auto"/>
                <w:w w:val="87"/>
              </w:rPr>
              <w:t>Justin Rosenstein</w:t>
            </w: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bl>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40"/>
          </w:cols>
          <w:pgMar w:left="320" w:top="459" w:right="3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ASANA,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AND RESTATED INVESTORS’ RIGHTS AGREEMENT</w:t>
      </w:r>
    </w:p>
    <w:p>
      <w:pPr>
        <w:spacing w:after="0" w:line="229" w:lineRule="exact"/>
        <w:rPr>
          <w:sz w:val="20"/>
          <w:szCs w:val="20"/>
          <w:color w:val="auto"/>
        </w:rPr>
      </w:pPr>
    </w:p>
    <w:p>
      <w:pPr>
        <w:jc w:val="both"/>
        <w:ind w:right="140" w:firstLine="440"/>
        <w:spacing w:after="0" w:line="263" w:lineRule="auto"/>
        <w:rPr>
          <w:sz w:val="20"/>
          <w:szCs w:val="20"/>
          <w:color w:val="auto"/>
        </w:rPr>
      </w:pPr>
      <w:r>
        <w:rPr>
          <w:rFonts w:ascii="Arial" w:cs="Arial" w:eastAsia="Arial" w:hAnsi="Arial"/>
          <w:sz w:val="18"/>
          <w:szCs w:val="18"/>
          <w:color w:val="auto"/>
        </w:rPr>
        <w:t>This Amended and Restated Investors’ Rights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as of November 15, 2018, by and among Asana,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Dustin Moskovitz, Justin Rosenstein and Dustin Moskovitz Roth IRA (the “</w:t>
      </w:r>
      <w:r>
        <w:rPr>
          <w:rFonts w:ascii="Arial" w:cs="Arial" w:eastAsia="Arial" w:hAnsi="Arial"/>
          <w:sz w:val="18"/>
          <w:szCs w:val="18"/>
          <w:u w:val="single" w:color="auto"/>
          <w:color w:val="auto"/>
        </w:rPr>
        <w:t>Founders</w:t>
      </w:r>
      <w:r>
        <w:rPr>
          <w:rFonts w:ascii="Arial" w:cs="Arial" w:eastAsia="Arial" w:hAnsi="Arial"/>
          <w:sz w:val="18"/>
          <w:szCs w:val="18"/>
          <w:color w:val="auto"/>
        </w:rPr>
        <w:t xml:space="preserve">”), and the purchasers of Preferred Stock of the Company listed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Investors</w:t>
      </w:r>
      <w:r>
        <w:rPr>
          <w:rFonts w:ascii="Arial" w:cs="Arial" w:eastAsia="Arial" w:hAnsi="Arial"/>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ind w:right="26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certain Investors and the Founders previously entered into an Amended and Restated Investors’ Rights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dated January 19, 2018 (the “</w:t>
      </w:r>
      <w:r>
        <w:rPr>
          <w:rFonts w:ascii="Arial" w:cs="Arial" w:eastAsia="Arial" w:hAnsi="Arial"/>
          <w:sz w:val="18"/>
          <w:szCs w:val="18"/>
          <w:u w:val="single" w:color="auto"/>
          <w:color w:val="auto"/>
        </w:rPr>
        <w:t>Prior Rights Agreement</w:t>
      </w:r>
      <w:r>
        <w:rPr>
          <w:rFonts w:ascii="Arial" w:cs="Arial" w:eastAsia="Arial" w:hAnsi="Arial"/>
          <w:sz w:val="18"/>
          <w:szCs w:val="18"/>
          <w:color w:val="auto"/>
        </w:rPr>
        <w:t>”).</w:t>
      </w:r>
    </w:p>
    <w:p>
      <w:pPr>
        <w:spacing w:after="0" w:line="162" w:lineRule="exact"/>
        <w:rPr>
          <w:sz w:val="20"/>
          <w:szCs w:val="20"/>
          <w:color w:val="auto"/>
        </w:rPr>
      </w:pPr>
    </w:p>
    <w:p>
      <w:pPr>
        <w:jc w:val="both"/>
        <w:ind w:right="14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certain Investors have agreed to purchase shares of the Series E Preferred Stock of the Company, par value $0.00001 per share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Series E Preferred Stock</w:t>
      </w:r>
      <w:r>
        <w:rPr>
          <w:rFonts w:ascii="Arial" w:cs="Arial" w:eastAsia="Arial" w:hAnsi="Arial"/>
          <w:sz w:val="18"/>
          <w:szCs w:val="18"/>
          <w:color w:val="auto"/>
        </w:rPr>
        <w:t>”), pursuant to a Series E Preferred Stock Purchase Agreement by and among the Company and such Investors, dated of even date herewith, as may be amended from time to time (the “</w:t>
      </w:r>
      <w:r>
        <w:rPr>
          <w:rFonts w:ascii="Arial" w:cs="Arial" w:eastAsia="Arial" w:hAnsi="Arial"/>
          <w:sz w:val="18"/>
          <w:szCs w:val="18"/>
          <w:u w:val="single" w:color="auto"/>
          <w:color w:val="auto"/>
        </w:rPr>
        <w:t>Purchase Agreement</w:t>
      </w:r>
      <w:r>
        <w:rPr>
          <w:rFonts w:ascii="Arial" w:cs="Arial" w:eastAsia="Arial" w:hAnsi="Arial"/>
          <w:sz w:val="18"/>
          <w:szCs w:val="18"/>
          <w:color w:val="auto"/>
        </w:rPr>
        <w:t>”).</w:t>
      </w:r>
    </w:p>
    <w:p>
      <w:pPr>
        <w:spacing w:after="0" w:line="176" w:lineRule="exact"/>
        <w:rPr>
          <w:sz w:val="20"/>
          <w:szCs w:val="20"/>
          <w:color w:val="auto"/>
        </w:rPr>
      </w:pPr>
    </w:p>
    <w:p>
      <w:pPr>
        <w:ind w:right="32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Investors, the Founders, and the Company now wish to amend and restate the Prior Rights Agreement in connection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of shares of Series E Preferred Stock by certain Investors pursuant to the Purchase Agreement.</w:t>
      </w:r>
    </w:p>
    <w:p>
      <w:pPr>
        <w:spacing w:after="0" w:line="162" w:lineRule="exact"/>
        <w:rPr>
          <w:sz w:val="20"/>
          <w:szCs w:val="20"/>
          <w:color w:val="auto"/>
        </w:rPr>
      </w:pPr>
    </w:p>
    <w:p>
      <w:pPr>
        <w:ind w:right="14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obligations of the Company and certain of the Investors under the Purchase Agreement are conditioned on, among other things,</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execution and delivery of this Agreement by the parties hereto.</w:t>
      </w:r>
    </w:p>
    <w:p>
      <w:pPr>
        <w:spacing w:after="0" w:line="162"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mutual covenants herein contained, and other good and valuable consideration,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receipt and sufficiency of which are hereby acknowledged, the parties hereby agree to amend and restate the Prior Rights Agreement in its entirety as follows: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25"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b w:val="1"/>
          <w:bCs w:val="1"/>
          <w:u w:val="single" w:color="auto"/>
          <w:color w:val="auto"/>
        </w:rPr>
        <w:t>Amendment and Restatement of Prior Rights Agreement; Waiver of Right of First Offer</w:t>
      </w:r>
      <w:r>
        <w:rPr>
          <w:rFonts w:ascii="Arial" w:cs="Arial" w:eastAsia="Arial" w:hAnsi="Arial"/>
          <w:sz w:val="17"/>
          <w:szCs w:val="17"/>
          <w:color w:val="auto"/>
        </w:rPr>
        <w:t>. Effective and contingent upon execution of this Agreement by (i) the Company, (ii) the holders of at least a majority of the voting power of the outstanding shares of the Company’s Preferred Stock (as defined in the Prior Rights Agreement), and (iii) the holders of at least a majority of the voting power of the outstanding Founders’ Shares (as defined in the Prior Rights Agreement), the Prior Rights Agreement is hereby amended and restated in its entirety to read as set forth in this Agreement, and the Company, the Investors and the Founders hereby agree to be bound by the provisions hereof as the sole agreement of the Company, the Investors and the Founders with respect to the rights set forth herein. The undersigned Investors hereby waive, on behalf of themselves and all other Investors that are parties to the Prior Rights Agreement, the right of first offer, including any notice requirements, set forth in Section 2.3 of the Prior Rights Agreement, with respect to the sale and issuance of the Series E Preferred Stock pursuant to the Purchase Agreement, as may be amended from time to time, and the shares of Common Stock issuable upon conversion thereof. The undersigned Investors additionally hereby waive, on behalf of themselves and all other Investors that are parties to the Prior Rights Agreement, the covenants set forth in Section 2.6 of the Prior Rights Agreement with respect to the Series E Preferred Stock.</w:t>
      </w:r>
    </w:p>
    <w:p>
      <w:pPr>
        <w:sectPr>
          <w:pgSz w:w="11900" w:h="16838" w:orient="portrait"/>
          <w:cols w:equalWidth="0" w:num="1">
            <w:col w:w="11020"/>
          </w:cols>
          <w:pgMar w:left="440" w:top="121" w:right="439" w:bottom="1440" w:gutter="0" w:footer="0" w:header="0"/>
        </w:sectPr>
      </w:pPr>
    </w:p>
    <w:bookmarkStart w:id="173" w:name="page174"/>
    <w:bookmarkEnd w:id="173"/>
    <w:p>
      <w:pPr>
        <w:ind w:left="184" w:hanging="184"/>
        <w:spacing w:after="0"/>
        <w:tabs>
          <w:tab w:leader="none" w:pos="184" w:val="left"/>
        </w:tabs>
        <w:numPr>
          <w:ilvl w:val="0"/>
          <w:numId w:val="111"/>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Registration Rights</w:t>
      </w:r>
      <w:r>
        <w:rPr>
          <w:rFonts w:ascii="Arial" w:cs="Arial" w:eastAsia="Arial" w:hAnsi="Arial"/>
          <w:sz w:val="18"/>
          <w:szCs w:val="18"/>
          <w:color w:val="auto"/>
        </w:rPr>
        <w:t>.</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For purposes of this Agreement:</w:t>
      </w:r>
    </w:p>
    <w:p>
      <w:pPr>
        <w:spacing w:after="0" w:line="121" w:lineRule="exact"/>
        <w:rPr>
          <w:sz w:val="20"/>
          <w:szCs w:val="20"/>
          <w:color w:val="auto"/>
        </w:rPr>
      </w:pPr>
    </w:p>
    <w:p>
      <w:pPr>
        <w:ind w:left="4" w:right="480" w:firstLine="987"/>
        <w:spacing w:after="0" w:line="277" w:lineRule="auto"/>
        <w:tabs>
          <w:tab w:leader="none" w:pos="12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any successor thereto) and the rules and regulations promulgated thereunder.</w:t>
      </w:r>
    </w:p>
    <w:p>
      <w:pPr>
        <w:spacing w:after="0" w:line="62" w:lineRule="exact"/>
        <w:rPr>
          <w:rFonts w:ascii="Arial" w:cs="Arial" w:eastAsia="Arial" w:hAnsi="Arial"/>
          <w:sz w:val="18"/>
          <w:szCs w:val="18"/>
          <w:color w:val="auto"/>
        </w:rPr>
      </w:pPr>
    </w:p>
    <w:p>
      <w:pPr>
        <w:ind w:left="4" w:right="620" w:firstLine="987"/>
        <w:spacing w:after="0" w:line="342" w:lineRule="auto"/>
        <w:tabs>
          <w:tab w:leader="none" w:pos="125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Form S-3</w:t>
      </w:r>
      <w:r>
        <w:rPr>
          <w:rFonts w:ascii="Arial" w:cs="Arial" w:eastAsia="Arial" w:hAnsi="Arial"/>
          <w:sz w:val="16"/>
          <w:szCs w:val="16"/>
          <w:color w:val="auto"/>
        </w:rPr>
        <w:t>” means such form under the Securities Act as in effect on the date hereof or any successor form under the Securities Act that permits significant incorporation by reference of the Company’s subsequent public filings under the Exchange Act.</w:t>
      </w:r>
    </w:p>
    <w:p>
      <w:pPr>
        <w:spacing w:after="0" w:line="15" w:lineRule="exact"/>
        <w:rPr>
          <w:rFonts w:ascii="Arial" w:cs="Arial" w:eastAsia="Arial" w:hAnsi="Arial"/>
          <w:sz w:val="16"/>
          <w:szCs w:val="16"/>
          <w:color w:val="auto"/>
        </w:rPr>
      </w:pPr>
    </w:p>
    <w:p>
      <w:pPr>
        <w:ind w:left="1244" w:hanging="253"/>
        <w:spacing w:after="0"/>
        <w:tabs>
          <w:tab w:leader="none" w:pos="124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Founders’ Stock</w:t>
      </w:r>
      <w:r>
        <w:rPr>
          <w:rFonts w:ascii="Arial" w:cs="Arial" w:eastAsia="Arial" w:hAnsi="Arial"/>
          <w:sz w:val="18"/>
          <w:szCs w:val="18"/>
          <w:color w:val="auto"/>
        </w:rPr>
        <w:t>” means the shares of Common Stock issued or issuable to the Founders.</w:t>
      </w:r>
    </w:p>
    <w:p>
      <w:pPr>
        <w:spacing w:after="0" w:line="117" w:lineRule="exact"/>
        <w:rPr>
          <w:rFonts w:ascii="Arial" w:cs="Arial" w:eastAsia="Arial" w:hAnsi="Arial"/>
          <w:sz w:val="18"/>
          <w:szCs w:val="18"/>
          <w:color w:val="auto"/>
        </w:rPr>
      </w:pPr>
    </w:p>
    <w:p>
      <w:pPr>
        <w:ind w:left="4" w:right="800" w:firstLine="987"/>
        <w:spacing w:after="0" w:line="277" w:lineRule="auto"/>
        <w:tabs>
          <w:tab w:leader="none" w:pos="125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Holder</w:t>
      </w:r>
      <w:r>
        <w:rPr>
          <w:rFonts w:ascii="Arial" w:cs="Arial" w:eastAsia="Arial" w:hAnsi="Arial"/>
          <w:sz w:val="18"/>
          <w:szCs w:val="18"/>
          <w:color w:val="auto"/>
        </w:rPr>
        <w:t>” means any person owning or having the right to acquire Registrable Securities or any assignee thereof in accordance with Section 1.12 of this Agreement.</w:t>
      </w:r>
    </w:p>
    <w:p>
      <w:pPr>
        <w:spacing w:after="0" w:line="62" w:lineRule="exact"/>
        <w:rPr>
          <w:rFonts w:ascii="Arial" w:cs="Arial" w:eastAsia="Arial" w:hAnsi="Arial"/>
          <w:sz w:val="18"/>
          <w:szCs w:val="18"/>
          <w:color w:val="auto"/>
        </w:rPr>
      </w:pPr>
    </w:p>
    <w:p>
      <w:pPr>
        <w:jc w:val="both"/>
        <w:ind w:left="4" w:right="40" w:firstLine="987"/>
        <w:spacing w:after="0" w:line="263" w:lineRule="auto"/>
        <w:tabs>
          <w:tab w:leader="none" w:pos="12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Preferred Stock</w:t>
      </w:r>
      <w:r>
        <w:rPr>
          <w:rFonts w:ascii="Arial" w:cs="Arial" w:eastAsia="Arial" w:hAnsi="Arial"/>
          <w:sz w:val="18"/>
          <w:szCs w:val="18"/>
          <w:color w:val="auto"/>
        </w:rPr>
        <w:t>” means, collectively, shares of the Company’s Series A Preferred Stock, Series B Preferred Stock, Series C Preferred Stock, Series D Preferred Stock, Series E Preferred Stock, Series A-1 Preferred Stock, Series B-1 Preferred Stock, Series C-1 Preferred Stock, Series D-1 Preferred Stock and Series E-1 Preferred Stock.</w:t>
      </w:r>
    </w:p>
    <w:p>
      <w:pPr>
        <w:spacing w:after="0" w:line="75" w:lineRule="exact"/>
        <w:rPr>
          <w:rFonts w:ascii="Arial" w:cs="Arial" w:eastAsia="Arial" w:hAnsi="Arial"/>
          <w:sz w:val="18"/>
          <w:szCs w:val="18"/>
          <w:color w:val="auto"/>
        </w:rPr>
      </w:pPr>
    </w:p>
    <w:p>
      <w:pPr>
        <w:ind w:left="4" w:right="80" w:firstLine="987"/>
        <w:spacing w:after="0" w:line="311" w:lineRule="auto"/>
        <w:tabs>
          <w:tab w:leader="none" w:pos="122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Qualified IPO</w:t>
      </w:r>
      <w:r>
        <w:rPr>
          <w:rFonts w:ascii="Arial" w:cs="Arial" w:eastAsia="Arial" w:hAnsi="Arial"/>
          <w:sz w:val="16"/>
          <w:szCs w:val="16"/>
          <w:color w:val="auto"/>
        </w:rPr>
        <w:t>” means a public offering by the Company of shares of its Common Stock pursuant to a registration statement under the Securities Act, in connection with which all the then-outstanding shares of Preferred Stock are converted into shares of Common Stock pursuant to the Company’s Amended and Restated Certificate of Incorporation (as amended from time to time, the “</w:t>
      </w:r>
      <w:r>
        <w:rPr>
          <w:rFonts w:ascii="Arial" w:cs="Arial" w:eastAsia="Arial" w:hAnsi="Arial"/>
          <w:sz w:val="16"/>
          <w:szCs w:val="16"/>
          <w:u w:val="single" w:color="auto"/>
          <w:color w:val="auto"/>
        </w:rPr>
        <w:t>Restated Certificate</w:t>
      </w:r>
      <w:r>
        <w:rPr>
          <w:rFonts w:ascii="Arial" w:cs="Arial" w:eastAsia="Arial" w:hAnsi="Arial"/>
          <w:sz w:val="16"/>
          <w:szCs w:val="16"/>
          <w:color w:val="auto"/>
        </w:rPr>
        <w:t>”).</w:t>
      </w:r>
    </w:p>
    <w:p>
      <w:pPr>
        <w:spacing w:after="0" w:line="40" w:lineRule="exact"/>
        <w:rPr>
          <w:rFonts w:ascii="Arial" w:cs="Arial" w:eastAsia="Arial" w:hAnsi="Arial"/>
          <w:sz w:val="16"/>
          <w:szCs w:val="16"/>
          <w:color w:val="auto"/>
        </w:rPr>
      </w:pPr>
    </w:p>
    <w:p>
      <w:pPr>
        <w:ind w:left="4" w:right="140" w:firstLine="987"/>
        <w:spacing w:after="0" w:line="342" w:lineRule="auto"/>
        <w:tabs>
          <w:tab w:leader="none" w:pos="125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terms “</w:t>
      </w:r>
      <w:r>
        <w:rPr>
          <w:rFonts w:ascii="Arial" w:cs="Arial" w:eastAsia="Arial" w:hAnsi="Arial"/>
          <w:sz w:val="16"/>
          <w:szCs w:val="16"/>
          <w:u w:val="single" w:color="auto"/>
          <w:color w:val="auto"/>
        </w:rPr>
        <w:t>register</w:t>
      </w:r>
      <w:r>
        <w:rPr>
          <w:rFonts w:ascii="Arial" w:cs="Arial" w:eastAsia="Arial" w:hAnsi="Arial"/>
          <w:sz w:val="16"/>
          <w:szCs w:val="16"/>
          <w:color w:val="auto"/>
        </w:rPr>
        <w:t>,” “</w:t>
      </w:r>
      <w:r>
        <w:rPr>
          <w:rFonts w:ascii="Arial" w:cs="Arial" w:eastAsia="Arial" w:hAnsi="Arial"/>
          <w:sz w:val="16"/>
          <w:szCs w:val="16"/>
          <w:u w:val="single" w:color="auto"/>
          <w:color w:val="auto"/>
        </w:rPr>
        <w:t>registered</w:t>
      </w:r>
      <w:r>
        <w:rPr>
          <w:rFonts w:ascii="Arial" w:cs="Arial" w:eastAsia="Arial" w:hAnsi="Arial"/>
          <w:sz w:val="16"/>
          <w:szCs w:val="16"/>
          <w:color w:val="auto"/>
        </w:rPr>
        <w:t>,” and “</w:t>
      </w:r>
      <w:r>
        <w:rPr>
          <w:rFonts w:ascii="Arial" w:cs="Arial" w:eastAsia="Arial" w:hAnsi="Arial"/>
          <w:sz w:val="16"/>
          <w:szCs w:val="16"/>
          <w:u w:val="single" w:color="auto"/>
          <w:color w:val="auto"/>
        </w:rPr>
        <w:t>registration</w:t>
      </w:r>
      <w:r>
        <w:rPr>
          <w:rFonts w:ascii="Arial" w:cs="Arial" w:eastAsia="Arial" w:hAnsi="Arial"/>
          <w:sz w:val="16"/>
          <w:szCs w:val="16"/>
          <w:color w:val="auto"/>
        </w:rPr>
        <w:t>” refer to a registration effected by preparing and filing a registration statement or similar document in compliance with the Securities Act, and the declaration or ordering of effectiveness of such registration statement or document.</w:t>
      </w:r>
    </w:p>
    <w:p>
      <w:pPr>
        <w:spacing w:after="0" w:line="15" w:lineRule="exact"/>
        <w:rPr>
          <w:rFonts w:ascii="Arial" w:cs="Arial" w:eastAsia="Arial" w:hAnsi="Arial"/>
          <w:sz w:val="16"/>
          <w:szCs w:val="16"/>
          <w:color w:val="auto"/>
        </w:rPr>
      </w:pPr>
    </w:p>
    <w:p>
      <w:pPr>
        <w:ind w:left="4" w:firstLine="987"/>
        <w:spacing w:after="0" w:line="291" w:lineRule="auto"/>
        <w:tabs>
          <w:tab w:leader="none" w:pos="125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Registrable Securities</w:t>
      </w:r>
      <w:r>
        <w:rPr>
          <w:rFonts w:ascii="Arial" w:cs="Arial" w:eastAsia="Arial" w:hAnsi="Arial"/>
          <w:sz w:val="16"/>
          <w:szCs w:val="16"/>
          <w:color w:val="auto"/>
        </w:rPr>
        <w:t>” means (i) the shares of Class A Common Stock and Class B Common Stock (together, the “</w:t>
      </w:r>
      <w:r>
        <w:rPr>
          <w:rFonts w:ascii="Arial" w:cs="Arial" w:eastAsia="Arial" w:hAnsi="Arial"/>
          <w:sz w:val="16"/>
          <w:szCs w:val="16"/>
          <w:u w:val="single" w:color="auto"/>
          <w:color w:val="auto"/>
        </w:rPr>
        <w:t>Common</w:t>
      </w:r>
      <w:r>
        <w:rPr>
          <w:rFonts w:ascii="Arial" w:cs="Arial" w:eastAsia="Arial" w:hAnsi="Arial"/>
          <w:sz w:val="16"/>
          <w:szCs w:val="16"/>
          <w:color w:val="auto"/>
        </w:rPr>
        <w:t xml:space="preserve"> </w:t>
      </w:r>
      <w:r>
        <w:rPr>
          <w:rFonts w:ascii="Arial" w:cs="Arial" w:eastAsia="Arial" w:hAnsi="Arial"/>
          <w:sz w:val="16"/>
          <w:szCs w:val="16"/>
          <w:u w:val="single" w:color="auto"/>
          <w:color w:val="auto"/>
        </w:rPr>
        <w:t>Stock</w:t>
      </w:r>
      <w:r>
        <w:rPr>
          <w:rFonts w:ascii="Arial" w:cs="Arial" w:eastAsia="Arial" w:hAnsi="Arial"/>
          <w:sz w:val="16"/>
          <w:szCs w:val="16"/>
          <w:color w:val="auto"/>
        </w:rPr>
        <w:t>”) issuable or issued upon conversion of the Preferred Stock, other than shares for which registration rights have terminated pursuant to</w:t>
      </w:r>
    </w:p>
    <w:p>
      <w:pPr>
        <w:ind w:left="4" w:right="260"/>
        <w:spacing w:after="0" w:line="260" w:lineRule="auto"/>
        <w:rPr>
          <w:rFonts w:ascii="Arial" w:cs="Arial" w:eastAsia="Arial" w:hAnsi="Arial"/>
          <w:sz w:val="16"/>
          <w:szCs w:val="16"/>
          <w:color w:val="auto"/>
        </w:rPr>
      </w:pPr>
      <w:r>
        <w:rPr>
          <w:rFonts w:ascii="Arial" w:cs="Arial" w:eastAsia="Arial" w:hAnsi="Arial"/>
          <w:sz w:val="18"/>
          <w:szCs w:val="18"/>
          <w:color w:val="auto"/>
        </w:rPr>
        <w:t>Section 1.15 hereof, (ii) the shares of Founders’ Stock, provided, however, that for the purposes of Section 1.2, 1.4, 1.13 and 2.3 the Founders’ Stock shall not be deemed Registrable Securities and the Founders shall not be deemed Holders, and (iii) any other</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4"/>
          </w:cols>
          <w:pgMar w:left="436" w:top="270" w:right="479" w:bottom="1440" w:gutter="0" w:footer="0" w:header="0"/>
        </w:sectPr>
      </w:pPr>
    </w:p>
    <w:bookmarkStart w:id="174" w:name="page175"/>
    <w:bookmarkEnd w:id="174"/>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shares of Common Stock of the Company issued as (or issuable upon the conversion or exercise of any warrant, right or other security which is issued as) a dividend or other distribution with respect to, or in exchange for or in replacement of, the shares listed in (i) and (ii); provided, however, that the foregoing definition shall exclude in all cases any Registrable Securities sold by a person in a transaction in which such person’s rights under this Agreement are not assigned. Notwithstanding the foregoing, Common Stock or other securities shall only be treated as Registrable Securities if and so long as (A) they have not been sold to or through a broker or dealer or underwriter in a public distribution or a public securities transaction, (B) they have not been sold in a transaction exempt from the registration and prospectus delivery requirements of the Securities Act under Section 4(1) thereof so that all transfer restrictions, and restrictive legends with respect thereto, if any, are removed upon the consummation of such sale, and (C) the Holder thereof is entitled to exercise any right provided in Section 1 in accordance with Section 1.12 below.</w:t>
      </w:r>
    </w:p>
    <w:p>
      <w:pPr>
        <w:spacing w:after="0" w:line="57" w:lineRule="exact"/>
        <w:rPr>
          <w:sz w:val="20"/>
          <w:szCs w:val="20"/>
          <w:color w:val="auto"/>
        </w:rPr>
      </w:pPr>
    </w:p>
    <w:p>
      <w:pPr>
        <w:ind w:right="20" w:firstLine="987"/>
        <w:spacing w:after="0" w:line="263" w:lineRule="auto"/>
        <w:tabs>
          <w:tab w:leader="none" w:pos="1206"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number of shares of “</w:t>
      </w:r>
      <w:r>
        <w:rPr>
          <w:rFonts w:ascii="Arial" w:cs="Arial" w:eastAsia="Arial" w:hAnsi="Arial"/>
          <w:sz w:val="18"/>
          <w:szCs w:val="18"/>
          <w:u w:val="single" w:color="auto"/>
          <w:color w:val="auto"/>
        </w:rPr>
        <w:t>Registrable Securities then-outstanding</w:t>
      </w:r>
      <w:r>
        <w:rPr>
          <w:rFonts w:ascii="Arial" w:cs="Arial" w:eastAsia="Arial" w:hAnsi="Arial"/>
          <w:sz w:val="18"/>
          <w:szCs w:val="18"/>
          <w:color w:val="auto"/>
        </w:rPr>
        <w:t>” shall be determined by the number of shares of Common Stock outstanding which are, and the number of shares of Common Stock issuable pursuant to then exercisable or convertible securities which are, Registrable Securities.</w:t>
      </w:r>
    </w:p>
    <w:p>
      <w:pPr>
        <w:spacing w:after="0" w:line="75" w:lineRule="exact"/>
        <w:rPr>
          <w:rFonts w:ascii="Arial" w:cs="Arial" w:eastAsia="Arial" w:hAnsi="Arial"/>
          <w:sz w:val="18"/>
          <w:szCs w:val="18"/>
          <w:color w:val="auto"/>
        </w:rPr>
      </w:pPr>
    </w:p>
    <w:p>
      <w:pPr>
        <w:ind w:left="1200" w:hanging="213"/>
        <w:spacing w:after="0"/>
        <w:tabs>
          <w:tab w:leader="none" w:pos="12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SEC</w:t>
      </w:r>
      <w:r>
        <w:rPr>
          <w:rFonts w:ascii="Arial" w:cs="Arial" w:eastAsia="Arial" w:hAnsi="Arial"/>
          <w:sz w:val="18"/>
          <w:szCs w:val="18"/>
          <w:color w:val="auto"/>
        </w:rPr>
        <w:t>” means the U.S. Securities and Exchange Commission.</w:t>
      </w:r>
    </w:p>
    <w:p>
      <w:pPr>
        <w:spacing w:after="0" w:line="117" w:lineRule="exact"/>
        <w:rPr>
          <w:rFonts w:ascii="Arial" w:cs="Arial" w:eastAsia="Arial" w:hAnsi="Arial"/>
          <w:sz w:val="18"/>
          <w:szCs w:val="18"/>
          <w:color w:val="auto"/>
        </w:rPr>
      </w:pPr>
    </w:p>
    <w:p>
      <w:pPr>
        <w:ind w:right="20" w:firstLine="987"/>
        <w:spacing w:after="0" w:line="277" w:lineRule="auto"/>
        <w:tabs>
          <w:tab w:leader="none" w:pos="1246"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U.S. Securities Act of 1933, as amended (and any successor thereto) and the rules and regulations promulgated thereunder.</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u w:val="single" w:color="auto"/>
          <w:color w:val="auto"/>
        </w:rPr>
        <w:t>Request for Registration</w:t>
      </w:r>
      <w:r>
        <w:rPr>
          <w:rFonts w:ascii="Arial" w:cs="Arial" w:eastAsia="Arial" w:hAnsi="Arial"/>
          <w:sz w:val="18"/>
          <w:szCs w:val="18"/>
          <w:color w:val="auto"/>
        </w:rPr>
        <w:t>.</w:t>
      </w:r>
    </w:p>
    <w:p>
      <w:pPr>
        <w:spacing w:after="0" w:line="121" w:lineRule="exact"/>
        <w:rPr>
          <w:sz w:val="20"/>
          <w:szCs w:val="20"/>
          <w:color w:val="auto"/>
        </w:rPr>
      </w:pPr>
    </w:p>
    <w:p>
      <w:pPr>
        <w:ind w:right="100" w:firstLine="987"/>
        <w:spacing w:after="0" w:line="289" w:lineRule="auto"/>
        <w:tabs>
          <w:tab w:leader="none" w:pos="1236" w:val="left"/>
        </w:tabs>
        <w:numPr>
          <w:ilvl w:val="0"/>
          <w:numId w:val="114"/>
        </w:numPr>
        <w:rPr>
          <w:rFonts w:ascii="Arial" w:cs="Arial" w:eastAsia="Arial" w:hAnsi="Arial"/>
          <w:sz w:val="16"/>
          <w:szCs w:val="16"/>
          <w:color w:val="auto"/>
        </w:rPr>
      </w:pPr>
      <w:r>
        <w:rPr>
          <w:rFonts w:ascii="Arial" w:cs="Arial" w:eastAsia="Arial" w:hAnsi="Arial"/>
          <w:sz w:val="16"/>
          <w:szCs w:val="16"/>
          <w:color w:val="auto"/>
        </w:rPr>
        <w:t>If the Company shall receive at any time after the earlier of (i) the 5</w:t>
      </w:r>
      <w:r>
        <w:rPr>
          <w:rFonts w:ascii="Arial" w:cs="Arial" w:eastAsia="Arial" w:hAnsi="Arial"/>
          <w:sz w:val="13"/>
          <w:szCs w:val="13"/>
          <w:color w:val="auto"/>
        </w:rPr>
        <w:t>th</w:t>
      </w:r>
      <w:r>
        <w:rPr>
          <w:rFonts w:ascii="Arial" w:cs="Arial" w:eastAsia="Arial" w:hAnsi="Arial"/>
          <w:sz w:val="16"/>
          <w:szCs w:val="16"/>
          <w:color w:val="auto"/>
        </w:rPr>
        <w:t xml:space="preserve"> anniversary of the Initial Closing (as defined in the Purchase Agreement), or (ii) six months after the effective date of the first registration statement for a public offering of securities of the Company (other than a registration statement relating either to the sale of securities to employees of the Company pursuant to a stock option, stock purchase or similar plan or an SEC Rule 145 transaction), a written request from the Holders of at least 50% of the Registrable Securities then-outstanding that the Company file a registration statement under the Securities Act covering the registration of at least such number of the Registrable Securities having an anticipated aggregate offering price, net of underwriting discounts and commissions, of at least $15,000,000, then the Company shall, within 10 days of the receipt thereof, give written notice of such request to all Holders and shall, subject to the limitations of subsection 1.2(b), use its best efforts to file as soon as practicable, and in any event within 90 days of the receipt of such request, a registration statement under the Securities Act covering all Registrable Securities which the Holders request to be registered within 20 days of the mailing of such notice by the Company.</w:t>
      </w:r>
    </w:p>
    <w:p>
      <w:pPr>
        <w:spacing w:after="0" w:line="58" w:lineRule="exact"/>
        <w:rPr>
          <w:rFonts w:ascii="Arial" w:cs="Arial" w:eastAsia="Arial" w:hAnsi="Arial"/>
          <w:sz w:val="16"/>
          <w:szCs w:val="16"/>
          <w:color w:val="auto"/>
        </w:rPr>
      </w:pPr>
    </w:p>
    <w:p>
      <w:pPr>
        <w:ind w:right="80" w:firstLine="987"/>
        <w:spacing w:after="0" w:line="279" w:lineRule="auto"/>
        <w:tabs>
          <w:tab w:leader="none" w:pos="1246" w:val="left"/>
        </w:tabs>
        <w:numPr>
          <w:ilvl w:val="0"/>
          <w:numId w:val="114"/>
        </w:numPr>
        <w:rPr>
          <w:rFonts w:ascii="Arial" w:cs="Arial" w:eastAsia="Arial" w:hAnsi="Arial"/>
          <w:sz w:val="17"/>
          <w:szCs w:val="17"/>
          <w:color w:val="auto"/>
        </w:rPr>
      </w:pPr>
      <w:r>
        <w:rPr>
          <w:rFonts w:ascii="Arial" w:cs="Arial" w:eastAsia="Arial" w:hAnsi="Arial"/>
          <w:sz w:val="17"/>
          <w:szCs w:val="17"/>
          <w:color w:val="auto"/>
        </w:rPr>
        <w:t>If the Holders initiating the registration request hereunder (“</w:t>
      </w:r>
      <w:r>
        <w:rPr>
          <w:rFonts w:ascii="Arial" w:cs="Arial" w:eastAsia="Arial" w:hAnsi="Arial"/>
          <w:sz w:val="17"/>
          <w:szCs w:val="17"/>
          <w:u w:val="single" w:color="auto"/>
          <w:color w:val="auto"/>
        </w:rPr>
        <w:t>Initiating Holders</w:t>
      </w:r>
      <w:r>
        <w:rPr>
          <w:rFonts w:ascii="Arial" w:cs="Arial" w:eastAsia="Arial" w:hAnsi="Arial"/>
          <w:sz w:val="17"/>
          <w:szCs w:val="17"/>
          <w:color w:val="auto"/>
        </w:rPr>
        <w:t>”) intend to distribute the Registrable Securities covered by their request by means of an underwriting, they shall so advise the Company as a part of their request made pursuant to this Section 1.2 and the Company shall include such information in the written notice referred to in subsection 1.2(a). The underwriter will be selected by a majority in interest of the Initiating Holders and shall be reasonably acceptable to the Company. In such event, the right of any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175" w:name="page176"/>
    <w:bookmarkEnd w:id="175"/>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Holder to include its Registrable Securities in such registration shall be conditioned upon such Holder’s participation in such underwriting and the inclusion of such Holder’s Registrable Securities in the underwriting (unless otherwise mutually agreed by a majority in interest of the Initiating Holders and such Holder) to the extent provided herein. All Holders proposing to distribute their securities through such underwriting shall (together with the Company as provided in subsection 1.5(e)) enter into an underwriting agreement in customary form with the underwriter or underwriters selected for such underwriting. Notwithstanding any other provision of this Section 1.2, if the underwriter advises the Initiating Holders in writing that marketing factors require a limitation of the number of shares to be underwritten, then the Company shall so advise all Holders of Registrable Securities that would otherwise be underwritten pursuant hereto, and the number of shares of Registrable Securities that may be included in the underwriting shall be allocated among all participating Holders thereof, including the Initiating Holders, in proportion (as nearly as practicable) to the amount of Registrable Securities of the Company owned by each participating Holder; provided, however, that the number of shares of Registrable Securities to be included in such underwriting shall not be reduced unless all other securities are first entirely excluded from the underwriting. For purposes of the preceding apportionment, for any participating Holder that is a venture capital fund, partnership or corporation, the partners, retired partners, members, retired members, affiliated venture capital funds and holders of capital stock of such holder, or the estates and family members of any such partners, members, retired members and retired partners and any trusts for the benefit of any of the foregoing persons shall be deemed to be a single “selling security holder,” and any pro-rata reduction with respect to such “selling security holder” shall be based upon the aggregate amount of shares carrying registration rights owned by all entities and individuals included in such “selling security holder,” as defined in this sentence.</w:t>
      </w:r>
    </w:p>
    <w:p>
      <w:pPr>
        <w:spacing w:after="0" w:line="59" w:lineRule="exact"/>
        <w:rPr>
          <w:sz w:val="20"/>
          <w:szCs w:val="20"/>
          <w:color w:val="auto"/>
        </w:rPr>
      </w:pPr>
    </w:p>
    <w:p>
      <w:pPr>
        <w:ind w:right="40" w:firstLine="987"/>
        <w:spacing w:after="0" w:line="296" w:lineRule="auto"/>
        <w:tabs>
          <w:tab w:leader="none" w:pos="1236" w:val="left"/>
        </w:tabs>
        <w:numPr>
          <w:ilvl w:val="0"/>
          <w:numId w:val="115"/>
        </w:numPr>
        <w:rPr>
          <w:rFonts w:ascii="Arial" w:cs="Arial" w:eastAsia="Arial" w:hAnsi="Arial"/>
          <w:sz w:val="16"/>
          <w:szCs w:val="16"/>
          <w:color w:val="auto"/>
        </w:rPr>
      </w:pPr>
      <w:r>
        <w:rPr>
          <w:rFonts w:ascii="Arial" w:cs="Arial" w:eastAsia="Arial" w:hAnsi="Arial"/>
          <w:sz w:val="16"/>
          <w:szCs w:val="16"/>
          <w:color w:val="auto"/>
        </w:rPr>
        <w:t>Notwithstanding the foregoing, if the Company shall furnish to Holders requesting a registration statement pursuant to this Section 1.2, a certificate signed by the President of the Company stating that in the good faith judgment of the Board of Directors of the Company, it would be seriously detrimental to the Company and its holders of capital stock for such registration statement to be filed and it is therefore essential to defer the filing of such registration statement, the Company shall have the right to defer such filing for a period of not more than 120 days after receipt of the request of the Initiating Holders; provided, however, that the Company may not utilize this right more than once in any twelve-month period.</w:t>
      </w:r>
    </w:p>
    <w:p>
      <w:pPr>
        <w:spacing w:after="0" w:line="53" w:lineRule="exact"/>
        <w:rPr>
          <w:rFonts w:ascii="Arial" w:cs="Arial" w:eastAsia="Arial" w:hAnsi="Arial"/>
          <w:sz w:val="16"/>
          <w:szCs w:val="16"/>
          <w:color w:val="auto"/>
        </w:rPr>
      </w:pPr>
    </w:p>
    <w:p>
      <w:pPr>
        <w:ind w:left="1240" w:hanging="253"/>
        <w:spacing w:after="0"/>
        <w:tabs>
          <w:tab w:leader="none" w:pos="124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In addition, the Company shall not be obligated to effect, or to take any action to effect, any registration pursuant to this Section 1.2:</w:t>
      </w:r>
    </w:p>
    <w:p>
      <w:pPr>
        <w:spacing w:after="0" w:line="140" w:lineRule="exact"/>
        <w:rPr>
          <w:rFonts w:ascii="Arial" w:cs="Arial" w:eastAsia="Arial" w:hAnsi="Arial"/>
          <w:sz w:val="16"/>
          <w:szCs w:val="16"/>
          <w:color w:val="auto"/>
        </w:rPr>
      </w:pPr>
    </w:p>
    <w:p>
      <w:pPr>
        <w:ind w:left="1640" w:hanging="212"/>
        <w:spacing w:after="0"/>
        <w:tabs>
          <w:tab w:leader="none" w:pos="1640" w:val="left"/>
        </w:tabs>
        <w:numPr>
          <w:ilvl w:val="1"/>
          <w:numId w:val="115"/>
        </w:numPr>
        <w:rPr>
          <w:rFonts w:ascii="Arial" w:cs="Arial" w:eastAsia="Arial" w:hAnsi="Arial"/>
          <w:sz w:val="16"/>
          <w:szCs w:val="16"/>
          <w:color w:val="auto"/>
        </w:rPr>
      </w:pPr>
      <w:r>
        <w:rPr>
          <w:rFonts w:ascii="Arial" w:cs="Arial" w:eastAsia="Arial" w:hAnsi="Arial"/>
          <w:sz w:val="16"/>
          <w:szCs w:val="16"/>
          <w:color w:val="auto"/>
        </w:rPr>
        <w:t>after the Company has effected 2 registrations pursuant to this Section 1.2 and such registrations have been declared or ordered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effective;</w:t>
      </w:r>
    </w:p>
    <w:p>
      <w:pPr>
        <w:spacing w:after="0" w:line="102" w:lineRule="exact"/>
        <w:rPr>
          <w:rFonts w:ascii="Arial" w:cs="Arial" w:eastAsia="Arial" w:hAnsi="Arial"/>
          <w:sz w:val="16"/>
          <w:szCs w:val="16"/>
          <w:color w:val="auto"/>
        </w:rPr>
      </w:pPr>
    </w:p>
    <w:p>
      <w:pPr>
        <w:ind w:right="40" w:firstLine="1428"/>
        <w:spacing w:after="0" w:line="279" w:lineRule="auto"/>
        <w:tabs>
          <w:tab w:leader="none" w:pos="1697" w:val="left"/>
        </w:tabs>
        <w:numPr>
          <w:ilvl w:val="1"/>
          <w:numId w:val="115"/>
        </w:numPr>
        <w:rPr>
          <w:rFonts w:ascii="Arial" w:cs="Arial" w:eastAsia="Arial" w:hAnsi="Arial"/>
          <w:sz w:val="17"/>
          <w:szCs w:val="17"/>
          <w:color w:val="auto"/>
        </w:rPr>
      </w:pPr>
      <w:r>
        <w:rPr>
          <w:rFonts w:ascii="Arial" w:cs="Arial" w:eastAsia="Arial" w:hAnsi="Arial"/>
          <w:sz w:val="17"/>
          <w:szCs w:val="17"/>
          <w:color w:val="auto"/>
        </w:rPr>
        <w:t>during the period starting with the date 90 days prior to the Company’s good faith estimate of the date of filing of, and ending on a date 90 days after the effective date of, a registration subject to Section 1.3 unless such offering is the initial public offering of the Company’s securities, in which case, ending on a date 180 days after the effective date of such registration subject to Section 1.3; provided that the Company is actively employing in good faith all reasonable efforts to cause such registration statement to become effective; or</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176" w:name="page177"/>
    <w:bookmarkEnd w:id="176"/>
    <w:p>
      <w:pPr>
        <w:ind w:right="120" w:firstLine="1428"/>
        <w:spacing w:after="0" w:line="277" w:lineRule="auto"/>
        <w:tabs>
          <w:tab w:leader="none" w:pos="1747" w:val="left"/>
        </w:tabs>
        <w:numPr>
          <w:ilvl w:val="0"/>
          <w:numId w:val="1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Initiating Holders propose to dispose of shares of Registrable Securities that may be immediately registered on Form S-3 pursuant to a request made pursuant to Section 1.4.</w:t>
      </w:r>
    </w:p>
    <w:p>
      <w:pPr>
        <w:spacing w:after="0" w:line="58" w:lineRule="exact"/>
        <w:rPr>
          <w:sz w:val="20"/>
          <w:szCs w:val="20"/>
          <w:color w:val="auto"/>
        </w:rPr>
      </w:pPr>
    </w:p>
    <w:p>
      <w:pPr>
        <w:ind w:right="20" w:firstLine="440"/>
        <w:spacing w:after="0" w:line="289"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b w:val="1"/>
          <w:bCs w:val="1"/>
          <w:u w:val="single" w:color="auto"/>
          <w:color w:val="auto"/>
        </w:rPr>
        <w:t>Company Registration</w:t>
      </w:r>
      <w:r>
        <w:rPr>
          <w:rFonts w:ascii="Arial" w:cs="Arial" w:eastAsia="Arial" w:hAnsi="Arial"/>
          <w:sz w:val="16"/>
          <w:szCs w:val="16"/>
          <w:color w:val="auto"/>
        </w:rPr>
        <w:t>. If (but without any obligation to do so) the Company proposes to register (including for this purpose a registration effected by the Company for holders of capital stock other than the Holders) any of its stock under the Securities Act in connection with the public offering of such securities solely for cash (other than a registration relating solely to the sale of securities to participants in a Company stock plan or a transaction covered by Rule 145 under the Securities Act, a registration in which the only stock being registered is Common Stock issuable upon conversion of debt securities which are also being registered, or any registration on any form which does not include substantially the same information as would be required to be included in a registration statement covering the sale of the Registrable Securities), the Company shall, at such time, promptly give each Holder written notice of such registration. Upon the written request of each Holder given within 20 days after mailing of such notice by the Company in accordance with Section 4.4, the Company shall, subject to the cut back provisions of Section 1.7(c) cause to be registered under the Securities Act all of the Registrable Securities that each such Holder has requested to be registered.</w:t>
      </w:r>
    </w:p>
    <w:p>
      <w:pPr>
        <w:spacing w:after="0" w:line="58" w:lineRule="exact"/>
        <w:rPr>
          <w:sz w:val="20"/>
          <w:szCs w:val="20"/>
          <w:color w:val="auto"/>
        </w:rPr>
      </w:pPr>
    </w:p>
    <w:p>
      <w:pPr>
        <w:ind w:right="80" w:firstLine="440"/>
        <w:spacing w:after="0" w:line="266"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b w:val="1"/>
          <w:bCs w:val="1"/>
          <w:u w:val="single" w:color="auto"/>
          <w:color w:val="auto"/>
        </w:rPr>
        <w:t>Form S-3 Registration</w:t>
      </w:r>
      <w:r>
        <w:rPr>
          <w:rFonts w:ascii="Arial" w:cs="Arial" w:eastAsia="Arial" w:hAnsi="Arial"/>
          <w:sz w:val="18"/>
          <w:szCs w:val="18"/>
          <w:color w:val="auto"/>
        </w:rPr>
        <w:t>. In case the Company shall receive from any Holder or Holders of at least 30% of the Registrable Securities then-outstanding a written request or requests that the Company effect a registration on Form S-3 and any related qualification or compliance with respect to all or a part of the Registrable Securities owned by such Holder or Holders, the Company will:</w:t>
      </w:r>
    </w:p>
    <w:p>
      <w:pPr>
        <w:spacing w:after="0" w:line="72" w:lineRule="exact"/>
        <w:rPr>
          <w:sz w:val="20"/>
          <w:szCs w:val="20"/>
          <w:color w:val="auto"/>
        </w:rPr>
      </w:pPr>
    </w:p>
    <w:p>
      <w:pPr>
        <w:ind w:right="540" w:firstLine="987"/>
        <w:spacing w:after="0" w:line="277" w:lineRule="auto"/>
        <w:tabs>
          <w:tab w:leader="none" w:pos="1236"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promptly, and in any event within ten (10) days, give written notice of the proposed registration, and any related qualification or compliance, to all other Holders; and</w:t>
      </w:r>
    </w:p>
    <w:p>
      <w:pPr>
        <w:spacing w:after="0" w:line="62" w:lineRule="exact"/>
        <w:rPr>
          <w:rFonts w:ascii="Arial" w:cs="Arial" w:eastAsia="Arial" w:hAnsi="Arial"/>
          <w:sz w:val="18"/>
          <w:szCs w:val="18"/>
          <w:color w:val="auto"/>
        </w:rPr>
      </w:pPr>
    </w:p>
    <w:p>
      <w:pPr>
        <w:ind w:firstLine="987"/>
        <w:spacing w:after="0" w:line="285" w:lineRule="auto"/>
        <w:tabs>
          <w:tab w:leader="none" w:pos="1246" w:val="left"/>
        </w:tabs>
        <w:numPr>
          <w:ilvl w:val="0"/>
          <w:numId w:val="117"/>
        </w:numPr>
        <w:rPr>
          <w:rFonts w:ascii="Arial" w:cs="Arial" w:eastAsia="Arial" w:hAnsi="Arial"/>
          <w:sz w:val="16"/>
          <w:szCs w:val="16"/>
          <w:color w:val="auto"/>
        </w:rPr>
      </w:pPr>
      <w:r>
        <w:rPr>
          <w:rFonts w:ascii="Arial" w:cs="Arial" w:eastAsia="Arial" w:hAnsi="Arial"/>
          <w:sz w:val="16"/>
          <w:szCs w:val="16"/>
          <w:color w:val="auto"/>
        </w:rPr>
        <w:t>as soon as practicable, and in any event within forty-five (45) days, file a registration statement on Form S-3 and all such qualifications and compliances as may be so requested and as would permit or facilitate the sale and distribution of all or such portion of such Holder’s or Holders’ Registrable Securities as are specified in such request, together with all or such portion of the Registrable Securities of any other Holder or Holders joining in such request as are specified in a written request given within 15 days after receipt of such written notice from the Company; provided, however, that the Company shall not be obligated to effect any such registration, qualification or compliance, pursuant to this Section 1.4: (i) if</w:t>
      </w:r>
    </w:p>
    <w:p>
      <w:pPr>
        <w:spacing w:after="0" w:line="1" w:lineRule="exact"/>
        <w:rPr>
          <w:rFonts w:ascii="Arial" w:cs="Arial" w:eastAsia="Arial" w:hAnsi="Arial"/>
          <w:sz w:val="16"/>
          <w:szCs w:val="16"/>
          <w:color w:val="auto"/>
        </w:rPr>
      </w:pPr>
    </w:p>
    <w:p>
      <w:pPr>
        <w:ind w:right="20"/>
        <w:spacing w:after="0" w:line="288" w:lineRule="auto"/>
        <w:rPr>
          <w:rFonts w:ascii="Arial" w:cs="Arial" w:eastAsia="Arial" w:hAnsi="Arial"/>
          <w:sz w:val="16"/>
          <w:szCs w:val="16"/>
          <w:color w:val="auto"/>
        </w:rPr>
      </w:pPr>
      <w:r>
        <w:rPr>
          <w:rFonts w:ascii="Arial" w:cs="Arial" w:eastAsia="Arial" w:hAnsi="Arial"/>
          <w:sz w:val="16"/>
          <w:szCs w:val="16"/>
          <w:color w:val="auto"/>
        </w:rPr>
        <w:t>Form S-3 is not available for such offering by the Holders; (ii) if the Holders, together with the holders of any other securities of the Company entitled to inclusion in such registration, propose to sell Registrable Securities and such other securities (if any) at an aggregate price to the public (net of any underwriters’ discounts or commissions) of less than $10,000,000; (iii) if the Company shall furnish to the Holders a certificate signed by the President of the Company stating that in the good faith judgment of the Board of Directors of the Company, it would be seriously detrimental to the Company and its holders of capital stock for such Form S-3 registration to be effected at such time, in which event the Company shall have the right to defer the filing of the Form S-3 registration statement for a period of not more than 120 days after receipt of the request of the Holder or Holders under this Section 1.4; provided, however, that the Company shall not utilize this right more than once in any 12-month period; (iv) if the Company has, within the 12-month</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177" w:name="page178"/>
    <w:bookmarkEnd w:id="177"/>
    <w:p>
      <w:pPr>
        <w:ind w:right="10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period preceding the date of such request, already effected two registrations on Form S-3 for the Holders pursuant to this Section 1.4; (v) in any particular jurisdiction in which the Company would be required to qualify to do business or to execute a general consent to service of process in effecting such registration, qualification or compliance; or (vi) during the period starting 30 days prior to the Company’s good faith estimate of the date of the filing of and ending 90 days after the effective date of a registration statement subject to Section 1.3; provided that the Company is actively employing in good faith all reasonable efforts to cause such registration statement to become effective.</w:t>
      </w:r>
    </w:p>
    <w:p>
      <w:pPr>
        <w:spacing w:after="0" w:line="68" w:lineRule="exact"/>
        <w:rPr>
          <w:sz w:val="20"/>
          <w:szCs w:val="20"/>
          <w:color w:val="auto"/>
        </w:rPr>
      </w:pPr>
    </w:p>
    <w:p>
      <w:pPr>
        <w:ind w:right="40" w:firstLine="987"/>
        <w:spacing w:after="0" w:line="286" w:lineRule="auto"/>
        <w:tabs>
          <w:tab w:leader="none" w:pos="1236" w:val="left"/>
        </w:tabs>
        <w:numPr>
          <w:ilvl w:val="0"/>
          <w:numId w:val="118"/>
        </w:numPr>
        <w:rPr>
          <w:rFonts w:ascii="Arial" w:cs="Arial" w:eastAsia="Arial" w:hAnsi="Arial"/>
          <w:sz w:val="17"/>
          <w:szCs w:val="17"/>
          <w:color w:val="auto"/>
        </w:rPr>
      </w:pPr>
      <w:r>
        <w:rPr>
          <w:rFonts w:ascii="Arial" w:cs="Arial" w:eastAsia="Arial" w:hAnsi="Arial"/>
          <w:sz w:val="17"/>
          <w:szCs w:val="17"/>
          <w:color w:val="auto"/>
        </w:rPr>
        <w:t>Subject to the foregoing, the Company shall file a registration statement covering the Registrable Securities and other securities so requested to be registered as soon as practicable after receipt of the request or requests of the Holders. Registrations effected pursuant to this Section 1.4 shall not be counted as demands for registration or registrations effected pursuant to Sections 1.2 or 1.3, respectively.</w:t>
      </w:r>
    </w:p>
    <w:p>
      <w:pPr>
        <w:spacing w:after="0" w:line="53" w:lineRule="exact"/>
        <w:rPr>
          <w:sz w:val="20"/>
          <w:szCs w:val="20"/>
          <w:color w:val="auto"/>
        </w:rPr>
      </w:pPr>
    </w:p>
    <w:p>
      <w:pPr>
        <w:ind w:right="240" w:firstLine="440"/>
        <w:spacing w:after="0" w:line="282"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b w:val="1"/>
          <w:bCs w:val="1"/>
          <w:u w:val="single" w:color="auto"/>
          <w:color w:val="auto"/>
        </w:rPr>
        <w:t>Obligations of the Company</w:t>
      </w:r>
      <w:r>
        <w:rPr>
          <w:rFonts w:ascii="Arial" w:cs="Arial" w:eastAsia="Arial" w:hAnsi="Arial"/>
          <w:sz w:val="18"/>
          <w:szCs w:val="18"/>
          <w:color w:val="auto"/>
        </w:rPr>
        <w:t>. Whenever required under this Section 1 to effect the registration of any Registrable Securities, the Company shall, as expeditiously as reasonably possible:</w:t>
      </w:r>
    </w:p>
    <w:p>
      <w:pPr>
        <w:spacing w:after="0" w:line="58" w:lineRule="exact"/>
        <w:rPr>
          <w:sz w:val="20"/>
          <w:szCs w:val="20"/>
          <w:color w:val="auto"/>
        </w:rPr>
      </w:pPr>
    </w:p>
    <w:p>
      <w:pPr>
        <w:ind w:right="140" w:firstLine="987"/>
        <w:spacing w:after="0" w:line="311" w:lineRule="auto"/>
        <w:tabs>
          <w:tab w:leader="none" w:pos="1236" w:val="left"/>
        </w:tabs>
        <w:numPr>
          <w:ilvl w:val="0"/>
          <w:numId w:val="119"/>
        </w:numPr>
        <w:rPr>
          <w:rFonts w:ascii="Arial" w:cs="Arial" w:eastAsia="Arial" w:hAnsi="Arial"/>
          <w:sz w:val="16"/>
          <w:szCs w:val="16"/>
          <w:color w:val="auto"/>
        </w:rPr>
      </w:pPr>
      <w:r>
        <w:rPr>
          <w:rFonts w:ascii="Arial" w:cs="Arial" w:eastAsia="Arial" w:hAnsi="Arial"/>
          <w:sz w:val="16"/>
          <w:szCs w:val="16"/>
          <w:color w:val="auto"/>
        </w:rPr>
        <w:t>Prepare and file with the SEC a registration statement with respect to such Registrable Securities and use its best efforts to cause such registration statement to become effective, and, upon the request of the Holders of a majority of the Registrable Securities registered thereunder, keep such registration statement effective for up to 120 days, or until the distribution described in such registration statement is completed, if earlier.</w:t>
      </w:r>
    </w:p>
    <w:p>
      <w:pPr>
        <w:spacing w:after="0" w:line="40" w:lineRule="exact"/>
        <w:rPr>
          <w:rFonts w:ascii="Arial" w:cs="Arial" w:eastAsia="Arial" w:hAnsi="Arial"/>
          <w:sz w:val="16"/>
          <w:szCs w:val="16"/>
          <w:color w:val="auto"/>
        </w:rPr>
      </w:pPr>
    </w:p>
    <w:p>
      <w:pPr>
        <w:jc w:val="both"/>
        <w:ind w:right="100" w:firstLine="987"/>
        <w:spacing w:after="0" w:line="311" w:lineRule="auto"/>
        <w:tabs>
          <w:tab w:leader="none" w:pos="1246" w:val="left"/>
        </w:tabs>
        <w:numPr>
          <w:ilvl w:val="0"/>
          <w:numId w:val="119"/>
        </w:numPr>
        <w:rPr>
          <w:rFonts w:ascii="Arial" w:cs="Arial" w:eastAsia="Arial" w:hAnsi="Arial"/>
          <w:sz w:val="16"/>
          <w:szCs w:val="16"/>
          <w:color w:val="auto"/>
        </w:rPr>
      </w:pPr>
      <w:r>
        <w:rPr>
          <w:rFonts w:ascii="Arial" w:cs="Arial" w:eastAsia="Arial" w:hAnsi="Arial"/>
          <w:sz w:val="16"/>
          <w:szCs w:val="16"/>
          <w:color w:val="auto"/>
        </w:rPr>
        <w:t>Prepare and file with the SEC such amendments and supplements to such registration statement and the prospectus used in connection with such registration statement as may be necessary to comply with the provisions of the Securities Act with respect to the disposition of all securities covered by such registration statement for up to 120 days, or until the distribution described in such registration statement is completed, if earlier.</w:t>
      </w:r>
    </w:p>
    <w:p>
      <w:pPr>
        <w:spacing w:after="0" w:line="40" w:lineRule="exact"/>
        <w:rPr>
          <w:rFonts w:ascii="Arial" w:cs="Arial" w:eastAsia="Arial" w:hAnsi="Arial"/>
          <w:sz w:val="16"/>
          <w:szCs w:val="16"/>
          <w:color w:val="auto"/>
        </w:rPr>
      </w:pPr>
    </w:p>
    <w:p>
      <w:pPr>
        <w:ind w:right="60" w:firstLine="987"/>
        <w:spacing w:after="0" w:line="263" w:lineRule="auto"/>
        <w:tabs>
          <w:tab w:leader="none" w:pos="1236" w:val="left"/>
        </w:tabs>
        <w:numPr>
          <w:ilvl w:val="0"/>
          <w:numId w:val="119"/>
        </w:numPr>
        <w:rPr>
          <w:rFonts w:ascii="Arial" w:cs="Arial" w:eastAsia="Arial" w:hAnsi="Arial"/>
          <w:sz w:val="18"/>
          <w:szCs w:val="18"/>
          <w:color w:val="auto"/>
        </w:rPr>
      </w:pPr>
      <w:r>
        <w:rPr>
          <w:rFonts w:ascii="Arial" w:cs="Arial" w:eastAsia="Arial" w:hAnsi="Arial"/>
          <w:sz w:val="18"/>
          <w:szCs w:val="18"/>
          <w:color w:val="auto"/>
        </w:rPr>
        <w:t>Furnish to the Holders such number of copies of a prospectus, including a preliminary prospectus, in conformity with the requirements of the Securities Act, and such other documents as they may reasonably request in order to facilitate the disposition of Registrable Securities owned by them.</w:t>
      </w:r>
    </w:p>
    <w:p>
      <w:pPr>
        <w:spacing w:after="0" w:line="75" w:lineRule="exact"/>
        <w:rPr>
          <w:rFonts w:ascii="Arial" w:cs="Arial" w:eastAsia="Arial" w:hAnsi="Arial"/>
          <w:sz w:val="18"/>
          <w:szCs w:val="18"/>
          <w:color w:val="auto"/>
        </w:rPr>
      </w:pPr>
    </w:p>
    <w:p>
      <w:pPr>
        <w:ind w:firstLine="987"/>
        <w:spacing w:after="0" w:line="311" w:lineRule="auto"/>
        <w:tabs>
          <w:tab w:leader="none" w:pos="1246" w:val="left"/>
        </w:tabs>
        <w:numPr>
          <w:ilvl w:val="0"/>
          <w:numId w:val="119"/>
        </w:numPr>
        <w:rPr>
          <w:rFonts w:ascii="Arial" w:cs="Arial" w:eastAsia="Arial" w:hAnsi="Arial"/>
          <w:sz w:val="16"/>
          <w:szCs w:val="16"/>
          <w:color w:val="auto"/>
        </w:rPr>
      </w:pPr>
      <w:r>
        <w:rPr>
          <w:rFonts w:ascii="Arial" w:cs="Arial" w:eastAsia="Arial" w:hAnsi="Arial"/>
          <w:sz w:val="16"/>
          <w:szCs w:val="16"/>
          <w:color w:val="auto"/>
        </w:rPr>
        <w:t>Use its best efforts to register and qualify the securities covered by such registration statement under such other securities or Blue Sky laws of such jurisdictions as shall be reasonably requested by the Holders, provided that the Company shall not be required in connection therewith or as a condition thereto to qualify to do business or to file a general consent to service of process in any such states or jurisdictions.</w:t>
      </w:r>
    </w:p>
    <w:p>
      <w:pPr>
        <w:spacing w:after="0" w:line="40" w:lineRule="exact"/>
        <w:rPr>
          <w:rFonts w:ascii="Arial" w:cs="Arial" w:eastAsia="Arial" w:hAnsi="Arial"/>
          <w:sz w:val="16"/>
          <w:szCs w:val="16"/>
          <w:color w:val="auto"/>
        </w:rPr>
      </w:pPr>
    </w:p>
    <w:p>
      <w:pPr>
        <w:ind w:right="180" w:firstLine="987"/>
        <w:spacing w:after="0" w:line="263" w:lineRule="auto"/>
        <w:tabs>
          <w:tab w:leader="none" w:pos="1236"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 the event of any underwritten public offering, enter into and perform its obligations under an underwriting agreement, in usual and customary form, with the managing underwriter of such offering. Each Holder participating in such underwriting shall also enter into and perform its obligations under such an agreement.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78" w:name="page179"/>
    <w:bookmarkEnd w:id="178"/>
    <w:p>
      <w:pPr>
        <w:ind w:left="-20" w:right="220" w:firstLine="987"/>
        <w:spacing w:after="0" w:line="257" w:lineRule="auto"/>
        <w:tabs>
          <w:tab w:leader="none" w:pos="1196" w:val="left"/>
        </w:tabs>
        <w:numPr>
          <w:ilvl w:val="0"/>
          <w:numId w:val="1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Notify each Holder of Registrable Securities covered by such registration statement at any time when a prospectus relating thereto is required to be delivered under the Securities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 such obligation to continue for 120 days after the effectiveness of such registration statement.</w:t>
      </w:r>
    </w:p>
    <w:p>
      <w:pPr>
        <w:spacing w:after="0" w:line="79" w:lineRule="exact"/>
        <w:rPr>
          <w:rFonts w:ascii="Arial" w:cs="Arial" w:eastAsia="Arial" w:hAnsi="Arial"/>
          <w:sz w:val="18"/>
          <w:szCs w:val="18"/>
          <w:color w:val="auto"/>
        </w:rPr>
      </w:pPr>
    </w:p>
    <w:p>
      <w:pPr>
        <w:ind w:left="-20" w:right="60" w:firstLine="987"/>
        <w:spacing w:after="0" w:line="277" w:lineRule="auto"/>
        <w:tabs>
          <w:tab w:leader="none" w:pos="1226"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Cause all such Registrable Securities registered pursuant hereunder to be listed on each securities exchange on which similar securities issued by the Company are then listed.</w:t>
      </w:r>
    </w:p>
    <w:p>
      <w:pPr>
        <w:spacing w:after="0" w:line="62" w:lineRule="exact"/>
        <w:rPr>
          <w:rFonts w:ascii="Arial" w:cs="Arial" w:eastAsia="Arial" w:hAnsi="Arial"/>
          <w:sz w:val="18"/>
          <w:szCs w:val="18"/>
          <w:color w:val="auto"/>
        </w:rPr>
      </w:pPr>
    </w:p>
    <w:p>
      <w:pPr>
        <w:ind w:left="-20" w:right="380" w:firstLine="987"/>
        <w:spacing w:after="0" w:line="277" w:lineRule="auto"/>
        <w:tabs>
          <w:tab w:leader="none" w:pos="1226"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Provide a transfer agent and registrar for all Registrable Securities registered pursuant hereunder and a CUSIP number for all such Registrable Securities, in each case not later than the effective date of such registration.</w:t>
      </w:r>
    </w:p>
    <w:p>
      <w:pPr>
        <w:spacing w:after="0" w:line="62" w:lineRule="exact"/>
        <w:rPr>
          <w:rFonts w:ascii="Arial" w:cs="Arial" w:eastAsia="Arial" w:hAnsi="Arial"/>
          <w:sz w:val="18"/>
          <w:szCs w:val="18"/>
          <w:color w:val="auto"/>
        </w:rPr>
      </w:pPr>
    </w:p>
    <w:p>
      <w:pPr>
        <w:ind w:left="-20" w:firstLine="987"/>
        <w:spacing w:after="0" w:line="273" w:lineRule="auto"/>
        <w:tabs>
          <w:tab w:leader="none" w:pos="1186" w:val="left"/>
        </w:tabs>
        <w:numPr>
          <w:ilvl w:val="0"/>
          <w:numId w:val="120"/>
        </w:numPr>
        <w:rPr>
          <w:rFonts w:ascii="Arial" w:cs="Arial" w:eastAsia="Arial" w:hAnsi="Arial"/>
          <w:sz w:val="17"/>
          <w:szCs w:val="17"/>
          <w:color w:val="auto"/>
        </w:rPr>
      </w:pPr>
      <w:r>
        <w:rPr>
          <w:rFonts w:ascii="Arial" w:cs="Arial" w:eastAsia="Arial" w:hAnsi="Arial"/>
          <w:sz w:val="17"/>
          <w:szCs w:val="17"/>
          <w:color w:val="auto"/>
        </w:rPr>
        <w:t>Use its best efforts to furnish, at the request of any Holder requesting registration of Registrable Securities pursuant to this Section 1, on the date that such Registrable Securities are delivered to the underwriters for sale in connection with a registration pursuant to this Section 1, if such securities are being sold through underwriters, (i) an opinion, dated such date, of the counsel representing the Company for the purposes of such registration, in form and substance as is customarily given to underwriters in an underwritten public offering, addressed to the underwriters and (ii) a letter dated such date, from the independent certified public accountants of the Company, in form and substance as is customarily given by independent certified public accountants to underwriters in an underwritten public offering, addressed to the underwriters.</w:t>
      </w:r>
    </w:p>
    <w:p>
      <w:pPr>
        <w:spacing w:after="0" w:line="69" w:lineRule="exact"/>
        <w:rPr>
          <w:rFonts w:ascii="Arial" w:cs="Arial" w:eastAsia="Arial" w:hAnsi="Arial"/>
          <w:sz w:val="17"/>
          <w:szCs w:val="17"/>
          <w:color w:val="auto"/>
        </w:rPr>
      </w:pPr>
    </w:p>
    <w:p>
      <w:pPr>
        <w:ind w:left="-20" w:right="220" w:firstLine="987"/>
        <w:spacing w:after="0" w:line="255" w:lineRule="auto"/>
        <w:tabs>
          <w:tab w:leader="none" w:pos="1186"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Promptly make available for inspection by the selling Holders, any underwriter(s) participating in any disposition pursuant to such registration statement, and any attorney or accountant or other agent retained by any such 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w:t>
      </w:r>
    </w:p>
    <w:p>
      <w:pPr>
        <w:spacing w:after="0" w:line="84" w:lineRule="exact"/>
        <w:rPr>
          <w:rFonts w:ascii="Arial" w:cs="Arial" w:eastAsia="Arial" w:hAnsi="Arial"/>
          <w:sz w:val="18"/>
          <w:szCs w:val="18"/>
          <w:color w:val="auto"/>
        </w:rPr>
      </w:pPr>
    </w:p>
    <w:p>
      <w:pPr>
        <w:ind w:left="-20" w:right="100" w:firstLine="987"/>
        <w:spacing w:after="0" w:line="277" w:lineRule="auto"/>
        <w:tabs>
          <w:tab w:leader="none" w:pos="1226" w:val="left"/>
        </w:tabs>
        <w:numPr>
          <w:ilvl w:val="0"/>
          <w:numId w:val="120"/>
        </w:numPr>
        <w:rPr>
          <w:rFonts w:ascii="Arial" w:cs="Arial" w:eastAsia="Arial" w:hAnsi="Arial"/>
          <w:sz w:val="18"/>
          <w:szCs w:val="18"/>
          <w:color w:val="auto"/>
        </w:rPr>
      </w:pPr>
      <w:r>
        <w:rPr>
          <w:rFonts w:ascii="Arial" w:cs="Arial" w:eastAsia="Arial" w:hAnsi="Arial"/>
          <w:sz w:val="18"/>
          <w:szCs w:val="18"/>
          <w:color w:val="auto"/>
        </w:rPr>
        <w:t>Notify each selling Holder, promptly after the Company receives notice thereof, of the time when such registration statement has been declared effective or a supplement to any prospectus forming a part of such registration statement has been filed.</w:t>
      </w:r>
    </w:p>
    <w:p>
      <w:pPr>
        <w:spacing w:after="0" w:line="62" w:lineRule="exact"/>
        <w:rPr>
          <w:rFonts w:ascii="Arial" w:cs="Arial" w:eastAsia="Arial" w:hAnsi="Arial"/>
          <w:sz w:val="18"/>
          <w:szCs w:val="18"/>
          <w:color w:val="auto"/>
        </w:rPr>
      </w:pPr>
    </w:p>
    <w:p>
      <w:pPr>
        <w:ind w:left="-20" w:right="160" w:firstLine="987"/>
        <w:spacing w:after="0" w:line="277" w:lineRule="auto"/>
        <w:tabs>
          <w:tab w:leader="none" w:pos="1186"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After such registration statement becomes effective, notify each selling Holder of any request by the SEC that the Company amend or supplement such registration statement or prospectus.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60" w:top="274" w:right="459" w:bottom="1440" w:gutter="0" w:footer="0" w:header="0"/>
        </w:sectPr>
      </w:pPr>
    </w:p>
    <w:bookmarkStart w:id="179" w:name="page180"/>
    <w:bookmarkEnd w:id="179"/>
    <w:p>
      <w:pPr>
        <w:ind w:right="80" w:firstLine="440"/>
        <w:spacing w:after="0" w:line="29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1.6 </w:t>
      </w:r>
      <w:r>
        <w:rPr>
          <w:rFonts w:ascii="Arial" w:cs="Arial" w:eastAsia="Arial" w:hAnsi="Arial"/>
          <w:sz w:val="16"/>
          <w:szCs w:val="16"/>
          <w:b w:val="1"/>
          <w:bCs w:val="1"/>
          <w:u w:val="single" w:color="auto"/>
          <w:color w:val="auto"/>
        </w:rPr>
        <w:t>Furnish Information</w:t>
      </w:r>
      <w:r>
        <w:rPr>
          <w:rFonts w:ascii="Arial" w:cs="Arial" w:eastAsia="Arial" w:hAnsi="Arial"/>
          <w:sz w:val="16"/>
          <w:szCs w:val="16"/>
          <w:color w:val="auto"/>
        </w:rPr>
        <w:t>. It shall be a condition precedent to the obligations of the Company to take any action pursuant to this Section 1 with respect to the Registrable Securities of any selling Holder that such Holder shall furnish to the Company such information regarding itself, the Registrable Securities held by it, and the intended method of disposition of such securities as shall be required to effect the registration of such Holder’s Registrable Securities. The Company shall have no obligation with respect to any registration requested pursuant to Section 1.2 or Section 1.4 of this Agreement if, as a result of the application of the preceding sentence, the number of shares or the anticipated aggregate offering price of the Registrable Securities to be included in the registration does not equal or exceed the number of shares or the anticipated aggregate offering price required to originally trigger the Company’s obligation to initiate such registration as specified in subsection 1.2(a) or subsection 1.4(b), whichever is applicable.</w:t>
      </w:r>
    </w:p>
    <w:p>
      <w:pPr>
        <w:spacing w:after="0" w:line="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b w:val="1"/>
          <w:bCs w:val="1"/>
          <w:u w:val="single" w:color="auto"/>
          <w:color w:val="auto"/>
        </w:rPr>
        <w:t>Expenses of Registration</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69" w:lineRule="auto"/>
        <w:tabs>
          <w:tab w:leader="none" w:pos="1236" w:val="left"/>
        </w:tabs>
        <w:numPr>
          <w:ilvl w:val="0"/>
          <w:numId w:val="121"/>
        </w:numPr>
        <w:rPr>
          <w:rFonts w:ascii="Arial" w:cs="Arial" w:eastAsia="Arial" w:hAnsi="Arial"/>
          <w:sz w:val="17"/>
          <w:szCs w:val="17"/>
          <w:color w:val="auto"/>
        </w:rPr>
      </w:pPr>
      <w:r>
        <w:rPr>
          <w:rFonts w:ascii="Arial" w:cs="Arial" w:eastAsia="Arial" w:hAnsi="Arial"/>
          <w:sz w:val="17"/>
          <w:szCs w:val="17"/>
          <w:b w:val="1"/>
          <w:bCs w:val="1"/>
          <w:u w:val="single" w:color="auto"/>
          <w:color w:val="auto"/>
        </w:rPr>
        <w:t>Demand Registration</w:t>
      </w:r>
      <w:r>
        <w:rPr>
          <w:rFonts w:ascii="Arial" w:cs="Arial" w:eastAsia="Arial" w:hAnsi="Arial"/>
          <w:sz w:val="17"/>
          <w:szCs w:val="17"/>
          <w:color w:val="auto"/>
        </w:rPr>
        <w:t>. All expenses other than underwriting discounts and commissions incurred in connection with registrations,</w:t>
      </w:r>
      <w:r>
        <w:rPr>
          <w:rFonts w:ascii="Arial" w:cs="Arial" w:eastAsia="Arial" w:hAnsi="Arial"/>
          <w:sz w:val="17"/>
          <w:szCs w:val="17"/>
          <w:b w:val="1"/>
          <w:bCs w:val="1"/>
          <w:color w:val="auto"/>
        </w:rPr>
        <w:t xml:space="preserve"> </w:t>
      </w:r>
      <w:r>
        <w:rPr>
          <w:rFonts w:ascii="Arial" w:cs="Arial" w:eastAsia="Arial" w:hAnsi="Arial"/>
          <w:sz w:val="17"/>
          <w:szCs w:val="17"/>
          <w:color w:val="auto"/>
        </w:rPr>
        <w:t>filings or qualifications pursuant to Section 1.2, including (without limitation) all registration, filing and qualification fees, printers’ and accounting fees, fees and disbursements of counsel for the Company, and the reasonable fees and disbursements of one counsel for the selling Holders selected by them with the approval of the Company, which approval shall not be unreasonably withheld, shall be borne by the Company; provided, however, that the Company shall not be required to pay for any expenses of any registration proceeding begun pursuant to Section 1.2 if the registration request is subsequently withdrawn at the request of the Holders of a majority of the Registrable Securities to be registered (in which case all participating Holders shall bear such expenses), unless the Holders of a majority of the Registrable Securities agree to forfeit their right to one demand registration pursuant to Section 1.2; provided further, however, that if at the time of such withdrawal, the Holders (i) have learned of a material adverse change in the condition, business, or prospects of the Company that was not known to the Holders at the time of their request and (ii) have withdrawn the request with reasonable promptness following disclosure by the Company of such material adverse change, then the Holders shall not be required to pay any of such expenses and shall not forfeit their rights pursuant to Section 1.2.</w:t>
      </w:r>
    </w:p>
    <w:p>
      <w:pPr>
        <w:spacing w:after="0" w:line="181" w:lineRule="exact"/>
        <w:rPr>
          <w:rFonts w:ascii="Arial" w:cs="Arial" w:eastAsia="Arial" w:hAnsi="Arial"/>
          <w:sz w:val="17"/>
          <w:szCs w:val="17"/>
          <w:color w:val="auto"/>
        </w:rPr>
      </w:pPr>
    </w:p>
    <w:p>
      <w:pPr>
        <w:ind w:right="240" w:firstLine="987"/>
        <w:spacing w:after="0" w:line="277" w:lineRule="auto"/>
        <w:tabs>
          <w:tab w:leader="none" w:pos="1246" w:val="left"/>
        </w:tabs>
        <w:numPr>
          <w:ilvl w:val="0"/>
          <w:numId w:val="121"/>
        </w:numPr>
        <w:rPr>
          <w:rFonts w:ascii="Arial" w:cs="Arial" w:eastAsia="Arial" w:hAnsi="Arial"/>
          <w:sz w:val="17"/>
          <w:szCs w:val="17"/>
          <w:color w:val="auto"/>
        </w:rPr>
      </w:pPr>
      <w:r>
        <w:rPr>
          <w:rFonts w:ascii="Arial" w:cs="Arial" w:eastAsia="Arial" w:hAnsi="Arial"/>
          <w:sz w:val="17"/>
          <w:szCs w:val="17"/>
          <w:b w:val="1"/>
          <w:bCs w:val="1"/>
          <w:u w:val="single" w:color="auto"/>
          <w:color w:val="auto"/>
        </w:rPr>
        <w:t>Company Registration</w:t>
      </w:r>
      <w:r>
        <w:rPr>
          <w:rFonts w:ascii="Arial" w:cs="Arial" w:eastAsia="Arial" w:hAnsi="Arial"/>
          <w:sz w:val="17"/>
          <w:szCs w:val="17"/>
          <w:color w:val="auto"/>
        </w:rPr>
        <w:t>. All expenses other than underwriting discounts and commissions incurred in connection with registrations,</w:t>
      </w:r>
      <w:r>
        <w:rPr>
          <w:rFonts w:ascii="Arial" w:cs="Arial" w:eastAsia="Arial" w:hAnsi="Arial"/>
          <w:sz w:val="17"/>
          <w:szCs w:val="17"/>
          <w:b w:val="1"/>
          <w:bCs w:val="1"/>
          <w:color w:val="auto"/>
        </w:rPr>
        <w:t xml:space="preserve"> </w:t>
      </w:r>
      <w:r>
        <w:rPr>
          <w:rFonts w:ascii="Arial" w:cs="Arial" w:eastAsia="Arial" w:hAnsi="Arial"/>
          <w:sz w:val="17"/>
          <w:szCs w:val="17"/>
          <w:color w:val="auto"/>
        </w:rPr>
        <w:t>filings or qualifications of Registrable Securities pursuant to Section 1.3 for each Holder (which right may be assigned as provided in Section 1.12), including (without limitation) all registration, filing, and qualification fees, printers’ and accounting fees, fees and disbursements of counsel for the Company and the reasonable fees and disbursements of one counsel for the selling Holder or Holders selected by them with the approval of the Company, which approval shall not be unreasonably withheld, shall be borne by the Company.</w:t>
      </w:r>
    </w:p>
    <w:p>
      <w:pPr>
        <w:spacing w:after="0" w:line="167" w:lineRule="exact"/>
        <w:rPr>
          <w:rFonts w:ascii="Arial" w:cs="Arial" w:eastAsia="Arial" w:hAnsi="Arial"/>
          <w:sz w:val="17"/>
          <w:szCs w:val="17"/>
          <w:color w:val="auto"/>
        </w:rPr>
      </w:pPr>
    </w:p>
    <w:p>
      <w:pPr>
        <w:ind w:right="40" w:firstLine="987"/>
        <w:spacing w:after="0" w:line="258" w:lineRule="auto"/>
        <w:tabs>
          <w:tab w:leader="none" w:pos="1236" w:val="left"/>
        </w:tabs>
        <w:numPr>
          <w:ilvl w:val="0"/>
          <w:numId w:val="121"/>
        </w:numPr>
        <w:rPr>
          <w:rFonts w:ascii="Arial" w:cs="Arial" w:eastAsia="Arial" w:hAnsi="Arial"/>
          <w:sz w:val="18"/>
          <w:szCs w:val="18"/>
          <w:color w:val="auto"/>
        </w:rPr>
      </w:pPr>
      <w:r>
        <w:rPr>
          <w:rFonts w:ascii="Arial" w:cs="Arial" w:eastAsia="Arial" w:hAnsi="Arial"/>
          <w:sz w:val="18"/>
          <w:szCs w:val="18"/>
          <w:b w:val="1"/>
          <w:bCs w:val="1"/>
          <w:u w:val="single" w:color="auto"/>
          <w:color w:val="auto"/>
        </w:rPr>
        <w:t>Registration on Form S-3</w:t>
      </w:r>
      <w:r>
        <w:rPr>
          <w:rFonts w:ascii="Arial" w:cs="Arial" w:eastAsia="Arial" w:hAnsi="Arial"/>
          <w:sz w:val="18"/>
          <w:szCs w:val="18"/>
          <w:color w:val="auto"/>
        </w:rPr>
        <w:t>. All expenses other than underwriting discounts and commissions incurred in connection with registrations,</w:t>
      </w:r>
      <w:r>
        <w:rPr>
          <w:rFonts w:ascii="Arial" w:cs="Arial" w:eastAsia="Arial" w:hAnsi="Arial"/>
          <w:sz w:val="18"/>
          <w:szCs w:val="18"/>
          <w:b w:val="1"/>
          <w:bCs w:val="1"/>
          <w:color w:val="auto"/>
        </w:rPr>
        <w:t xml:space="preserve"> </w:t>
      </w:r>
      <w:r>
        <w:rPr>
          <w:rFonts w:ascii="Arial" w:cs="Arial" w:eastAsia="Arial" w:hAnsi="Arial"/>
          <w:sz w:val="18"/>
          <w:szCs w:val="18"/>
          <w:color w:val="auto"/>
        </w:rPr>
        <w:t>filings or qualifications of Registrable Securities pursuant to Section 1.4 for each Holder (which right may be assigned as provided in Section 1.12), including (without limitation) all registration, filing, and qualification fees, printers’ and accounting fees, fees and disbursements of counsel for the Company and the reasonable fees and disbursements of one counsel for the selling Holder or Holders selected by them with the approval of the Company, which approval shall not be unreasonably withheld, shall be borne by the Company.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0" w:right="459" w:bottom="1440" w:gutter="0" w:footer="0" w:header="0"/>
        </w:sectPr>
      </w:pPr>
    </w:p>
    <w:bookmarkStart w:id="180" w:name="page181"/>
    <w:bookmarkEnd w:id="180"/>
    <w:p>
      <w:pPr>
        <w:ind w:firstLine="4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1.8 </w:t>
      </w:r>
      <w:r>
        <w:rPr>
          <w:rFonts w:ascii="Arial" w:cs="Arial" w:eastAsia="Arial" w:hAnsi="Arial"/>
          <w:sz w:val="16"/>
          <w:szCs w:val="16"/>
          <w:b w:val="1"/>
          <w:bCs w:val="1"/>
          <w:u w:val="single" w:color="auto"/>
          <w:color w:val="auto"/>
        </w:rPr>
        <w:t>Underwriting Requirements</w:t>
      </w:r>
      <w:r>
        <w:rPr>
          <w:rFonts w:ascii="Arial" w:cs="Arial" w:eastAsia="Arial" w:hAnsi="Arial"/>
          <w:sz w:val="16"/>
          <w:szCs w:val="16"/>
          <w:color w:val="auto"/>
        </w:rPr>
        <w:t>. In connection with any offering involving an underwriting of shares of the Company’s capital stock, the Company shall not be required under Section 1.3 to include any of the Holders’ securities in such underwriting unless they accept the terms of the underwriting as agreed upon between the Company and the underwriters selected by it (or by other persons entitled to select the underwriters), and then only in such quantity as the underwriters determine in their sole discretion will not jeopardize the success of the offering by the Company. If the total amount of securities, including Registrable Securities, requested by holders of capital stock to be included in such offering exceeds the amount of securities sold other than by the Company that the underwriters determine in their sole discretion is compatible with the success of the offering, then the Company shall be required to include in the offering only that number of such securities, including Registrable Securities, which the underwriters determine in their sole discretion will not jeopardize the success of the offering (the securities so included to be apportioned pro rata among the selling security holders according to the total amount of securities entitled to be included therein owned by each selling security holder or in such other proportions as shall mutually be agreed to by such selling security holders) but in no event shall (a) the amount of securities of the selling Holders included in the offering be reduced below 30% of the total amount of securities included in such offering, unless such offering is the initial public offering of the Company’s securities, in which case, the selling security holders may be excluded if the underwriters make the determination described above and no other holder’s securities are included, (b) any securities of the selling Holders be excluded from such offering unless all other stockholders’ securities have been first excluded or (c) any securities held by a Founder be included if any securities held by any non-Founder selling Holder are excluded. For purposes of the preceding parenthetical concerning apportionment, for any selling security holder which is a holder of Registrable Securities and which is a venture capital fund, partnership or corporation, the partners, retired partners, members, retired members, affiliated venture capital funds and holders of capital stock of such holder, or the estates and family members of any such partners, members, retired members and retired partners and any trusts for the benefit of any of the foregoing persons shall be deemed to be a single “selling security holder,” and any pro-rata reduction with respect to such “selling security holder” shall be based upon the aggregate amount of shares carrying registration rights owned by all entities and individuals included in such “selling security holder,” as defined in this sentence.</w:t>
      </w:r>
    </w:p>
    <w:p>
      <w:pPr>
        <w:spacing w:after="0" w:line="58" w:lineRule="exact"/>
        <w:rPr>
          <w:sz w:val="20"/>
          <w:szCs w:val="20"/>
          <w:color w:val="auto"/>
        </w:rPr>
      </w:pPr>
    </w:p>
    <w:p>
      <w:pPr>
        <w:ind w:right="120" w:firstLine="440"/>
        <w:spacing w:after="0" w:line="282" w:lineRule="auto"/>
        <w:rPr>
          <w:sz w:val="20"/>
          <w:szCs w:val="20"/>
          <w:color w:val="auto"/>
        </w:rPr>
      </w:pPr>
      <w:r>
        <w:rPr>
          <w:rFonts w:ascii="Arial" w:cs="Arial" w:eastAsia="Arial" w:hAnsi="Arial"/>
          <w:sz w:val="18"/>
          <w:szCs w:val="18"/>
          <w:color w:val="auto"/>
        </w:rPr>
        <w:t xml:space="preserve">1.9 </w:t>
      </w:r>
      <w:r>
        <w:rPr>
          <w:rFonts w:ascii="Arial" w:cs="Arial" w:eastAsia="Arial" w:hAnsi="Arial"/>
          <w:sz w:val="18"/>
          <w:szCs w:val="18"/>
          <w:b w:val="1"/>
          <w:bCs w:val="1"/>
          <w:u w:val="single" w:color="auto"/>
          <w:color w:val="auto"/>
        </w:rPr>
        <w:t>Delay of Registration</w:t>
      </w:r>
      <w:r>
        <w:rPr>
          <w:rFonts w:ascii="Arial" w:cs="Arial" w:eastAsia="Arial" w:hAnsi="Arial"/>
          <w:sz w:val="18"/>
          <w:szCs w:val="18"/>
          <w:color w:val="auto"/>
        </w:rPr>
        <w:t>. No Holder shall have any right to obtain or seek an injunction restraining or otherwise delaying any such registration as the result of any controversy that might arise with respect to the interpretation or implementation of this Section 1.</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1.10 </w:t>
      </w:r>
      <w:r>
        <w:rPr>
          <w:rFonts w:ascii="Arial" w:cs="Arial" w:eastAsia="Arial" w:hAnsi="Arial"/>
          <w:sz w:val="18"/>
          <w:szCs w:val="18"/>
          <w:b w:val="1"/>
          <w:bCs w:val="1"/>
          <w:u w:val="single" w:color="auto"/>
          <w:color w:val="auto"/>
        </w:rPr>
        <w:t>Indemnification</w:t>
      </w:r>
      <w:r>
        <w:rPr>
          <w:rFonts w:ascii="Arial" w:cs="Arial" w:eastAsia="Arial" w:hAnsi="Arial"/>
          <w:sz w:val="18"/>
          <w:szCs w:val="18"/>
          <w:color w:val="auto"/>
        </w:rPr>
        <w:t>. In the event any Registrable Securities are included in a registration statement under this Section 1:</w:t>
      </w:r>
    </w:p>
    <w:p>
      <w:pPr>
        <w:spacing w:after="0" w:line="121" w:lineRule="exact"/>
        <w:rPr>
          <w:sz w:val="20"/>
          <w:szCs w:val="20"/>
          <w:color w:val="auto"/>
        </w:rPr>
      </w:pPr>
    </w:p>
    <w:p>
      <w:pPr>
        <w:ind w:right="60" w:firstLine="987"/>
        <w:spacing w:after="0" w:line="259" w:lineRule="auto"/>
        <w:tabs>
          <w:tab w:leader="none" w:pos="1236"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To the extent permitted by law, the Company will indemnify and hold harmless each Holder, the partners, members, officers, directors and security holders of each Holder, legal counsel and accountants for each Holder, any underwriter (as defined in the Securities Act) for such Holder and each person, if any, who controls such Holder or underwriter within the meaning of the Securities Act or the Exchange Act, against any losses, claims,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440" w:top="270" w:right="499" w:bottom="1440" w:gutter="0" w:footer="0" w:header="0"/>
        </w:sectPr>
      </w:pPr>
    </w:p>
    <w:bookmarkStart w:id="181" w:name="page182"/>
    <w:bookmarkEnd w:id="181"/>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damages, or liabilities (joint or several) to which they may become subject under the Securities Act, the Exchange Act or other federal or state law, insofar as such losses, claims, damages, or liabilities (or actions in respect thereof) arise out of or are based upon any of the following statements, omissions or violations (collectively a “</w:t>
      </w:r>
      <w:r>
        <w:rPr>
          <w:rFonts w:ascii="Arial" w:cs="Arial" w:eastAsia="Arial" w:hAnsi="Arial"/>
          <w:sz w:val="16"/>
          <w:szCs w:val="16"/>
          <w:u w:val="single" w:color="auto"/>
          <w:color w:val="auto"/>
        </w:rPr>
        <w:t>Violation</w:t>
      </w:r>
      <w:r>
        <w:rPr>
          <w:rFonts w:ascii="Arial" w:cs="Arial" w:eastAsia="Arial" w:hAnsi="Arial"/>
          <w:sz w:val="16"/>
          <w:szCs w:val="16"/>
          <w:color w:val="auto"/>
        </w:rPr>
        <w:t>”): (i) any untrue statement or alleged untrue statement of a material fact contained in such registration statement, including any preliminary prospectus or final prospectus contained therein or any amendments or supplements thereto, (ii) the omission or alleged omission to state therein a material fact required to be stated therein, or necessary to make the statements therein not misleading, or (iii) any violation or alleged violation by the Company of the Securities Act, the Exchange Act, any state securities law or any rule or regulation promulgated under the Securities Act, the Exchange Act or any state securities law; and the Company will pay to each such Holder, underwriter or controlling person, as incurred, any legal or other expenses reasonably incurred by them in connection with investigating or defending any such loss, claim, damage, liability, or action; provided, however, that the indemnity agreement contained in this subsection 1.10(a) shall not apply to amounts paid in settlement of any such loss, claim, damage, liability, or action if such settlement is effected without the consent of the Company (which consent shall not be unreasonably withheld), nor shall the Company be liable to any Holder, underwriter or controlling person for any such loss, claim, damage, liability, or action to the extent that it arises out of or is based upon a Violation which occurs in reliance upon and in conformity with written information furnished expressly for use in connection with such registration by any such Holder, underwriter or controlling person.</w:t>
      </w:r>
    </w:p>
    <w:p>
      <w:pPr>
        <w:spacing w:after="0" w:line="66" w:lineRule="exact"/>
        <w:rPr>
          <w:sz w:val="20"/>
          <w:szCs w:val="20"/>
          <w:color w:val="auto"/>
        </w:rPr>
      </w:pPr>
    </w:p>
    <w:p>
      <w:pPr>
        <w:ind w:right="20" w:firstLine="987"/>
        <w:spacing w:after="0" w:line="287" w:lineRule="auto"/>
        <w:tabs>
          <w:tab w:leader="none" w:pos="1246"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To the extent permitted by law, each selling Holder, severally and not jointly, will indemnify and hold harmless the Company, each of its directors, each of its officers who has signed the registration statement, each person, if any, who controls the Company within the meaning of the Securities Act, any underwriter, any other Holder selling securities in such registration statement and any controlling person of any such underwriter or other Holder, against any losses, claims, damages, or liabilities (joint or several) to which any of the foregoing persons may become subject, under the Securities Act, the Exchange Act or other federal or state law, insofar as such losses, claims, damages, or liabilities (or actions in respect thereto) arise out of or are based upon any Violation, in each case to the extent (and only to the extent) that such Violation occurs in reliance upon and in conformity with written information furnished by such Holder expressly for use in connection with such registration; and each such Holder will pay, as incurred, any legal or other expenses reasonably incurred by any person intended to be indemnified pursuant to this subsection 1.10(b), in connection with investigating or defending any such loss, claim, damage, liability, or action; provided, however, that the indemnity agreement contained in this subsection 1.10(b) shall not apply to amounts paid in settlement of any such loss, claim, damage, liability or action if such settlement is effected without the consent of the Holder, which consent shall not be unreasonably withheld; provided that in no event shall any indemnity under this subsection 1.10(b) exceed the net proceeds from the offering received by such Holder, except in the case of willful fraud by such Holder.</w:t>
      </w:r>
    </w:p>
    <w:p>
      <w:pPr>
        <w:spacing w:after="0" w:line="59" w:lineRule="exact"/>
        <w:rPr>
          <w:rFonts w:ascii="Arial" w:cs="Arial" w:eastAsia="Arial" w:hAnsi="Arial"/>
          <w:sz w:val="16"/>
          <w:szCs w:val="16"/>
          <w:color w:val="auto"/>
        </w:rPr>
      </w:pPr>
    </w:p>
    <w:p>
      <w:pPr>
        <w:ind w:right="320" w:firstLine="987"/>
        <w:spacing w:after="0" w:line="279" w:lineRule="auto"/>
        <w:tabs>
          <w:tab w:leader="none" w:pos="1236" w:val="left"/>
        </w:tabs>
        <w:numPr>
          <w:ilvl w:val="0"/>
          <w:numId w:val="123"/>
        </w:numPr>
        <w:rPr>
          <w:rFonts w:ascii="Arial" w:cs="Arial" w:eastAsia="Arial" w:hAnsi="Arial"/>
          <w:sz w:val="17"/>
          <w:szCs w:val="17"/>
          <w:color w:val="auto"/>
        </w:rPr>
      </w:pPr>
      <w:r>
        <w:rPr>
          <w:rFonts w:ascii="Arial" w:cs="Arial" w:eastAsia="Arial" w:hAnsi="Arial"/>
          <w:sz w:val="17"/>
          <w:szCs w:val="17"/>
          <w:color w:val="auto"/>
        </w:rPr>
        <w:t>Promptly after receipt by an indemnified party under this Section 1.10 of notice of the commencement of any action (including any governmental action) for which a party may be entitled to indemnification, such indemnified party will, if a claim in respect thereof is to be made against any indemnifying party under this Section 1.10, deliver to the indemnifying party a written notice of the commencement thereof and the indemnifying party shall have the right to participate in, and, to the extent the indemnifying party so desires, jointly with any other</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82" w:name="page183"/>
    <w:bookmarkEnd w:id="182"/>
    <w:p>
      <w:pPr>
        <w:ind w:right="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indemnifying party similarly noticed, to assume the defense thereof with counsel mutually satisfactory to the parties; provided, however, that an indemnified party (together with all other indemnified parties which may be represented without conflict by one counsel) shall have the right to retain one separate counsel, with the reasonable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proceeding. The failure to deliver written notice to the indemnifying party within a reasonable time of the commencement of any such action, if prejudicial to its ability to defend such action, shall relieve such indemnifying party of liability to the indemnified party under this Section 1.10 to the extent of such prejudice, but the omission so to deliver written notice to the indemnifying party will not relieve it of any liability that it may have to any indemnified party otherwise than under this Section 1.10.</w:t>
      </w:r>
    </w:p>
    <w:p>
      <w:pPr>
        <w:spacing w:after="0" w:line="70" w:lineRule="exact"/>
        <w:rPr>
          <w:sz w:val="20"/>
          <w:szCs w:val="20"/>
          <w:color w:val="auto"/>
        </w:rPr>
      </w:pPr>
    </w:p>
    <w:p>
      <w:pPr>
        <w:ind w:firstLine="987"/>
        <w:spacing w:after="0" w:line="269" w:lineRule="auto"/>
        <w:tabs>
          <w:tab w:leader="none" w:pos="1246" w:val="left"/>
        </w:tabs>
        <w:numPr>
          <w:ilvl w:val="0"/>
          <w:numId w:val="124"/>
        </w:numPr>
        <w:rPr>
          <w:rFonts w:ascii="Arial" w:cs="Arial" w:eastAsia="Arial" w:hAnsi="Arial"/>
          <w:sz w:val="17"/>
          <w:szCs w:val="17"/>
          <w:color w:val="auto"/>
        </w:rPr>
      </w:pPr>
      <w:r>
        <w:rPr>
          <w:rFonts w:ascii="Arial" w:cs="Arial" w:eastAsia="Arial" w:hAnsi="Arial"/>
          <w:sz w:val="17"/>
          <w:szCs w:val="17"/>
          <w:color w:val="auto"/>
        </w:rPr>
        <w:t>If the indemnification provided for in this Section 1.10 is held by a court of competent jurisdiction to be unavailable to an indemnified party with respect to any loss, liability, claim, damage or expense referred to herein, then the indemnifying party, in lieu of indemnifying such indemnified party hereunder, shall contribute to the amount paid or payable by such indemnified party as a result of such loss, liability, claim, damage, or expense in such proportion as is appropriate to reflect the relative fault of the indemnifying party on the one hand and of the indemnified party on the other in connection with the statements or omissions that resulted in such loss, liability, claim, damage or expense as well as any other relevant equitable considerations; provided that in no event shall any contribution by a Holder under this Subsection 1.10(d), when combined with the amounts paid or payable by such Holder pursuant to subsection 1.10(b), exceed the net proceeds from the offering received by such Holder, except in the case of willful fraud by such Holder. The relative fault of the indemnifying party and of the indemnified party shall be determined by reference to, among other things, whether the untrue or alleged untrue statement of a material fact or the omission or alleged omission to state a material fact relates to information supplied by the indemnifying party or by the indemnified party and the parties’ relative intent, knowledge, access to information, and opportunity to correct or prevent such statement or omission.</w:t>
      </w:r>
    </w:p>
    <w:p>
      <w:pPr>
        <w:spacing w:after="0" w:line="73" w:lineRule="exact"/>
        <w:rPr>
          <w:rFonts w:ascii="Arial" w:cs="Arial" w:eastAsia="Arial" w:hAnsi="Arial"/>
          <w:sz w:val="17"/>
          <w:szCs w:val="17"/>
          <w:color w:val="auto"/>
        </w:rPr>
      </w:pPr>
    </w:p>
    <w:p>
      <w:pPr>
        <w:ind w:right="380" w:firstLine="987"/>
        <w:spacing w:after="0" w:line="263" w:lineRule="auto"/>
        <w:tabs>
          <w:tab w:leader="none" w:pos="123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75" w:lineRule="exact"/>
        <w:rPr>
          <w:rFonts w:ascii="Arial" w:cs="Arial" w:eastAsia="Arial" w:hAnsi="Arial"/>
          <w:sz w:val="18"/>
          <w:szCs w:val="18"/>
          <w:color w:val="auto"/>
        </w:rPr>
      </w:pPr>
    </w:p>
    <w:p>
      <w:pPr>
        <w:ind w:right="560" w:firstLine="987"/>
        <w:spacing w:after="0" w:line="277" w:lineRule="auto"/>
        <w:tabs>
          <w:tab w:leader="none" w:pos="121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obligations of the Company and Holders under this Section 1.10 shall survive the completion of any offering of Registrable Securities in a registration statement under this Section 1, and otherwise.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4" w:right="479" w:bottom="1440" w:gutter="0" w:footer="0" w:header="0"/>
        </w:sectPr>
      </w:pPr>
    </w:p>
    <w:bookmarkStart w:id="183" w:name="page184"/>
    <w:bookmarkEnd w:id="183"/>
    <w:p>
      <w:pPr>
        <w:ind w:right="200" w:firstLine="44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1.11 </w:t>
      </w:r>
      <w:r>
        <w:rPr>
          <w:rFonts w:ascii="Arial" w:cs="Arial" w:eastAsia="Arial" w:hAnsi="Arial"/>
          <w:sz w:val="18"/>
          <w:szCs w:val="18"/>
          <w:b w:val="1"/>
          <w:bCs w:val="1"/>
          <w:u w:val="single" w:color="auto"/>
          <w:color w:val="auto"/>
        </w:rPr>
        <w:t>Reports Under the Exchange Act</w:t>
      </w:r>
      <w:r>
        <w:rPr>
          <w:rFonts w:ascii="Arial" w:cs="Arial" w:eastAsia="Arial" w:hAnsi="Arial"/>
          <w:sz w:val="18"/>
          <w:szCs w:val="18"/>
          <w:color w:val="auto"/>
        </w:rPr>
        <w:t>. With a view to making available to the Holders the benefits of Rule 144 promulgated under the Securities Act and any other rule or regulation of the SEC that may at any time permit a Holder to sell securities of the Company to the public without registration or pursuant to a registration on Form S-3, the Company agrees to:</w:t>
      </w:r>
    </w:p>
    <w:p>
      <w:pPr>
        <w:spacing w:after="0" w:line="72" w:lineRule="exact"/>
        <w:rPr>
          <w:sz w:val="20"/>
          <w:szCs w:val="20"/>
          <w:color w:val="auto"/>
        </w:rPr>
      </w:pPr>
    </w:p>
    <w:p>
      <w:pPr>
        <w:ind w:firstLine="987"/>
        <w:spacing w:after="0" w:line="263" w:lineRule="auto"/>
        <w:tabs>
          <w:tab w:leader="none" w:pos="123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make and keep public information available, as those terms are understood and defined in SEC Rule 144, at all times after 90 days after the effective date of the first registration statement filed by the Company for the offering of its securities to the general public so long as the Company remains subject to the periodic reporting requirements under Sections 13 or 15(d) of the Exchange Act;</w:t>
      </w:r>
    </w:p>
    <w:p>
      <w:pPr>
        <w:spacing w:after="0" w:line="75" w:lineRule="exact"/>
        <w:rPr>
          <w:rFonts w:ascii="Arial" w:cs="Arial" w:eastAsia="Arial" w:hAnsi="Arial"/>
          <w:sz w:val="18"/>
          <w:szCs w:val="18"/>
          <w:color w:val="auto"/>
        </w:rPr>
      </w:pPr>
    </w:p>
    <w:p>
      <w:pPr>
        <w:ind w:right="20" w:firstLine="987"/>
        <w:spacing w:after="0" w:line="311" w:lineRule="auto"/>
        <w:tabs>
          <w:tab w:leader="none" w:pos="1246"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take such action, including the voluntary registration of its Common Stock under Section 12 of the Exchange Act, as is necessary to enable the Holders to utilize Form S-3 for the sale of their Registrable Securities, such action to be taken as soon as practicable after the end of the fiscal year in which the first registration statement filed by the Company for the offering of its securities to the general public is declared effective;</w:t>
      </w:r>
    </w:p>
    <w:p>
      <w:pPr>
        <w:spacing w:after="0" w:line="40" w:lineRule="exact"/>
        <w:rPr>
          <w:rFonts w:ascii="Arial" w:cs="Arial" w:eastAsia="Arial" w:hAnsi="Arial"/>
          <w:sz w:val="16"/>
          <w:szCs w:val="16"/>
          <w:color w:val="auto"/>
        </w:rPr>
      </w:pPr>
    </w:p>
    <w:p>
      <w:pPr>
        <w:ind w:right="620" w:firstLine="987"/>
        <w:spacing w:after="0" w:line="277" w:lineRule="auto"/>
        <w:tabs>
          <w:tab w:leader="none" w:pos="123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file with the SEC in a timely manner all reports and other documents required of the Company under the Securities Act and the Exchange Act; and</w:t>
      </w:r>
    </w:p>
    <w:p>
      <w:pPr>
        <w:spacing w:after="0" w:line="62" w:lineRule="exact"/>
        <w:rPr>
          <w:rFonts w:ascii="Arial" w:cs="Arial" w:eastAsia="Arial" w:hAnsi="Arial"/>
          <w:sz w:val="18"/>
          <w:szCs w:val="18"/>
          <w:color w:val="auto"/>
        </w:rPr>
      </w:pPr>
    </w:p>
    <w:p>
      <w:pPr>
        <w:ind w:right="60" w:firstLine="987"/>
        <w:spacing w:after="0" w:line="254" w:lineRule="auto"/>
        <w:tabs>
          <w:tab w:leader="none" w:pos="124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furnish to any Holder, so long as the Holder owns any Registrable Securities, forthwith upon request (i) a written statement by the Company that it has complied with the reporting requirements of SEC Rule 144 (at any time after 90 days after the effective date of the first registration statement filed by the Company), the Securities Act and the Exchange Act (at any time after it has become subject to such reporting requirements), or that it qualifies as a registrant whose securities may be resold pursuant to Form S-3 (at any time after it so qualifies), (ii) a copy of the most recent annual or quarterly report of the Company and such other reports and documents so filed by the Company, and (iii) such other information as may be reasonably requested in availing any Holder of any rule or regulation of the SEC which permits the selling of any such securities without registration or pursuant to such form.</w:t>
      </w:r>
    </w:p>
    <w:p>
      <w:pPr>
        <w:spacing w:after="0" w:line="83"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b w:val="1"/>
          <w:bCs w:val="1"/>
          <w:u w:val="single" w:color="auto"/>
          <w:color w:val="auto"/>
        </w:rPr>
        <w:t>Assignment of Registration Rights</w:t>
      </w:r>
      <w:r>
        <w:rPr>
          <w:rFonts w:ascii="Arial" w:cs="Arial" w:eastAsia="Arial" w:hAnsi="Arial"/>
          <w:sz w:val="16"/>
          <w:szCs w:val="16"/>
          <w:color w:val="auto"/>
        </w:rPr>
        <w:t>. Subject to the restrictions set forth under Article X of the Company’s Bylaws, as the same may be amended from time to time (the “</w:t>
      </w:r>
      <w:r>
        <w:rPr>
          <w:rFonts w:ascii="Arial" w:cs="Arial" w:eastAsia="Arial" w:hAnsi="Arial"/>
          <w:sz w:val="16"/>
          <w:szCs w:val="16"/>
          <w:u w:val="single" w:color="auto"/>
          <w:color w:val="auto"/>
        </w:rPr>
        <w:t>Bylaws</w:t>
      </w:r>
      <w:r>
        <w:rPr>
          <w:rFonts w:ascii="Arial" w:cs="Arial" w:eastAsia="Arial" w:hAnsi="Arial"/>
          <w:sz w:val="16"/>
          <w:szCs w:val="16"/>
          <w:color w:val="auto"/>
        </w:rPr>
        <w:t>”), the rights to cause the Company to register Registrable Securities pursuant to this Section 1 may be assigned (but only with all related obligations) by a Holder to a transferee or assignee (a) of at least 50% of the transferring Holder’s aggregate Registrable Securities originally obtained from the Company (or if the transferring Holder then owns less than 50% of such originally acquired securities, then all remaining Registrable Securities then held by the transferring Holder), (b) that is a subsidiary, parent, partner, limited partner, retired partner, member, retired member or holder of capital stock of a Holder, (c) that is an affiliated fund or entity of the Holder, which means with respect to a limited liability company or a limited liability partnership, a fund or entity managed by the same manager or managing member or general partner or management company or by an entity controlling, controlled by, or under common control with such manager or managing member or general partner or management company (such a fund or entity, an “</w:t>
      </w:r>
      <w:r>
        <w:rPr>
          <w:rFonts w:ascii="Arial" w:cs="Arial" w:eastAsia="Arial" w:hAnsi="Arial"/>
          <w:sz w:val="16"/>
          <w:szCs w:val="16"/>
          <w:u w:val="single" w:color="auto"/>
          <w:color w:val="auto"/>
        </w:rPr>
        <w:t>Affiliated Fund</w:t>
      </w:r>
      <w:r>
        <w:rPr>
          <w:rFonts w:ascii="Arial" w:cs="Arial" w:eastAsia="Arial" w:hAnsi="Arial"/>
          <w:sz w:val="16"/>
          <w:szCs w:val="16"/>
          <w:color w:val="auto"/>
        </w:rPr>
        <w:t>”), (d) who is a Holder’s child, stepchild, grandchild, parent, stepparent, grandparent, spouse, sibling, mother-in-law, father-in-law, son-in-law, daughter-in-law, brother-in-law, or sister-in-law (such a relation, a Holder’s “</w:t>
      </w:r>
      <w:r>
        <w:rPr>
          <w:rFonts w:ascii="Arial" w:cs="Arial" w:eastAsia="Arial" w:hAnsi="Arial"/>
          <w:sz w:val="16"/>
          <w:szCs w:val="16"/>
          <w:u w:val="single" w:color="auto"/>
          <w:color w:val="auto"/>
        </w:rPr>
        <w:t>Immediate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0" w:right="459" w:bottom="1440" w:gutter="0" w:footer="0" w:header="0"/>
        </w:sectPr>
      </w:pPr>
    </w:p>
    <w:bookmarkStart w:id="184" w:name="page185"/>
    <w:bookmarkEnd w:id="184"/>
    <w:p>
      <w:pPr>
        <w:spacing w:after="0" w:line="288"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Family Member</w:t>
      </w:r>
      <w:r>
        <w:rPr>
          <w:rFonts w:ascii="Arial" w:cs="Arial" w:eastAsia="Arial" w:hAnsi="Arial"/>
          <w:sz w:val="16"/>
          <w:szCs w:val="16"/>
          <w:color w:val="auto"/>
        </w:rPr>
        <w:t>”, which term shall include adoptive relationships), or (e) that is a trust for the benefit of an individual Holder or such Holder’s Immediate Family Member, provided the Company is, within a reasonable time after such transfer, furnished with written notice of the name and address of such transferee or assignee and the securities with respect to which such registration rights are being assigned; and provided, further, that such assignment shall be effective only if the transferee agrees to be bound by this Agreement and immediately following such transfer the further disposition of such securities by the transferee or assignee is restricted under the Securities Act. For the purposes of determining the number of shares of Registrable Securities held by a transferee or assignee, the holdings of transferees and assignees of (i) a partnership who are partners or retired partners of such partnership or (ii) a limited liability company who are members or retired members of such limited liability company (including Immediate Family Members of such partners or members who acquire Registrable Securities by gift, will or intestate succession) shall be aggregated together and with the partnership or limited liability company; provided that all assignees and transferees who would not qualify individually for assignment of registration rights shall have a single attorney-in-fact for the purpose of exercising any rights, receiving notices or taking any action under Section 1.</w:t>
      </w:r>
    </w:p>
    <w:p>
      <w:pPr>
        <w:spacing w:after="0" w:line="56" w:lineRule="exact"/>
        <w:rPr>
          <w:sz w:val="20"/>
          <w:szCs w:val="20"/>
          <w:color w:val="auto"/>
        </w:rPr>
      </w:pPr>
    </w:p>
    <w:p>
      <w:pPr>
        <w:ind w:right="40" w:firstLine="440"/>
        <w:spacing w:after="0" w:line="294" w:lineRule="auto"/>
        <w:rPr>
          <w:sz w:val="20"/>
          <w:szCs w:val="20"/>
          <w:color w:val="auto"/>
        </w:rPr>
      </w:pPr>
      <w:r>
        <w:rPr>
          <w:rFonts w:ascii="Arial" w:cs="Arial" w:eastAsia="Arial" w:hAnsi="Arial"/>
          <w:sz w:val="16"/>
          <w:szCs w:val="16"/>
          <w:color w:val="auto"/>
        </w:rPr>
        <w:t xml:space="preserve">1.13 </w:t>
      </w:r>
      <w:r>
        <w:rPr>
          <w:rFonts w:ascii="Arial" w:cs="Arial" w:eastAsia="Arial" w:hAnsi="Arial"/>
          <w:sz w:val="16"/>
          <w:szCs w:val="16"/>
          <w:b w:val="1"/>
          <w:bCs w:val="1"/>
          <w:u w:val="single" w:color="auto"/>
          <w:color w:val="auto"/>
        </w:rPr>
        <w:t>Limitations on Subsequent Registration Rights</w:t>
      </w:r>
      <w:r>
        <w:rPr>
          <w:rFonts w:ascii="Arial" w:cs="Arial" w:eastAsia="Arial" w:hAnsi="Arial"/>
          <w:sz w:val="16"/>
          <w:szCs w:val="16"/>
          <w:color w:val="auto"/>
        </w:rPr>
        <w:t>. From and after the date of this Agreement, the Company shall not, without the prior written consent of the holders of at least a majority of the then-outstanding shares of Common Stock issuable or issued upon conversion of the Preferred Stock, enter into any agreement with any holder or prospective holder of any securities of the Company which would allow such holder or prospective holder (a) to include such securities in any registration filed under Section 1.2, Section 1.3 or Section 1.4 hereof, unless under the terms of such agreement, such holder or prospective holder may include such securities in any such registration only to the extent that the inclusion of such securities will not reduce the amount of the Registrable Securities of the Holders which is included or (b) to make a demand registration.</w:t>
      </w:r>
    </w:p>
    <w:p>
      <w:pPr>
        <w:spacing w:after="0" w:line="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b w:val="1"/>
          <w:bCs w:val="1"/>
          <w:u w:val="single" w:color="auto"/>
          <w:color w:val="auto"/>
        </w:rPr>
        <w:t>Lock-Up Agreement</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91" w:lineRule="auto"/>
        <w:tabs>
          <w:tab w:leader="none" w:pos="1236" w:val="left"/>
        </w:tabs>
        <w:numPr>
          <w:ilvl w:val="0"/>
          <w:numId w:val="126"/>
        </w:numPr>
        <w:rPr>
          <w:rFonts w:ascii="Arial" w:cs="Arial" w:eastAsia="Arial" w:hAnsi="Arial"/>
          <w:sz w:val="16"/>
          <w:szCs w:val="16"/>
          <w:color w:val="auto"/>
        </w:rPr>
      </w:pPr>
      <w:r>
        <w:rPr>
          <w:rFonts w:ascii="Arial" w:cs="Arial" w:eastAsia="Arial" w:hAnsi="Arial"/>
          <w:sz w:val="16"/>
          <w:szCs w:val="16"/>
          <w:b w:val="1"/>
          <w:bCs w:val="1"/>
          <w:u w:val="single" w:color="auto"/>
          <w:color w:val="auto"/>
        </w:rPr>
        <w:t>Lock-Up Period; Agreement</w:t>
      </w:r>
      <w:r>
        <w:rPr>
          <w:rFonts w:ascii="Arial" w:cs="Arial" w:eastAsia="Arial" w:hAnsi="Arial"/>
          <w:sz w:val="16"/>
          <w:szCs w:val="16"/>
          <w:color w:val="auto"/>
        </w:rPr>
        <w:t>. In connection with the initial public offering of the Company’s securities and upon request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or the underwriters managing such offering of the Company’s securities, each Holder hereby agrees not to sell, make any short sale of, loan, grant any option for the purchase of, or otherwise dispose of any securities of the Company (other than those included in the registration) held immediately prior to the effectiveness of the registration statement for such offering without the prior written consent of the Company or such underwriters, as the case may be, for such period of time (not to exceed 180 days) from the effective date of such registration as may be requested by the Company or such managing underwriters and to execute an agreement reflecting the foregoing as may be requested by the underwriters at the time of the Company’s initial public offering. Any discretionary waiver or termination of the restrictions of any or all of such agreements by the Company or the underwriters shall apply to all Holders subject to such agreements pro rata based on the number of shares subject to such agreements.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185" w:name="page186"/>
    <w:bookmarkEnd w:id="185"/>
    <w:p>
      <w:pPr>
        <w:ind w:left="4" w:right="100" w:firstLine="987"/>
        <w:spacing w:after="0" w:line="266" w:lineRule="auto"/>
        <w:tabs>
          <w:tab w:leader="none" w:pos="1250" w:val="left"/>
        </w:tabs>
        <w:numPr>
          <w:ilvl w:val="0"/>
          <w:numId w:val="127"/>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Limitations</w:t>
      </w:r>
      <w:r>
        <w:rPr>
          <w:rFonts w:ascii="Arial" w:cs="Arial" w:eastAsia="Arial" w:hAnsi="Arial"/>
          <w:sz w:val="18"/>
          <w:szCs w:val="18"/>
          <w:color w:val="auto"/>
        </w:rPr>
        <w:t>. The obligations described in Section 1.14(a) shall apply only if all officers, directors and 1% securityholders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enter into similar agreements, and shall not apply to a registration relating solely to employee benefit plans, or to a registration relating solely to a transaction pursuant to Rule 145 under the Securities Act.</w:t>
      </w:r>
    </w:p>
    <w:p>
      <w:pPr>
        <w:spacing w:after="0" w:line="67" w:lineRule="exact"/>
        <w:rPr>
          <w:rFonts w:ascii="Arial" w:cs="Arial" w:eastAsia="Arial" w:hAnsi="Arial"/>
          <w:sz w:val="18"/>
          <w:szCs w:val="18"/>
          <w:color w:val="auto"/>
        </w:rPr>
      </w:pPr>
    </w:p>
    <w:p>
      <w:pPr>
        <w:ind w:left="4" w:right="360" w:firstLine="987"/>
        <w:spacing w:after="0" w:line="347" w:lineRule="auto"/>
        <w:tabs>
          <w:tab w:leader="none" w:pos="1240" w:val="left"/>
        </w:tabs>
        <w:numPr>
          <w:ilvl w:val="0"/>
          <w:numId w:val="127"/>
        </w:numPr>
        <w:rPr>
          <w:rFonts w:ascii="Arial" w:cs="Arial" w:eastAsia="Arial" w:hAnsi="Arial"/>
          <w:sz w:val="16"/>
          <w:szCs w:val="16"/>
          <w:color w:val="auto"/>
        </w:rPr>
      </w:pPr>
      <w:r>
        <w:rPr>
          <w:rFonts w:ascii="Arial" w:cs="Arial" w:eastAsia="Arial" w:hAnsi="Arial"/>
          <w:sz w:val="16"/>
          <w:szCs w:val="16"/>
          <w:b w:val="1"/>
          <w:bCs w:val="1"/>
          <w:u w:val="single" w:color="auto"/>
          <w:color w:val="auto"/>
        </w:rPr>
        <w:t>Stop-Transfer Instructions</w:t>
      </w:r>
      <w:r>
        <w:rPr>
          <w:rFonts w:ascii="Arial" w:cs="Arial" w:eastAsia="Arial" w:hAnsi="Arial"/>
          <w:sz w:val="16"/>
          <w:szCs w:val="16"/>
          <w:color w:val="auto"/>
        </w:rPr>
        <w:t>. In order to enforce the foregoing covenants, the Company may impose stop-transfer instructions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to the securities of each Holder (and the securities of every other person subject to the restrictions in Section 1.14(a)).</w:t>
      </w:r>
    </w:p>
    <w:p>
      <w:pPr>
        <w:spacing w:after="0" w:line="7" w:lineRule="exact"/>
        <w:rPr>
          <w:rFonts w:ascii="Arial" w:cs="Arial" w:eastAsia="Arial" w:hAnsi="Arial"/>
          <w:sz w:val="16"/>
          <w:szCs w:val="16"/>
          <w:color w:val="auto"/>
        </w:rPr>
      </w:pPr>
    </w:p>
    <w:p>
      <w:pPr>
        <w:jc w:val="both"/>
        <w:ind w:left="4" w:right="180" w:firstLine="987"/>
        <w:spacing w:after="0" w:line="266" w:lineRule="auto"/>
        <w:tabs>
          <w:tab w:leader="none" w:pos="1250" w:val="left"/>
        </w:tabs>
        <w:numPr>
          <w:ilvl w:val="0"/>
          <w:numId w:val="127"/>
        </w:numPr>
        <w:rPr>
          <w:rFonts w:ascii="Arial" w:cs="Arial" w:eastAsia="Arial" w:hAnsi="Arial"/>
          <w:sz w:val="18"/>
          <w:szCs w:val="18"/>
          <w:color w:val="auto"/>
        </w:rPr>
      </w:pPr>
      <w:r>
        <w:rPr>
          <w:rFonts w:ascii="Arial" w:cs="Arial" w:eastAsia="Arial" w:hAnsi="Arial"/>
          <w:sz w:val="18"/>
          <w:szCs w:val="18"/>
          <w:b w:val="1"/>
          <w:bCs w:val="1"/>
          <w:u w:val="single" w:color="auto"/>
          <w:color w:val="auto"/>
        </w:rPr>
        <w:t>Transferees Bound</w:t>
      </w:r>
      <w:r>
        <w:rPr>
          <w:rFonts w:ascii="Arial" w:cs="Arial" w:eastAsia="Arial" w:hAnsi="Arial"/>
          <w:sz w:val="18"/>
          <w:szCs w:val="18"/>
          <w:color w:val="auto"/>
        </w:rPr>
        <w:t>. Each Holder agrees that it will not transfer securities of the Company unless each transferee agrees in writing to</w:t>
      </w:r>
      <w:r>
        <w:rPr>
          <w:rFonts w:ascii="Arial" w:cs="Arial" w:eastAsia="Arial" w:hAnsi="Arial"/>
          <w:sz w:val="18"/>
          <w:szCs w:val="18"/>
          <w:b w:val="1"/>
          <w:bCs w:val="1"/>
          <w:color w:val="auto"/>
        </w:rPr>
        <w:t xml:space="preserve"> </w:t>
      </w:r>
      <w:r>
        <w:rPr>
          <w:rFonts w:ascii="Arial" w:cs="Arial" w:eastAsia="Arial" w:hAnsi="Arial"/>
          <w:sz w:val="18"/>
          <w:szCs w:val="18"/>
          <w:color w:val="auto"/>
        </w:rPr>
        <w:t>be bound by all of the provisions of this Section 1.14; provided that this Section 1.14(d) shall not apply to transfers pursuant to a registration statement or transfers after the expiration date of the restricted period described in Section 1.14(a).</w:t>
      </w:r>
    </w:p>
    <w:p>
      <w:pPr>
        <w:spacing w:after="0" w:line="68" w:lineRule="exact"/>
        <w:rPr>
          <w:sz w:val="20"/>
          <w:szCs w:val="20"/>
          <w:color w:val="auto"/>
        </w:rPr>
      </w:pPr>
    </w:p>
    <w:p>
      <w:pPr>
        <w:ind w:left="444"/>
        <w:spacing w:after="0"/>
        <w:rPr>
          <w:sz w:val="20"/>
          <w:szCs w:val="20"/>
          <w:color w:val="auto"/>
        </w:rPr>
      </w:pPr>
      <w:r>
        <w:rPr>
          <w:rFonts w:ascii="Arial" w:cs="Arial" w:eastAsia="Arial" w:hAnsi="Arial"/>
          <w:sz w:val="16"/>
          <w:szCs w:val="16"/>
          <w:color w:val="auto"/>
        </w:rPr>
        <w:t xml:space="preserve">1.15 </w:t>
      </w:r>
      <w:r>
        <w:rPr>
          <w:rFonts w:ascii="Arial" w:cs="Arial" w:eastAsia="Arial" w:hAnsi="Arial"/>
          <w:sz w:val="16"/>
          <w:szCs w:val="16"/>
          <w:b w:val="1"/>
          <w:bCs w:val="1"/>
          <w:u w:val="single" w:color="auto"/>
          <w:color w:val="auto"/>
        </w:rPr>
        <w:t>Termination of Registration Rights</w:t>
      </w:r>
      <w:r>
        <w:rPr>
          <w:rFonts w:ascii="Arial" w:cs="Arial" w:eastAsia="Arial" w:hAnsi="Arial"/>
          <w:sz w:val="16"/>
          <w:szCs w:val="16"/>
          <w:color w:val="auto"/>
        </w:rPr>
        <w:t>. No Holder shall be entitled to exercise any right provided for in this Section 1.15 after the earlier of</w:t>
      </w:r>
    </w:p>
    <w:p>
      <w:pPr>
        <w:spacing w:after="0" w:line="50" w:lineRule="exact"/>
        <w:rPr>
          <w:sz w:val="20"/>
          <w:szCs w:val="20"/>
          <w:color w:val="auto"/>
        </w:rPr>
      </w:pPr>
    </w:p>
    <w:p>
      <w:pPr>
        <w:ind w:left="4" w:hanging="4"/>
        <w:spacing w:after="0" w:line="255" w:lineRule="auto"/>
        <w:tabs>
          <w:tab w:leader="none" w:pos="249" w:val="left"/>
        </w:tabs>
        <w:numPr>
          <w:ilvl w:val="0"/>
          <w:numId w:val="128"/>
        </w:numPr>
        <w:rPr>
          <w:rFonts w:ascii="Arial" w:cs="Arial" w:eastAsia="Arial" w:hAnsi="Arial"/>
          <w:sz w:val="18"/>
          <w:szCs w:val="18"/>
          <w:color w:val="auto"/>
        </w:rPr>
      </w:pPr>
      <w:r>
        <w:rPr>
          <w:rFonts w:ascii="Arial" w:cs="Arial" w:eastAsia="Arial" w:hAnsi="Arial"/>
          <w:sz w:val="18"/>
          <w:szCs w:val="18"/>
          <w:color w:val="auto"/>
        </w:rPr>
        <w:t>five years following the consummation of a Qualified IPO, (b) such time as Rule 144 or another similar exemption under the Securities Act is available for the sale of all of such Holder’s shares during a 90-day period without registration, or (c) upon termination of this Agreement, as provided in Section 3.</w:t>
      </w:r>
    </w:p>
    <w:p>
      <w:pPr>
        <w:spacing w:after="0" w:line="186" w:lineRule="exact"/>
        <w:rPr>
          <w:sz w:val="20"/>
          <w:szCs w:val="20"/>
          <w:color w:val="auto"/>
        </w:rPr>
      </w:pPr>
    </w:p>
    <w:p>
      <w:pPr>
        <w:ind w:left="184" w:hanging="184"/>
        <w:spacing w:after="0"/>
        <w:tabs>
          <w:tab w:leader="none" w:pos="184" w:val="left"/>
        </w:tabs>
        <w:numPr>
          <w:ilvl w:val="0"/>
          <w:numId w:val="129"/>
        </w:numPr>
        <w:rPr>
          <w:rFonts w:ascii="Arial" w:cs="Arial" w:eastAsia="Arial" w:hAnsi="Arial"/>
          <w:sz w:val="18"/>
          <w:szCs w:val="18"/>
          <w:color w:val="auto"/>
        </w:rPr>
      </w:pPr>
      <w:r>
        <w:rPr>
          <w:rFonts w:ascii="Arial" w:cs="Arial" w:eastAsia="Arial" w:hAnsi="Arial"/>
          <w:sz w:val="18"/>
          <w:szCs w:val="18"/>
          <w:b w:val="1"/>
          <w:bCs w:val="1"/>
          <w:u w:val="single" w:color="auto"/>
          <w:color w:val="auto"/>
        </w:rPr>
        <w:t>Covenants of the Company</w:t>
      </w:r>
      <w:r>
        <w:rPr>
          <w:rFonts w:ascii="Arial" w:cs="Arial" w:eastAsia="Arial" w:hAnsi="Arial"/>
          <w:sz w:val="18"/>
          <w:szCs w:val="18"/>
          <w:color w:val="auto"/>
        </w:rPr>
        <w:t>.</w:t>
      </w:r>
    </w:p>
    <w:p>
      <w:pPr>
        <w:spacing w:after="0" w:line="117" w:lineRule="exact"/>
        <w:rPr>
          <w:sz w:val="20"/>
          <w:szCs w:val="20"/>
          <w:color w:val="auto"/>
        </w:rPr>
      </w:pPr>
    </w:p>
    <w:p>
      <w:pPr>
        <w:jc w:val="both"/>
        <w:ind w:left="4" w:right="280" w:firstLine="440"/>
        <w:spacing w:after="0" w:line="266"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u w:val="single" w:color="auto"/>
          <w:color w:val="auto"/>
        </w:rPr>
        <w:t>Delivery of Financial Statements</w:t>
      </w:r>
      <w:r>
        <w:rPr>
          <w:rFonts w:ascii="Arial" w:cs="Arial" w:eastAsia="Arial" w:hAnsi="Arial"/>
          <w:sz w:val="18"/>
          <w:szCs w:val="18"/>
          <w:color w:val="auto"/>
        </w:rPr>
        <w:t>. Upon the request by a Major Investor (as hereinafter defined), the Company shall deliver to each Major Investor (other than a Major Investor reasonably deemed by the Company to be a competitor of the Company; provided however that venture capital firms shall not be considered competitors of the Company):</w:t>
      </w:r>
    </w:p>
    <w:p>
      <w:pPr>
        <w:spacing w:after="0" w:line="72" w:lineRule="exact"/>
        <w:rPr>
          <w:sz w:val="20"/>
          <w:szCs w:val="20"/>
          <w:color w:val="auto"/>
        </w:rPr>
      </w:pPr>
    </w:p>
    <w:p>
      <w:pPr>
        <w:ind w:left="4" w:right="40" w:firstLine="987"/>
        <w:spacing w:after="0" w:line="257" w:lineRule="auto"/>
        <w:tabs>
          <w:tab w:leader="none" w:pos="12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as soon as practicable, but in any event within 120 days after the end of each fiscal year of the Company, an income statement for such fiscal year, a balance sheet of the Company and statement of stockholders’ equity as of the end of such year, and a statement of cash flows for such year, such year-end financial reports to be in reasonable detail, prepared in accordance with generally accepted accounting principles (“</w:t>
      </w:r>
      <w:r>
        <w:rPr>
          <w:rFonts w:ascii="Arial" w:cs="Arial" w:eastAsia="Arial" w:hAnsi="Arial"/>
          <w:sz w:val="18"/>
          <w:szCs w:val="18"/>
          <w:u w:val="single" w:color="auto"/>
          <w:color w:val="auto"/>
        </w:rPr>
        <w:t>GAAP</w:t>
      </w:r>
      <w:r>
        <w:rPr>
          <w:rFonts w:ascii="Arial" w:cs="Arial" w:eastAsia="Arial" w:hAnsi="Arial"/>
          <w:sz w:val="18"/>
          <w:szCs w:val="18"/>
          <w:color w:val="auto"/>
        </w:rPr>
        <w:t>”), and, as and to the extent otherwise required by the Company’s Board of Directors, audited and certified by an independent public accounting firm of nationally recognized standing selected by the Company;</w:t>
      </w:r>
    </w:p>
    <w:p>
      <w:pPr>
        <w:spacing w:after="0" w:line="79" w:lineRule="exact"/>
        <w:rPr>
          <w:rFonts w:ascii="Arial" w:cs="Arial" w:eastAsia="Arial" w:hAnsi="Arial"/>
          <w:sz w:val="18"/>
          <w:szCs w:val="18"/>
          <w:color w:val="auto"/>
        </w:rPr>
      </w:pPr>
    </w:p>
    <w:p>
      <w:pPr>
        <w:ind w:left="4" w:right="280" w:firstLine="987"/>
        <w:spacing w:after="0" w:line="263" w:lineRule="auto"/>
        <w:tabs>
          <w:tab w:leader="none" w:pos="125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as soon as practicable, but in any event within 45 days after the end of each of the first three quarters of each fiscal year of the Company, an unaudited profit or loss statement, a statement of cash flows for such fiscal quarter and an unaudited balance sheet as of the end of such fiscal quarter;</w:t>
      </w:r>
    </w:p>
    <w:p>
      <w:pPr>
        <w:spacing w:after="0" w:line="75" w:lineRule="exact"/>
        <w:rPr>
          <w:rFonts w:ascii="Arial" w:cs="Arial" w:eastAsia="Arial" w:hAnsi="Arial"/>
          <w:sz w:val="18"/>
          <w:szCs w:val="18"/>
          <w:color w:val="auto"/>
        </w:rPr>
      </w:pPr>
    </w:p>
    <w:p>
      <w:pPr>
        <w:ind w:left="4" w:right="140" w:firstLine="987"/>
        <w:spacing w:after="0" w:line="277" w:lineRule="auto"/>
        <w:tabs>
          <w:tab w:leader="none" w:pos="12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within 30 days of the end of each month, an unaudited income statement and a statement of cash flows and balance sheet for and as of the end of such month, in reasonable detail;</w:t>
      </w:r>
    </w:p>
    <w:p>
      <w:pPr>
        <w:spacing w:after="0" w:line="62" w:lineRule="exact"/>
        <w:rPr>
          <w:rFonts w:ascii="Arial" w:cs="Arial" w:eastAsia="Arial" w:hAnsi="Arial"/>
          <w:sz w:val="18"/>
          <w:szCs w:val="18"/>
          <w:color w:val="auto"/>
        </w:rPr>
      </w:pPr>
    </w:p>
    <w:p>
      <w:pPr>
        <w:jc w:val="both"/>
        <w:ind w:left="4" w:right="100" w:firstLine="987"/>
        <w:spacing w:after="0" w:line="311" w:lineRule="auto"/>
        <w:tabs>
          <w:tab w:leader="none" w:pos="125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as soon as practicable, but in any event 60 days prior to the end of each fiscal year, a budget and business plan for the next fiscal year, prepared on a monthly basis, an updated list of all stockholders of the Company that includes the name of each stockholder and the number and class of shares held by each stockholder, and, as soon as prepared, any other budgets or revised budgets prepared by the Company;</w:t>
      </w:r>
    </w:p>
    <w:p>
      <w:pPr>
        <w:spacing w:after="0" w:line="8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4"/>
          </w:cols>
          <w:pgMar w:left="436" w:top="270" w:right="439" w:bottom="1440" w:gutter="0" w:footer="0" w:header="0"/>
        </w:sectPr>
      </w:pPr>
    </w:p>
    <w:bookmarkStart w:id="186" w:name="page187"/>
    <w:bookmarkEnd w:id="186"/>
    <w:p>
      <w:pPr>
        <w:ind w:right="700" w:firstLine="987"/>
        <w:spacing w:after="0" w:line="308" w:lineRule="auto"/>
        <w:tabs>
          <w:tab w:leader="none" w:pos="1236" w:val="left"/>
        </w:tabs>
        <w:numPr>
          <w:ilvl w:val="0"/>
          <w:numId w:val="13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promptly following the end of each fiscal quarter of each fiscal year of the Company, an updated list of all stockholders of the Company that includes the name of each stockholder and the number and class of shares held by each stockholder; and</w:t>
      </w:r>
    </w:p>
    <w:p>
      <w:pPr>
        <w:spacing w:after="0" w:line="38" w:lineRule="exact"/>
        <w:rPr>
          <w:rFonts w:ascii="Arial" w:cs="Arial" w:eastAsia="Arial" w:hAnsi="Arial"/>
          <w:sz w:val="17"/>
          <w:szCs w:val="17"/>
          <w:color w:val="auto"/>
        </w:rPr>
      </w:pPr>
    </w:p>
    <w:p>
      <w:pPr>
        <w:ind w:right="60" w:firstLine="987"/>
        <w:spacing w:after="0" w:line="296" w:lineRule="auto"/>
        <w:tabs>
          <w:tab w:leader="none" w:pos="1216" w:val="left"/>
        </w:tabs>
        <w:numPr>
          <w:ilvl w:val="0"/>
          <w:numId w:val="131"/>
        </w:numPr>
        <w:rPr>
          <w:rFonts w:ascii="Arial" w:cs="Arial" w:eastAsia="Arial" w:hAnsi="Arial"/>
          <w:sz w:val="16"/>
          <w:szCs w:val="16"/>
          <w:color w:val="auto"/>
        </w:rPr>
      </w:pPr>
      <w:r>
        <w:rPr>
          <w:rFonts w:ascii="Arial" w:cs="Arial" w:eastAsia="Arial" w:hAnsi="Arial"/>
          <w:sz w:val="16"/>
          <w:szCs w:val="16"/>
          <w:color w:val="auto"/>
        </w:rPr>
        <w:t>with respect to any unaudited financial statements called for in this Section 2.1, an instrument executed by the Chief Financial Officer or President of the Company and certifying that such financials were prepared in accordance with GAAP consistently applied with prior practice for earlier periods (with the exception of footnotes that may be required by GAAP) and fairly present the financial condition of the Company and its results of operation for the period specified, subject to year-end audit adjustment, provided that the foregoing shall not restrict the right of the Company to change its accounting principles consistent with GAAP, if the Board of Directors determines that it is in the best interest of the Company to do so.</w:t>
      </w:r>
    </w:p>
    <w:p>
      <w:pPr>
        <w:spacing w:after="0" w:line="16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Notwithstanding anything else in this Section 2.1 to the contrary, the Company may cease providing the information set forth in this Section 2.1 during the period starting with the date 60 days before the Company’s good-faith estimate of the date of filing of a registration statement if it reasonably concludes it must do so to comply with the SEC rules applicable to such registration statement and related offering; provided that the Company’s covenants under this Section 2.1 shall be reinstated at such time as the Company is no longer actively employing its commercially reasonable efforts to cause such registration statement to become effective.</w:t>
      </w:r>
    </w:p>
    <w:p>
      <w:pPr>
        <w:spacing w:after="0" w:line="76" w:lineRule="exact"/>
        <w:rPr>
          <w:sz w:val="20"/>
          <w:szCs w:val="20"/>
          <w:color w:val="auto"/>
        </w:rPr>
      </w:pPr>
    </w:p>
    <w:p>
      <w:pPr>
        <w:ind w:right="60" w:firstLine="440"/>
        <w:spacing w:after="0" w:line="256"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u w:val="single" w:color="auto"/>
          <w:color w:val="auto"/>
        </w:rPr>
        <w:t>Inspection</w:t>
      </w:r>
      <w:r>
        <w:rPr>
          <w:rFonts w:ascii="Arial" w:cs="Arial" w:eastAsia="Arial" w:hAnsi="Arial"/>
          <w:sz w:val="18"/>
          <w:szCs w:val="18"/>
          <w:color w:val="auto"/>
        </w:rPr>
        <w:t>. The Company shall permit each Major Investor (except for a Major Investor reasonably deemed by the Company to be a competitor of the Company; provided however that venture capital firms shall not be considered competitors of the Company), at such Major Investor’s expense, to visit and inspect the Company’s properties, to examine its books of account and records and to discuss the Company’s affairs, finances and accounts with its officers, all at such reasonable times as may be requested by the Major Investor; provided, however, that the Company shall not be obligated pursuant to this Section 2.2 to provide access to any information which it reasonably considers to be privileged or a trade secret or similar confidential information.</w:t>
      </w:r>
    </w:p>
    <w:p>
      <w:pPr>
        <w:spacing w:after="0" w:line="79"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b w:val="1"/>
          <w:bCs w:val="1"/>
          <w:u w:val="single" w:color="auto"/>
          <w:color w:val="auto"/>
        </w:rPr>
        <w:t>Right of First Offer</w:t>
      </w:r>
      <w:r>
        <w:rPr>
          <w:rFonts w:ascii="Arial" w:cs="Arial" w:eastAsia="Arial" w:hAnsi="Arial"/>
          <w:sz w:val="17"/>
          <w:szCs w:val="17"/>
          <w:color w:val="auto"/>
        </w:rPr>
        <w:t>. Subject to the terms and conditions specified in this Section 2.3, the Company hereby grants to each Major Investor a right of first offer with respect to future sales by the Company of its Shares (as hereinafter defined). For purposes of this Agreement, a “</w:t>
      </w:r>
      <w:r>
        <w:rPr>
          <w:rFonts w:ascii="Arial" w:cs="Arial" w:eastAsia="Arial" w:hAnsi="Arial"/>
          <w:sz w:val="17"/>
          <w:szCs w:val="17"/>
          <w:u w:val="single" w:color="auto"/>
          <w:color w:val="auto"/>
        </w:rPr>
        <w:t>Major Investor</w:t>
      </w:r>
      <w:r>
        <w:rPr>
          <w:rFonts w:ascii="Arial" w:cs="Arial" w:eastAsia="Arial" w:hAnsi="Arial"/>
          <w:sz w:val="17"/>
          <w:szCs w:val="17"/>
          <w:color w:val="auto"/>
        </w:rPr>
        <w:t>” shall mean any Investor (or its permitted transferees and assigns) who holds (i) at least 5,000,000 shares (subject to adjustment for stock splits, stock dividends, reclassifications or the like) of Registrable Securities or (ii) 468,818 shares (subject to adjustment for stock splits, stock dividends, reclassifications or the like) of Common Stock issued or issuable upon conversion of Series C Preferred Stock. For purposes of this Section 2.3, the term “</w:t>
      </w:r>
      <w:r>
        <w:rPr>
          <w:rFonts w:ascii="Arial" w:cs="Arial" w:eastAsia="Arial" w:hAnsi="Arial"/>
          <w:sz w:val="17"/>
          <w:szCs w:val="17"/>
          <w:u w:val="single" w:color="auto"/>
          <w:color w:val="auto"/>
        </w:rPr>
        <w:t>Major Investor</w:t>
      </w:r>
      <w:r>
        <w:rPr>
          <w:rFonts w:ascii="Arial" w:cs="Arial" w:eastAsia="Arial" w:hAnsi="Arial"/>
          <w:sz w:val="17"/>
          <w:szCs w:val="17"/>
          <w:color w:val="auto"/>
        </w:rPr>
        <w:t>” includes any general partners, managing members and Affiliates of a person that is otherwise a Major Investor, including Affiliate funds. A Major Investor who chooses to exercise the right of first offer may designate as purchasers under such right itself or its partners or affiliates, including Affiliate funds, in such proportions as it deems appropriate. Each time the Company proposes to offer any shares of, or securities exchangeable for, convertible into or exercisable for any shares of, any class of its capital stock (“</w:t>
      </w:r>
      <w:r>
        <w:rPr>
          <w:rFonts w:ascii="Arial" w:cs="Arial" w:eastAsia="Arial" w:hAnsi="Arial"/>
          <w:sz w:val="17"/>
          <w:szCs w:val="17"/>
          <w:u w:val="single" w:color="auto"/>
          <w:color w:val="auto"/>
        </w:rPr>
        <w:t>Shares</w:t>
      </w:r>
      <w:r>
        <w:rPr>
          <w:rFonts w:ascii="Arial" w:cs="Arial" w:eastAsia="Arial" w:hAnsi="Arial"/>
          <w:sz w:val="17"/>
          <w:szCs w:val="17"/>
          <w:color w:val="auto"/>
        </w:rPr>
        <w:t>”), the Company shall first make an offering of such Shares to each Major Investor in accordance with the following provisions: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4" w:right="479" w:bottom="1440" w:gutter="0" w:footer="0" w:header="0"/>
        </w:sectPr>
      </w:pPr>
    </w:p>
    <w:bookmarkStart w:id="187" w:name="page188"/>
    <w:bookmarkEnd w:id="187"/>
    <w:p>
      <w:pPr>
        <w:ind w:left="1244" w:hanging="253"/>
        <w:spacing w:after="0"/>
        <w:tabs>
          <w:tab w:leader="none" w:pos="1244" w:val="left"/>
        </w:tabs>
        <w:numPr>
          <w:ilvl w:val="1"/>
          <w:numId w:val="13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Company shall deliver a notice (the “</w:t>
      </w:r>
      <w:r>
        <w:rPr>
          <w:rFonts w:ascii="Arial" w:cs="Arial" w:eastAsia="Arial" w:hAnsi="Arial"/>
          <w:sz w:val="16"/>
          <w:szCs w:val="16"/>
          <w:u w:val="single" w:color="auto"/>
          <w:color w:val="auto"/>
        </w:rPr>
        <w:t>RFO Notice</w:t>
      </w:r>
      <w:r>
        <w:rPr>
          <w:rFonts w:ascii="Arial" w:cs="Arial" w:eastAsia="Arial" w:hAnsi="Arial"/>
          <w:sz w:val="16"/>
          <w:szCs w:val="16"/>
          <w:color w:val="auto"/>
        </w:rPr>
        <w:t>”) to the Major Investors stating (i) its bona fide intention to offer such Shares,</w:t>
      </w:r>
    </w:p>
    <w:p>
      <w:pPr>
        <w:spacing w:after="0" w:line="46" w:lineRule="exact"/>
        <w:rPr>
          <w:rFonts w:ascii="Arial" w:cs="Arial" w:eastAsia="Arial" w:hAnsi="Arial"/>
          <w:sz w:val="16"/>
          <w:szCs w:val="16"/>
          <w:color w:val="auto"/>
        </w:rPr>
      </w:pPr>
    </w:p>
    <w:p>
      <w:pPr>
        <w:ind w:left="264" w:hanging="264"/>
        <w:spacing w:after="0"/>
        <w:tabs>
          <w:tab w:leader="none" w:pos="264"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number of such Shares to be offered, and (iii) the price and terms, if any, upon which it proposes to offer such Shares.</w:t>
      </w:r>
    </w:p>
    <w:p>
      <w:pPr>
        <w:spacing w:after="0" w:line="102" w:lineRule="exact"/>
        <w:rPr>
          <w:rFonts w:ascii="Arial" w:cs="Arial" w:eastAsia="Arial" w:hAnsi="Arial"/>
          <w:sz w:val="18"/>
          <w:szCs w:val="18"/>
          <w:color w:val="auto"/>
        </w:rPr>
      </w:pPr>
    </w:p>
    <w:p>
      <w:pPr>
        <w:ind w:left="4" w:right="20" w:firstLine="987"/>
        <w:spacing w:after="0" w:line="287" w:lineRule="auto"/>
        <w:tabs>
          <w:tab w:leader="none" w:pos="1250" w:val="left"/>
        </w:tabs>
        <w:numPr>
          <w:ilvl w:val="1"/>
          <w:numId w:val="133"/>
        </w:numPr>
        <w:rPr>
          <w:rFonts w:ascii="Arial" w:cs="Arial" w:eastAsia="Arial" w:hAnsi="Arial"/>
          <w:sz w:val="16"/>
          <w:szCs w:val="16"/>
          <w:color w:val="auto"/>
        </w:rPr>
      </w:pPr>
      <w:r>
        <w:rPr>
          <w:rFonts w:ascii="Arial" w:cs="Arial" w:eastAsia="Arial" w:hAnsi="Arial"/>
          <w:sz w:val="16"/>
          <w:szCs w:val="16"/>
          <w:color w:val="auto"/>
        </w:rPr>
        <w:t>Within 15 calendar days after delivery of the RFO Notice, each Major Investor may elect to purchase or obtain, at the price and on the terms specified in the RFO Notice, up to that portion of such Shares which equals the proportion that the number of shares of Common Stock issued and held upon conversion of the Preferred Stock, or issuable upon conversion of the Preferred Stock then held, by such Major Investor bears to the sum of</w:t>
      </w:r>
    </w:p>
    <w:p>
      <w:pPr>
        <w:spacing w:after="0" w:line="2" w:lineRule="exact"/>
        <w:rPr>
          <w:rFonts w:ascii="Arial" w:cs="Arial" w:eastAsia="Arial" w:hAnsi="Arial"/>
          <w:sz w:val="16"/>
          <w:szCs w:val="16"/>
          <w:color w:val="auto"/>
        </w:rPr>
      </w:pPr>
    </w:p>
    <w:p>
      <w:pPr>
        <w:ind w:left="4" w:right="40" w:hanging="4"/>
        <w:spacing w:after="0" w:line="285" w:lineRule="auto"/>
        <w:tabs>
          <w:tab w:leader="none" w:pos="219"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total number of shares of Common Stock then-outstanding (assuming full exchange, conversion and exercise of all exchangeable, convertible or exercisable securities) and (ii) shares of Common Stock issuable to employees, consultants or directors pursuant to outstanding options or rights pursuant to a stock option plan, restricted stock plan, or other stock plan approved by the Board of Directors. Such purchase shall be completed at the same closing as that of any third party purchasers or at an additional closing thereunder. The Company shall promptly, in writing, inform each Major Investor that purchases all the shares available to it (each, a “</w:t>
      </w:r>
      <w:r>
        <w:rPr>
          <w:rFonts w:ascii="Arial" w:cs="Arial" w:eastAsia="Arial" w:hAnsi="Arial"/>
          <w:sz w:val="16"/>
          <w:szCs w:val="16"/>
          <w:u w:val="single" w:color="auto"/>
          <w:color w:val="auto"/>
        </w:rPr>
        <w:t>Fully-Exercising Investor</w:t>
      </w:r>
      <w:r>
        <w:rPr>
          <w:rFonts w:ascii="Arial" w:cs="Arial" w:eastAsia="Arial" w:hAnsi="Arial"/>
          <w:sz w:val="16"/>
          <w:szCs w:val="16"/>
          <w:color w:val="auto"/>
        </w:rPr>
        <w:t>”) of any other Major Investor’s failure to do likewise. During the 10-day period commencing after receipt of such information, each Fully-Exercising Investor shall be entitled to obtain that portion of the Shares for which Major Investors were entitled to subscribe but which were not subscribed for by the Major Investors that is equal to the proportion that the number of shares of Common Stock issued and held, or issuable upon exchange, conversion and exercise of all exchangeable, convertible or exercisable securities then held, by such Fully-Exercising Investor who wishes to purchase additional Shares bears to the total number of shares of Common Stock then-outstanding (assuming full exchange, conversion and exercise of all exchangeable, convertible or exercisable securities) issued and held, or issuable upon conversion of the Preferred Stock then held, by all Fully-Exercising Investors who wish to purchase additional Shares.</w:t>
      </w:r>
    </w:p>
    <w:p>
      <w:pPr>
        <w:spacing w:after="0" w:line="66" w:lineRule="exact"/>
        <w:rPr>
          <w:rFonts w:ascii="Arial" w:cs="Arial" w:eastAsia="Arial" w:hAnsi="Arial"/>
          <w:sz w:val="16"/>
          <w:szCs w:val="16"/>
          <w:color w:val="auto"/>
        </w:rPr>
      </w:pPr>
    </w:p>
    <w:p>
      <w:pPr>
        <w:ind w:left="4" w:right="20" w:firstLine="987"/>
        <w:spacing w:after="0" w:line="257" w:lineRule="auto"/>
        <w:tabs>
          <w:tab w:leader="none" w:pos="124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The Company may, during the 45-day period following the expiration of the period provided in subsection 2.3(b) hereof, offer the remaining unsubscribed portion of the Shares to any person or persons at a price not less than, and upon terms no more favorable to the offeree than those specified in the RFO Notice. If the Company does not enter into an agreement for the sale of the Shares within such period, or if such agreement is not consummated within 60 days of the execution thereof, the right provided hereunder shall be deemed to be revived and such Shares shall not be offered unless first reoffered to the Major Investors in accordance herewith.</w:t>
      </w:r>
    </w:p>
    <w:p>
      <w:pPr>
        <w:spacing w:after="0" w:line="79" w:lineRule="exact"/>
        <w:rPr>
          <w:rFonts w:ascii="Arial" w:cs="Arial" w:eastAsia="Arial" w:hAnsi="Arial"/>
          <w:sz w:val="18"/>
          <w:szCs w:val="18"/>
          <w:color w:val="auto"/>
        </w:rPr>
      </w:pPr>
    </w:p>
    <w:p>
      <w:pPr>
        <w:ind w:left="4" w:firstLine="987"/>
        <w:spacing w:after="0" w:line="254" w:lineRule="auto"/>
        <w:tabs>
          <w:tab w:leader="none" w:pos="125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The right of first offer in this Section 2.3 shall not be applicable to (i) the issuance of any securities of the Company that are excluded from the definition of “Additional Stock” as such term is defined in the Restated Certificate, (ii) the issuance of shares of Series A Preferred Stock pursuant to that certain Series A Preferred Stock Purchase Agreement, dated November 20, 2009, by and among the Company and certain Investors, as may be amended from time to time, shares of Series B Preferred Stock pursuant to that certain Series B Preferred Stock Purchase Agreement, dated July 18, 2012, by and among the Company and certain Investors, as may be amended from time to time, shares of Series C Preferred Stock pursuant to that certain Series C Preferred Stock Purchase Agreement, dated March 29, 2016, by and among the Company and certain Investors, as may be amended from time to time, or shares of Series D</w:t>
      </w:r>
    </w:p>
    <w:p>
      <w:pPr>
        <w:spacing w:after="0" w:line="12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4" w:right="459" w:bottom="1440" w:gutter="0" w:footer="0" w:header="0"/>
        </w:sectPr>
      </w:pPr>
    </w:p>
    <w:bookmarkStart w:id="188" w:name="page189"/>
    <w:bookmarkEnd w:id="188"/>
    <w:p>
      <w:pPr>
        <w:ind w:right="10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Preferred Stock pursuant to that certain Series D Preferred Stock Purchase Agreement, dated January 19, 2018, by and among the Company and certain Investors, as may be amended from time to time, (iii) the issuance of shares of Series E Preferred Stock pursuant to the Purchase Agreement, as may be amended from time to time, or (iv) the issuance of Convertible Promissory Notes (and any Shares issued upon conversion thereof) pursuant to the Convertible Note Purchase Agreement, dated as of January 19, 2018, by and between the Company and Dustin A. Moskovitz TTEE Dustin A. Moskovitz Trust DTD 12/27/2015, as may be amended from time to time.</w:t>
      </w:r>
    </w:p>
    <w:p>
      <w:pPr>
        <w:spacing w:after="0" w:line="68" w:lineRule="exact"/>
        <w:rPr>
          <w:sz w:val="20"/>
          <w:szCs w:val="20"/>
          <w:color w:val="auto"/>
        </w:rPr>
      </w:pPr>
    </w:p>
    <w:p>
      <w:pPr>
        <w:jc w:val="both"/>
        <w:ind w:right="40" w:firstLine="987"/>
        <w:spacing w:after="0" w:line="311" w:lineRule="auto"/>
        <w:tabs>
          <w:tab w:leader="none" w:pos="1236" w:val="left"/>
        </w:tabs>
        <w:numPr>
          <w:ilvl w:val="0"/>
          <w:numId w:val="135"/>
        </w:numPr>
        <w:rPr>
          <w:rFonts w:ascii="Arial" w:cs="Arial" w:eastAsia="Arial" w:hAnsi="Arial"/>
          <w:sz w:val="16"/>
          <w:szCs w:val="16"/>
          <w:color w:val="auto"/>
        </w:rPr>
      </w:pPr>
      <w:r>
        <w:rPr>
          <w:rFonts w:ascii="Arial" w:cs="Arial" w:eastAsia="Arial" w:hAnsi="Arial"/>
          <w:sz w:val="16"/>
          <w:szCs w:val="16"/>
          <w:color w:val="auto"/>
        </w:rPr>
        <w:t>In addition to the foregoing, the right of first offer in this Section 2.3 shall not be applicable with respect to any Major Investor and any subsequent securities issuance, if (i) at the time of such subsequent securities issuance, the Major Investor is not an “accredited investor,” as that term is then defined in Rule 501(a) under the Securities Act, and (ii) such subsequent securities issuance is otherwise being offered only to accredited investors.</w:t>
      </w:r>
    </w:p>
    <w:p>
      <w:pPr>
        <w:spacing w:after="0" w:line="37"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b w:val="1"/>
          <w:bCs w:val="1"/>
          <w:u w:val="single" w:color="auto"/>
          <w:color w:val="auto"/>
        </w:rPr>
        <w:t>Confidentiality</w:t>
      </w:r>
      <w:r>
        <w:rPr>
          <w:rFonts w:ascii="Arial" w:cs="Arial" w:eastAsia="Arial" w:hAnsi="Arial"/>
          <w:sz w:val="17"/>
          <w:szCs w:val="17"/>
          <w:color w:val="auto"/>
        </w:rPr>
        <w:t>. Each Investor shall keep confidential and shall not disclose, divulge or use for any purpose (other than to monitor its investment in the Company) any confidential information obtained from the Company pursuant to the terms of this Agreement (including notice of the Company’s intention to file a registration statement), unless such confidential information (a) is known or becomes known to the public in general (other than as a result of a breach of this Section 2.4 by such Investor), (b) is or has been independently developed or conceived by the Investor without use of the Company’s confidential information, or (c) is or has been made known or disclosed to the Investor by a third party without a breach of any obligation of confidentiality such third party may have to the Company; provided, however, that an Investor may disclose confidential information (i) to its attorneys, accountants, consultants, and other professionals to the extent necessary to obtain their services in connection with monitoring its investment in the Company; (ii) to any prospective purchaser of any Registrable Securities from such Investor, if such prospective purchaser agrees to be bound by the provisions of this Section 2.4; (iii) to any Affiliate, partner, member, stockholder, or wholly owned subsidiary of such Investor in the ordinary course of business, provided that such Investor informs such person that such information is confidential and directs such person to maintain the confidentiality of such information; or (iv) as may otherwise be required by law, provided that the Investor promptly notifies the Company of such disclosure and takes reasonable steps to minimize the extent of any such required disclosure.</w:t>
      </w:r>
    </w:p>
    <w:p>
      <w:pPr>
        <w:spacing w:after="0" w:line="71" w:lineRule="exact"/>
        <w:rPr>
          <w:sz w:val="20"/>
          <w:szCs w:val="20"/>
          <w:color w:val="auto"/>
        </w:rPr>
      </w:pPr>
    </w:p>
    <w:p>
      <w:pPr>
        <w:ind w:firstLine="440"/>
        <w:spacing w:after="0" w:line="292"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b w:val="1"/>
          <w:bCs w:val="1"/>
          <w:u w:val="single" w:color="auto"/>
          <w:color w:val="auto"/>
        </w:rPr>
        <w:t>Employee Agreements</w:t>
      </w:r>
      <w:r>
        <w:rPr>
          <w:rFonts w:ascii="Arial" w:cs="Arial" w:eastAsia="Arial" w:hAnsi="Arial"/>
          <w:sz w:val="16"/>
          <w:szCs w:val="16"/>
          <w:color w:val="auto"/>
        </w:rPr>
        <w:t>. Unless otherwise approved by the Board of Directors, all future employees, officers, consultants, advisors and other service providers of the Company who shall purchase, or receive options to purchase, shares of the Company’s Common Stock following the date hereof shall be required to execute stock purchase or option agreements providing for (i) vesting of shares over a four-year period with the first 25% of such shares vesting following twelve (12) months of continued employment or services, and the remaining shares vesting in equal monthly installments over the following 36 months thereafter, (ii) restrictions on transferability prior to vesting except for certain estate planning purposes, and (iii) a 180-day lockup period in connection with the Company’s initial public offering. The Company shall retain a right of first refusal on transfers until the Company’s initial public offering and the right to repurchase unvested shares at cost upon the termination of such service provider.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189" w:name="page190"/>
    <w:bookmarkEnd w:id="189"/>
    <w:p>
      <w:pPr>
        <w:ind w:left="4" w:right="80" w:firstLine="440"/>
        <w:spacing w:after="0" w:line="30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2.6 </w:t>
      </w:r>
      <w:r>
        <w:rPr>
          <w:rFonts w:ascii="Arial" w:cs="Arial" w:eastAsia="Arial" w:hAnsi="Arial"/>
          <w:sz w:val="16"/>
          <w:szCs w:val="16"/>
          <w:b w:val="1"/>
          <w:bCs w:val="1"/>
          <w:u w:val="single" w:color="auto"/>
          <w:color w:val="auto"/>
        </w:rPr>
        <w:t>Subsequent Offerings</w:t>
      </w:r>
      <w:r>
        <w:rPr>
          <w:rFonts w:ascii="Arial" w:cs="Arial" w:eastAsia="Arial" w:hAnsi="Arial"/>
          <w:sz w:val="16"/>
          <w:szCs w:val="16"/>
          <w:color w:val="auto"/>
        </w:rPr>
        <w:t>. In the event that the Company issues securities which have rights, preferences or privileges with respect to dividends, liquidation preference, redemption, anti-dilution protection or, in case of the Series A Preferred Stock, Series B Preferred Stock, Series C Preferred Stock, Series D Preferred Stock and Series E Preferred Stock, voting that are more favorable than the terms of the Preferred Stock, the Company shall use its commercially reasonable efforts to amend its Restated Certificate to provide such terms to the holders of Preferred Stock.</w:t>
      </w:r>
    </w:p>
    <w:p>
      <w:pPr>
        <w:spacing w:after="0" w:line="43" w:lineRule="exact"/>
        <w:rPr>
          <w:sz w:val="20"/>
          <w:szCs w:val="20"/>
          <w:color w:val="auto"/>
        </w:rPr>
      </w:pPr>
    </w:p>
    <w:p>
      <w:pPr>
        <w:ind w:left="4" w:right="80" w:firstLine="440"/>
        <w:spacing w:after="0" w:line="347"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b w:val="1"/>
          <w:bCs w:val="1"/>
          <w:u w:val="single" w:color="auto"/>
          <w:color w:val="auto"/>
        </w:rPr>
        <w:t>D&amp;O Insurance</w:t>
      </w:r>
      <w:r>
        <w:rPr>
          <w:rFonts w:ascii="Arial" w:cs="Arial" w:eastAsia="Arial" w:hAnsi="Arial"/>
          <w:sz w:val="16"/>
          <w:szCs w:val="16"/>
          <w:color w:val="auto"/>
        </w:rPr>
        <w:t>. As of the date hereof, the Company has Directors and Officers liability insurance in an amount and on terms and conditions satisfactory to the Company’s Board of Directors, and will use commercially reasonable efforts to cause such insurance policy to be maintained.</w:t>
      </w:r>
    </w:p>
    <w:p>
      <w:pPr>
        <w:spacing w:after="0" w:line="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b w:val="1"/>
          <w:bCs w:val="1"/>
          <w:u w:val="single" w:color="auto"/>
          <w:color w:val="auto"/>
        </w:rPr>
        <w:t>Termination of Certain Covenants</w:t>
      </w:r>
      <w:r>
        <w:rPr>
          <w:rFonts w:ascii="Arial" w:cs="Arial" w:eastAsia="Arial" w:hAnsi="Arial"/>
          <w:sz w:val="18"/>
          <w:szCs w:val="18"/>
          <w:color w:val="auto"/>
        </w:rPr>
        <w:t>.</w:t>
      </w:r>
    </w:p>
    <w:p>
      <w:pPr>
        <w:spacing w:after="0" w:line="121" w:lineRule="exact"/>
        <w:rPr>
          <w:sz w:val="20"/>
          <w:szCs w:val="20"/>
          <w:color w:val="auto"/>
        </w:rPr>
      </w:pPr>
    </w:p>
    <w:p>
      <w:pPr>
        <w:jc w:val="both"/>
        <w:ind w:left="4" w:right="100" w:firstLine="987"/>
        <w:spacing w:after="0" w:line="263" w:lineRule="auto"/>
        <w:tabs>
          <w:tab w:leader="none" w:pos="124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Each of the covenants set forth in this Section 2 (other than the covenant set forth in Section 2.4) shall terminate as to each Holder and be of no further force or effect (i) immediately prior to the consummation of a Qualified IPO, or (ii) upon termination of this Agreement, as provided in Section 3.</w:t>
      </w:r>
    </w:p>
    <w:p>
      <w:pPr>
        <w:spacing w:after="0" w:line="75" w:lineRule="exact"/>
        <w:rPr>
          <w:rFonts w:ascii="Arial" w:cs="Arial" w:eastAsia="Arial" w:hAnsi="Arial"/>
          <w:sz w:val="18"/>
          <w:szCs w:val="18"/>
          <w:color w:val="auto"/>
        </w:rPr>
      </w:pPr>
    </w:p>
    <w:p>
      <w:pPr>
        <w:ind w:left="4" w:firstLine="987"/>
        <w:spacing w:after="0" w:line="263" w:lineRule="auto"/>
        <w:tabs>
          <w:tab w:leader="none" w:pos="125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The covenants set forth in Sections 2.1 and 2.2 shall terminate as to each Holder and be of no further force or effect when the Company first becomes subject to the periodic reporting requirements of Sections 13 or 15(d) of the Exchange Act, if this occurs earlier than the events described in Section 2.8(a).</w:t>
      </w:r>
    </w:p>
    <w:p>
      <w:pPr>
        <w:spacing w:after="0" w:line="179" w:lineRule="exact"/>
        <w:rPr>
          <w:rFonts w:ascii="Arial" w:cs="Arial" w:eastAsia="Arial" w:hAnsi="Arial"/>
          <w:sz w:val="18"/>
          <w:szCs w:val="18"/>
          <w:color w:val="auto"/>
        </w:rPr>
      </w:pPr>
    </w:p>
    <w:p>
      <w:pPr>
        <w:ind w:left="4" w:right="140" w:hanging="4"/>
        <w:spacing w:after="0" w:line="266" w:lineRule="auto"/>
        <w:tabs>
          <w:tab w:leader="none" w:pos="184" w:val="left"/>
        </w:tabs>
        <w:numPr>
          <w:ilvl w:val="0"/>
          <w:numId w:val="137"/>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Agreement</w:t>
      </w:r>
      <w:r>
        <w:rPr>
          <w:rFonts w:ascii="Arial" w:cs="Arial" w:eastAsia="Arial" w:hAnsi="Arial"/>
          <w:sz w:val="18"/>
          <w:szCs w:val="18"/>
          <w:color w:val="auto"/>
        </w:rPr>
        <w:t>. This Agreement shall terminate and have no further force or effect upon the consummation of a transaction or series of</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transactions deemed to be a liquidation, dissolution or winding up of the Company pursuant to the Restated Certificate, pursuant to which the Investors receive cash and/or marketable securities.</w:t>
      </w:r>
    </w:p>
    <w:p>
      <w:pPr>
        <w:spacing w:after="0" w:line="175" w:lineRule="exact"/>
        <w:rPr>
          <w:rFonts w:ascii="Arial" w:cs="Arial" w:eastAsia="Arial" w:hAnsi="Arial"/>
          <w:sz w:val="18"/>
          <w:szCs w:val="18"/>
          <w:color w:val="auto"/>
        </w:rPr>
      </w:pPr>
    </w:p>
    <w:p>
      <w:pPr>
        <w:ind w:left="184" w:hanging="184"/>
        <w:spacing w:after="0"/>
        <w:tabs>
          <w:tab w:leader="none" w:pos="184" w:val="left"/>
        </w:tabs>
        <w:numPr>
          <w:ilvl w:val="0"/>
          <w:numId w:val="137"/>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117" w:lineRule="exact"/>
        <w:rPr>
          <w:sz w:val="20"/>
          <w:szCs w:val="20"/>
          <w:color w:val="auto"/>
        </w:rPr>
      </w:pPr>
    </w:p>
    <w:p>
      <w:pPr>
        <w:ind w:left="4" w:right="260" w:firstLine="440"/>
        <w:spacing w:after="0" w:line="266"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This Agreement constitutes the entire agreement between the parties hereto pertaining to the subject matter hereof, and supersedes any and all other written or oral agreements relating to the subject matter hereof existing between the parties hereto, including without limitation the Prior Rights Agreement.</w:t>
      </w:r>
    </w:p>
    <w:p>
      <w:pPr>
        <w:spacing w:after="0" w:line="68" w:lineRule="exact"/>
        <w:rPr>
          <w:sz w:val="20"/>
          <w:szCs w:val="20"/>
          <w:color w:val="auto"/>
        </w:rPr>
      </w:pPr>
    </w:p>
    <w:p>
      <w:pPr>
        <w:ind w:left="4" w:right="100" w:firstLine="440"/>
        <w:spacing w:after="0" w:line="258"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u w:val="single" w:color="auto"/>
          <w:color w:val="auto"/>
        </w:rPr>
        <w:t>Successors and Assigns; Third Party Beneficiaries</w:t>
      </w:r>
      <w:r>
        <w:rPr>
          <w:rFonts w:ascii="Arial" w:cs="Arial" w:eastAsia="Arial" w:hAnsi="Arial"/>
          <w:sz w:val="18"/>
          <w:szCs w:val="18"/>
          <w:color w:val="auto"/>
        </w:rPr>
        <w:t>. Subject to the restrictions set forth under Article X of the Bylaws, and except as otherwise provided in this Agreement, the terms and conditions of this Agreement shall inure to the benefit of and be binding upon the respective successors, assigns and legal representatives of the parties. Nothing in this Agreement, express or implied, is intended to confer upon any party other than the parties hereto or their respective successors, assigns and legal representatives any rights, remedies, obligations, or liabilities under or by reason of this Agreement, except as expressly provided in this Agreement.</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4"/>
          </w:cols>
          <w:pgMar w:left="436" w:top="270" w:right="459" w:bottom="1440" w:gutter="0" w:footer="0" w:header="0"/>
        </w:sectPr>
      </w:pPr>
    </w:p>
    <w:bookmarkStart w:id="190" w:name="page191"/>
    <w:bookmarkEnd w:id="190"/>
    <w:p>
      <w:pPr>
        <w:ind w:left="44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4.3 </w:t>
      </w:r>
      <w:r>
        <w:rPr>
          <w:rFonts w:ascii="Arial" w:cs="Arial" w:eastAsia="Arial" w:hAnsi="Arial"/>
          <w:sz w:val="17"/>
          <w:szCs w:val="17"/>
          <w:b w:val="1"/>
          <w:bCs w:val="1"/>
          <w:u w:val="single" w:color="auto"/>
          <w:color w:val="auto"/>
        </w:rPr>
        <w:t>Amendments and Waivers</w:t>
      </w:r>
      <w:r>
        <w:rPr>
          <w:rFonts w:ascii="Arial" w:cs="Arial" w:eastAsia="Arial" w:hAnsi="Arial"/>
          <w:sz w:val="17"/>
          <w:szCs w:val="17"/>
          <w:color w:val="auto"/>
        </w:rPr>
        <w:t>. Any term of this Agreement may be amended or waived only with the written consent of (a) the Company,</w:t>
      </w:r>
    </w:p>
    <w:p>
      <w:pPr>
        <w:spacing w:after="0" w:line="39" w:lineRule="exact"/>
        <w:rPr>
          <w:sz w:val="20"/>
          <w:szCs w:val="20"/>
          <w:color w:val="auto"/>
        </w:rPr>
      </w:pPr>
    </w:p>
    <w:p>
      <w:pPr>
        <w:ind w:left="4" w:right="60" w:hanging="4"/>
        <w:spacing w:after="0" w:line="288" w:lineRule="auto"/>
        <w:tabs>
          <w:tab w:leader="none" w:pos="259"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holders of at least a majority of the voting power of the then-outstanding Founders’ Shares (or their respective successors, assigns and legal representatives) with respect to amendments to the rights of the Founders hereunder and (c) the holders of at least a majority of the voting power of the then-outstanding shares of the Company’s Preferred Stock; provided, however, that any amendment to the definition of “Major Investor” that would cause an Investor that qualifies as a “Major Investor” prior to such amendment to no longer qualify as a “Major Investor” as a result of such amendment (each such Investor, a “</w:t>
      </w:r>
      <w:r>
        <w:rPr>
          <w:rFonts w:ascii="Arial" w:cs="Arial" w:eastAsia="Arial" w:hAnsi="Arial"/>
          <w:sz w:val="16"/>
          <w:szCs w:val="16"/>
          <w:u w:val="single" w:color="auto"/>
          <w:color w:val="auto"/>
        </w:rPr>
        <w:t>Specified Investor</w:t>
      </w:r>
      <w:r>
        <w:rPr>
          <w:rFonts w:ascii="Arial" w:cs="Arial" w:eastAsia="Arial" w:hAnsi="Arial"/>
          <w:sz w:val="16"/>
          <w:szCs w:val="16"/>
          <w:color w:val="auto"/>
        </w:rPr>
        <w:t>”) shall further require the written consent of the holders of at least a majority of the voting power of the then-outstanding shares of the Company’s Preferred Stock held by all Specified Investors. Any amendment or waiver effected in accordance with this Section 4.3 shall be binding upon the Company, the Founders, the Investors, and each of their respective successors and assigns.</w:t>
      </w:r>
    </w:p>
    <w:p>
      <w:pPr>
        <w:spacing w:after="0" w:line="56" w:lineRule="exact"/>
        <w:rPr>
          <w:sz w:val="20"/>
          <w:szCs w:val="20"/>
          <w:color w:val="auto"/>
        </w:rPr>
      </w:pPr>
    </w:p>
    <w:p>
      <w:pPr>
        <w:ind w:left="4" w:firstLine="440"/>
        <w:spacing w:after="0" w:line="261"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xml:space="preserve">. Any notice required or permitted by this Agreement shall be in writing and shall be deemed sufficient upon delivery, when delivered personally or by overnight courier or sent by email or fax (upon customary confirmation of receipt), or forty-eight (48) hours after being deposited in the U.S. mail as certified or registered mail with postage prepaid, addressed to the party to be notified at such party’s address or fax number as set forth on the signature page or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or as subsequently modified by written notice.</w:t>
      </w:r>
    </w:p>
    <w:p>
      <w:pPr>
        <w:spacing w:after="0" w:line="72" w:lineRule="exact"/>
        <w:rPr>
          <w:sz w:val="20"/>
          <w:szCs w:val="20"/>
          <w:color w:val="auto"/>
        </w:rPr>
      </w:pPr>
    </w:p>
    <w:p>
      <w:pPr>
        <w:ind w:left="4" w:right="20" w:firstLine="440"/>
        <w:spacing w:after="0" w:line="286"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b w:val="1"/>
          <w:bCs w:val="1"/>
          <w:u w:val="single" w:color="auto"/>
          <w:color w:val="auto"/>
        </w:rPr>
        <w:t>Aggregation of Stock</w:t>
      </w:r>
      <w:r>
        <w:rPr>
          <w:rFonts w:ascii="Arial" w:cs="Arial" w:eastAsia="Arial" w:hAnsi="Arial"/>
          <w:sz w:val="16"/>
          <w:szCs w:val="16"/>
          <w:color w:val="auto"/>
        </w:rPr>
        <w:t>. All shares of capital stock of the Company held or acquired by Affiliated entities or persons shall be aggregated together for the purpose of determining the availability of any rights under this Agreement and such Affiliated entities or persons may apportion such rights as among themselves in any manner they deem appropriate. As used herein, “</w:t>
      </w:r>
      <w:r>
        <w:rPr>
          <w:rFonts w:ascii="Arial" w:cs="Arial" w:eastAsia="Arial" w:hAnsi="Arial"/>
          <w:sz w:val="16"/>
          <w:szCs w:val="16"/>
          <w:u w:val="single" w:color="auto"/>
          <w:color w:val="auto"/>
        </w:rPr>
        <w:t>Affiliate</w:t>
      </w:r>
      <w:r>
        <w:rPr>
          <w:rFonts w:ascii="Arial" w:cs="Arial" w:eastAsia="Arial" w:hAnsi="Arial"/>
          <w:sz w:val="16"/>
          <w:szCs w:val="16"/>
          <w:color w:val="auto"/>
        </w:rPr>
        <w:t>” means, with respect to any specified Investor, any other person who, directly or indirectly, controls, is controlled by or is under common control with such Investor, including, without limitation, any general partner, managing member, officer or director of such Investor, or any venture capital fund now or hereafter existing which is controlled by one or more general partners or managing members of, or shares the same management company with, such Investor. In addition, the share ownership of all Designated Permitted Entities shall be aggregated together for purposes of determining whether any Designated Permitted Entity is entitled to any rights under this Agreement and the other agreements to which the Designated Permitted Entities are a party. A “</w:t>
      </w:r>
      <w:r>
        <w:rPr>
          <w:rFonts w:ascii="Arial" w:cs="Arial" w:eastAsia="Arial" w:hAnsi="Arial"/>
          <w:sz w:val="16"/>
          <w:szCs w:val="16"/>
          <w:u w:val="single" w:color="auto"/>
          <w:color w:val="auto"/>
        </w:rPr>
        <w:t>Designated Permitted Entity</w:t>
      </w:r>
      <w:r>
        <w:rPr>
          <w:rFonts w:ascii="Arial" w:cs="Arial" w:eastAsia="Arial" w:hAnsi="Arial"/>
          <w:sz w:val="16"/>
          <w:szCs w:val="16"/>
          <w:color w:val="auto"/>
        </w:rPr>
        <w:t>” shall be defined as Founders Fund, LLC, The Founders Fund Management, LLC, The Founders Fund, LP, The Founders Fund II Management, LLC, The Founders Fund II, LP, The Founders Fund II Entrepreneurs Fund, LP, The Founders Fund II Principals Fund, LP, The Founders Fund III, LP, The Founders Fund III Principals Fund, LP, The Founders Fund III Entrepreneurs Fund, LP, The Founders Fund III Management LLC, The Founders Fund IV, LP, The Founders Fund IV Principals Fund, LP, The Founders Fund IV Management, LLC, Lembas IV (or, in the alternative, one (1) similar Founders Fund investment vehicle), Peter Thiel, up to three (3) Founders Fund employee investment vehicles, one (1) newly created Founders Fund successor fund and up to three (3) side funds of such successor fund, any partner or affiliate of any Designated Permitted Entity, or any retirement accounts held on behalf of any such partner, or any stockholder of record of the Company as of the applicable date.</w:t>
      </w:r>
    </w:p>
    <w:p>
      <w:pPr>
        <w:spacing w:after="0" w:line="10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4"/>
          </w:cols>
          <w:pgMar w:left="436" w:top="270" w:right="459" w:bottom="1440" w:gutter="0" w:footer="0" w:header="0"/>
        </w:sectPr>
      </w:pPr>
    </w:p>
    <w:bookmarkStart w:id="191" w:name="page192"/>
    <w:bookmarkEnd w:id="191"/>
    <w:p>
      <w:pPr>
        <w:ind w:left="4" w:right="180" w:firstLine="4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4.6 </w:t>
      </w:r>
      <w:r>
        <w:rPr>
          <w:rFonts w:ascii="Arial" w:cs="Arial" w:eastAsia="Arial" w:hAnsi="Arial"/>
          <w:sz w:val="16"/>
          <w:szCs w:val="16"/>
          <w:b w:val="1"/>
          <w:bCs w:val="1"/>
          <w:u w:val="single" w:color="auto"/>
          <w:color w:val="auto"/>
        </w:rPr>
        <w:t>Severability</w:t>
      </w:r>
      <w:r>
        <w:rPr>
          <w:rFonts w:ascii="Arial" w:cs="Arial" w:eastAsia="Arial" w:hAnsi="Arial"/>
          <w:sz w:val="16"/>
          <w:szCs w:val="16"/>
          <w:color w:val="auto"/>
        </w:rPr>
        <w:t>. If one or more provisions of this Agreement are held to be unenforceable under applicable law, the parties agree to renegotiate such provision in good faith. In the event that the parties cannot reach a mutually agreeable and enforceable replacement for such provision, then</w:t>
      </w:r>
    </w:p>
    <w:p>
      <w:pPr>
        <w:spacing w:after="0" w:line="1" w:lineRule="exact"/>
        <w:rPr>
          <w:sz w:val="20"/>
          <w:szCs w:val="20"/>
          <w:color w:val="auto"/>
        </w:rPr>
      </w:pPr>
    </w:p>
    <w:p>
      <w:pPr>
        <w:ind w:left="4" w:right="180" w:hanging="4"/>
        <w:spacing w:after="0" w:line="260" w:lineRule="auto"/>
        <w:tabs>
          <w:tab w:leader="none" w:pos="249" w:val="left"/>
        </w:tabs>
        <w:numPr>
          <w:ilvl w:val="0"/>
          <w:numId w:val="139"/>
        </w:numPr>
        <w:rPr>
          <w:rFonts w:ascii="Arial" w:cs="Arial" w:eastAsia="Arial" w:hAnsi="Arial"/>
          <w:sz w:val="18"/>
          <w:szCs w:val="18"/>
          <w:color w:val="auto"/>
        </w:rPr>
      </w:pPr>
      <w:r>
        <w:rPr>
          <w:rFonts w:ascii="Arial" w:cs="Arial" w:eastAsia="Arial" w:hAnsi="Arial"/>
          <w:sz w:val="18"/>
          <w:szCs w:val="18"/>
          <w:color w:val="auto"/>
        </w:rPr>
        <w:t>such provision shall be excluded from this Agreement, (b) the balance of this Agreement shall be interpreted as if such provision were so excluded and (c) the balance of this Agreement shall be enforceable in accordance with its terms.</w:t>
      </w:r>
    </w:p>
    <w:p>
      <w:pPr>
        <w:spacing w:after="0" w:line="73" w:lineRule="exact"/>
        <w:rPr>
          <w:sz w:val="20"/>
          <w:szCs w:val="20"/>
          <w:color w:val="auto"/>
        </w:rPr>
      </w:pPr>
    </w:p>
    <w:p>
      <w:pPr>
        <w:ind w:left="4" w:right="340" w:firstLine="440"/>
        <w:spacing w:after="0" w:line="347"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b w:val="1"/>
          <w:bCs w:val="1"/>
          <w:u w:val="single" w:color="auto"/>
          <w:color w:val="auto"/>
        </w:rPr>
        <w:t>Governing Law</w:t>
      </w:r>
      <w:r>
        <w:rPr>
          <w:rFonts w:ascii="Arial" w:cs="Arial" w:eastAsia="Arial" w:hAnsi="Arial"/>
          <w:sz w:val="16"/>
          <w:szCs w:val="16"/>
          <w:color w:val="auto"/>
        </w:rPr>
        <w:t>. This Agreement and all acts and transactions pursuant hereto and the rights and obligations of the parties hereto shall be governed, construed and interpreted in accordance with the laws of the State of California, without giving effect to principles of conflicts of law.</w:t>
      </w:r>
    </w:p>
    <w:p>
      <w:pPr>
        <w:spacing w:after="0" w:line="8" w:lineRule="exact"/>
        <w:rPr>
          <w:sz w:val="20"/>
          <w:szCs w:val="20"/>
          <w:color w:val="auto"/>
        </w:rPr>
      </w:pPr>
    </w:p>
    <w:p>
      <w:pPr>
        <w:ind w:left="4" w:right="20" w:firstLine="440"/>
        <w:spacing w:after="0" w:line="289" w:lineRule="auto"/>
        <w:rPr>
          <w:sz w:val="20"/>
          <w:szCs w:val="20"/>
          <w:color w:val="auto"/>
        </w:rPr>
      </w:pPr>
      <w:r>
        <w:rPr>
          <w:rFonts w:ascii="Arial" w:cs="Arial" w:eastAsia="Arial" w:hAnsi="Arial"/>
          <w:sz w:val="17"/>
          <w:szCs w:val="17"/>
          <w:color w:val="auto"/>
        </w:rPr>
        <w:t xml:space="preserve">4.8 </w:t>
      </w:r>
      <w:r>
        <w:rPr>
          <w:rFonts w:ascii="Arial" w:cs="Arial" w:eastAsia="Arial" w:hAnsi="Arial"/>
          <w:sz w:val="17"/>
          <w:szCs w:val="17"/>
          <w:b w:val="1"/>
          <w:bCs w:val="1"/>
          <w:u w:val="single" w:color="auto"/>
          <w:color w:val="auto"/>
        </w:rPr>
        <w:t>Additional Investors</w:t>
      </w:r>
      <w:r>
        <w:rPr>
          <w:rFonts w:ascii="Arial" w:cs="Arial" w:eastAsia="Arial" w:hAnsi="Arial"/>
          <w:sz w:val="17"/>
          <w:szCs w:val="17"/>
          <w:color w:val="auto"/>
        </w:rPr>
        <w:t>. Notwithstanding anything to the contrary contained herein, if the Company shall issue additional shares of its Preferred Stock pursuant to the Purchase Agreement, any purchaser of such shares of Preferred Stock shall become a party to this Agreement by executing and delivering an additional counterpart signature page to this Agreement and shall be deemed an “Investor” and a party hereunder.</w:t>
      </w:r>
    </w:p>
    <w:p>
      <w:pPr>
        <w:spacing w:after="0" w:line="50" w:lineRule="exact"/>
        <w:rPr>
          <w:sz w:val="20"/>
          <w:szCs w:val="20"/>
          <w:color w:val="auto"/>
        </w:rPr>
      </w:pPr>
    </w:p>
    <w:p>
      <w:pPr>
        <w:ind w:left="4" w:firstLine="440"/>
        <w:spacing w:after="0" w:line="288" w:lineRule="auto"/>
        <w:rPr>
          <w:sz w:val="20"/>
          <w:szCs w:val="20"/>
          <w:color w:val="auto"/>
        </w:rPr>
      </w:pPr>
      <w:r>
        <w:rPr>
          <w:rFonts w:ascii="Arial" w:cs="Arial" w:eastAsia="Arial" w:hAnsi="Arial"/>
          <w:sz w:val="16"/>
          <w:szCs w:val="16"/>
          <w:color w:val="auto"/>
        </w:rPr>
        <w:t xml:space="preserve">4.9 </w:t>
      </w:r>
      <w:r>
        <w:rPr>
          <w:rFonts w:ascii="Arial" w:cs="Arial" w:eastAsia="Arial" w:hAnsi="Arial"/>
          <w:sz w:val="16"/>
          <w:szCs w:val="16"/>
          <w:b w:val="1"/>
          <w:bCs w:val="1"/>
          <w:u w:val="single" w:color="auto"/>
          <w:color w:val="auto"/>
        </w:rPr>
        <w:t>Arbitration</w:t>
      </w:r>
      <w:r>
        <w:rPr>
          <w:rFonts w:ascii="Arial" w:cs="Arial" w:eastAsia="Arial" w:hAnsi="Arial"/>
          <w:sz w:val="16"/>
          <w:szCs w:val="16"/>
          <w:color w:val="auto"/>
        </w:rPr>
        <w:t>. The parties agree first to negotiate in good faith to resolve any disputes arising out of or relating to or affecting the subject matter of this Agreement. Any dispute arising out of or relating to or affecting the subject matter of this Agreement not resolved by negotiation shall be settled by binding arbitration in San Francisco County, California before the Judicial Arbitration and Mediation Services, Inc. (“</w:t>
      </w:r>
      <w:r>
        <w:rPr>
          <w:rFonts w:ascii="Arial" w:cs="Arial" w:eastAsia="Arial" w:hAnsi="Arial"/>
          <w:sz w:val="16"/>
          <w:szCs w:val="16"/>
          <w:u w:val="single" w:color="auto"/>
          <w:color w:val="auto"/>
        </w:rPr>
        <w:t>JAMS</w:t>
      </w:r>
      <w:r>
        <w:rPr>
          <w:rFonts w:ascii="Arial" w:cs="Arial" w:eastAsia="Arial" w:hAnsi="Arial"/>
          <w:sz w:val="16"/>
          <w:szCs w:val="16"/>
          <w:color w:val="auto"/>
        </w:rPr>
        <w:t>”) under the JAMS Rules of Practice and Procedure. The arbitrator shall be a former judge of a court of California. Discovery and other procedural matters shall be governed as though the proceeding were an arbitration. Any judgment upon the award may be confirmed and entered in any court having jurisdiction thereof. The arbitrator shall be required to, in all determinations, apply California law without regard to its conflicts of law provisions. Notwithstanding the foregoing, the arbitrator shall apply the substantive law of the state of incorporation of the Company, where applicable. The arbitrator is afforded the jurisdiction to order any provisional remedies, including, without limitation, injunctive relief. The arbitrator may award the prevailing party the costs of arbitration, including reasonable attorneys’ fees and expenses. The arbitrator’s award shall be in writing and shall state the reasons for the award. The parties stipulate that a JAMS employee may be appointed as a judge pro tempore of the Superior Court of San Francisco County if required to carry out the terms of this provision. Arbitration shall be the sole and exclusive means to resolve any dispute.</w:t>
      </w:r>
    </w:p>
    <w:p>
      <w:pPr>
        <w:spacing w:after="0" w:line="55" w:lineRule="exact"/>
        <w:rPr>
          <w:sz w:val="20"/>
          <w:szCs w:val="20"/>
          <w:color w:val="auto"/>
        </w:rPr>
      </w:pPr>
    </w:p>
    <w:p>
      <w:pPr>
        <w:ind w:left="4" w:right="120" w:firstLine="440"/>
        <w:spacing w:after="0" w:line="281" w:lineRule="auto"/>
        <w:rPr>
          <w:sz w:val="20"/>
          <w:szCs w:val="20"/>
          <w:color w:val="auto"/>
        </w:rPr>
      </w:pPr>
      <w:r>
        <w:rPr>
          <w:rFonts w:ascii="Arial" w:cs="Arial" w:eastAsia="Arial" w:hAnsi="Arial"/>
          <w:sz w:val="17"/>
          <w:szCs w:val="17"/>
          <w:color w:val="auto"/>
        </w:rPr>
        <w:t xml:space="preserve">4.10 </w:t>
      </w:r>
      <w:r>
        <w:rPr>
          <w:rFonts w:ascii="Arial" w:cs="Arial" w:eastAsia="Arial" w:hAnsi="Arial"/>
          <w:sz w:val="17"/>
          <w:szCs w:val="17"/>
          <w:b w:val="1"/>
          <w:bCs w:val="1"/>
          <w:u w:val="single" w:color="auto"/>
          <w:color w:val="auto"/>
        </w:rPr>
        <w:t>Counterparts</w:t>
      </w:r>
      <w:r>
        <w:rPr>
          <w:rFonts w:ascii="Arial" w:cs="Arial" w:eastAsia="Arial" w:hAnsi="Arial"/>
          <w:sz w:val="17"/>
          <w:szCs w:val="17"/>
          <w:color w:val="auto"/>
        </w:rPr>
        <w:t>. This Agreement may be executed in two or more counterparts, each of which shall be deemed an original and all of which together shall constitute one and the same instrument. Counterparts may be delivered via facsimile, electronic mail (including .pdf or any electronic signature complying with the U.S. federal ESIGN Act of 200, e.g., www.docusign.com) or other transmission method and any counterpart so delivered shall be deemed to have been duly and validly delivered and be valid and effective for all purposes.</w:t>
      </w:r>
    </w:p>
    <w:p>
      <w:pPr>
        <w:spacing w:after="0" w:line="57" w:lineRule="exact"/>
        <w:rPr>
          <w:sz w:val="20"/>
          <w:szCs w:val="20"/>
          <w:color w:val="auto"/>
        </w:rPr>
      </w:pPr>
    </w:p>
    <w:p>
      <w:pPr>
        <w:ind w:left="4" w:right="20" w:firstLine="440"/>
        <w:spacing w:after="0" w:line="282"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b w:val="1"/>
          <w:bCs w:val="1"/>
          <w:u w:val="single" w:color="auto"/>
          <w:color w:val="auto"/>
        </w:rPr>
        <w:t>Titles and Subtitles</w:t>
      </w:r>
      <w:r>
        <w:rPr>
          <w:rFonts w:ascii="Arial" w:cs="Arial" w:eastAsia="Arial" w:hAnsi="Arial"/>
          <w:sz w:val="18"/>
          <w:szCs w:val="18"/>
          <w:color w:val="auto"/>
        </w:rPr>
        <w:t>. The titles and subtitles used in this Agreement are used for convenience only and are not to be considered in construing or interpreting this Agreement.</w:t>
      </w:r>
    </w:p>
    <w:p>
      <w:pPr>
        <w:spacing w:after="0" w:line="16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4"/>
          </w:cols>
          <w:pgMar w:left="436" w:top="270" w:right="479" w:bottom="1440" w:gutter="0" w:footer="0" w:header="0"/>
        </w:sectPr>
      </w:pPr>
    </w:p>
    <w:bookmarkStart w:id="192" w:name="page193"/>
    <w:bookmarkEnd w:id="19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parties have executed this Amended and Restated Investors’ Rights Agreement as of the date first written above.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THE COMPANY:</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ASANA, INC.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Dustin Moskovitz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Dustin Moskovitz</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Title: Chief Executive Officer</w:t>
      </w:r>
    </w:p>
    <w:p>
      <w:pPr>
        <w:spacing w:after="0" w:line="22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1550 Bryant Street, Suite 800</w:t>
      </w:r>
    </w:p>
    <w:p>
      <w:pPr>
        <w:spacing w:after="0" w:line="2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San Francisco, CA 94103</w:t>
      </w:r>
    </w:p>
    <w:p>
      <w:pPr>
        <w:spacing w:after="0" w:line="139"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SIGNATURE PAGE TO ASANA, INC.</w:t>
      </w:r>
    </w:p>
    <w:p>
      <w:pPr>
        <w:spacing w:after="0" w:line="27"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AMENDED AND RESTATED INVESTORS’ RIGHTS AGREEMENT</w:t>
      </w:r>
    </w:p>
    <w:p>
      <w:pPr>
        <w:sectPr>
          <w:pgSz w:w="11900" w:h="16838" w:orient="portrait"/>
          <w:cols w:equalWidth="0" w:num="1">
            <w:col w:w="9579"/>
          </w:cols>
          <w:pgMar w:left="880" w:top="274" w:right="1440" w:bottom="1440" w:gutter="0" w:footer="0" w:header="0"/>
        </w:sectPr>
      </w:pPr>
    </w:p>
    <w:bookmarkStart w:id="193" w:name="page194"/>
    <w:bookmarkEnd w:id="19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THE FOUNDERS: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DUSTIN MOSKOVITZ</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Dustin Moskovitz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(Signature)</w:t>
      </w:r>
    </w:p>
    <w:p>
      <w:pPr>
        <w:spacing w:after="0" w:line="23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1550 Bryant Street, Suite 800</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San Francisco, CA 94103</w:t>
      </w:r>
    </w:p>
    <w:p>
      <w:pPr>
        <w:spacing w:after="0" w:line="234"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THE INVESTORS:</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DUSTIN MOSKOVITZ TTEE</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DUSTIN MOSKOVITZ TRUST DTD</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12/27/05</w:t>
      </w:r>
    </w:p>
    <w:p>
      <w:pPr>
        <w:spacing w:after="0" w:line="22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Dustin Moskovitz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Dustin Moskovitz</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Trustee</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15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SIGNATURE PAGE TO ASANA, INC.</w:t>
      </w:r>
    </w:p>
    <w:p>
      <w:pPr>
        <w:spacing w:after="0" w:line="27"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AMENDED AND RESTATED INVESTORS’ RIGHTS AGREEMENT</w:t>
      </w:r>
    </w:p>
    <w:p>
      <w:pPr>
        <w:sectPr>
          <w:pgSz w:w="11900" w:h="16838" w:orient="portrait"/>
          <w:cols w:equalWidth="0" w:num="1">
            <w:col w:w="9579"/>
          </w:cols>
          <w:pgMar w:left="880" w:top="274" w:right="1440" w:bottom="1440" w:gutter="0" w:footer="0" w:header="0"/>
        </w:sectPr>
      </w:pPr>
    </w:p>
    <w:bookmarkStart w:id="194" w:name="page195"/>
    <w:bookmarkEnd w:id="194"/>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THE FOUNDERS: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JUSTIN ROSENSTEIN</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Justin Rosenstein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(Signature)</w:t>
      </w:r>
    </w:p>
    <w:p>
      <w:pPr>
        <w:spacing w:after="0" w:line="23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1550 Bryant Street, Suite 800</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San Francisco, CA 94103</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THE INVESTORS: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JUSTIN MICHAEL ROSENSTEIN</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TTEE JUSTIN MICHAEL</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7"/>
          <w:szCs w:val="17"/>
          <w:b w:val="1"/>
          <w:bCs w:val="1"/>
          <w:color w:val="auto"/>
        </w:rPr>
        <w:t>ROSENSTEIN REV TR DTD 11/24/08</w:t>
      </w:r>
    </w:p>
    <w:p>
      <w:pPr>
        <w:spacing w:after="0" w:line="236"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Justin Rosenstein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Justin Rosenstein</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Trustee</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15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SIGNATURE PAGE TO ASANA, INC.</w:t>
      </w:r>
    </w:p>
    <w:p>
      <w:pPr>
        <w:spacing w:after="0" w:line="27"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AMENDED AND RESTATED INVESTORS’ RIGHTS AGREEMENT</w:t>
      </w:r>
    </w:p>
    <w:p>
      <w:pPr>
        <w:sectPr>
          <w:pgSz w:w="11900" w:h="16838" w:orient="portrait"/>
          <w:cols w:equalWidth="0" w:num="1">
            <w:col w:w="9579"/>
          </w:cols>
          <w:pgMar w:left="880" w:top="274" w:right="1440" w:bottom="1440" w:gutter="0" w:footer="0" w:header="0"/>
        </w:sectPr>
      </w:pPr>
    </w:p>
    <w:bookmarkStart w:id="195" w:name="page196"/>
    <w:bookmarkEnd w:id="19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parties have executed this Amended and Restated Investors’ Rights Agreement as of the date first written above.</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THE INVESTORS: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BENCHMARK CAPITAL PARTNERS VI, L.P.</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as nominee for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Benchmark Capital Partners VI, L.P.,</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Benchmark Founders’ Fund VI, L.P.,</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Benchmark Founders’ Fund VI-B, L.P.</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and related individuals</w:t>
      </w:r>
    </w:p>
    <w:p>
      <w:pPr>
        <w:spacing w:after="0" w:line="224"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By: Benchmark Capital Management Co. VI, L.L.C.,</w:t>
      </w:r>
    </w:p>
    <w:p>
      <w:pPr>
        <w:spacing w:after="0" w:line="4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Steven M. Spurlock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Steven M. Spurlock, Managing Member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15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SIGNATURE PAGE TO ASANA,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AMENDED AND RESTATED INVESTORS’ RIGHTS AGREEMENT</w:t>
      </w:r>
    </w:p>
    <w:p>
      <w:pPr>
        <w:sectPr>
          <w:pgSz w:w="11900" w:h="16838" w:orient="portrait"/>
          <w:cols w:equalWidth="0" w:num="1">
            <w:col w:w="10060"/>
          </w:cols>
          <w:pgMar w:left="880" w:top="274" w:right="959" w:bottom="1440" w:gutter="0" w:footer="0" w:header="0"/>
        </w:sectPr>
      </w:pPr>
    </w:p>
    <w:bookmarkStart w:id="196" w:name="page197"/>
    <w:bookmarkEnd w:id="19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parties have executed this Amended and Restated Investors’ Rights Agreement as of the date first written above.</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THE INVESTORS: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GENERATION IM CLIMATE SOLUTIONS FUND II,</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L.P.</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By: its general partner, Generation IM Climate Solutions II</w:t>
      </w:r>
    </w:p>
    <w:p>
      <w:pPr>
        <w:spacing w:after="0" w:line="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GP, Ltd</w:t>
      </w:r>
    </w:p>
    <w:p>
      <w:pPr>
        <w:spacing w:after="0" w:line="211"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Peter Huber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Peter Huber</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224"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Fax: [Fax]</w:t>
      </w:r>
    </w:p>
    <w:p>
      <w:pPr>
        <w:spacing w:after="0" w:line="154"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SIGNATURE PAGE TO ASANA, INC.</w:t>
      </w:r>
    </w:p>
    <w:p>
      <w:pPr>
        <w:spacing w:after="0" w:line="27"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AMENDED AND RESTATED INVESTORS’ RIGHTS AGREEMENT</w:t>
      </w:r>
    </w:p>
    <w:p>
      <w:pPr>
        <w:sectPr>
          <w:pgSz w:w="11900" w:h="16838" w:orient="portrait"/>
          <w:cols w:equalWidth="0" w:num="1">
            <w:col w:w="10440"/>
          </w:cols>
          <w:pgMar w:left="880" w:top="274" w:right="579" w:bottom="1440" w:gutter="0" w:footer="0" w:header="0"/>
        </w:sectPr>
      </w:pPr>
    </w:p>
    <w:bookmarkStart w:id="197" w:name="page198"/>
    <w:bookmarkEnd w:id="19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parties have executed this Amended and Restated Investors’ Rights Agreement as of the date first written above.</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THE INVESTORS: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THE FOUNDERS FUND IV, LP</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The Founders Fund IV Management, LLC</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Brian Singerman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Brain Singerman</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Managing Member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220" w:lineRule="exact"/>
        <w:rPr>
          <w:sz w:val="20"/>
          <w:szCs w:val="20"/>
          <w:color w:val="auto"/>
        </w:rPr>
      </w:pPr>
    </w:p>
    <w:p>
      <w:pPr>
        <w:ind w:left="6180"/>
        <w:spacing w:after="0"/>
        <w:rPr>
          <w:sz w:val="20"/>
          <w:szCs w:val="20"/>
          <w:color w:val="auto"/>
        </w:rPr>
      </w:pPr>
      <w:r>
        <w:rPr>
          <w:rFonts w:ascii="Arial" w:cs="Arial" w:eastAsia="Arial" w:hAnsi="Arial"/>
          <w:sz w:val="17"/>
          <w:szCs w:val="17"/>
          <w:b w:val="1"/>
          <w:bCs w:val="1"/>
          <w:color w:val="auto"/>
        </w:rPr>
        <w:t>THE FOUNDERS FUND IV PRINCIPALS FUND, LP</w:t>
      </w:r>
    </w:p>
    <w:p>
      <w:pPr>
        <w:spacing w:after="0" w:line="24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The Founders Fund IV Management, LLC</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Brian Singerman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Brian Singerman</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Managing Member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15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SIGNATURE PAGE TO ASANA, INC.</w:t>
      </w:r>
    </w:p>
    <w:p>
      <w:pPr>
        <w:spacing w:after="0" w:line="27"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AMENDED AND RESTATED INVESTORS’ RIGHTS AGREEMENT</w:t>
      </w:r>
    </w:p>
    <w:p>
      <w:pPr>
        <w:sectPr>
          <w:pgSz w:w="11900" w:h="16838" w:orient="portrait"/>
          <w:cols w:equalWidth="0" w:num="1">
            <w:col w:w="10380"/>
          </w:cols>
          <w:pgMar w:left="880" w:top="274" w:right="639" w:bottom="1440" w:gutter="0" w:footer="0" w:header="0"/>
        </w:sectPr>
      </w:pPr>
    </w:p>
    <w:bookmarkStart w:id="198" w:name="page199"/>
    <w:bookmarkEnd w:id="19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THE INVESTORS: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8VC FUND I, L.P.</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8VC GP I, LLC</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Joe Lonsdale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Joe Lonsdale</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Managing Member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220" w:lineRule="exact"/>
        <w:rPr>
          <w:sz w:val="20"/>
          <w:szCs w:val="20"/>
          <w:color w:val="auto"/>
        </w:rPr>
      </w:pPr>
    </w:p>
    <w:p>
      <w:pPr>
        <w:ind w:left="6180"/>
        <w:spacing w:after="0"/>
        <w:rPr>
          <w:sz w:val="20"/>
          <w:szCs w:val="20"/>
          <w:color w:val="auto"/>
        </w:rPr>
      </w:pPr>
      <w:r>
        <w:rPr>
          <w:rFonts w:ascii="Arial" w:cs="Arial" w:eastAsia="Arial" w:hAnsi="Arial"/>
          <w:sz w:val="17"/>
          <w:szCs w:val="17"/>
          <w:b w:val="1"/>
          <w:bCs w:val="1"/>
          <w:color w:val="auto"/>
        </w:rPr>
        <w:t>8VC ENTREPRENEURS FUND I, L.P.</w:t>
      </w:r>
    </w:p>
    <w:p>
      <w:pPr>
        <w:spacing w:after="0" w:line="24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8VC GP I, LLC</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Joe Lonsdale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Joe Lonsdale</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Managing Member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15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SIGNATURE PAGE TO ASANA, INC.</w:t>
      </w:r>
    </w:p>
    <w:p>
      <w:pPr>
        <w:spacing w:after="0" w:line="27"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AMENDED AND RESTATED INVESTORS’ RIGHTS AGREEMENT</w:t>
      </w:r>
    </w:p>
    <w:p>
      <w:pPr>
        <w:sectPr>
          <w:pgSz w:w="11900" w:h="16838" w:orient="portrait"/>
          <w:cols w:equalWidth="0" w:num="1">
            <w:col w:w="9579"/>
          </w:cols>
          <w:pgMar w:left="880" w:top="274" w:right="1440" w:bottom="1440" w:gutter="0" w:footer="0" w:header="0"/>
        </w:sectPr>
      </w:pPr>
    </w:p>
    <w:bookmarkStart w:id="199" w:name="page200"/>
    <w:bookmarkEnd w:id="19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parties have executed this Amended and Restated Investors’ Rights Agreement as of the date first written above.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THE INVESTORS: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7"/>
          <w:szCs w:val="17"/>
          <w:b w:val="1"/>
          <w:bCs w:val="1"/>
          <w:color w:val="auto"/>
        </w:rPr>
        <w:t>LEC ASANA HOLDINGS, LLC</w:t>
      </w:r>
    </w:p>
    <w:p>
      <w:pPr>
        <w:spacing w:after="0" w:line="241"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Brian Neider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14605</wp:posOffset>
            </wp:positionV>
            <wp:extent cx="245999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14605</wp:posOffset>
            </wp:positionV>
            <wp:extent cx="245999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15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SIGNATURE PAGE TO ASANA, INC.</w:t>
      </w:r>
    </w:p>
    <w:p>
      <w:pPr>
        <w:spacing w:after="0" w:line="27"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AMENDED AND RESTATED INVESTORS’ RIGHTS AGREEMENT</w:t>
      </w:r>
    </w:p>
    <w:p>
      <w:pPr>
        <w:sectPr>
          <w:pgSz w:w="11900" w:h="16838" w:orient="portrait"/>
          <w:cols w:equalWidth="0" w:num="1">
            <w:col w:w="9579"/>
          </w:cols>
          <w:pgMar w:left="880" w:top="274" w:right="1440" w:bottom="1440" w:gutter="0" w:footer="0" w:header="0"/>
        </w:sectPr>
      </w:pPr>
    </w:p>
    <w:bookmarkStart w:id="200" w:name="page201"/>
    <w:bookmarkEnd w:id="20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parties have executed this Amended and Restated Investors’ Rights Agreement as of the date first written above.</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THE INVESTORS: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DIVESH MAKAN AND DISHA MAKAN</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TRUSTEES OF THE MAKAN FAMILY TRUST</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Divesh Makan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Divesh Makan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Trustee</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15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SIGNATURE PAGE TO ASANA,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AMENDED AND RESTATED INVESTORS’ RIGHTS AGREEMENT</w:t>
      </w:r>
    </w:p>
    <w:p>
      <w:pPr>
        <w:sectPr>
          <w:pgSz w:w="11900" w:h="16838" w:orient="portrait"/>
          <w:cols w:equalWidth="0" w:num="1">
            <w:col w:w="9960"/>
          </w:cols>
          <w:pgMar w:left="880" w:top="274" w:right="1059" w:bottom="1440" w:gutter="0" w:footer="0" w:header="0"/>
        </w:sectPr>
      </w:pPr>
    </w:p>
    <w:bookmarkStart w:id="201" w:name="page202"/>
    <w:bookmarkEnd w:id="20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parties have executed this Amended and Restated Investors’ Rights Agreement as of the date first written above.</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THE INVESTORS: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ADITYA AGARWAL &amp; RUCHI SANGHVI TTEES RA</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TRUST DTD 7/30/10</w:t>
      </w:r>
    </w:p>
    <w:p>
      <w:pPr>
        <w:spacing w:after="0" w:line="211"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Aditya Agarwal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Aditya Agarwal</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Trustee</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THE AGARWAL/SANGHVI 2011 IRREVOCABLE</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TRUST</w:t>
      </w:r>
    </w:p>
    <w:p>
      <w:pPr>
        <w:spacing w:after="0" w:line="211"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Aditya Agarwal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Aditya Agarwal</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Trustee</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ADITYA AGARWAL</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Aditya Agarwal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15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SIGNATURE PAGE TO ASANA, INC.</w:t>
      </w:r>
    </w:p>
    <w:p>
      <w:pPr>
        <w:spacing w:after="0" w:line="27"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AMENDED AND RESTATED INVESTORS’ RIGHTS AGREEMENT</w:t>
      </w:r>
    </w:p>
    <w:p>
      <w:pPr>
        <w:sectPr>
          <w:pgSz w:w="11900" w:h="16838" w:orient="portrait"/>
          <w:cols w:equalWidth="0" w:num="1">
            <w:col w:w="10480"/>
          </w:cols>
          <w:pgMar w:left="880" w:top="274" w:right="539" w:bottom="1440" w:gutter="0" w:footer="0" w:header="0"/>
        </w:sectPr>
      </w:pPr>
    </w:p>
    <w:bookmarkStart w:id="202" w:name="page203"/>
    <w:bookmarkEnd w:id="20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parties have executed this Amended and Restated Investors’ Rights Agreement as of the date first written above.</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THE INVESTORS: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WIL FUND I, L.P.</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 Cayman Islands exempted limited partnership</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Its General Partner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By: WiL GP I, L.P., a Cayman Islands exempted limited</w:t>
      </w:r>
    </w:p>
    <w:p>
      <w:pPr>
        <w:spacing w:after="0" w:line="2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partnership</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By: WiL Management I Ltd., a Cayman Islands exempted</w:t>
      </w:r>
    </w:p>
    <w:p>
      <w:pPr>
        <w:spacing w:after="0" w:line="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Gen Isayama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Gen Isayama</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15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SIGNATURE PAGE TO ASANA, INC.</w:t>
      </w:r>
    </w:p>
    <w:p>
      <w:pPr>
        <w:spacing w:after="0" w:line="27"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AMENDED AND RESTATED INVESTORS’ RIGHTS AGREEMENT</w:t>
      </w:r>
    </w:p>
    <w:p>
      <w:pPr>
        <w:sectPr>
          <w:pgSz w:w="11900" w:h="16838" w:orient="portrait"/>
          <w:cols w:equalWidth="0" w:num="1">
            <w:col w:w="10340"/>
          </w:cols>
          <w:pgMar w:left="880" w:top="274" w:right="679" w:bottom="1440" w:gutter="0" w:footer="0" w:header="0"/>
        </w:sectPr>
      </w:pPr>
    </w:p>
    <w:bookmarkStart w:id="203" w:name="page204"/>
    <w:bookmarkEnd w:id="203"/>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1745615</wp:posOffset>
            </wp:positionH>
            <wp:positionV relativeFrom="paragraph">
              <wp:posOffset>308610</wp:posOffset>
            </wp:positionV>
            <wp:extent cx="230568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1745615</wp:posOffset>
            </wp:positionH>
            <wp:positionV relativeFrom="paragraph">
              <wp:posOffset>17145</wp:posOffset>
            </wp:positionV>
            <wp:extent cx="230568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16"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The Founders Fund IV, LP</w:t>
      </w:r>
    </w:p>
    <w:p>
      <w:pPr>
        <w:spacing w:after="0" w:line="229"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1745615</wp:posOffset>
            </wp:positionH>
            <wp:positionV relativeFrom="paragraph">
              <wp:posOffset>288925</wp:posOffset>
            </wp:positionV>
            <wp:extent cx="230568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2740"/>
        <w:spacing w:after="0"/>
        <w:rPr>
          <w:sz w:val="20"/>
          <w:szCs w:val="20"/>
          <w:color w:val="auto"/>
        </w:rPr>
      </w:pPr>
      <w:r>
        <w:rPr>
          <w:rFonts w:ascii="Arial" w:cs="Arial" w:eastAsia="Arial" w:hAnsi="Arial"/>
          <w:sz w:val="17"/>
          <w:szCs w:val="17"/>
          <w:b w:val="1"/>
          <w:bCs w:val="1"/>
          <w:color w:val="auto"/>
        </w:rPr>
        <w:t>The Founders Fund IV Principals Fund, LP</w:t>
      </w:r>
    </w:p>
    <w:p>
      <w:pPr>
        <w:spacing w:after="0" w:line="241"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1745615</wp:posOffset>
            </wp:positionH>
            <wp:positionV relativeFrom="paragraph">
              <wp:posOffset>288925</wp:posOffset>
            </wp:positionV>
            <wp:extent cx="230568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Rivendell 23 LLC</w:t>
      </w:r>
    </w:p>
    <w:p>
      <w:pPr>
        <w:spacing w:after="0" w:line="229"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1745615</wp:posOffset>
            </wp:positionH>
            <wp:positionV relativeFrom="paragraph">
              <wp:posOffset>288925</wp:posOffset>
            </wp:positionV>
            <wp:extent cx="230568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Benchmark Capital Partners VI, L.P.</w:t>
      </w:r>
    </w:p>
    <w:p>
      <w:pPr>
        <w:spacing w:after="0" w:line="229"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1745615</wp:posOffset>
            </wp:positionH>
            <wp:positionV relativeFrom="paragraph">
              <wp:posOffset>288925</wp:posOffset>
            </wp:positionV>
            <wp:extent cx="230568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2740"/>
        <w:spacing w:after="0"/>
        <w:rPr>
          <w:sz w:val="20"/>
          <w:szCs w:val="20"/>
          <w:color w:val="auto"/>
        </w:rPr>
      </w:pPr>
      <w:r>
        <w:rPr>
          <w:rFonts w:ascii="Arial" w:cs="Arial" w:eastAsia="Arial" w:hAnsi="Arial"/>
          <w:sz w:val="16"/>
          <w:szCs w:val="16"/>
          <w:b w:val="1"/>
          <w:bCs w:val="1"/>
          <w:color w:val="auto"/>
        </w:rPr>
        <w:t>Andreessen Horowitz Fund I, L.P., as nominee</w:t>
      </w:r>
    </w:p>
    <w:p>
      <w:pPr>
        <w:spacing w:after="0" w:line="252"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1745615</wp:posOffset>
            </wp:positionH>
            <wp:positionV relativeFrom="paragraph">
              <wp:posOffset>151765</wp:posOffset>
            </wp:positionV>
            <wp:extent cx="230568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4" w:name="page205"/>
    <w:bookmarkEnd w:id="204"/>
    <w:p>
      <w:pPr>
        <w:ind w:left="2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2805430</wp:posOffset>
            </wp:positionH>
            <wp:positionV relativeFrom="page">
              <wp:posOffset>320675</wp:posOffset>
            </wp:positionV>
            <wp:extent cx="223710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237105" cy="8255"/>
                    </a:xfrm>
                    <a:prstGeom prst="rect">
                      <a:avLst/>
                    </a:prstGeom>
                    <a:noFill/>
                  </pic:spPr>
                </pic:pic>
              </a:graphicData>
            </a:graphic>
          </wp:anchor>
        </w:drawing>
        <w:t>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17145</wp:posOffset>
            </wp:positionV>
            <wp:extent cx="223710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16" w:lineRule="exact"/>
        <w:rPr>
          <w:sz w:val="20"/>
          <w:szCs w:val="20"/>
          <w:color w:val="auto"/>
        </w:rPr>
      </w:pPr>
    </w:p>
    <w:p>
      <w:pPr>
        <w:ind w:left="2980"/>
        <w:spacing w:after="0"/>
        <w:rPr>
          <w:sz w:val="20"/>
          <w:szCs w:val="20"/>
          <w:color w:val="auto"/>
        </w:rPr>
      </w:pPr>
      <w:r>
        <w:rPr>
          <w:rFonts w:ascii="Arial" w:cs="Arial" w:eastAsia="Arial" w:hAnsi="Arial"/>
          <w:sz w:val="16"/>
          <w:szCs w:val="16"/>
          <w:b w:val="1"/>
          <w:bCs w:val="1"/>
          <w:color w:val="auto"/>
        </w:rPr>
        <w:t>Ronald &amp; Gayle Conway as Trustees of The</w:t>
      </w:r>
    </w:p>
    <w:p>
      <w:pPr>
        <w:spacing w:after="0" w:line="50"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Conway Family Trust, Dtd. 9/25/96</w:t>
      </w:r>
    </w:p>
    <w:p>
      <w:pPr>
        <w:spacing w:after="0" w:line="211"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288925</wp:posOffset>
            </wp:positionV>
            <wp:extent cx="223710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Owen Van Natta</w:t>
      </w:r>
    </w:p>
    <w:p>
      <w:pPr>
        <w:spacing w:after="0" w:line="22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288925</wp:posOffset>
            </wp:positionV>
            <wp:extent cx="223710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Lining Deng &amp; Song Cui</w:t>
      </w:r>
    </w:p>
    <w:p>
      <w:pPr>
        <w:spacing w:after="0" w:line="22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288925</wp:posOffset>
            </wp:positionV>
            <wp:extent cx="223710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Joseph Green</w:t>
      </w:r>
    </w:p>
    <w:p>
      <w:pPr>
        <w:spacing w:after="0" w:line="22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288925</wp:posOffset>
            </wp:positionV>
            <wp:extent cx="223710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DIVESH MAKAN AND DIKSHA MAKAN</w:t>
      </w:r>
    </w:p>
    <w:p>
      <w:pPr>
        <w:spacing w:after="0" w:line="27" w:lineRule="exact"/>
        <w:rPr>
          <w:sz w:val="20"/>
          <w:szCs w:val="20"/>
          <w:color w:val="auto"/>
        </w:rPr>
      </w:pPr>
    </w:p>
    <w:p>
      <w:pPr>
        <w:ind w:left="2980"/>
        <w:spacing w:after="0"/>
        <w:rPr>
          <w:sz w:val="20"/>
          <w:szCs w:val="20"/>
          <w:color w:val="auto"/>
        </w:rPr>
      </w:pPr>
      <w:r>
        <w:rPr>
          <w:rFonts w:ascii="Arial" w:cs="Arial" w:eastAsia="Arial" w:hAnsi="Arial"/>
          <w:sz w:val="17"/>
          <w:szCs w:val="17"/>
          <w:b w:val="1"/>
          <w:bCs w:val="1"/>
          <w:color w:val="auto"/>
        </w:rPr>
        <w:t>Trustees of the MAKAN FAMILY TRUST</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dtd 10/10/2005</w:t>
      </w:r>
    </w:p>
    <w:p>
      <w:pPr>
        <w:spacing w:after="0" w:line="211"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288925</wp:posOffset>
            </wp:positionV>
            <wp:extent cx="223710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Jed Stremel</w:t>
      </w:r>
    </w:p>
    <w:p>
      <w:pPr>
        <w:spacing w:after="0" w:line="22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288925</wp:posOffset>
            </wp:positionV>
            <wp:extent cx="223710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Aditya Agarwal</w:t>
      </w:r>
    </w:p>
    <w:p>
      <w:pPr>
        <w:spacing w:after="0" w:line="22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1814195</wp:posOffset>
            </wp:positionH>
            <wp:positionV relativeFrom="paragraph">
              <wp:posOffset>151765</wp:posOffset>
            </wp:positionV>
            <wp:extent cx="231457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9019"/>
          </w:cols>
          <w:pgMar w:left="1440" w:top="513" w:right="1440" w:bottom="1440" w:gutter="0" w:footer="0" w:header="0"/>
        </w:sectPr>
      </w:pPr>
    </w:p>
    <w:bookmarkStart w:id="205" w:name="page206"/>
    <w:bookmarkEnd w:id="205"/>
    <w:p>
      <w:pPr>
        <w:ind w:left="27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2660015</wp:posOffset>
            </wp:positionH>
            <wp:positionV relativeFrom="page">
              <wp:posOffset>320675</wp:posOffset>
            </wp:positionV>
            <wp:extent cx="230568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305685" cy="8255"/>
                    </a:xfrm>
                    <a:prstGeom prst="rect">
                      <a:avLst/>
                    </a:prstGeom>
                    <a:noFill/>
                  </pic:spPr>
                </pic:pic>
              </a:graphicData>
            </a:graphic>
          </wp:anchor>
        </w:drawing>
        <w:t>Name and Address</w:t>
      </w:r>
    </w:p>
    <w:p>
      <w:pPr>
        <w:spacing w:after="0" w:line="23"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ADITYA AGARWAL &amp; RUCHI SANGHVI</w:t>
      </w:r>
    </w:p>
    <w:p>
      <w:pPr>
        <w:spacing w:after="0" w:line="23"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TTEES RA TRUST DTD 7/30/10</w:t>
      </w:r>
    </w:p>
    <w:p>
      <w:pPr>
        <w:spacing w:after="0" w:line="211"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1745615</wp:posOffset>
            </wp:positionH>
            <wp:positionV relativeFrom="paragraph">
              <wp:posOffset>288925</wp:posOffset>
            </wp:positionV>
            <wp:extent cx="230568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ADAM D’ANGELO Trustee ADAM</w:t>
      </w:r>
    </w:p>
    <w:p>
      <w:pPr>
        <w:spacing w:after="0" w:line="27"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D’ANGELO REVOCABLE TRUST DTD</w:t>
      </w:r>
    </w:p>
    <w:p>
      <w:pPr>
        <w:spacing w:after="0" w:line="9"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3/13/08</w:t>
      </w:r>
    </w:p>
    <w:p>
      <w:pPr>
        <w:spacing w:after="0" w:line="211"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1745615</wp:posOffset>
            </wp:positionH>
            <wp:positionV relativeFrom="paragraph">
              <wp:posOffset>288925</wp:posOffset>
            </wp:positionV>
            <wp:extent cx="230568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David Jeske</w:t>
      </w:r>
    </w:p>
    <w:p>
      <w:pPr>
        <w:spacing w:after="0" w:line="229"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1745615</wp:posOffset>
            </wp:positionH>
            <wp:positionV relativeFrom="paragraph">
              <wp:posOffset>288925</wp:posOffset>
            </wp:positionV>
            <wp:extent cx="230568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Sean Parker</w:t>
      </w:r>
    </w:p>
    <w:p>
      <w:pPr>
        <w:spacing w:after="0" w:line="229"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[Address]</w:t>
      </w:r>
    </w:p>
    <w:p>
      <w:pPr>
        <w:spacing w:after="0" w:line="224" w:lineRule="exact"/>
        <w:rPr>
          <w:sz w:val="20"/>
          <w:szCs w:val="20"/>
          <w:color w:val="auto"/>
        </w:rPr>
      </w:pPr>
    </w:p>
    <w:p>
      <w:pPr>
        <w:ind w:left="2740"/>
        <w:spacing w:after="0"/>
        <w:rPr>
          <w:sz w:val="20"/>
          <w:szCs w:val="20"/>
          <w:color w:val="auto"/>
        </w:rPr>
      </w:pPr>
      <w:r>
        <w:rPr>
          <w:rFonts w:ascii="Arial" w:cs="Arial" w:eastAsia="Arial" w:hAnsi="Arial"/>
          <w:sz w:val="18"/>
          <w:szCs w:val="18"/>
          <w:i w:val="1"/>
          <w:iCs w:val="1"/>
          <w:color w:val="auto"/>
        </w:rPr>
        <w:t>With a copy to:</w:t>
      </w:r>
    </w:p>
    <w:p>
      <w:pPr>
        <w:spacing w:after="0" w:line="2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1745615</wp:posOffset>
            </wp:positionH>
            <wp:positionV relativeFrom="paragraph">
              <wp:posOffset>288925</wp:posOffset>
            </wp:positionV>
            <wp:extent cx="230568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Peter Thiel</w:t>
      </w:r>
    </w:p>
    <w:p>
      <w:pPr>
        <w:spacing w:after="0" w:line="229"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1745615</wp:posOffset>
            </wp:positionH>
            <wp:positionV relativeFrom="paragraph">
              <wp:posOffset>151765</wp:posOffset>
            </wp:positionV>
            <wp:extent cx="230568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019"/>
          </w:cols>
          <w:pgMar w:left="1440" w:top="517" w:right="1440" w:bottom="1440" w:gutter="0" w:footer="0" w:header="0"/>
        </w:sectPr>
      </w:pPr>
    </w:p>
    <w:bookmarkStart w:id="206" w:name="page207"/>
    <w:bookmarkEnd w:id="206"/>
    <w:p>
      <w:pPr>
        <w:ind w:left="2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2805430</wp:posOffset>
            </wp:positionH>
            <wp:positionV relativeFrom="page">
              <wp:posOffset>320675</wp:posOffset>
            </wp:positionV>
            <wp:extent cx="223710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237105" cy="8255"/>
                    </a:xfrm>
                    <a:prstGeom prst="rect">
                      <a:avLst/>
                    </a:prstGeom>
                    <a:noFill/>
                  </pic:spPr>
                </pic:pic>
              </a:graphicData>
            </a:graphic>
          </wp:anchor>
        </w:drawing>
        <w:t>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17145</wp:posOffset>
            </wp:positionV>
            <wp:extent cx="223710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16"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Mitchell D. Kapor Trust dated 12/03/99</w:t>
      </w:r>
    </w:p>
    <w:p>
      <w:pPr>
        <w:spacing w:after="0" w:line="22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288925</wp:posOffset>
            </wp:positionV>
            <wp:extent cx="223710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TMG Partners, a California corporation</w:t>
      </w:r>
    </w:p>
    <w:p>
      <w:pPr>
        <w:spacing w:after="0" w:line="22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288925</wp:posOffset>
            </wp:positionV>
            <wp:extent cx="223710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Altman Family LLC</w:t>
      </w:r>
    </w:p>
    <w:p>
      <w:pPr>
        <w:spacing w:after="0" w:line="22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288925</wp:posOffset>
            </wp:positionV>
            <wp:extent cx="223710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Mark Zuckerberg Trust DTD 7/7/2006</w:t>
      </w:r>
    </w:p>
    <w:p>
      <w:pPr>
        <w:spacing w:after="0" w:line="22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288925</wp:posOffset>
            </wp:positionV>
            <wp:extent cx="223710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2980"/>
        <w:spacing w:after="0"/>
        <w:rPr>
          <w:sz w:val="20"/>
          <w:szCs w:val="20"/>
          <w:color w:val="auto"/>
        </w:rPr>
      </w:pPr>
      <w:r>
        <w:rPr>
          <w:rFonts w:ascii="Arial" w:cs="Arial" w:eastAsia="Arial" w:hAnsi="Arial"/>
          <w:sz w:val="17"/>
          <w:szCs w:val="17"/>
          <w:b w:val="1"/>
          <w:bCs w:val="1"/>
          <w:color w:val="auto"/>
        </w:rPr>
        <w:t>Christopher K. Cox Revocable Trust DTD</w:t>
      </w:r>
    </w:p>
    <w:p>
      <w:pPr>
        <w:spacing w:after="0" w:line="39"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5/29/2009</w:t>
      </w:r>
    </w:p>
    <w:p>
      <w:pPr>
        <w:spacing w:after="0" w:line="211"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288925</wp:posOffset>
            </wp:positionV>
            <wp:extent cx="223710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2980"/>
        <w:spacing w:after="0"/>
        <w:rPr>
          <w:sz w:val="20"/>
          <w:szCs w:val="20"/>
          <w:color w:val="auto"/>
        </w:rPr>
      </w:pPr>
      <w:r>
        <w:rPr>
          <w:rFonts w:ascii="Arial" w:cs="Arial" w:eastAsia="Arial" w:hAnsi="Arial"/>
          <w:sz w:val="17"/>
          <w:szCs w:val="17"/>
          <w:b w:val="1"/>
          <w:bCs w:val="1"/>
          <w:color w:val="auto"/>
        </w:rPr>
        <w:t>Justin Michael Rosenstein TTEE Justin</w:t>
      </w:r>
    </w:p>
    <w:p>
      <w:pPr>
        <w:spacing w:after="0" w:line="39" w:lineRule="exact"/>
        <w:rPr>
          <w:sz w:val="20"/>
          <w:szCs w:val="20"/>
          <w:color w:val="auto"/>
        </w:rPr>
      </w:pPr>
    </w:p>
    <w:p>
      <w:pPr>
        <w:ind w:left="2980"/>
        <w:spacing w:after="0"/>
        <w:rPr>
          <w:sz w:val="20"/>
          <w:szCs w:val="20"/>
          <w:color w:val="auto"/>
        </w:rPr>
      </w:pPr>
      <w:r>
        <w:rPr>
          <w:rFonts w:ascii="Arial" w:cs="Arial" w:eastAsia="Arial" w:hAnsi="Arial"/>
          <w:sz w:val="16"/>
          <w:szCs w:val="16"/>
          <w:b w:val="1"/>
          <w:bCs w:val="1"/>
          <w:color w:val="auto"/>
        </w:rPr>
        <w:t>Michael Rosenstein REV TR DTD 11/24/08</w:t>
      </w:r>
    </w:p>
    <w:p>
      <w:pPr>
        <w:spacing w:after="0" w:line="234"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1814195</wp:posOffset>
            </wp:positionH>
            <wp:positionV relativeFrom="paragraph">
              <wp:posOffset>151765</wp:posOffset>
            </wp:positionV>
            <wp:extent cx="231457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019"/>
          </w:cols>
          <w:pgMar w:left="1440" w:top="513" w:right="1440" w:bottom="1440" w:gutter="0" w:footer="0" w:header="0"/>
        </w:sectPr>
      </w:pPr>
    </w:p>
    <w:bookmarkStart w:id="207" w:name="page208"/>
    <w:bookmarkEnd w:id="207"/>
    <w:p>
      <w:pPr>
        <w:ind w:left="27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2660015</wp:posOffset>
            </wp:positionH>
            <wp:positionV relativeFrom="page">
              <wp:posOffset>320675</wp:posOffset>
            </wp:positionV>
            <wp:extent cx="230568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305685" cy="8255"/>
                    </a:xfrm>
                    <a:prstGeom prst="rect">
                      <a:avLst/>
                    </a:prstGeom>
                    <a:noFill/>
                  </pic:spPr>
                </pic:pic>
              </a:graphicData>
            </a:graphic>
          </wp:anchor>
        </w:drawing>
        <w:t>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1745615</wp:posOffset>
            </wp:positionH>
            <wp:positionV relativeFrom="paragraph">
              <wp:posOffset>17145</wp:posOffset>
            </wp:positionV>
            <wp:extent cx="230568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16" w:lineRule="exact"/>
        <w:rPr>
          <w:sz w:val="20"/>
          <w:szCs w:val="20"/>
          <w:color w:val="auto"/>
        </w:rPr>
      </w:pPr>
    </w:p>
    <w:p>
      <w:pPr>
        <w:ind w:left="2740"/>
        <w:spacing w:after="0"/>
        <w:rPr>
          <w:sz w:val="20"/>
          <w:szCs w:val="20"/>
          <w:color w:val="auto"/>
        </w:rPr>
      </w:pPr>
      <w:r>
        <w:rPr>
          <w:rFonts w:ascii="Arial" w:cs="Arial" w:eastAsia="Arial" w:hAnsi="Arial"/>
          <w:sz w:val="17"/>
          <w:szCs w:val="17"/>
          <w:b w:val="1"/>
          <w:bCs w:val="1"/>
          <w:color w:val="auto"/>
        </w:rPr>
        <w:t>The Agarwal/Sanghvi 2011 Irrevocable Trust</w:t>
      </w:r>
    </w:p>
    <w:p>
      <w:pPr>
        <w:spacing w:after="0" w:line="241"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1745615</wp:posOffset>
            </wp:positionH>
            <wp:positionV relativeFrom="paragraph">
              <wp:posOffset>288925</wp:posOffset>
            </wp:positionV>
            <wp:extent cx="230568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Makan Family Trust DTD October 10, 2005</w:t>
      </w:r>
    </w:p>
    <w:p>
      <w:pPr>
        <w:spacing w:after="0" w:line="229"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1745615</wp:posOffset>
            </wp:positionH>
            <wp:positionV relativeFrom="paragraph">
              <wp:posOffset>288925</wp:posOffset>
            </wp:positionV>
            <wp:extent cx="230568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8VC Fund I, L.P.</w:t>
      </w:r>
    </w:p>
    <w:p>
      <w:pPr>
        <w:spacing w:after="0" w:line="229"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1745615</wp:posOffset>
            </wp:positionH>
            <wp:positionV relativeFrom="paragraph">
              <wp:posOffset>288925</wp:posOffset>
            </wp:positionV>
            <wp:extent cx="230568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Eric Ries</w:t>
      </w:r>
    </w:p>
    <w:p>
      <w:pPr>
        <w:spacing w:after="0" w:line="229"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1745615</wp:posOffset>
            </wp:positionH>
            <wp:positionV relativeFrom="paragraph">
              <wp:posOffset>288925</wp:posOffset>
            </wp:positionV>
            <wp:extent cx="230568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SEV-VTF V, LP</w:t>
      </w:r>
    </w:p>
    <w:p>
      <w:pPr>
        <w:spacing w:after="0" w:line="229"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1745615</wp:posOffset>
            </wp:positionH>
            <wp:positionV relativeFrom="paragraph">
              <wp:posOffset>288925</wp:posOffset>
            </wp:positionV>
            <wp:extent cx="230568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2740"/>
        <w:spacing w:after="0"/>
        <w:rPr>
          <w:sz w:val="20"/>
          <w:szCs w:val="20"/>
          <w:color w:val="auto"/>
        </w:rPr>
      </w:pPr>
      <w:r>
        <w:rPr>
          <w:rFonts w:ascii="Arial" w:cs="Arial" w:eastAsia="Arial" w:hAnsi="Arial"/>
          <w:sz w:val="16"/>
          <w:szCs w:val="16"/>
          <w:b w:val="1"/>
          <w:bCs w:val="1"/>
          <w:color w:val="auto"/>
        </w:rPr>
        <w:t>Roger B. and Ann K. McNamee Trust U/T/A/D</w:t>
      </w:r>
    </w:p>
    <w:p>
      <w:pPr>
        <w:spacing w:after="0" w:line="5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3/27/96</w:t>
      </w:r>
    </w:p>
    <w:p>
      <w:pPr>
        <w:spacing w:after="0" w:line="211"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1745615</wp:posOffset>
            </wp:positionH>
            <wp:positionV relativeFrom="paragraph">
              <wp:posOffset>288925</wp:posOffset>
            </wp:positionV>
            <wp:extent cx="230568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Naomi Gleit Living Trust</w:t>
      </w:r>
    </w:p>
    <w:p>
      <w:pPr>
        <w:spacing w:after="0" w:line="229"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1677035</wp:posOffset>
            </wp:positionH>
            <wp:positionV relativeFrom="paragraph">
              <wp:posOffset>151765</wp:posOffset>
            </wp:positionV>
            <wp:extent cx="237426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9019"/>
          </w:cols>
          <w:pgMar w:left="1440" w:top="513" w:right="1440" w:bottom="1440" w:gutter="0" w:footer="0" w:header="0"/>
        </w:sectPr>
      </w:pPr>
    </w:p>
    <w:bookmarkStart w:id="208" w:name="page209"/>
    <w:bookmarkEnd w:id="208"/>
    <w:p>
      <w:pPr>
        <w:ind w:left="2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2805430</wp:posOffset>
            </wp:positionH>
            <wp:positionV relativeFrom="page">
              <wp:posOffset>320675</wp:posOffset>
            </wp:positionV>
            <wp:extent cx="223710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237105" cy="8255"/>
                    </a:xfrm>
                    <a:prstGeom prst="rect">
                      <a:avLst/>
                    </a:prstGeom>
                    <a:noFill/>
                  </pic:spPr>
                </pic:pic>
              </a:graphicData>
            </a:graphic>
          </wp:anchor>
        </w:drawing>
        <w:t>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17145</wp:posOffset>
            </wp:positionV>
            <wp:extent cx="223710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16"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Mandible Media Investments LLC</w:t>
      </w:r>
    </w:p>
    <w:p>
      <w:pPr>
        <w:spacing w:after="0" w:line="22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288925</wp:posOffset>
            </wp:positionV>
            <wp:extent cx="223710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Dustin A. Moskovitz TTEE Dustin A.</w:t>
      </w:r>
    </w:p>
    <w:p>
      <w:pPr>
        <w:spacing w:after="0" w:line="27"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Moskovitz Trust DTD 12/27/05</w:t>
      </w:r>
    </w:p>
    <w:p>
      <w:pPr>
        <w:spacing w:after="0" w:line="211"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288925</wp:posOffset>
            </wp:positionV>
            <wp:extent cx="223710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2980"/>
        <w:spacing w:after="0"/>
        <w:rPr>
          <w:sz w:val="20"/>
          <w:szCs w:val="20"/>
          <w:color w:val="auto"/>
        </w:rPr>
      </w:pPr>
      <w:r>
        <w:rPr>
          <w:rFonts w:ascii="Arial" w:cs="Arial" w:eastAsia="Arial" w:hAnsi="Arial"/>
          <w:sz w:val="16"/>
          <w:szCs w:val="16"/>
          <w:b w:val="1"/>
          <w:bCs w:val="1"/>
          <w:color w:val="auto"/>
        </w:rPr>
        <w:t>Dustin A Moskovitz 2008 Annuity Trust DTD</w:t>
      </w:r>
    </w:p>
    <w:p>
      <w:pPr>
        <w:spacing w:after="0" w:line="50"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3/10/08</w:t>
      </w:r>
    </w:p>
    <w:p>
      <w:pPr>
        <w:spacing w:after="0" w:line="211"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288925</wp:posOffset>
            </wp:positionV>
            <wp:extent cx="223710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Moskovitz Investment Holdings, LLC</w:t>
      </w:r>
    </w:p>
    <w:p>
      <w:pPr>
        <w:spacing w:after="0" w:line="22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288925</wp:posOffset>
            </wp:positionV>
            <wp:extent cx="223710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8VC Entrepreneurs Fund I, L.P.</w:t>
      </w:r>
    </w:p>
    <w:p>
      <w:pPr>
        <w:spacing w:after="0" w:line="22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288925</wp:posOffset>
            </wp:positionV>
            <wp:extent cx="223710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Generation IM Climate Solutions Fund II,</w:t>
      </w:r>
    </w:p>
    <w:p>
      <w:pPr>
        <w:spacing w:after="0" w:line="27"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L.P.</w:t>
      </w:r>
    </w:p>
    <w:p>
      <w:pPr>
        <w:spacing w:after="0" w:line="211"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1814195</wp:posOffset>
            </wp:positionH>
            <wp:positionV relativeFrom="paragraph">
              <wp:posOffset>151765</wp:posOffset>
            </wp:positionV>
            <wp:extent cx="231457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9019"/>
          </w:cols>
          <w:pgMar w:left="1440" w:top="513" w:right="1440" w:bottom="1440" w:gutter="0" w:footer="0" w:header="0"/>
        </w:sectPr>
      </w:pPr>
    </w:p>
    <w:bookmarkStart w:id="209" w:name="page210"/>
    <w:bookmarkEnd w:id="209"/>
    <w:p>
      <w:pPr>
        <w:ind w:left="27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2660015</wp:posOffset>
            </wp:positionH>
            <wp:positionV relativeFrom="page">
              <wp:posOffset>320675</wp:posOffset>
            </wp:positionV>
            <wp:extent cx="230568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305685" cy="8255"/>
                    </a:xfrm>
                    <a:prstGeom prst="rect">
                      <a:avLst/>
                    </a:prstGeom>
                    <a:noFill/>
                  </pic:spPr>
                </pic:pic>
              </a:graphicData>
            </a:graphic>
          </wp:anchor>
        </w:drawing>
        <w:t>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1745615</wp:posOffset>
            </wp:positionH>
            <wp:positionV relativeFrom="paragraph">
              <wp:posOffset>17145</wp:posOffset>
            </wp:positionV>
            <wp:extent cx="230568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16" w:lineRule="exact"/>
        <w:rPr>
          <w:sz w:val="20"/>
          <w:szCs w:val="20"/>
          <w:color w:val="auto"/>
        </w:rPr>
      </w:pPr>
    </w:p>
    <w:p>
      <w:pPr>
        <w:ind w:left="2740"/>
        <w:spacing w:after="0"/>
        <w:rPr>
          <w:sz w:val="20"/>
          <w:szCs w:val="20"/>
          <w:color w:val="auto"/>
        </w:rPr>
      </w:pPr>
      <w:r>
        <w:rPr>
          <w:rFonts w:ascii="Arial" w:cs="Arial" w:eastAsia="Arial" w:hAnsi="Arial"/>
          <w:sz w:val="17"/>
          <w:szCs w:val="17"/>
          <w:b w:val="1"/>
          <w:bCs w:val="1"/>
          <w:color w:val="auto"/>
        </w:rPr>
        <w:t>LEC Asana Holdings, LLC</w:t>
      </w:r>
    </w:p>
    <w:p>
      <w:pPr>
        <w:spacing w:after="0" w:line="241"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1745615</wp:posOffset>
            </wp:positionH>
            <wp:positionV relativeFrom="paragraph">
              <wp:posOffset>288925</wp:posOffset>
            </wp:positionV>
            <wp:extent cx="230568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WiL Fund I, L.P.</w:t>
      </w:r>
    </w:p>
    <w:p>
      <w:pPr>
        <w:spacing w:after="0" w:line="229"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1677035</wp:posOffset>
            </wp:positionH>
            <wp:positionV relativeFrom="paragraph">
              <wp:posOffset>151765</wp:posOffset>
            </wp:positionV>
            <wp:extent cx="237426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9019"/>
          </w:cols>
          <w:pgMar w:left="1440" w:top="513" w:right="1440" w:bottom="1440" w:gutter="0" w:footer="0" w:header="0"/>
        </w:sectPr>
      </w:pPr>
    </w:p>
    <w:bookmarkStart w:id="210" w:name="page211"/>
    <w:bookmarkEnd w:id="210"/>
    <w:p>
      <w:pPr>
        <w:ind w:left="10180"/>
        <w:spacing w:after="0"/>
        <w:rPr>
          <w:sz w:val="20"/>
          <w:szCs w:val="20"/>
          <w:color w:val="auto"/>
        </w:rPr>
      </w:pPr>
      <w:r>
        <w:rPr>
          <w:rFonts w:ascii="Arial" w:cs="Arial" w:eastAsia="Arial" w:hAnsi="Arial"/>
          <w:sz w:val="16"/>
          <w:szCs w:val="16"/>
          <w:b w:val="1"/>
          <w:bCs w:val="1"/>
          <w:color w:val="auto"/>
        </w:rPr>
        <w:t>Exhibit 4.3</w:t>
      </w:r>
    </w:p>
    <w:p>
      <w:pPr>
        <w:spacing w:after="0" w:line="248"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AS THE SECURITIES REPRESENTED BY THIS CERTIFICATE HAVE NOT BEEN REGISTERED UNDER THE SECURITIES ACT OF 1933, AS AMENDED, AND HAVE BEEN ACQUIRED FOR INVESTMENT AND NOT WITH A VIEW TO, OR IN CONNECTION WITH, THE SALE OR DISTRIBUTION THEREOF. NO SUCH SALE OR DISTRIBUTION MAY BE EFFECTED WITHOUT AN EFFECTIVE REGISTRATION STATEMENT RELATED THERETO OR AN OPINION OF COUNSEL IN A FORM SATISFACTORY TO THE COMPANY THAT SUCH REGISTRATION IS NOT REQUIRED UNDER THE SECURITIES ACT OF 1933, AS AMENDED.</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060" w:type="dxa"/>
            <w:vAlign w:val="bottom"/>
            <w:gridSpan w:val="3"/>
          </w:tcPr>
          <w:p>
            <w:pPr>
              <w:jc w:val="right"/>
              <w:ind w:right="3890"/>
              <w:spacing w:after="0"/>
              <w:rPr>
                <w:sz w:val="20"/>
                <w:szCs w:val="20"/>
                <w:color w:val="auto"/>
              </w:rPr>
            </w:pPr>
            <w:r>
              <w:rPr>
                <w:rFonts w:ascii="Arial" w:cs="Arial" w:eastAsia="Arial" w:hAnsi="Arial"/>
                <w:sz w:val="18"/>
                <w:szCs w:val="18"/>
                <w:b w:val="1"/>
                <w:bCs w:val="1"/>
                <w:color w:val="auto"/>
                <w:w w:val="98"/>
              </w:rPr>
              <w:t>UNSECURED SENIOR MANDATORY</w:t>
            </w:r>
          </w:p>
        </w:tc>
      </w:tr>
      <w:tr>
        <w:trPr>
          <w:trHeight w:val="20"/>
        </w:trPr>
        <w:tc>
          <w:tcPr>
            <w:tcW w:w="2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196"/>
        </w:trPr>
        <w:tc>
          <w:tcPr>
            <w:tcW w:w="2080" w:type="dxa"/>
            <w:vAlign w:val="bottom"/>
          </w:tcPr>
          <w:p>
            <w:pPr>
              <w:spacing w:after="0"/>
              <w:rPr>
                <w:sz w:val="17"/>
                <w:szCs w:val="17"/>
                <w:color w:val="auto"/>
              </w:rPr>
            </w:pPr>
          </w:p>
        </w:tc>
        <w:tc>
          <w:tcPr>
            <w:tcW w:w="8940" w:type="dxa"/>
            <w:vAlign w:val="bottom"/>
            <w:gridSpan w:val="5"/>
          </w:tcPr>
          <w:p>
            <w:pPr>
              <w:jc w:val="right"/>
              <w:ind w:right="2850"/>
              <w:spacing w:after="0" w:line="196" w:lineRule="exact"/>
              <w:rPr>
                <w:sz w:val="20"/>
                <w:szCs w:val="20"/>
                <w:color w:val="auto"/>
              </w:rPr>
            </w:pPr>
            <w:r>
              <w:rPr>
                <w:rFonts w:ascii="Arial" w:cs="Arial" w:eastAsia="Arial" w:hAnsi="Arial"/>
                <w:sz w:val="18"/>
                <w:szCs w:val="18"/>
                <w:b w:val="1"/>
                <w:bCs w:val="1"/>
                <w:color w:val="auto"/>
              </w:rPr>
              <w:t>CONVERTIBLE PROMISSORY NOTE DUE JANUARY 30, 2025</w:t>
            </w:r>
          </w:p>
        </w:tc>
      </w:tr>
      <w:tr>
        <w:trPr>
          <w:trHeight w:val="461"/>
        </w:trPr>
        <w:tc>
          <w:tcPr>
            <w:tcW w:w="2080" w:type="dxa"/>
            <w:vAlign w:val="bottom"/>
          </w:tcPr>
          <w:p>
            <w:pPr>
              <w:jc w:val="right"/>
              <w:ind w:right="770"/>
              <w:spacing w:after="0"/>
              <w:rPr>
                <w:sz w:val="20"/>
                <w:szCs w:val="20"/>
                <w:color w:val="auto"/>
              </w:rPr>
            </w:pPr>
            <w:r>
              <w:rPr>
                <w:rFonts w:ascii="Arial" w:cs="Arial" w:eastAsia="Arial" w:hAnsi="Arial"/>
                <w:sz w:val="18"/>
                <w:szCs w:val="18"/>
                <w:b w:val="1"/>
                <w:bCs w:val="1"/>
                <w:color w:val="auto"/>
                <w:w w:val="88"/>
              </w:rPr>
              <w:t>$300,000,000.00</w:t>
            </w:r>
          </w:p>
        </w:tc>
        <w:tc>
          <w:tcPr>
            <w:tcW w:w="86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0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940" w:type="dxa"/>
            <w:vAlign w:val="bottom"/>
          </w:tcPr>
          <w:p>
            <w:pPr>
              <w:jc w:val="right"/>
              <w:spacing w:after="0"/>
              <w:rPr>
                <w:sz w:val="20"/>
                <w:szCs w:val="20"/>
                <w:color w:val="auto"/>
              </w:rPr>
            </w:pPr>
            <w:r>
              <w:rPr>
                <w:rFonts w:ascii="Arial" w:cs="Arial" w:eastAsia="Arial" w:hAnsi="Arial"/>
                <w:sz w:val="18"/>
                <w:szCs w:val="18"/>
                <w:b w:val="1"/>
                <w:bCs w:val="1"/>
                <w:color w:val="auto"/>
              </w:rPr>
              <w:t>January 30, 2020</w:t>
            </w:r>
          </w:p>
        </w:tc>
      </w:tr>
      <w:tr>
        <w:trPr>
          <w:trHeight w:val="234"/>
        </w:trPr>
        <w:tc>
          <w:tcPr>
            <w:tcW w:w="20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940" w:type="dxa"/>
            <w:vAlign w:val="bottom"/>
          </w:tcPr>
          <w:p>
            <w:pPr>
              <w:jc w:val="right"/>
              <w:spacing w:after="0"/>
              <w:rPr>
                <w:sz w:val="20"/>
                <w:szCs w:val="20"/>
                <w:color w:val="auto"/>
              </w:rPr>
            </w:pPr>
            <w:r>
              <w:rPr>
                <w:rFonts w:ascii="Arial" w:cs="Arial" w:eastAsia="Arial" w:hAnsi="Arial"/>
                <w:sz w:val="18"/>
                <w:szCs w:val="18"/>
                <w:b w:val="1"/>
                <w:bCs w:val="1"/>
                <w:color w:val="auto"/>
              </w:rPr>
              <w:t>San Francisco, California</w:t>
            </w:r>
          </w:p>
        </w:tc>
      </w:tr>
    </w:tbl>
    <w:p>
      <w:pPr>
        <w:spacing w:after="0" w:line="198" w:lineRule="exact"/>
        <w:rPr>
          <w:sz w:val="20"/>
          <w:szCs w:val="20"/>
          <w:color w:val="auto"/>
        </w:rPr>
      </w:pPr>
    </w:p>
    <w:p>
      <w:pPr>
        <w:ind w:right="100" w:firstLine="440"/>
        <w:spacing w:after="0" w:line="274" w:lineRule="auto"/>
        <w:rPr>
          <w:sz w:val="20"/>
          <w:szCs w:val="20"/>
          <w:color w:val="auto"/>
        </w:rPr>
      </w:pPr>
      <w:r>
        <w:rPr>
          <w:rFonts w:ascii="Arial" w:cs="Arial" w:eastAsia="Arial" w:hAnsi="Arial"/>
          <w:sz w:val="17"/>
          <w:szCs w:val="17"/>
          <w:color w:val="auto"/>
        </w:rPr>
        <w:t>For value received, Asana,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promises to pay to </w:t>
      </w:r>
      <w:r>
        <w:rPr>
          <w:rFonts w:ascii="Arial" w:cs="Arial" w:eastAsia="Arial" w:hAnsi="Arial"/>
          <w:sz w:val="17"/>
          <w:szCs w:val="17"/>
          <w:b w:val="1"/>
          <w:bCs w:val="1"/>
          <w:color w:val="auto"/>
        </w:rPr>
        <w:t>Dustin A. Moskovitz TTEE Dustin A. Moskovitz</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Trust DTD 12/27/05 </w:t>
      </w:r>
      <w:r>
        <w:rPr>
          <w:rFonts w:ascii="Arial" w:cs="Arial" w:eastAsia="Arial" w:hAnsi="Arial"/>
          <w:sz w:val="17"/>
          <w:szCs w:val="17"/>
          <w:color w:val="auto"/>
        </w:rPr>
        <w:t>(the “</w:t>
      </w:r>
      <w:r>
        <w:rPr>
          <w:rFonts w:ascii="Arial" w:cs="Arial" w:eastAsia="Arial" w:hAnsi="Arial"/>
          <w:sz w:val="17"/>
          <w:szCs w:val="17"/>
          <w:u w:val="single" w:color="auto"/>
          <w:color w:val="auto"/>
        </w:rPr>
        <w:t>Holder</w:t>
      </w:r>
      <w:r>
        <w:rPr>
          <w:rFonts w:ascii="Arial" w:cs="Arial" w:eastAsia="Arial" w:hAnsi="Arial"/>
          <w:sz w:val="17"/>
          <w:szCs w:val="17"/>
          <w:color w:val="auto"/>
        </w:rPr>
        <w:t>”), the principal sum of</w:t>
      </w:r>
      <w:r>
        <w:rPr>
          <w:rFonts w:ascii="Arial" w:cs="Arial" w:eastAsia="Arial" w:hAnsi="Arial"/>
          <w:sz w:val="17"/>
          <w:szCs w:val="17"/>
          <w:b w:val="1"/>
          <w:bCs w:val="1"/>
          <w:color w:val="auto"/>
        </w:rPr>
        <w:t xml:space="preserve"> $300,000,000.00</w:t>
      </w:r>
      <w:r>
        <w:rPr>
          <w:rFonts w:ascii="Arial" w:cs="Arial" w:eastAsia="Arial" w:hAnsi="Arial"/>
          <w:sz w:val="17"/>
          <w:szCs w:val="17"/>
          <w:color w:val="auto"/>
        </w:rPr>
        <w:t>. Interest shall accrue from the date of this Unsecured Senior Mandatory</w:t>
      </w:r>
      <w:r>
        <w:rPr>
          <w:rFonts w:ascii="Arial" w:cs="Arial" w:eastAsia="Arial" w:hAnsi="Arial"/>
          <w:sz w:val="17"/>
          <w:szCs w:val="17"/>
          <w:b w:val="1"/>
          <w:bCs w:val="1"/>
          <w:color w:val="auto"/>
        </w:rPr>
        <w:t xml:space="preserve"> </w:t>
      </w:r>
      <w:r>
        <w:rPr>
          <w:rFonts w:ascii="Arial" w:cs="Arial" w:eastAsia="Arial" w:hAnsi="Arial"/>
          <w:sz w:val="17"/>
          <w:szCs w:val="17"/>
          <w:color w:val="auto"/>
        </w:rPr>
        <w:t>Convertible Promissory Note due January 30, 2025 (this “</w:t>
      </w:r>
      <w:r>
        <w:rPr>
          <w:rFonts w:ascii="Arial" w:cs="Arial" w:eastAsia="Arial" w:hAnsi="Arial"/>
          <w:sz w:val="17"/>
          <w:szCs w:val="17"/>
          <w:u w:val="single" w:color="auto"/>
          <w:color w:val="auto"/>
        </w:rPr>
        <w:t>Note</w:t>
      </w:r>
      <w:r>
        <w:rPr>
          <w:rFonts w:ascii="Arial" w:cs="Arial" w:eastAsia="Arial" w:hAnsi="Arial"/>
          <w:sz w:val="17"/>
          <w:szCs w:val="17"/>
          <w:color w:val="auto"/>
        </w:rPr>
        <w:t>”) on the unpaid principal amount at a rate equal to 3.5% per annum, which shall compound annually and, subject to the provisions of Section 3, only be paid in shares of the Company’s capital stock upon conversion of this Note pursuant to Section 2. This Note is issued pursuant to that certain Unsecured Senior Mandatory Convertible Note Purchase Agreement dated as January 30, 2020 (the “</w:t>
      </w:r>
      <w:r>
        <w:rPr>
          <w:rFonts w:ascii="Arial" w:cs="Arial" w:eastAsia="Arial" w:hAnsi="Arial"/>
          <w:sz w:val="17"/>
          <w:szCs w:val="17"/>
          <w:u w:val="single" w:color="auto"/>
          <w:color w:val="auto"/>
        </w:rPr>
        <w:t>Purchase Agreement</w:t>
      </w:r>
      <w:r>
        <w:rPr>
          <w:rFonts w:ascii="Arial" w:cs="Arial" w:eastAsia="Arial" w:hAnsi="Arial"/>
          <w:sz w:val="17"/>
          <w:szCs w:val="17"/>
          <w:color w:val="auto"/>
        </w:rPr>
        <w:t>”). This Note is subject to the following terms and conditions.</w:t>
      </w:r>
    </w:p>
    <w:p>
      <w:pPr>
        <w:spacing w:after="0" w:line="173" w:lineRule="exact"/>
        <w:rPr>
          <w:sz w:val="20"/>
          <w:szCs w:val="20"/>
          <w:color w:val="auto"/>
        </w:rPr>
      </w:pPr>
    </w:p>
    <w:p>
      <w:pPr>
        <w:ind w:left="440"/>
        <w:spacing w:after="0"/>
        <w:tabs>
          <w:tab w:leader="none" w:pos="7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b w:val="1"/>
          <w:bCs w:val="1"/>
          <w:u w:val="single" w:color="auto"/>
          <w:color w:val="auto"/>
        </w:rPr>
        <w:t>Definitions</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The following terms used in this Note have the meanings specified in this Section 1:</w:t>
      </w:r>
    </w:p>
    <w:p>
      <w:pPr>
        <w:spacing w:after="0" w:line="229"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a Sunday or a day on which the Federal Reserve Bank of New York is authorized or required by law or executive order to close or be closed.</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w:t>
      </w:r>
    </w:p>
    <w:p>
      <w:pPr>
        <w:spacing w:after="0" w:line="225" w:lineRule="exact"/>
        <w:rPr>
          <w:sz w:val="20"/>
          <w:szCs w:val="20"/>
          <w:color w:val="auto"/>
        </w:rPr>
      </w:pPr>
    </w:p>
    <w:p>
      <w:pPr>
        <w:ind w:right="340" w:firstLine="1428"/>
        <w:spacing w:after="0" w:line="259" w:lineRule="auto"/>
        <w:tabs>
          <w:tab w:leader="none" w:pos="1812"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 sale of all or substantially all of the Company’s assets other than to a corporation or other entity of which the holders of voting capital stock of the Company outstanding immediately prior to the applicable transaction are the direct or indirect holders of voting securities representing at least a majority of the votes entitled to be cast by all of such corporation’s or other entity’s voting securities outstanding immediately after such transaction (such other corporation or other entity, an “</w:t>
      </w:r>
      <w:r>
        <w:rPr>
          <w:rFonts w:ascii="Arial" w:cs="Arial" w:eastAsia="Arial" w:hAnsi="Arial"/>
          <w:sz w:val="18"/>
          <w:szCs w:val="18"/>
          <w:u w:val="single" w:color="auto"/>
          <w:color w:val="auto"/>
        </w:rPr>
        <w:t>Excluded Entity</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580" w:firstLine="1428"/>
        <w:spacing w:after="0" w:line="277" w:lineRule="auto"/>
        <w:tabs>
          <w:tab w:leader="none" w:pos="1822"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 merger, consolidation or other capital reorganization or business combination transaction of the Company with or into another corporation or other entity other than an Excluded Entity;</w:t>
      </w:r>
    </w:p>
    <w:p>
      <w:pPr>
        <w:spacing w:after="0" w:line="170" w:lineRule="exact"/>
        <w:rPr>
          <w:rFonts w:ascii="Arial" w:cs="Arial" w:eastAsia="Arial" w:hAnsi="Arial"/>
          <w:sz w:val="18"/>
          <w:szCs w:val="18"/>
          <w:color w:val="auto"/>
        </w:rPr>
      </w:pPr>
    </w:p>
    <w:p>
      <w:pPr>
        <w:jc w:val="both"/>
        <w:ind w:right="320" w:firstLine="1428"/>
        <w:spacing w:after="0" w:line="263" w:lineRule="auto"/>
        <w:tabs>
          <w:tab w:leader="none" w:pos="1812"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consummation of a transaction, or series of related transactions, in which any “person” (as such term is used in Sections 13(d) and 14(d) of the Exchange Act (as defined below) becomes the “beneficial owner” (as defined in Rule 13d-3 of the Exchange Act), directly or indirectly, of more than 50% of the Company’s then outstanding voting securities; or</w:t>
      </w:r>
    </w:p>
    <w:p>
      <w:pPr>
        <w:sectPr>
          <w:pgSz w:w="11900" w:h="16838" w:orient="portrait"/>
          <w:cols w:equalWidth="0" w:num="1">
            <w:col w:w="11020"/>
          </w:cols>
          <w:pgMar w:left="440" w:top="121" w:right="439" w:bottom="1440" w:gutter="0" w:footer="0" w:header="0"/>
        </w:sectPr>
      </w:pPr>
    </w:p>
    <w:bookmarkStart w:id="211" w:name="page212"/>
    <w:bookmarkEnd w:id="211"/>
    <w:p>
      <w:pPr>
        <w:ind w:right="200" w:firstLine="1428"/>
        <w:spacing w:after="0" w:line="263" w:lineRule="auto"/>
        <w:tabs>
          <w:tab w:leader="none" w:pos="1822" w:val="left"/>
        </w:tabs>
        <w:numPr>
          <w:ilvl w:val="0"/>
          <w:numId w:val="1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 reclassification of the Class A Common Stock (other than a change as a result of a subdivision or combination of Common Stock to which Sections 1 and 2 of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applies or as a result of any recapitalization of the Company’s capital stock in connection with the Public Listing (as defined below));</w:t>
      </w:r>
    </w:p>
    <w:p>
      <w:pPr>
        <w:spacing w:after="0" w:line="18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provided, however, that a transaction, or series of related transactions, shall not constitute a Change of Control if its purpose is to (i) change the jurisdiction of the Company’s incorporation, (ii) create a holding company that will be owned in substantially the same proportions by the persons who hold the Company’s securities immediately before such transaction, or (iii) obtain funding for the Company in a financing that is approved by the Company’s Board of Directors.</w:t>
      </w:r>
    </w:p>
    <w:p>
      <w:pPr>
        <w:spacing w:after="0" w:line="187" w:lineRule="exact"/>
        <w:rPr>
          <w:sz w:val="20"/>
          <w:szCs w:val="20"/>
          <w:color w:val="auto"/>
        </w:rPr>
      </w:pPr>
    </w:p>
    <w:p>
      <w:pPr>
        <w:ind w:right="1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or “</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Company’s Class A Common Stock, par value $0.00001 per share (as such stock may be renamed or reclassified from time to time, including as a result of any recapitalization of the Company’s capital stock in connection with the Public Listing).</w:t>
      </w:r>
    </w:p>
    <w:p>
      <w:pPr>
        <w:spacing w:after="0" w:line="184" w:lineRule="exact"/>
        <w:rPr>
          <w:sz w:val="20"/>
          <w:szCs w:val="20"/>
          <w:color w:val="auto"/>
        </w:rPr>
      </w:pPr>
    </w:p>
    <w:p>
      <w:pPr>
        <w:ind w:right="4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B Common Stock</w:t>
      </w:r>
      <w:r>
        <w:rPr>
          <w:rFonts w:ascii="Arial" w:cs="Arial" w:eastAsia="Arial" w:hAnsi="Arial"/>
          <w:sz w:val="16"/>
          <w:szCs w:val="16"/>
          <w:color w:val="auto"/>
        </w:rPr>
        <w:t>” means the Company’s Class B Common Stock, par value $0.00001 per share (as such stock may be renamed or reclassified from time to time, including as a result of any recapitalization of the Company’s capital stock in connection with the Public Listing).</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Close of Business</w:t>
      </w:r>
      <w:r>
        <w:rPr>
          <w:rFonts w:ascii="Arial" w:cs="Arial" w:eastAsia="Arial" w:hAnsi="Arial"/>
          <w:sz w:val="18"/>
          <w:szCs w:val="18"/>
          <w:color w:val="auto"/>
        </w:rPr>
        <w:t>” means 5:00 p.m., New York City time.</w:t>
      </w:r>
    </w:p>
    <w:p>
      <w:pPr>
        <w:spacing w:after="0" w:line="225" w:lineRule="exact"/>
        <w:rPr>
          <w:sz w:val="20"/>
          <w:szCs w:val="20"/>
          <w:color w:val="auto"/>
        </w:rPr>
      </w:pPr>
    </w:p>
    <w:p>
      <w:pPr>
        <w:ind w:firstLine="99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Closing Sale Price</w:t>
      </w:r>
      <w:r>
        <w:rPr>
          <w:rFonts w:ascii="Arial" w:cs="Arial" w:eastAsia="Arial" w:hAnsi="Arial"/>
          <w:sz w:val="17"/>
          <w:szCs w:val="17"/>
          <w:color w:val="auto"/>
        </w:rPr>
        <w:t>” on any date means the per share price of the Listed Stock on such date, determined (i) on the basis of the closing sale price per share (or if no closing sale price per share is reported, the average of the bid and ask prices or, if more than one in either case, the average of the average bid and the average ask prices) on that date as reported in the composite transactions for the principal U.S. national securities exchange or market on which the Listed Stock is then listed; or (ii) if the Listed Stock is not listed on a U.S. national securities exchange on the relevant date, the last quoted bid price for the Listed Stock on the relevant date, as reported by OTC Markets Group, Inc. or a similar organization; provided, however, that in the absence of any such report or quotation, the “Closing Sale Price” shall be the price determined by a nationally recognized independent investment banking firm retained by the Company for such purpose as most accurately reflecting the per share price that a fully informed buyer, acting on his own accord, would pay to a fully informed seller, acting on his own accord in an arms-length transaction, for one share of Listed Stock. The Closing Sale Price shall be determined without reference to after-hours or extended market trading.</w:t>
      </w:r>
    </w:p>
    <w:p>
      <w:pPr>
        <w:spacing w:after="0" w:line="181" w:lineRule="exact"/>
        <w:rPr>
          <w:sz w:val="20"/>
          <w:szCs w:val="20"/>
          <w:color w:val="auto"/>
        </w:rPr>
      </w:pPr>
    </w:p>
    <w:p>
      <w:pPr>
        <w:ind w:right="22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Conversion Amount</w:t>
      </w:r>
      <w:r>
        <w:rPr>
          <w:rFonts w:ascii="Arial" w:cs="Arial" w:eastAsia="Arial" w:hAnsi="Arial"/>
          <w:sz w:val="17"/>
          <w:szCs w:val="17"/>
          <w:color w:val="auto"/>
        </w:rPr>
        <w:t>” means the entire unpaid principal sum of this Note, together with the amount of interest that would have accrued thereon from the date of this Note until the Maturity Date (regardless of whether this Note is converted prior to the Maturity Date).</w:t>
      </w:r>
    </w:p>
    <w:p>
      <w:pPr>
        <w:spacing w:after="0" w:line="1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Price</w:t>
      </w:r>
      <w:r>
        <w:rPr>
          <w:rFonts w:ascii="Arial" w:cs="Arial" w:eastAsia="Arial" w:hAnsi="Arial"/>
          <w:sz w:val="18"/>
          <w:szCs w:val="18"/>
          <w:color w:val="auto"/>
        </w:rPr>
        <w:t>” means as of any date, $1,000 divided by the Conversion Rate as of such date.</w:t>
      </w:r>
    </w:p>
    <w:p>
      <w:pPr>
        <w:spacing w:after="0" w:line="225"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Rate</w:t>
      </w:r>
      <w:r>
        <w:rPr>
          <w:rFonts w:ascii="Arial" w:cs="Arial" w:eastAsia="Arial" w:hAnsi="Arial"/>
          <w:sz w:val="18"/>
          <w:szCs w:val="18"/>
          <w:color w:val="auto"/>
        </w:rPr>
        <w:t xml:space="preserve">” shall initially be 31.6649, subject to adjustment for any stock splits, stock dividends, reclassifications or the like prior to the Public Listing and as provided in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hereof after the Public Listing.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212" w:name="page213"/>
    <w:bookmarkEnd w:id="212"/>
    <w:p>
      <w:pPr>
        <w:ind w:right="160" w:firstLine="991"/>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7"/>
          <w:szCs w:val="17"/>
          <w:u w:val="single" w:color="auto"/>
          <w:color w:val="auto"/>
        </w:rPr>
        <w:t>Daily VWAP</w:t>
      </w:r>
      <w:r>
        <w:rPr>
          <w:rFonts w:ascii="Arial" w:cs="Arial" w:eastAsia="Arial" w:hAnsi="Arial"/>
          <w:sz w:val="17"/>
          <w:szCs w:val="17"/>
          <w:color w:val="auto"/>
        </w:rPr>
        <w:t>” means, for each Trading Day during the relevant Observation Period, the per share volume-weighted average price as displayed under the heading “Bloomberg VWAP” on Bloomberg page for the Listed Stock (e.g., “[The ticker symbol for the Company] &lt;EQUITY&gt; AQR” (or its equivalent successor if such page is not available) in respect of the period from the scheduled open of trading until the scheduled close of trading of the primary trading session on such Trading Day (or if such volume-weighted average price is unavailable, the market value of one share of Listed Stock on such Trading Day determined, using a volume-weighted average method, by a nationally recognized independent investment banking firm retained for this purpose by the Company). The “Daily VWAP” shall be determined without regard to after-hours trading or any other trading outside of the regular trading session trading hours.</w:t>
      </w:r>
    </w:p>
    <w:p>
      <w:pPr>
        <w:spacing w:after="0" w:line="177" w:lineRule="exact"/>
        <w:rPr>
          <w:sz w:val="20"/>
          <w:szCs w:val="20"/>
          <w:color w:val="auto"/>
        </w:rPr>
      </w:pPr>
    </w:p>
    <w:p>
      <w:pPr>
        <w:jc w:val="both"/>
        <w:ind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 Date</w:t>
      </w:r>
      <w:r>
        <w:rPr>
          <w:rFonts w:ascii="Arial" w:cs="Arial" w:eastAsia="Arial" w:hAnsi="Arial"/>
          <w:sz w:val="16"/>
          <w:szCs w:val="16"/>
          <w:color w:val="auto"/>
        </w:rPr>
        <w:t>” means the first date on which the Listed Stock trades on the principal U.S. national securities exchange or market on which the Listed Stock is then listed, regular way, without the right to receive the issuance, dividend or distribution in question from the Company or, if applicable, from the seller of Listed Stock on such exchange or market (in the form of due bills or otherwise) as determined by such exchange or market.</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right="120" w:firstLine="99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Market Disruption Event</w:t>
      </w:r>
      <w:r>
        <w:rPr>
          <w:rFonts w:ascii="Arial" w:cs="Arial" w:eastAsia="Arial" w:hAnsi="Arial"/>
          <w:sz w:val="17"/>
          <w:szCs w:val="17"/>
          <w:color w:val="auto"/>
        </w:rPr>
        <w:t>” means, with respect to the Listed Stock or any other security, (i) a failure by the principal U.S. national securities exchange or market on which the Listed Stock is then listed to open for trading during its regular trading session or (ii) the occurrence or existence for more than one-half hour period in the aggregate on any Scheduled Trading Day for Listed Stock or such other security of any suspension or limitation imposed on trading (by reason of movements in price exceeding limits permitted by such exchange or market (or otherwise)) of the Listed Stock or such other security or in any options contracts or future contracts relating to the Listed Stock or such other security, and such suspension or limitation occurs or exists at any time before 1:00 p.m., New York City time, on such day.</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means the fifth (5th) anniversary of the date of this Note.</w:t>
      </w:r>
    </w:p>
    <w:p>
      <w:pPr>
        <w:spacing w:after="0" w:line="225" w:lineRule="exact"/>
        <w:rPr>
          <w:sz w:val="20"/>
          <w:szCs w:val="20"/>
          <w:color w:val="auto"/>
        </w:rPr>
      </w:pPr>
    </w:p>
    <w:p>
      <w:pPr>
        <w:ind w:right="4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Observation Period</w:t>
      </w:r>
      <w:r>
        <w:rPr>
          <w:rFonts w:ascii="Arial" w:cs="Arial" w:eastAsia="Arial" w:hAnsi="Arial"/>
          <w:sz w:val="18"/>
          <w:szCs w:val="18"/>
          <w:color w:val="auto"/>
        </w:rPr>
        <w:t>” means the twenty (20) consecutive Trading Days beginning on, and including, the 21st Scheduled Trading Day immediately preceding the Maturity Date.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Open of Business</w:t>
      </w:r>
      <w:r>
        <w:rPr>
          <w:rFonts w:ascii="Arial" w:cs="Arial" w:eastAsia="Arial" w:hAnsi="Arial"/>
          <w:sz w:val="18"/>
          <w:szCs w:val="18"/>
          <w:color w:val="auto"/>
        </w:rPr>
        <w:t>” means 9:00 a.m., New York City time.</w:t>
      </w:r>
    </w:p>
    <w:p>
      <w:pPr>
        <w:spacing w:after="0" w:line="225" w:lineRule="exact"/>
        <w:rPr>
          <w:sz w:val="20"/>
          <w:szCs w:val="20"/>
          <w:color w:val="auto"/>
        </w:rPr>
      </w:pPr>
    </w:p>
    <w:p>
      <w:pPr>
        <w:ind w:right="7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Private Company Conversion Rate Limit</w:t>
      </w:r>
      <w:r>
        <w:rPr>
          <w:rFonts w:ascii="Arial" w:cs="Arial" w:eastAsia="Arial" w:hAnsi="Arial"/>
          <w:sz w:val="18"/>
          <w:szCs w:val="18"/>
          <w:color w:val="auto"/>
        </w:rPr>
        <w:t>” shall initially be 50.6638, subject to adjustment for any stock splits, stock dividends, reclassifications or the like.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Private Company Equity Financing</w:t>
      </w:r>
      <w:r>
        <w:rPr>
          <w:rFonts w:ascii="Arial" w:cs="Arial" w:eastAsia="Arial" w:hAnsi="Arial"/>
          <w:sz w:val="16"/>
          <w:szCs w:val="16"/>
          <w:color w:val="auto"/>
        </w:rPr>
        <w:t xml:space="preserve">” means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equity financing by the Company prior to the consummation of a Public Listing.</w:t>
      </w:r>
    </w:p>
    <w:p>
      <w:pPr>
        <w:spacing w:after="0" w:line="248" w:lineRule="exact"/>
        <w:rPr>
          <w:sz w:val="20"/>
          <w:szCs w:val="20"/>
          <w:color w:val="auto"/>
        </w:rPr>
      </w:pPr>
    </w:p>
    <w:p>
      <w:pPr>
        <w:ind w:right="8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Company Conversion Rate Limit</w:t>
      </w:r>
      <w:r>
        <w:rPr>
          <w:rFonts w:ascii="Arial" w:cs="Arial" w:eastAsia="Arial" w:hAnsi="Arial"/>
          <w:sz w:val="18"/>
          <w:szCs w:val="18"/>
          <w:color w:val="auto"/>
        </w:rPr>
        <w:t xml:space="preserve">” shall initially be 50.6638, subject to adjustment for any stock splits, stock dividends, reclassifications or the like prior to the Public Listing and as provided in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hereof after the Public Listing.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213" w:name="page214"/>
    <w:bookmarkEnd w:id="213"/>
    <w:p>
      <w:pPr>
        <w:ind w:right="40" w:firstLine="99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Public Listing</w:t>
      </w:r>
      <w:r>
        <w:rPr>
          <w:rFonts w:ascii="Arial" w:cs="Arial" w:eastAsia="Arial" w:hAnsi="Arial"/>
          <w:sz w:val="18"/>
          <w:szCs w:val="18"/>
          <w:color w:val="auto"/>
        </w:rPr>
        <w:t>” means the listing of a class of the Company’s equity securities on any U.S. national securities exchange or market, including in connection with (i) the first sale of such securities to the general public pursuant to a registration statement filed with and declared effective by the Securities and Exchange Commission under the Securities Act of 1933, as amended (other than a registration statement relating solely to the issuance of Company equity securities pursuant to a business combination or an employee incentive or benefit plan), (ii) the Company first becoming subject to the periodic reporting requirements of Section 12(g) or 15(d) of the Exchange Act, or (iii) a “direct listing” of such securities after which such securities are listed on a such exchange or market.</w:t>
      </w:r>
    </w:p>
    <w:p>
      <w:pPr>
        <w:spacing w:after="0" w:line="192" w:lineRule="exact"/>
        <w:rPr>
          <w:sz w:val="20"/>
          <w:szCs w:val="20"/>
          <w:color w:val="auto"/>
        </w:rPr>
      </w:pPr>
    </w:p>
    <w:p>
      <w:pPr>
        <w:ind w:right="1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Scheduled Trading Day</w:t>
      </w:r>
      <w:r>
        <w:rPr>
          <w:rFonts w:ascii="Arial" w:cs="Arial" w:eastAsia="Arial" w:hAnsi="Arial"/>
          <w:sz w:val="18"/>
          <w:szCs w:val="18"/>
          <w:color w:val="auto"/>
        </w:rPr>
        <w:t>” means a day that is scheduled to be a Trading Day on the principal U.S. national securities exchange or market on which the Listed Stock is then listed. If the Listed Stock is not listed on any U.S. national securities exchange, “Scheduled Trading Day” means a Business Day.</w:t>
      </w:r>
    </w:p>
    <w:p>
      <w:pPr>
        <w:spacing w:after="0" w:line="184" w:lineRule="exact"/>
        <w:rPr>
          <w:sz w:val="20"/>
          <w:szCs w:val="20"/>
          <w:color w:val="auto"/>
        </w:rPr>
      </w:pPr>
    </w:p>
    <w:p>
      <w:pPr>
        <w:ind w:right="2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Indebtedness</w:t>
      </w:r>
      <w:r>
        <w:rPr>
          <w:rFonts w:ascii="Arial" w:cs="Arial" w:eastAsia="Arial" w:hAnsi="Arial"/>
          <w:sz w:val="18"/>
          <w:szCs w:val="18"/>
          <w:color w:val="auto"/>
        </w:rPr>
        <w:t>” means any secured indebtedness in favor of a bank or other financial institution to the extent of the value of the assets securing such indebtedness.</w:t>
      </w:r>
    </w:p>
    <w:p>
      <w:pPr>
        <w:spacing w:after="0" w:line="170"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(i) there is no Market Disruption Event, (ii) trading in the Listed Stock generally occurs on the principal U.S. national securities exchange or market on which the Listed Stock is then listed or, if the Listed Stock is not then listed on a U.S. national securities exchange, on the principal other market on which the Listed Stock is then traded, and (iii) a Closing Sale Price for the Listed Stock is available on such securities exchange or market; provided that if the Listed Stock (or other security for which a Closing Sale Price must be determined) is not so listed or traded, “Trading Day” means a Business Day.</w:t>
      </w:r>
    </w:p>
    <w:p>
      <w:pPr>
        <w:spacing w:after="0" w:line="188" w:lineRule="exact"/>
        <w:rPr>
          <w:sz w:val="20"/>
          <w:szCs w:val="20"/>
          <w:color w:val="auto"/>
        </w:rPr>
      </w:pPr>
    </w:p>
    <w:p>
      <w:pPr>
        <w:ind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Trading Price Condition</w:t>
      </w:r>
      <w:r>
        <w:rPr>
          <w:rFonts w:ascii="Arial" w:cs="Arial" w:eastAsia="Arial" w:hAnsi="Arial"/>
          <w:sz w:val="17"/>
          <w:szCs w:val="17"/>
          <w:color w:val="auto"/>
        </w:rPr>
        <w:t>” means the period during any calendar quarter beginning after the date of the Public Listing (and only during such calendar quarter) when the Closing Sales Price of the Listed Stock for at least twenty (20) Trading Days in the thirty (30) consecutive Trading Days ending on the last Trading Day of the immediately preceding calendar quarter equals or exceeds the Conversion Price.</w:t>
      </w:r>
    </w:p>
    <w:p>
      <w:pPr>
        <w:spacing w:after="0" w:line="269" w:lineRule="exact"/>
        <w:rPr>
          <w:sz w:val="20"/>
          <w:szCs w:val="20"/>
          <w:color w:val="auto"/>
        </w:rPr>
      </w:pPr>
    </w:p>
    <w:p>
      <w:pPr>
        <w:ind w:left="760" w:hanging="324"/>
        <w:spacing w:after="0"/>
        <w:tabs>
          <w:tab w:leader="none" w:pos="760" w:val="left"/>
        </w:tabs>
        <w:numPr>
          <w:ilvl w:val="0"/>
          <w:numId w:val="142"/>
        </w:numPr>
        <w:rPr>
          <w:rFonts w:ascii="Arial" w:cs="Arial" w:eastAsia="Arial" w:hAnsi="Arial"/>
          <w:sz w:val="18"/>
          <w:szCs w:val="18"/>
          <w:color w:val="auto"/>
        </w:rPr>
      </w:pPr>
      <w:r>
        <w:rPr>
          <w:rFonts w:ascii="Arial" w:cs="Arial" w:eastAsia="Arial" w:hAnsi="Arial"/>
          <w:sz w:val="18"/>
          <w:szCs w:val="18"/>
          <w:b w:val="1"/>
          <w:bCs w:val="1"/>
          <w:u w:val="single" w:color="auto"/>
          <w:color w:val="auto"/>
        </w:rPr>
        <w:t>Conversion</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color w:val="auto"/>
        </w:rPr>
      </w:pPr>
    </w:p>
    <w:p>
      <w:pPr>
        <w:ind w:left="1360" w:hanging="373"/>
        <w:spacing w:after="0"/>
        <w:tabs>
          <w:tab w:leader="none" w:pos="1360" w:val="left"/>
        </w:tabs>
        <w:numPr>
          <w:ilvl w:val="1"/>
          <w:numId w:val="142"/>
        </w:numPr>
        <w:rPr>
          <w:rFonts w:ascii="Arial" w:cs="Arial" w:eastAsia="Arial" w:hAnsi="Arial"/>
          <w:sz w:val="18"/>
          <w:szCs w:val="18"/>
          <w:color w:val="auto"/>
        </w:rPr>
      </w:pPr>
      <w:r>
        <w:rPr>
          <w:rFonts w:ascii="Arial" w:cs="Arial" w:eastAsia="Arial" w:hAnsi="Arial"/>
          <w:sz w:val="18"/>
          <w:szCs w:val="18"/>
          <w:b w:val="1"/>
          <w:bCs w:val="1"/>
          <w:u w:val="single" w:color="auto"/>
          <w:color w:val="auto"/>
        </w:rPr>
        <w:t>Methods of Conversion</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color w:val="auto"/>
        </w:rPr>
      </w:pPr>
    </w:p>
    <w:p>
      <w:pPr>
        <w:ind w:right="160" w:firstLine="1428"/>
        <w:spacing w:after="0" w:line="261" w:lineRule="auto"/>
        <w:tabs>
          <w:tab w:leader="none" w:pos="1782" w:val="left"/>
        </w:tabs>
        <w:numPr>
          <w:ilvl w:val="2"/>
          <w:numId w:val="142"/>
        </w:numPr>
        <w:rPr>
          <w:rFonts w:ascii="Arial" w:cs="Arial" w:eastAsia="Arial" w:hAnsi="Arial"/>
          <w:sz w:val="18"/>
          <w:szCs w:val="18"/>
          <w:color w:val="auto"/>
        </w:rPr>
      </w:pPr>
      <w:r>
        <w:rPr>
          <w:rFonts w:ascii="Arial" w:cs="Arial" w:eastAsia="Arial" w:hAnsi="Arial"/>
          <w:sz w:val="18"/>
          <w:szCs w:val="18"/>
          <w:b w:val="1"/>
          <w:bCs w:val="1"/>
          <w:u w:val="single" w:color="auto"/>
          <w:color w:val="auto"/>
        </w:rPr>
        <w:t>Conversion into Class A Common Stock at Company’s Option</w:t>
      </w:r>
      <w:r>
        <w:rPr>
          <w:rFonts w:ascii="Arial" w:cs="Arial" w:eastAsia="Arial" w:hAnsi="Arial"/>
          <w:sz w:val="18"/>
          <w:szCs w:val="18"/>
          <w:b w:val="1"/>
          <w:bCs w:val="1"/>
          <w:color w:val="auto"/>
        </w:rPr>
        <w:t xml:space="preserve">. </w:t>
      </w:r>
      <w:r>
        <w:rPr>
          <w:rFonts w:ascii="Arial" w:cs="Arial" w:eastAsia="Arial" w:hAnsi="Arial"/>
          <w:sz w:val="18"/>
          <w:szCs w:val="18"/>
          <w:color w:val="auto"/>
        </w:rPr>
        <w:t>At the Company’s option, at any time prior to the Close of</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on the second (2</w:t>
      </w:r>
      <w:r>
        <w:rPr>
          <w:rFonts w:ascii="Arial" w:cs="Arial" w:eastAsia="Arial" w:hAnsi="Arial"/>
          <w:sz w:val="15"/>
          <w:szCs w:val="15"/>
          <w:color w:val="auto"/>
        </w:rPr>
        <w:t>nd</w:t>
      </w:r>
      <w:r>
        <w:rPr>
          <w:rFonts w:ascii="Arial" w:cs="Arial" w:eastAsia="Arial" w:hAnsi="Arial"/>
          <w:sz w:val="18"/>
          <w:szCs w:val="18"/>
          <w:color w:val="auto"/>
        </w:rPr>
        <w:t>) Scheduled Trading Day prior to the Maturity Date and during which the Trading Price Condition is met, this Note (including all of the Conversion Amount) may be converted by the Company into shares of Class A Common Stock at the then applicable Conversion Rate per each $1,000 of the Conversion Amount.</w:t>
      </w:r>
    </w:p>
    <w:p>
      <w:pPr>
        <w:spacing w:after="0" w:line="179" w:lineRule="exact"/>
        <w:rPr>
          <w:rFonts w:ascii="Arial" w:cs="Arial" w:eastAsia="Arial" w:hAnsi="Arial"/>
          <w:sz w:val="18"/>
          <w:szCs w:val="18"/>
          <w:color w:val="auto"/>
        </w:rPr>
      </w:pPr>
    </w:p>
    <w:p>
      <w:pPr>
        <w:ind w:right="100" w:firstLine="1428"/>
        <w:spacing w:after="0" w:line="281" w:lineRule="auto"/>
        <w:tabs>
          <w:tab w:leader="none" w:pos="1832" w:val="left"/>
        </w:tabs>
        <w:numPr>
          <w:ilvl w:val="2"/>
          <w:numId w:val="142"/>
        </w:numPr>
        <w:rPr>
          <w:rFonts w:ascii="Arial" w:cs="Arial" w:eastAsia="Arial" w:hAnsi="Arial"/>
          <w:sz w:val="17"/>
          <w:szCs w:val="17"/>
          <w:color w:val="auto"/>
        </w:rPr>
      </w:pPr>
      <w:r>
        <w:rPr>
          <w:rFonts w:ascii="Arial" w:cs="Arial" w:eastAsia="Arial" w:hAnsi="Arial"/>
          <w:sz w:val="17"/>
          <w:szCs w:val="17"/>
          <w:b w:val="1"/>
          <w:bCs w:val="1"/>
          <w:u w:val="single" w:color="auto"/>
          <w:color w:val="auto"/>
        </w:rPr>
        <w:t>Conversion into Class A Common Stock at Maturity Date</w:t>
      </w:r>
      <w:r>
        <w:rPr>
          <w:rFonts w:ascii="Arial" w:cs="Arial" w:eastAsia="Arial" w:hAnsi="Arial"/>
          <w:sz w:val="17"/>
          <w:szCs w:val="17"/>
          <w:b w:val="1"/>
          <w:bCs w:val="1"/>
          <w:color w:val="auto"/>
        </w:rPr>
        <w:t xml:space="preserve">. </w:t>
      </w:r>
      <w:r>
        <w:rPr>
          <w:rFonts w:ascii="Arial" w:cs="Arial" w:eastAsia="Arial" w:hAnsi="Arial"/>
          <w:sz w:val="17"/>
          <w:szCs w:val="17"/>
          <w:color w:val="auto"/>
        </w:rPr>
        <w:t>If this Note is outstanding as of the Maturity Date, this Note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(including all of the Conversion Amount) shall be converted into shares of Class A Common Stock at the </w:t>
      </w:r>
      <w:r>
        <w:rPr>
          <w:rFonts w:ascii="Arial" w:cs="Arial" w:eastAsia="Arial" w:hAnsi="Arial"/>
          <w:sz w:val="17"/>
          <w:szCs w:val="17"/>
          <w:i w:val="1"/>
          <w:iCs w:val="1"/>
          <w:color w:val="auto"/>
        </w:rPr>
        <w:t>greater</w:t>
      </w:r>
      <w:r>
        <w:rPr>
          <w:rFonts w:ascii="Arial" w:cs="Arial" w:eastAsia="Arial" w:hAnsi="Arial"/>
          <w:sz w:val="17"/>
          <w:szCs w:val="17"/>
          <w:color w:val="auto"/>
        </w:rPr>
        <w:t xml:space="preserve"> of (A) the then applicable Conversion Rate per each $1,000 of the Conversion Amount and (B) the </w:t>
      </w:r>
      <w:r>
        <w:rPr>
          <w:rFonts w:ascii="Arial" w:cs="Arial" w:eastAsia="Arial" w:hAnsi="Arial"/>
          <w:sz w:val="17"/>
          <w:szCs w:val="17"/>
          <w:i w:val="1"/>
          <w:iCs w:val="1"/>
          <w:color w:val="auto"/>
        </w:rPr>
        <w:t>lesser</w:t>
      </w:r>
      <w:r>
        <w:rPr>
          <w:rFonts w:ascii="Arial" w:cs="Arial" w:eastAsia="Arial" w:hAnsi="Arial"/>
          <w:sz w:val="17"/>
          <w:szCs w:val="17"/>
          <w:color w:val="auto"/>
        </w:rPr>
        <w:t xml:space="preserve"> of (1) $1,000 divided by the volume weighted average (rounded to the nearest 1/10,000, or if there shall not be a nearest 1/10,000, to the next highest 1/10,000) of the Daily VWAP for each of the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214" w:name="page215"/>
    <w:bookmarkEnd w:id="214"/>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Trading Days within the Observation Period per each $1,000 of the Conversion Amount and (2) the then applicable Public Company Conversion Rate Limit per each $1,000 of the Conversion Amount; provided, however, that in the event that the Public Listing has not occurred by the Close of Business on the second (2</w:t>
      </w:r>
      <w:r>
        <w:rPr>
          <w:rFonts w:ascii="Arial" w:cs="Arial" w:eastAsia="Arial" w:hAnsi="Arial"/>
          <w:sz w:val="14"/>
          <w:szCs w:val="14"/>
          <w:color w:val="auto"/>
        </w:rPr>
        <w:t>nd</w:t>
      </w:r>
      <w:r>
        <w:rPr>
          <w:rFonts w:ascii="Arial" w:cs="Arial" w:eastAsia="Arial" w:hAnsi="Arial"/>
          <w:sz w:val="17"/>
          <w:szCs w:val="17"/>
          <w:color w:val="auto"/>
        </w:rPr>
        <w:t xml:space="preserve">) Scheduled Trading Day prior to the Maturity Date, this Note (including all of the Conversion Amount) shall convert into shares of the capital stock of the Company sold in the Company’s then most recent Private Company Equity Financing (which, for avoidance of doubt, may be the Company’s Series E Preferred Stock if no additional Private Company Equity Financing occurs thereafter) at the </w:t>
      </w:r>
      <w:r>
        <w:rPr>
          <w:rFonts w:ascii="Arial" w:cs="Arial" w:eastAsia="Arial" w:hAnsi="Arial"/>
          <w:sz w:val="17"/>
          <w:szCs w:val="17"/>
          <w:i w:val="1"/>
          <w:iCs w:val="1"/>
          <w:color w:val="auto"/>
        </w:rPr>
        <w:t>lesser</w:t>
      </w:r>
      <w:r>
        <w:rPr>
          <w:rFonts w:ascii="Arial" w:cs="Arial" w:eastAsia="Arial" w:hAnsi="Arial"/>
          <w:sz w:val="17"/>
          <w:szCs w:val="17"/>
          <w:color w:val="auto"/>
        </w:rPr>
        <w:t xml:space="preserve"> of (A) the then applicable Private Company Conversion Rate Limit per each $1,000 of the Conversion Amount and (B) $1,000 divided by the price per share at which such capital stock was sold in such Private Company Equity Financing (as appropriately adjusted for stock splits, stock dividends, reclassifications or the like to provide comparability with the then applicable Private Company Conversion Rate Limit) per each $1,000 of the Conversion Amount. Upon such conversion, the Holder (if not already a party thereto) shall execute and deliver to the Company any transaction documents related to such most recent Private Company Equity Financing as may be requested by the Company, which may include a purchase agreement and other ancillary agreements, with customary representations and warranties and transfer restrictions (including without limitation a lock-up agreement in connection with an initial public offering).</w:t>
      </w:r>
    </w:p>
    <w:p>
      <w:pPr>
        <w:spacing w:after="0" w:line="175" w:lineRule="exact"/>
        <w:rPr>
          <w:sz w:val="20"/>
          <w:szCs w:val="20"/>
          <w:color w:val="auto"/>
        </w:rPr>
      </w:pPr>
    </w:p>
    <w:p>
      <w:pPr>
        <w:ind w:right="20" w:firstLine="1428"/>
        <w:spacing w:after="0" w:line="289" w:lineRule="auto"/>
        <w:tabs>
          <w:tab w:leader="none" w:pos="1882" w:val="left"/>
        </w:tabs>
        <w:numPr>
          <w:ilvl w:val="1"/>
          <w:numId w:val="143"/>
        </w:numPr>
        <w:rPr>
          <w:rFonts w:ascii="Arial" w:cs="Arial" w:eastAsia="Arial" w:hAnsi="Arial"/>
          <w:sz w:val="16"/>
          <w:szCs w:val="16"/>
          <w:color w:val="auto"/>
        </w:rPr>
      </w:pPr>
      <w:r>
        <w:rPr>
          <w:rFonts w:ascii="Arial" w:cs="Arial" w:eastAsia="Arial" w:hAnsi="Arial"/>
          <w:sz w:val="16"/>
          <w:szCs w:val="16"/>
          <w:b w:val="1"/>
          <w:bCs w:val="1"/>
          <w:u w:val="single" w:color="auto"/>
          <w:color w:val="auto"/>
        </w:rPr>
        <w:t>Optional Conversion in a Private Company Financing Prior to Maturity Date</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a Private Company Equity</w:t>
      </w:r>
      <w:r>
        <w:rPr>
          <w:rFonts w:ascii="Arial" w:cs="Arial" w:eastAsia="Arial" w:hAnsi="Arial"/>
          <w:sz w:val="16"/>
          <w:szCs w:val="16"/>
          <w:b w:val="1"/>
          <w:bCs w:val="1"/>
          <w:color w:val="auto"/>
        </w:rPr>
        <w:t xml:space="preserve"> </w:t>
      </w:r>
      <w:r>
        <w:rPr>
          <w:rFonts w:ascii="Arial" w:cs="Arial" w:eastAsia="Arial" w:hAnsi="Arial"/>
          <w:sz w:val="16"/>
          <w:szCs w:val="16"/>
          <w:color w:val="auto"/>
        </w:rPr>
        <w:t>Financing prior to the Close of Business on the second (2</w:t>
      </w:r>
      <w:r>
        <w:rPr>
          <w:rFonts w:ascii="Arial" w:cs="Arial" w:eastAsia="Arial" w:hAnsi="Arial"/>
          <w:sz w:val="13"/>
          <w:szCs w:val="13"/>
          <w:color w:val="auto"/>
        </w:rPr>
        <w:t>nd</w:t>
      </w:r>
      <w:r>
        <w:rPr>
          <w:rFonts w:ascii="Arial" w:cs="Arial" w:eastAsia="Arial" w:hAnsi="Arial"/>
          <w:sz w:val="16"/>
          <w:szCs w:val="16"/>
          <w:color w:val="auto"/>
        </w:rPr>
        <w:t xml:space="preserve">) Scheduled Trading Day prior to the Maturity Date, at the Company’s option, this Note (including all of the Conversion Amount) may be converted by the Company into shares of the capital stock of the Company sold in such Private Company Equity Financing at the </w:t>
      </w:r>
      <w:r>
        <w:rPr>
          <w:rFonts w:ascii="Arial" w:cs="Arial" w:eastAsia="Arial" w:hAnsi="Arial"/>
          <w:sz w:val="16"/>
          <w:szCs w:val="16"/>
          <w:i w:val="1"/>
          <w:iCs w:val="1"/>
          <w:color w:val="auto"/>
        </w:rPr>
        <w:t>lesser</w:t>
      </w:r>
      <w:r>
        <w:rPr>
          <w:rFonts w:ascii="Arial" w:cs="Arial" w:eastAsia="Arial" w:hAnsi="Arial"/>
          <w:sz w:val="16"/>
          <w:szCs w:val="16"/>
          <w:color w:val="auto"/>
        </w:rPr>
        <w:t xml:space="preserve"> of (A) the Private Company Conversion Rate Limit per each $1,000 of the Conversion Amount and (B) $1,000 divided by the price per share at which such capital stock was sold in such Private Company Equity Financing (as appropriately adjusted for stock splits, stock dividends, reclassifications or the like to provide comparability with the then applicable Private Company Conversion Rate Limit) per each $1,000 of the Conversion Amount. Upon such conversion, the Holder shall execute and deliver to the Company all transaction documents related to such Private Company Equity Financing, including a purchase agreement and other ancillary agreements, with customary representations and warranties and transfer restrictions (including without limitation a lock-up agreement in connection with an initial public offering).</w:t>
      </w:r>
    </w:p>
    <w:p>
      <w:pPr>
        <w:spacing w:after="0" w:line="166" w:lineRule="exact"/>
        <w:rPr>
          <w:rFonts w:ascii="Arial" w:cs="Arial" w:eastAsia="Arial" w:hAnsi="Arial"/>
          <w:sz w:val="16"/>
          <w:szCs w:val="16"/>
          <w:color w:val="auto"/>
        </w:rPr>
      </w:pPr>
    </w:p>
    <w:p>
      <w:pPr>
        <w:ind w:right="120" w:firstLine="1428"/>
        <w:spacing w:after="0" w:line="281" w:lineRule="auto"/>
        <w:tabs>
          <w:tab w:leader="none" w:pos="1872" w:val="left"/>
        </w:tabs>
        <w:numPr>
          <w:ilvl w:val="1"/>
          <w:numId w:val="143"/>
        </w:numPr>
        <w:rPr>
          <w:rFonts w:ascii="Arial" w:cs="Arial" w:eastAsia="Arial" w:hAnsi="Arial"/>
          <w:sz w:val="17"/>
          <w:szCs w:val="17"/>
          <w:color w:val="auto"/>
        </w:rPr>
      </w:pPr>
      <w:r>
        <w:rPr>
          <w:rFonts w:ascii="Arial" w:cs="Arial" w:eastAsia="Arial" w:hAnsi="Arial"/>
          <w:sz w:val="17"/>
          <w:szCs w:val="17"/>
          <w:b w:val="1"/>
          <w:bCs w:val="1"/>
          <w:u w:val="single" w:color="auto"/>
          <w:color w:val="auto"/>
        </w:rPr>
        <w:t>Change of Control Conversion</w:t>
      </w:r>
      <w:r>
        <w:rPr>
          <w:rFonts w:ascii="Arial" w:cs="Arial" w:eastAsia="Arial" w:hAnsi="Arial"/>
          <w:sz w:val="17"/>
          <w:szCs w:val="17"/>
          <w:b w:val="1"/>
          <w:bCs w:val="1"/>
          <w:color w:val="auto"/>
        </w:rPr>
        <w:t xml:space="preserve">. </w:t>
      </w:r>
      <w:r>
        <w:rPr>
          <w:rFonts w:ascii="Arial" w:cs="Arial" w:eastAsia="Arial" w:hAnsi="Arial"/>
          <w:sz w:val="17"/>
          <w:szCs w:val="17"/>
          <w:color w:val="auto"/>
        </w:rPr>
        <w:t>If this Note is outstanding as of immediately prior to the consummation of a Change of</w:t>
      </w:r>
      <w:r>
        <w:rPr>
          <w:rFonts w:ascii="Arial" w:cs="Arial" w:eastAsia="Arial" w:hAnsi="Arial"/>
          <w:sz w:val="17"/>
          <w:szCs w:val="17"/>
          <w:b w:val="1"/>
          <w:bCs w:val="1"/>
          <w:color w:val="auto"/>
        </w:rPr>
        <w:t xml:space="preserve"> </w:t>
      </w:r>
      <w:r>
        <w:rPr>
          <w:rFonts w:ascii="Arial" w:cs="Arial" w:eastAsia="Arial" w:hAnsi="Arial"/>
          <w:sz w:val="17"/>
          <w:szCs w:val="17"/>
          <w:color w:val="auto"/>
        </w:rPr>
        <w:t>Control, this Note (including all of the Conversion Amount) shall, subject to Section 2(c) of this Note if applicable, be converted into shares of Class A Common Stock immediately prior to consummation of the Change of Control at the then applicable Private Company Conversion Rate Limit or Public Company Conversion Rate Limit, as applicable, per each $1,000 of the Conversion Amount.</w:t>
      </w:r>
    </w:p>
    <w:p>
      <w:pPr>
        <w:spacing w:after="0" w:line="164" w:lineRule="exact"/>
        <w:rPr>
          <w:rFonts w:ascii="Arial" w:cs="Arial" w:eastAsia="Arial" w:hAnsi="Arial"/>
          <w:sz w:val="17"/>
          <w:szCs w:val="17"/>
          <w:color w:val="auto"/>
        </w:rPr>
      </w:pPr>
    </w:p>
    <w:p>
      <w:pPr>
        <w:ind w:firstLine="987"/>
        <w:spacing w:after="0" w:line="281" w:lineRule="auto"/>
        <w:tabs>
          <w:tab w:leader="none" w:pos="1381" w:val="left"/>
        </w:tabs>
        <w:numPr>
          <w:ilvl w:val="0"/>
          <w:numId w:val="144"/>
        </w:numPr>
        <w:rPr>
          <w:rFonts w:ascii="Arial" w:cs="Arial" w:eastAsia="Arial" w:hAnsi="Arial"/>
          <w:sz w:val="17"/>
          <w:szCs w:val="17"/>
          <w:color w:val="auto"/>
        </w:rPr>
      </w:pPr>
      <w:r>
        <w:rPr>
          <w:rFonts w:ascii="Arial" w:cs="Arial" w:eastAsia="Arial" w:hAnsi="Arial"/>
          <w:sz w:val="17"/>
          <w:szCs w:val="17"/>
          <w:b w:val="1"/>
          <w:bCs w:val="1"/>
          <w:u w:val="single" w:color="auto"/>
          <w:color w:val="auto"/>
        </w:rPr>
        <w:t>Mechanics and Effect of Conversion</w:t>
      </w:r>
      <w:r>
        <w:rPr>
          <w:rFonts w:ascii="Arial" w:cs="Arial" w:eastAsia="Arial" w:hAnsi="Arial"/>
          <w:sz w:val="17"/>
          <w:szCs w:val="17"/>
          <w:b w:val="1"/>
          <w:bCs w:val="1"/>
          <w:color w:val="auto"/>
        </w:rPr>
        <w:t xml:space="preserve">. </w:t>
      </w:r>
      <w:r>
        <w:rPr>
          <w:rFonts w:ascii="Arial" w:cs="Arial" w:eastAsia="Arial" w:hAnsi="Arial"/>
          <w:sz w:val="17"/>
          <w:szCs w:val="17"/>
          <w:color w:val="auto"/>
        </w:rPr>
        <w:t>If this Note is converted pursuant to Section 2 and any portion of the Conversion Amount is</w:t>
      </w:r>
      <w:r>
        <w:rPr>
          <w:rFonts w:ascii="Arial" w:cs="Arial" w:eastAsia="Arial" w:hAnsi="Arial"/>
          <w:sz w:val="17"/>
          <w:szCs w:val="17"/>
          <w:b w:val="1"/>
          <w:bCs w:val="1"/>
          <w:color w:val="auto"/>
        </w:rPr>
        <w:t xml:space="preserve"> </w:t>
      </w:r>
      <w:r>
        <w:rPr>
          <w:rFonts w:ascii="Arial" w:cs="Arial" w:eastAsia="Arial" w:hAnsi="Arial"/>
          <w:sz w:val="17"/>
          <w:szCs w:val="17"/>
          <w:color w:val="auto"/>
        </w:rPr>
        <w:t>not a multiple of $1,000, then such portion of the Conversion Amount shall convert into a number of shares of the Company’s capital stock equal to such portion divided by the quotient of $1,000 divided by the applicable Conversion Rate, Private Company Conversion Rate Limit or Public Company Conversion Rate Limit, as applicable. No fractional shares of the Company’s capital stock will be issued upon</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215" w:name="page216"/>
    <w:bookmarkEnd w:id="215"/>
    <w:p>
      <w:pPr>
        <w:ind w:left="4"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conversion of this Note. In lieu of any fractional share to which the Holder would otherwise be entitled, the Company will pay to the Holder in cash the amount of the unconverted Conversion Amount that would otherwise be converted into such fractional share. Upon conversion in full of this Note pursuant to this Section 2, the Holder shall surrender this Note, duly endorsed, at the principal offices of the Company or any transfer agent of the Company. At its expense, the Company will, as soon as practicable thereafter, issue and deliver to the Holder, at such principal office, a certificate or certificates for the number of shares to which the Holder is entitled upon such conversion (or, if such shares are declared to be uncertificated, a notice to evidence such issuance of shares), together with any other securities and property to which the Holder is entitled upon such conversion under the terms of this Note, including a check payable to the Holder for any cash amounts payable as described herein. Upon conversion of this Note in accordance this Section 2, the Company will be forever released from all of its obligations and liabilities under this Note, including without limitation the obligation to pay or convert the Conversion Amount.</w:t>
      </w:r>
    </w:p>
    <w:p>
      <w:pPr>
        <w:spacing w:after="0" w:line="177" w:lineRule="exact"/>
        <w:rPr>
          <w:sz w:val="20"/>
          <w:szCs w:val="20"/>
          <w:color w:val="auto"/>
        </w:rPr>
      </w:pPr>
    </w:p>
    <w:p>
      <w:pPr>
        <w:ind w:left="4" w:firstLine="987"/>
        <w:spacing w:after="0" w:line="283" w:lineRule="auto"/>
        <w:tabs>
          <w:tab w:leader="none" w:pos="1375" w:val="left"/>
        </w:tabs>
        <w:numPr>
          <w:ilvl w:val="1"/>
          <w:numId w:val="145"/>
        </w:numPr>
        <w:rPr>
          <w:rFonts w:ascii="Arial" w:cs="Arial" w:eastAsia="Arial" w:hAnsi="Arial"/>
          <w:sz w:val="16"/>
          <w:szCs w:val="16"/>
          <w:color w:val="auto"/>
        </w:rPr>
      </w:pPr>
      <w:r>
        <w:rPr>
          <w:rFonts w:ascii="Arial" w:cs="Arial" w:eastAsia="Arial" w:hAnsi="Arial"/>
          <w:sz w:val="16"/>
          <w:szCs w:val="16"/>
          <w:b w:val="1"/>
          <w:bCs w:val="1"/>
          <w:u w:val="single" w:color="auto"/>
          <w:color w:val="auto"/>
        </w:rPr>
        <w:t>Alternate Settlement in Connection with Change of Control</w:t>
      </w:r>
      <w:r>
        <w:rPr>
          <w:rFonts w:ascii="Arial" w:cs="Arial" w:eastAsia="Arial" w:hAnsi="Arial"/>
          <w:sz w:val="16"/>
          <w:szCs w:val="16"/>
          <w:b w:val="1"/>
          <w:bCs w:val="1"/>
          <w:color w:val="auto"/>
        </w:rPr>
        <w:t xml:space="preserve">. </w:t>
      </w:r>
      <w:r>
        <w:rPr>
          <w:rFonts w:ascii="Arial" w:cs="Arial" w:eastAsia="Arial" w:hAnsi="Arial"/>
          <w:sz w:val="16"/>
          <w:szCs w:val="16"/>
          <w:color w:val="auto"/>
        </w:rPr>
        <w:t>At the Holder’s sole discretion, the Holder may elect (the “</w:t>
      </w:r>
      <w:r>
        <w:rPr>
          <w:rFonts w:ascii="Arial" w:cs="Arial" w:eastAsia="Arial" w:hAnsi="Arial"/>
          <w:sz w:val="16"/>
          <w:szCs w:val="16"/>
          <w:u w:val="single" w:color="auto"/>
          <w:color w:val="auto"/>
        </w:rPr>
        <w:t>Alternate</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Settlement Election</w:t>
      </w:r>
      <w:r>
        <w:rPr>
          <w:rFonts w:ascii="Arial" w:cs="Arial" w:eastAsia="Arial" w:hAnsi="Arial"/>
          <w:sz w:val="16"/>
          <w:szCs w:val="16"/>
          <w:color w:val="auto"/>
        </w:rPr>
        <w:t>”) to convert this Note as follows in this Section 2(c) in the event that the Company is subject to a Change of Control pursuant to which the Common Stock would be converted into or exchanged for, or would constitute solely the right to receive, securities or other non-cash property (any such event, a “</w:t>
      </w:r>
      <w:r>
        <w:rPr>
          <w:rFonts w:ascii="Arial" w:cs="Arial" w:eastAsia="Arial" w:hAnsi="Arial"/>
          <w:sz w:val="16"/>
          <w:szCs w:val="16"/>
          <w:u w:val="single" w:color="auto"/>
          <w:color w:val="auto"/>
        </w:rPr>
        <w:t>Merger Event</w:t>
      </w:r>
      <w:r>
        <w:rPr>
          <w:rFonts w:ascii="Arial" w:cs="Arial" w:eastAsia="Arial" w:hAnsi="Arial"/>
          <w:sz w:val="16"/>
          <w:szCs w:val="16"/>
          <w:color w:val="auto"/>
        </w:rPr>
        <w:t>”). For the avoidance of doubt, a “Merger Event” shall not include a Change of Control pursuant to which the Common Stock, in whole or in part, would be converted into or exchanged for, or would constitute the right to receive, cash. If and only if the Holder provides notice of the Alternate Settlement Election to the Company at least ten (10) Business Days prior to the anticipated effective date of the Merger Event, then this Note (including all of the Conversion Amount) will, at the effective time of such Merger Event, convert into the same kind, type and proportions of non-cash consideration that a holder of a number of shares of Common Stock equal to the Private Company Conversion Rate Limit or Public Company Conversion Rate Limit, as applicable, per each $1,000 of the Conversion Amount in effect immediately prior to such Merger Event would have received in such Merger Event (“</w:t>
      </w:r>
      <w:r>
        <w:rPr>
          <w:rFonts w:ascii="Arial" w:cs="Arial" w:eastAsia="Arial" w:hAnsi="Arial"/>
          <w:sz w:val="16"/>
          <w:szCs w:val="16"/>
          <w:u w:val="single" w:color="auto"/>
          <w:color w:val="auto"/>
        </w:rPr>
        <w:t>Reference Property</w:t>
      </w:r>
      <w:r>
        <w:rPr>
          <w:rFonts w:ascii="Arial" w:cs="Arial" w:eastAsia="Arial" w:hAnsi="Arial"/>
          <w:sz w:val="16"/>
          <w:szCs w:val="16"/>
          <w:color w:val="auto"/>
        </w:rPr>
        <w:t>”) and, prior to or at the effective time of such Merger Event, the Company or the successor or purchasing person, as the case may be, shall execute such additional agreements with the Holder as the Holder may request providing for such change in the settlement of the Note and appropriate adjustment to the Conversion Rate as a result thereof. For the avoidance of doubt, as a result of the Alternate Settlement Election and subject to the following terms of this Section 2(c), the shares of Common Stock that the Company would have been required to deliver upon conversion of this Note in accordance with Section 2(a)(iv) shall instead be deliverable in the amount and type of Reference Property that a holder of that number of shares of Common Stock would have received in such Merger Event. If the Merger Event causes the Common Stock to be converted into, or exchanged for, the right to receive more than a single type of non-cash consideration determined based in whole or in part upon any form of stockholder election, then (A) the Reference Property into which this Note will be convertible shall be deemed to be the weighted average of the types and amounts of non-cash consideration received by the holders of Common Stock that affirmatively make such an election and (B) the unit of Reference Property for purposes of this Section 2(c) shall refer to the non-cash consideration referred to in clause</w:t>
      </w:r>
    </w:p>
    <w:p>
      <w:pPr>
        <w:ind w:left="4" w:right="140" w:hanging="4"/>
        <w:spacing w:after="0" w:line="260" w:lineRule="auto"/>
        <w:tabs>
          <w:tab w:leader="none" w:pos="299"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attributable to one share of Common Stock. Notwithstanding the foregoing, the Company shall not consummate any Merger Event unless its terms are consistent with this Section 2(c).</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216" w:name="page217"/>
    <w:bookmarkEnd w:id="216"/>
    <w:p>
      <w:pPr>
        <w:ind w:left="-20" w:right="20" w:firstLine="436"/>
        <w:spacing w:after="0" w:line="258" w:lineRule="auto"/>
        <w:tabs>
          <w:tab w:leader="none" w:pos="735" w:val="left"/>
        </w:tabs>
        <w:numPr>
          <w:ilvl w:val="0"/>
          <w:numId w:val="147"/>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Events of Default</w:t>
      </w:r>
      <w:r>
        <w:rPr>
          <w:rFonts w:ascii="Arial" w:cs="Arial" w:eastAsia="Arial" w:hAnsi="Arial"/>
          <w:sz w:val="18"/>
          <w:szCs w:val="18"/>
          <w:b w:val="1"/>
          <w:bCs w:val="1"/>
          <w:color w:val="auto"/>
        </w:rPr>
        <w:t xml:space="preserve">. </w:t>
      </w:r>
      <w:r>
        <w:rPr>
          <w:rFonts w:ascii="Arial" w:cs="Arial" w:eastAsia="Arial" w:hAnsi="Arial"/>
          <w:sz w:val="18"/>
          <w:szCs w:val="18"/>
          <w:color w:val="auto"/>
        </w:rPr>
        <w:t>The entire unpaid principal sum of this Note, together with accrued and unpaid interest thereon, shall become immediately</w:t>
      </w:r>
      <w:r>
        <w:rPr>
          <w:rFonts w:ascii="Arial" w:cs="Arial" w:eastAsia="Arial" w:hAnsi="Arial"/>
          <w:sz w:val="18"/>
          <w:szCs w:val="18"/>
          <w:b w:val="1"/>
          <w:bCs w:val="1"/>
          <w:color w:val="auto"/>
        </w:rPr>
        <w:t xml:space="preserve"> </w:t>
      </w:r>
      <w:r>
        <w:rPr>
          <w:rFonts w:ascii="Arial" w:cs="Arial" w:eastAsia="Arial" w:hAnsi="Arial"/>
          <w:sz w:val="18"/>
          <w:szCs w:val="18"/>
          <w:color w:val="auto"/>
        </w:rPr>
        <w:t>due and payable upon the commission of any act of bankruptcy or insolvency by the Company, the execution by the Company of a general assignment for the benefit of creditors, the filing by or against the Company of a petition in bankruptcy or any petition for relief under the federal bankruptcy act or the continuation of such petition without dismissal for a period of 90 days or more, or the appointment of a receiver or trustee to take possession of the property or assets of the Company (each, an “</w:t>
      </w:r>
      <w:r>
        <w:rPr>
          <w:rFonts w:ascii="Arial" w:cs="Arial" w:eastAsia="Arial" w:hAnsi="Arial"/>
          <w:sz w:val="18"/>
          <w:szCs w:val="18"/>
          <w:u w:val="single" w:color="auto"/>
          <w:color w:val="auto"/>
        </w:rPr>
        <w:t>Event of Default</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20" w:right="160" w:firstLine="436"/>
        <w:spacing w:after="0" w:line="258" w:lineRule="auto"/>
        <w:tabs>
          <w:tab w:leader="none" w:pos="735" w:val="left"/>
        </w:tabs>
        <w:numPr>
          <w:ilvl w:val="0"/>
          <w:numId w:val="147"/>
        </w:numPr>
        <w:rPr>
          <w:rFonts w:ascii="Arial" w:cs="Arial" w:eastAsia="Arial" w:hAnsi="Arial"/>
          <w:sz w:val="18"/>
          <w:szCs w:val="18"/>
          <w:color w:val="auto"/>
        </w:rPr>
      </w:pPr>
      <w:r>
        <w:rPr>
          <w:rFonts w:ascii="Arial" w:cs="Arial" w:eastAsia="Arial" w:hAnsi="Arial"/>
          <w:sz w:val="18"/>
          <w:szCs w:val="18"/>
          <w:b w:val="1"/>
          <w:bCs w:val="1"/>
          <w:u w:val="single" w:color="auto"/>
          <w:color w:val="auto"/>
        </w:rPr>
        <w:t>Payment</w:t>
      </w:r>
      <w:r>
        <w:rPr>
          <w:rFonts w:ascii="Arial" w:cs="Arial" w:eastAsia="Arial" w:hAnsi="Arial"/>
          <w:sz w:val="18"/>
          <w:szCs w:val="18"/>
          <w:b w:val="1"/>
          <w:bCs w:val="1"/>
          <w:color w:val="auto"/>
        </w:rPr>
        <w:t xml:space="preserve">. </w:t>
      </w:r>
      <w:r>
        <w:rPr>
          <w:rFonts w:ascii="Arial" w:cs="Arial" w:eastAsia="Arial" w:hAnsi="Arial"/>
          <w:sz w:val="18"/>
          <w:szCs w:val="18"/>
          <w:color w:val="auto"/>
        </w:rPr>
        <w:t>Except in connection with an Event of Default as provided for in Section 3, no portion of this Note, including the interest accrued</w:t>
      </w:r>
      <w:r>
        <w:rPr>
          <w:rFonts w:ascii="Arial" w:cs="Arial" w:eastAsia="Arial" w:hAnsi="Arial"/>
          <w:sz w:val="18"/>
          <w:szCs w:val="18"/>
          <w:b w:val="1"/>
          <w:bCs w:val="1"/>
          <w:color w:val="auto"/>
        </w:rPr>
        <w:t xml:space="preserve"> </w:t>
      </w:r>
      <w:r>
        <w:rPr>
          <w:rFonts w:ascii="Arial" w:cs="Arial" w:eastAsia="Arial" w:hAnsi="Arial"/>
          <w:sz w:val="18"/>
          <w:szCs w:val="18"/>
          <w:color w:val="auto"/>
        </w:rPr>
        <w:t>hereon, may be repaid by the Company without the written agreement of the Company and the Holder. In the event this Note is repaid in accordance with the foregoing sentence, all such payments shall be made in lawful money of the United States of America at such place as the Holder hereof may from time to time designate in writing to the Company. Payment shall be credited first to the accrued interest then due and payable and the remainder applied to principal.</w:t>
      </w:r>
    </w:p>
    <w:p>
      <w:pPr>
        <w:spacing w:after="0" w:line="183" w:lineRule="exact"/>
        <w:rPr>
          <w:rFonts w:ascii="Arial" w:cs="Arial" w:eastAsia="Arial" w:hAnsi="Arial"/>
          <w:sz w:val="18"/>
          <w:szCs w:val="18"/>
          <w:color w:val="auto"/>
        </w:rPr>
      </w:pPr>
    </w:p>
    <w:p>
      <w:pPr>
        <w:ind w:left="-20" w:right="60" w:firstLine="436"/>
        <w:spacing w:after="0" w:line="256" w:lineRule="auto"/>
        <w:tabs>
          <w:tab w:leader="none" w:pos="735" w:val="left"/>
        </w:tabs>
        <w:numPr>
          <w:ilvl w:val="0"/>
          <w:numId w:val="147"/>
        </w:numPr>
        <w:rPr>
          <w:rFonts w:ascii="Arial" w:cs="Arial" w:eastAsia="Arial" w:hAnsi="Arial"/>
          <w:sz w:val="18"/>
          <w:szCs w:val="18"/>
          <w:color w:val="auto"/>
        </w:rPr>
      </w:pPr>
      <w:r>
        <w:rPr>
          <w:rFonts w:ascii="Arial" w:cs="Arial" w:eastAsia="Arial" w:hAnsi="Arial"/>
          <w:sz w:val="18"/>
          <w:szCs w:val="18"/>
          <w:b w:val="1"/>
          <w:bCs w:val="1"/>
          <w:u w:val="single" w:color="auto"/>
          <w:color w:val="auto"/>
        </w:rPr>
        <w:t>Subordination; Ranking</w:t>
      </w:r>
      <w:r>
        <w:rPr>
          <w:rFonts w:ascii="Arial" w:cs="Arial" w:eastAsia="Arial" w:hAnsi="Arial"/>
          <w:sz w:val="18"/>
          <w:szCs w:val="18"/>
          <w:b w:val="1"/>
          <w:bCs w:val="1"/>
          <w:color w:val="auto"/>
        </w:rPr>
        <w:t xml:space="preserve">. </w:t>
      </w:r>
      <w:r>
        <w:rPr>
          <w:rFonts w:ascii="Arial" w:cs="Arial" w:eastAsia="Arial" w:hAnsi="Arial"/>
          <w:sz w:val="18"/>
          <w:szCs w:val="18"/>
          <w:color w:val="auto"/>
        </w:rPr>
        <w:t>The indebtedness evidenced by this Note is expressly subordinated in right of payment to any now existing or</w:t>
      </w:r>
      <w:r>
        <w:rPr>
          <w:rFonts w:ascii="Arial" w:cs="Arial" w:eastAsia="Arial" w:hAnsi="Arial"/>
          <w:sz w:val="18"/>
          <w:szCs w:val="18"/>
          <w:b w:val="1"/>
          <w:bCs w:val="1"/>
          <w:color w:val="auto"/>
        </w:rPr>
        <w:t xml:space="preserve"> </w:t>
      </w:r>
      <w:r>
        <w:rPr>
          <w:rFonts w:ascii="Arial" w:cs="Arial" w:eastAsia="Arial" w:hAnsi="Arial"/>
          <w:sz w:val="18"/>
          <w:szCs w:val="18"/>
          <w:color w:val="auto"/>
        </w:rPr>
        <w:t>hereinafter arising Secured Indebtedness. The Holder agrees to enter into any subordination agreement, intercreditor or other similar agreement, in form and substance reasonably satisfactory to any holder or prospective holder of any Secured Indebtedness, and take such additional action as may be necessary to perfect such subordination. This Note represents a senior unsecured obligation of the Company and will rank equal in right of payment to all senior unsecured indebtedness of the Company, and will rank senior in right of payment to any indebtedness that is contractually subordinated to this Note.</w:t>
      </w:r>
    </w:p>
    <w:p>
      <w:pPr>
        <w:spacing w:after="0" w:line="187" w:lineRule="exact"/>
        <w:rPr>
          <w:rFonts w:ascii="Arial" w:cs="Arial" w:eastAsia="Arial" w:hAnsi="Arial"/>
          <w:sz w:val="18"/>
          <w:szCs w:val="18"/>
          <w:color w:val="auto"/>
        </w:rPr>
      </w:pPr>
    </w:p>
    <w:p>
      <w:pPr>
        <w:ind w:left="-20" w:right="20" w:firstLine="436"/>
        <w:spacing w:after="0" w:line="271" w:lineRule="auto"/>
        <w:tabs>
          <w:tab w:leader="none" w:pos="735" w:val="left"/>
        </w:tabs>
        <w:numPr>
          <w:ilvl w:val="0"/>
          <w:numId w:val="147"/>
        </w:numPr>
        <w:rPr>
          <w:rFonts w:ascii="Arial" w:cs="Arial" w:eastAsia="Arial" w:hAnsi="Arial"/>
          <w:sz w:val="17"/>
          <w:szCs w:val="17"/>
          <w:color w:val="auto"/>
        </w:rPr>
      </w:pPr>
      <w:r>
        <w:rPr>
          <w:rFonts w:ascii="Arial" w:cs="Arial" w:eastAsia="Arial" w:hAnsi="Arial"/>
          <w:sz w:val="17"/>
          <w:szCs w:val="17"/>
          <w:b w:val="1"/>
          <w:bCs w:val="1"/>
          <w:u w:val="single" w:color="auto"/>
          <w:color w:val="auto"/>
        </w:rPr>
        <w:t>Transfer; Successors and Assigns</w:t>
      </w:r>
      <w:r>
        <w:rPr>
          <w:rFonts w:ascii="Arial" w:cs="Arial" w:eastAsia="Arial" w:hAnsi="Arial"/>
          <w:sz w:val="17"/>
          <w:szCs w:val="17"/>
          <w:b w:val="1"/>
          <w:bCs w:val="1"/>
          <w:color w:val="auto"/>
        </w:rPr>
        <w:t xml:space="preserve">. </w:t>
      </w:r>
      <w:r>
        <w:rPr>
          <w:rFonts w:ascii="Arial" w:cs="Arial" w:eastAsia="Arial" w:hAnsi="Arial"/>
          <w:sz w:val="17"/>
          <w:szCs w:val="17"/>
          <w:color w:val="auto"/>
        </w:rPr>
        <w:t>The terms and conditions of this Note shall inure to the benefit of and be binding upon the respective</w:t>
      </w:r>
      <w:r>
        <w:rPr>
          <w:rFonts w:ascii="Arial" w:cs="Arial" w:eastAsia="Arial" w:hAnsi="Arial"/>
          <w:sz w:val="17"/>
          <w:szCs w:val="17"/>
          <w:b w:val="1"/>
          <w:bCs w:val="1"/>
          <w:color w:val="auto"/>
        </w:rPr>
        <w:t xml:space="preserve"> </w:t>
      </w:r>
      <w:r>
        <w:rPr>
          <w:rFonts w:ascii="Arial" w:cs="Arial" w:eastAsia="Arial" w:hAnsi="Arial"/>
          <w:sz w:val="17"/>
          <w:szCs w:val="17"/>
          <w:color w:val="auto"/>
        </w:rPr>
        <w:t>successors and assigns of the parties. Notwithstanding the foregoing, the Holder may not assign, pledge, or otherwise transfer this Note without the prior written consent of the Company, except for transfers to affiliates of Holder or an entity under common control by, beneficially owned by, or common management with, Holder, in each case that agree in writing to be bound by the provisions of the Purchase Agreement and this Note, including without limitation the “Lock-up Agreement” set forth in Section 4(i) of the Purchase Agreement. Subject to the preceding sentence, this Note may be transferred only upon surrender of the original Note for registration of transfer, duly endorsed, or accompanied by a duly executed written instrument of transfer in form satisfactory to the Company. Thereupon, a new note for the same principal amount and interest will be issued to, and registered in the name of, the transferee. Interest and principal are payable only to the registered holder of this Note. The Company shall not assign this Note (whether by operation of law or otherwise) without consent of the Holder.</w:t>
      </w:r>
    </w:p>
    <w:p>
      <w:pPr>
        <w:spacing w:after="0" w:line="173" w:lineRule="exact"/>
        <w:rPr>
          <w:rFonts w:ascii="Arial" w:cs="Arial" w:eastAsia="Arial" w:hAnsi="Arial"/>
          <w:sz w:val="17"/>
          <w:szCs w:val="17"/>
          <w:color w:val="auto"/>
        </w:rPr>
      </w:pPr>
    </w:p>
    <w:p>
      <w:pPr>
        <w:ind w:left="-20" w:firstLine="436"/>
        <w:spacing w:after="0" w:line="312" w:lineRule="auto"/>
        <w:tabs>
          <w:tab w:leader="none" w:pos="735" w:val="left"/>
        </w:tabs>
        <w:numPr>
          <w:ilvl w:val="0"/>
          <w:numId w:val="147"/>
        </w:numPr>
        <w:rPr>
          <w:rFonts w:ascii="Arial" w:cs="Arial" w:eastAsia="Arial" w:hAnsi="Arial"/>
          <w:sz w:val="17"/>
          <w:szCs w:val="17"/>
          <w:color w:val="auto"/>
        </w:rPr>
      </w:pPr>
      <w:r>
        <w:rPr>
          <w:rFonts w:ascii="Arial" w:cs="Arial" w:eastAsia="Arial" w:hAnsi="Arial"/>
          <w:sz w:val="17"/>
          <w:szCs w:val="17"/>
          <w:b w:val="1"/>
          <w:bCs w:val="1"/>
          <w:u w:val="single" w:color="auto"/>
          <w:color w:val="auto"/>
        </w:rPr>
        <w:t>Governing Law</w:t>
      </w:r>
      <w:r>
        <w:rPr>
          <w:rFonts w:ascii="Arial" w:cs="Arial" w:eastAsia="Arial" w:hAnsi="Arial"/>
          <w:sz w:val="17"/>
          <w:szCs w:val="17"/>
          <w:b w:val="1"/>
          <w:bCs w:val="1"/>
          <w:color w:val="auto"/>
        </w:rPr>
        <w:t xml:space="preserve">. </w:t>
      </w:r>
      <w:r>
        <w:rPr>
          <w:rFonts w:ascii="Arial" w:cs="Arial" w:eastAsia="Arial" w:hAnsi="Arial"/>
          <w:sz w:val="17"/>
          <w:szCs w:val="17"/>
          <w:color w:val="auto"/>
        </w:rPr>
        <w:t>This Note and all acts and transactions pursuant hereto and the rights and obligations of the parties hereto shall be governed,</w:t>
      </w:r>
      <w:r>
        <w:rPr>
          <w:rFonts w:ascii="Arial" w:cs="Arial" w:eastAsia="Arial" w:hAnsi="Arial"/>
          <w:sz w:val="17"/>
          <w:szCs w:val="17"/>
          <w:b w:val="1"/>
          <w:bCs w:val="1"/>
          <w:color w:val="auto"/>
        </w:rPr>
        <w:t xml:space="preserve"> </w:t>
      </w:r>
      <w:r>
        <w:rPr>
          <w:rFonts w:ascii="Arial" w:cs="Arial" w:eastAsia="Arial" w:hAnsi="Arial"/>
          <w:sz w:val="17"/>
          <w:szCs w:val="17"/>
          <w:color w:val="auto"/>
        </w:rPr>
        <w:t>construed and interpreted in accordance with the laws of the State of California, without giving effect to principles of conflicts of law.</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60" w:top="270" w:right="459" w:bottom="1440" w:gutter="0" w:footer="0" w:header="0"/>
        </w:sectPr>
      </w:pPr>
    </w:p>
    <w:bookmarkStart w:id="217" w:name="page218"/>
    <w:bookmarkEnd w:id="217"/>
    <w:p>
      <w:pPr>
        <w:ind w:firstLine="436"/>
        <w:spacing w:after="0" w:line="256" w:lineRule="auto"/>
        <w:tabs>
          <w:tab w:leader="none" w:pos="755" w:val="left"/>
        </w:tabs>
        <w:numPr>
          <w:ilvl w:val="0"/>
          <w:numId w:val="148"/>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notice required or permitted by this Agreement shall be in writing and shall be deemed sufficient upon receipt, when delivered</w:t>
      </w:r>
      <w:r>
        <w:rPr>
          <w:rFonts w:ascii="Arial" w:cs="Arial" w:eastAsia="Arial" w:hAnsi="Arial"/>
          <w:sz w:val="18"/>
          <w:szCs w:val="18"/>
          <w:b w:val="1"/>
          <w:bCs w:val="1"/>
          <w:color w:val="auto"/>
        </w:rPr>
        <w:t xml:space="preserve"> </w:t>
      </w:r>
      <w:r>
        <w:rPr>
          <w:rFonts w:ascii="Arial" w:cs="Arial" w:eastAsia="Arial" w:hAnsi="Arial"/>
          <w:sz w:val="18"/>
          <w:szCs w:val="18"/>
          <w:color w:val="auto"/>
        </w:rPr>
        <w:t>personally or by courier, overnight delivery service, electronic mail, or facsimile, or 48 hours after being deposited in the U.S. mail as certified or registered mail with postage prepaid, if such notice is addressed to the party to be notified at such party’s address, e-mail address, or facsimile number as set forth below, used in customary communications with the Company, or as subsequently modified by written notice. If notice is given to the Company, a required copy (which copy shall not constitute notice) shall also be sent to Stephen J. Venuto, Orrick, Herrington &amp; Sutcliffe LLP, 1000 Marsh Road, Menlo Park, California 94025.</w:t>
      </w:r>
    </w:p>
    <w:p>
      <w:pPr>
        <w:spacing w:after="0" w:line="187" w:lineRule="exact"/>
        <w:rPr>
          <w:rFonts w:ascii="Arial" w:cs="Arial" w:eastAsia="Arial" w:hAnsi="Arial"/>
          <w:sz w:val="18"/>
          <w:szCs w:val="18"/>
          <w:color w:val="auto"/>
        </w:rPr>
      </w:pPr>
    </w:p>
    <w:p>
      <w:pPr>
        <w:jc w:val="both"/>
        <w:ind w:right="60" w:firstLine="436"/>
        <w:spacing w:after="0" w:line="266" w:lineRule="auto"/>
        <w:tabs>
          <w:tab w:leader="none" w:pos="755" w:val="left"/>
        </w:tabs>
        <w:numPr>
          <w:ilvl w:val="0"/>
          <w:numId w:val="148"/>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Amendments and Waivers</w:t>
      </w:r>
      <w:r>
        <w:rPr>
          <w:rFonts w:ascii="Arial" w:cs="Arial" w:eastAsia="Arial" w:hAnsi="Arial"/>
          <w:sz w:val="18"/>
          <w:szCs w:val="18"/>
          <w:b w:val="1"/>
          <w:bCs w:val="1"/>
          <w:color w:val="auto"/>
        </w:rPr>
        <w:t xml:space="preserve">. </w:t>
      </w:r>
      <w:r>
        <w:rPr>
          <w:rFonts w:ascii="Arial" w:cs="Arial" w:eastAsia="Arial" w:hAnsi="Arial"/>
          <w:sz w:val="18"/>
          <w:szCs w:val="18"/>
          <w:color w:val="auto"/>
        </w:rPr>
        <w:t>Any term of this Note may be amended or waived only with the written consent of (i) the Company and (ii) the</w:t>
      </w:r>
      <w:r>
        <w:rPr>
          <w:rFonts w:ascii="Arial" w:cs="Arial" w:eastAsia="Arial" w:hAnsi="Arial"/>
          <w:sz w:val="18"/>
          <w:szCs w:val="18"/>
          <w:b w:val="1"/>
          <w:bCs w:val="1"/>
          <w:color w:val="auto"/>
        </w:rPr>
        <w:t xml:space="preserve"> </w:t>
      </w:r>
      <w:r>
        <w:rPr>
          <w:rFonts w:ascii="Arial" w:cs="Arial" w:eastAsia="Arial" w:hAnsi="Arial"/>
          <w:sz w:val="18"/>
          <w:szCs w:val="18"/>
          <w:color w:val="auto"/>
        </w:rPr>
        <w:t>Holder. Any amendment or waiver effected in accordance with this Section 9 shall be binding upon the Company, the Holder and each transferee of this Note.</w:t>
      </w:r>
    </w:p>
    <w:p>
      <w:pPr>
        <w:spacing w:after="0" w:line="175" w:lineRule="exact"/>
        <w:rPr>
          <w:rFonts w:ascii="Arial" w:cs="Arial" w:eastAsia="Arial" w:hAnsi="Arial"/>
          <w:sz w:val="18"/>
          <w:szCs w:val="18"/>
          <w:color w:val="auto"/>
        </w:rPr>
      </w:pPr>
    </w:p>
    <w:p>
      <w:pPr>
        <w:ind w:right="120" w:firstLine="436"/>
        <w:spacing w:after="0" w:line="282" w:lineRule="auto"/>
        <w:tabs>
          <w:tab w:leader="none" w:pos="845" w:val="left"/>
        </w:tabs>
        <w:numPr>
          <w:ilvl w:val="0"/>
          <w:numId w:val="148"/>
        </w:numPr>
        <w:rPr>
          <w:rFonts w:ascii="Arial" w:cs="Arial" w:eastAsia="Arial" w:hAnsi="Arial"/>
          <w:sz w:val="18"/>
          <w:szCs w:val="18"/>
          <w:color w:val="auto"/>
        </w:rPr>
      </w:pPr>
      <w:r>
        <w:rPr>
          <w:rFonts w:ascii="Arial" w:cs="Arial" w:eastAsia="Arial" w:hAnsi="Arial"/>
          <w:sz w:val="18"/>
          <w:szCs w:val="18"/>
          <w:b w:val="1"/>
          <w:bCs w:val="1"/>
          <w:u w:val="single" w:color="auto"/>
          <w:color w:val="auto"/>
        </w:rPr>
        <w:t>Stockholders, Officers and Directors Not Liable</w:t>
      </w:r>
      <w:r>
        <w:rPr>
          <w:rFonts w:ascii="Arial" w:cs="Arial" w:eastAsia="Arial" w:hAnsi="Arial"/>
          <w:sz w:val="18"/>
          <w:szCs w:val="18"/>
          <w:b w:val="1"/>
          <w:bCs w:val="1"/>
          <w:color w:val="auto"/>
        </w:rPr>
        <w:t xml:space="preserve">. </w:t>
      </w:r>
      <w:r>
        <w:rPr>
          <w:rFonts w:ascii="Arial" w:cs="Arial" w:eastAsia="Arial" w:hAnsi="Arial"/>
          <w:sz w:val="18"/>
          <w:szCs w:val="18"/>
          <w:color w:val="auto"/>
        </w:rPr>
        <w:t>In no event shall any stockholder, officer, director, agent, or advisor of the Company be</w:t>
      </w:r>
      <w:r>
        <w:rPr>
          <w:rFonts w:ascii="Arial" w:cs="Arial" w:eastAsia="Arial" w:hAnsi="Arial"/>
          <w:sz w:val="18"/>
          <w:szCs w:val="18"/>
          <w:b w:val="1"/>
          <w:bCs w:val="1"/>
          <w:color w:val="auto"/>
        </w:rPr>
        <w:t xml:space="preserve"> </w:t>
      </w:r>
      <w:r>
        <w:rPr>
          <w:rFonts w:ascii="Arial" w:cs="Arial" w:eastAsia="Arial" w:hAnsi="Arial"/>
          <w:sz w:val="18"/>
          <w:szCs w:val="18"/>
          <w:color w:val="auto"/>
        </w:rPr>
        <w:t>liable for any amounts due and/or payable pursuant to this Note.</w:t>
      </w:r>
    </w:p>
    <w:p>
      <w:pPr>
        <w:spacing w:after="0" w:line="161" w:lineRule="exact"/>
        <w:rPr>
          <w:rFonts w:ascii="Arial" w:cs="Arial" w:eastAsia="Arial" w:hAnsi="Arial"/>
          <w:sz w:val="18"/>
          <w:szCs w:val="18"/>
          <w:color w:val="auto"/>
        </w:rPr>
      </w:pPr>
    </w:p>
    <w:p>
      <w:pPr>
        <w:ind w:right="180" w:firstLine="436"/>
        <w:spacing w:after="0" w:line="282" w:lineRule="auto"/>
        <w:tabs>
          <w:tab w:leader="none" w:pos="838" w:val="left"/>
        </w:tabs>
        <w:numPr>
          <w:ilvl w:val="0"/>
          <w:numId w:val="148"/>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Note may be executed in any number of counterparts, each of which will be deemed to be an original and all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will constitute a single agreement.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0" w:right="459" w:bottom="1440" w:gutter="0" w:footer="0" w:header="0"/>
        </w:sectPr>
      </w:pPr>
    </w:p>
    <w:bookmarkStart w:id="218" w:name="page219"/>
    <w:bookmarkEnd w:id="218"/>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Company has executed this Unsecured Senior Mandatory Convertible Promissory Note due January 30, 2025 as of the date first set forth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THE COMPANY</w:t>
      </w:r>
      <w:r>
        <w:rPr>
          <w:rFonts w:ascii="Arial" w:cs="Arial" w:eastAsia="Arial" w:hAnsi="Arial"/>
          <w:sz w:val="18"/>
          <w:szCs w:val="18"/>
          <w:b w:val="1"/>
          <w:bCs w:val="1"/>
          <w:color w:val="auto"/>
        </w:rPr>
        <w: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ASANA,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Tim 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4420235</wp:posOffset>
            </wp:positionH>
            <wp:positionV relativeFrom="paragraph">
              <wp:posOffset>-10160</wp:posOffset>
            </wp:positionV>
            <wp:extent cx="206946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069465" cy="8255"/>
                    </a:xfrm>
                    <a:prstGeom prst="rect">
                      <a:avLst/>
                    </a:prstGeom>
                    <a:noFill/>
                  </pic:spPr>
                </pic:pic>
              </a:graphicData>
            </a:graphic>
          </wp:anchor>
        </w:drawing>
      </w:r>
    </w:p>
    <w:p>
      <w:pPr>
        <w:spacing w:after="0" w:line="3" w:lineRule="exact"/>
        <w:rPr>
          <w:sz w:val="20"/>
          <w:szCs w:val="20"/>
          <w:color w:val="auto"/>
        </w:rPr>
      </w:pPr>
    </w:p>
    <w:p>
      <w:pPr>
        <w:ind w:left="8060"/>
        <w:spacing w:after="0"/>
        <w:rPr>
          <w:sz w:val="20"/>
          <w:szCs w:val="20"/>
          <w:color w:val="auto"/>
        </w:rPr>
      </w:pPr>
      <w:r>
        <w:rPr>
          <w:rFonts w:ascii="Arial" w:cs="Arial" w:eastAsia="Arial" w:hAnsi="Arial"/>
          <w:sz w:val="18"/>
          <w:szCs w:val="18"/>
          <w:i w:val="1"/>
          <w:iCs w:val="1"/>
          <w:color w:val="auto"/>
        </w:rPr>
        <w:t>Signature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Tim Wan</w:t>
      </w:r>
    </w:p>
    <w:p>
      <w:pPr>
        <w:spacing w:after="0" w:line="23" w:lineRule="exact"/>
        <w:rPr>
          <w:sz w:val="20"/>
          <w:szCs w:val="20"/>
          <w:color w:val="auto"/>
        </w:rPr>
      </w:pPr>
    </w:p>
    <w:p>
      <w:pPr>
        <w:ind w:left="6620"/>
        <w:spacing w:after="0"/>
        <w:tabs>
          <w:tab w:leader="none" w:pos="7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1550 Bryant Street, Suite 200</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San Francisco, CA 94103</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Email: [email]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AGREED TO AND ACCEPTED: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HOLDER</w:t>
      </w:r>
      <w:r>
        <w:rPr>
          <w:rFonts w:ascii="Arial" w:cs="Arial" w:eastAsia="Arial" w:hAnsi="Arial"/>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DUSTIN A. MOSKOVITZ TTEE DUSTIN 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MOSKOVITZ TRUST DTD 12/27/05</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/s/ Dustin Moskovitz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-10160</wp:posOffset>
            </wp:positionV>
            <wp:extent cx="187261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872615" cy="8890"/>
                    </a:xfrm>
                    <a:prstGeom prst="rect">
                      <a:avLst/>
                    </a:prstGeom>
                    <a:noFill/>
                  </pic:spPr>
                </pic:pic>
              </a:graphicData>
            </a:graphic>
          </wp:anchor>
        </w:drawing>
      </w:r>
    </w:p>
    <w:p>
      <w:pPr>
        <w:spacing w:after="0" w:line="3" w:lineRule="exact"/>
        <w:rPr>
          <w:sz w:val="20"/>
          <w:szCs w:val="20"/>
          <w:color w:val="auto"/>
        </w:rPr>
      </w:pPr>
    </w:p>
    <w:p>
      <w:pPr>
        <w:ind w:left="1440"/>
        <w:spacing w:after="0"/>
        <w:rPr>
          <w:sz w:val="20"/>
          <w:szCs w:val="20"/>
          <w:color w:val="auto"/>
        </w:rPr>
      </w:pPr>
      <w:r>
        <w:rPr>
          <w:rFonts w:ascii="Arial" w:cs="Arial" w:eastAsia="Arial" w:hAnsi="Arial"/>
          <w:sz w:val="18"/>
          <w:szCs w:val="18"/>
          <w:i w:val="1"/>
          <w:iCs w:val="1"/>
          <w:color w:val="auto"/>
        </w:rPr>
        <w:t>Signature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Name: Dustin Moskovitz</w:t>
      </w:r>
    </w:p>
    <w:p>
      <w:pPr>
        <w:spacing w:after="0" w:line="2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Trustee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[email]</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ASANA, INC. – UNSECURED SENIOR MANDATORY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CONVERTIBLE PROMISSORY NOTE DUE JANUARY 30, 2025</w:t>
      </w:r>
    </w:p>
    <w:p>
      <w:pPr>
        <w:sectPr>
          <w:pgSz w:w="11900" w:h="16838" w:orient="portrait"/>
          <w:cols w:equalWidth="0" w:num="1">
            <w:col w:w="10980"/>
          </w:cols>
          <w:pgMar w:left="440" w:top="274" w:right="479" w:bottom="1440" w:gutter="0" w:footer="0" w:header="0"/>
        </w:sectPr>
      </w:pPr>
    </w:p>
    <w:bookmarkStart w:id="219" w:name="page220"/>
    <w:bookmarkEnd w:id="219"/>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APPENDIX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ADJUSTMENT OF CONVERSION RATE</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 xml:space="preserve">The Conversion Rate and the Public Company Conversion Rate Limit shall be subject to adjustment from time to time, without duplication, as set forth in this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References in this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to the “Conversion Rate” shall apply to the “Public Company Conversion Rate Limit” </w:t>
      </w:r>
      <w:r>
        <w:rPr>
          <w:rFonts w:ascii="Arial" w:cs="Arial" w:eastAsia="Arial" w:hAnsi="Arial"/>
          <w:sz w:val="18"/>
          <w:szCs w:val="18"/>
          <w:i w:val="1"/>
          <w:iCs w:val="1"/>
          <w:color w:val="auto"/>
        </w:rPr>
        <w:t>mutatis</w:t>
      </w:r>
      <w:r>
        <w:rPr>
          <w:rFonts w:ascii="Arial" w:cs="Arial" w:eastAsia="Arial" w:hAnsi="Arial"/>
          <w:sz w:val="18"/>
          <w:szCs w:val="18"/>
          <w:color w:val="auto"/>
        </w:rPr>
        <w:t xml:space="preserve"> </w:t>
      </w:r>
      <w:r>
        <w:rPr>
          <w:rFonts w:ascii="Arial" w:cs="Arial" w:eastAsia="Arial" w:hAnsi="Arial"/>
          <w:sz w:val="18"/>
          <w:szCs w:val="18"/>
          <w:i w:val="1"/>
          <w:iCs w:val="1"/>
          <w:color w:val="auto"/>
        </w:rPr>
        <w:t>mutandis</w:t>
      </w:r>
      <w:r>
        <w:rPr>
          <w:rFonts w:ascii="Arial" w:cs="Arial" w:eastAsia="Arial" w:hAnsi="Arial"/>
          <w:sz w:val="18"/>
          <w:szCs w:val="18"/>
          <w:color w:val="auto"/>
        </w:rPr>
        <w:t>.</w:t>
      </w:r>
    </w:p>
    <w:p>
      <w:pPr>
        <w:spacing w:after="0" w:line="184" w:lineRule="exact"/>
        <w:rPr>
          <w:sz w:val="20"/>
          <w:szCs w:val="20"/>
          <w:color w:val="auto"/>
        </w:rPr>
      </w:pPr>
    </w:p>
    <w:p>
      <w:pPr>
        <w:ind w:right="120" w:firstLine="436"/>
        <w:spacing w:after="0" w:line="279" w:lineRule="auto"/>
        <w:tabs>
          <w:tab w:leader="none" w:pos="755" w:val="left"/>
        </w:tabs>
        <w:numPr>
          <w:ilvl w:val="0"/>
          <w:numId w:val="149"/>
        </w:numPr>
        <w:rPr>
          <w:rFonts w:ascii="Arial" w:cs="Arial" w:eastAsia="Arial" w:hAnsi="Arial"/>
          <w:sz w:val="17"/>
          <w:szCs w:val="17"/>
          <w:color w:val="auto"/>
        </w:rPr>
      </w:pPr>
      <w:r>
        <w:rPr>
          <w:rFonts w:ascii="Arial" w:cs="Arial" w:eastAsia="Arial" w:hAnsi="Arial"/>
          <w:sz w:val="17"/>
          <w:szCs w:val="17"/>
          <w:color w:val="auto"/>
        </w:rPr>
        <w:t>In case the Company shall pay or make a dividend or other distribution on its Common Stock consisting exclusively of Common Stock, the Conversion Rate shall be increased by multiplying such Conversion Rate by a fraction of which the denominator shall be the number of shares of Common Stock outstanding immediately prior to the Open of Business on the Ex Date for such dividend or distribution, and the numerator shall be the number of shares of Common Stock outstanding immediately after such dividend or distribution, in the following formula:</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CR2 = CR1* (OS2 ÷ OS1)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CR1 = the Conversion Rate in effect immediately prior to the Open of Business on the Ex Date of such dividend or distribution;</w:t>
      </w:r>
    </w:p>
    <w:p>
      <w:pPr>
        <w:spacing w:after="0" w:line="23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CR2 = the Conversion Rate in effect immediately after the Open of Business on the Ex Date for such dividend or distribution;</w:t>
      </w:r>
    </w:p>
    <w:p>
      <w:pPr>
        <w:spacing w:after="0" w:line="225"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OS1 = the number of shares of Common Stock outstanding immediately prior to the Open of Business on the Ex Date for such dividend or distribution; and</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OS2 = the number of shares of Common Stock outstanding immediately after such dividend or distribution.</w:t>
      </w:r>
    </w:p>
    <w:p>
      <w:pPr>
        <w:spacing w:after="0" w:line="225" w:lineRule="exact"/>
        <w:rPr>
          <w:sz w:val="20"/>
          <w:szCs w:val="20"/>
          <w:color w:val="auto"/>
        </w:rPr>
      </w:pPr>
    </w:p>
    <w:p>
      <w:pPr>
        <w:ind w:right="280" w:firstLine="436"/>
        <w:spacing w:after="0" w:line="277" w:lineRule="auto"/>
        <w:tabs>
          <w:tab w:leader="none" w:pos="75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In case the Company shall effect a share split or share combination, the Conversion Rate shall be proportionally increased, in the case of a share split, and proportionally reduced, in the case of a share combination, as expressed in the following formula: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CR2 = CR1* (OS2 ÷ OS1)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CR1 = the Conversion Rate in effect immediately prior to the Open of Business on the effective date of such share split or share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combination;</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CR2 = the Conversion Rate in effect immediately after the Open of Business on the effective date of such share split or share combination;</w:t>
      </w:r>
    </w:p>
    <w:p>
      <w:pPr>
        <w:sectPr>
          <w:pgSz w:w="11900" w:h="16838" w:orient="portrait"/>
          <w:cols w:equalWidth="0" w:num="1">
            <w:col w:w="10980"/>
          </w:cols>
          <w:pgMar w:left="440" w:top="270" w:right="479" w:bottom="1440" w:gutter="0" w:footer="0" w:header="0"/>
        </w:sectPr>
      </w:pPr>
    </w:p>
    <w:bookmarkStart w:id="220" w:name="page221"/>
    <w:bookmarkEnd w:id="220"/>
    <w:p>
      <w:pPr>
        <w:ind w:right="8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OS1 = the number of shares of Common Stock outstanding immediately prior to the Open of Business on the effective date of such share split or share combination; and</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OS2 = the number of shares of Common Stock outstanding immediately after such share split or share combination.</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Any adjustment made under Section 1 or this Section 2 of this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shall become effective immediately after the Open of Business on the Ex Date for such dividend or distribution, or immediately after the Open of Business on the effective date for such share split or share combination, as the case may be. If any dividend or distribution of the type described in Sections 1 or 2 of this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is declared but not so paid or made, or any share split or share combination of the type described in Section 1 or this Section 2 of this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is announced but the shares of Common Stock are not split or combined, as the case may be, then the Conversion Rate shall be immediately readjusted, effective as of the date the Company’s Board of Directors determines not to pay such dividend or distribution, or not to split or combine the shares of Common Stock, as the case may be, to the Conversion Rate that would then be in effect if such dividend or distribution had not been declared or such share split or combination had not been announced.</w:t>
      </w:r>
    </w:p>
    <w:p>
      <w:pPr>
        <w:spacing w:after="0" w:line="192" w:lineRule="exact"/>
        <w:rPr>
          <w:sz w:val="20"/>
          <w:szCs w:val="20"/>
          <w:color w:val="auto"/>
        </w:rPr>
      </w:pPr>
    </w:p>
    <w:p>
      <w:pPr>
        <w:jc w:val="both"/>
        <w:ind w:firstLine="436"/>
        <w:spacing w:after="0" w:line="301" w:lineRule="auto"/>
        <w:tabs>
          <w:tab w:leader="none" w:pos="755" w:val="left"/>
        </w:tabs>
        <w:numPr>
          <w:ilvl w:val="0"/>
          <w:numId w:val="151"/>
        </w:numPr>
        <w:rPr>
          <w:rFonts w:ascii="Arial" w:cs="Arial" w:eastAsia="Arial" w:hAnsi="Arial"/>
          <w:sz w:val="16"/>
          <w:szCs w:val="16"/>
          <w:color w:val="auto"/>
        </w:rPr>
      </w:pPr>
      <w:r>
        <w:rPr>
          <w:rFonts w:ascii="Arial" w:cs="Arial" w:eastAsia="Arial" w:hAnsi="Arial"/>
          <w:sz w:val="16"/>
          <w:szCs w:val="16"/>
          <w:color w:val="auto"/>
        </w:rPr>
        <w:t>If the Company distributes to all or substantially all holders of the Common Stock any rights, options or warrants entitling them, for a period expiring not more than forty-five (45) days immediately following the date of such distribution, to purchase or subscribe for Common Stock, at a price per share less than the average of the Closing Sale Prices of the Common Stock over the ten (10) consecutive Trading Day period ending on the Trading Day immediately preceding the date of announcement for such distribution, the Conversion Rate shall be increased based on the following formula:</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CR2 = CR1* [(OS1 + X) ÷ (OS1 + 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CR1 = the Conversion Rate in effect immediately prior to the Open of Business on the Ex Date for such distribution;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CR2 = the Conversion Rate in effect immediately after the Open of Business on such Ex Date;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OS1 = the number of shares of Common Stock outstanding immediately prior to the Open of Business on such Ex Date;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X = the total number of shares of Common Stock issuable pursuant to such rights, options or warrants; and</w:t>
      </w:r>
    </w:p>
    <w:p>
      <w:pPr>
        <w:spacing w:after="0" w:line="225" w:lineRule="exact"/>
        <w:rPr>
          <w:sz w:val="20"/>
          <w:szCs w:val="20"/>
          <w:color w:val="auto"/>
        </w:rPr>
      </w:pPr>
    </w:p>
    <w:p>
      <w:pPr>
        <w:jc w:val="both"/>
        <w:ind w:right="80" w:firstLine="991"/>
        <w:spacing w:after="0" w:line="263" w:lineRule="auto"/>
        <w:rPr>
          <w:sz w:val="20"/>
          <w:szCs w:val="20"/>
          <w:color w:val="auto"/>
        </w:rPr>
      </w:pPr>
      <w:r>
        <w:rPr>
          <w:rFonts w:ascii="Arial" w:cs="Arial" w:eastAsia="Arial" w:hAnsi="Arial"/>
          <w:sz w:val="18"/>
          <w:szCs w:val="18"/>
          <w:color w:val="auto"/>
        </w:rPr>
        <w:t>Y = the number of shares of Common Stock equal to the aggregate price payable to exercise such rights, options or warrants, divided by the average of the Closing Sale Prices of the Common Stock over the ten (10) consecutive Trading Day period ending on the Trading Day immediately preceding the date of announcement for such distribution.</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940"/>
          </w:cols>
          <w:pgMar w:left="440" w:top="274" w:right="519" w:bottom="1440" w:gutter="0" w:footer="0" w:header="0"/>
        </w:sectPr>
      </w:pPr>
    </w:p>
    <w:bookmarkStart w:id="221" w:name="page222"/>
    <w:bookmarkEnd w:id="221"/>
    <w:p>
      <w:pPr>
        <w:ind w:right="80" w:firstLine="4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Any increase made under this Section 3 of this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shall be made successively whenever any such rights, options or warrants are distributed and shall become effective immediately after the Open of Business on the Ex Date for such distribution. To the extent that Common Stock is not delivered after expiration of such rights, options or warrants, the Conversion Rate shall be readjusted, effective as of the date of such expiration, to the Conversion Rate that would then be in effect had the increase with respect to the distribution of such rights, options or warrants been made on the basis of delivery of only the number of shares of Common Stock actually delivered. If such rights, options or warrants are not so distributed, the Conversion Rate shall be decreased, effective as of the date the Company’s Board of Directors determines not to make such distribution, to the Conversion Rate that would then be in effect if such Ex Date for such distribution had not occurred.</w:t>
      </w:r>
    </w:p>
    <w:p>
      <w:pPr>
        <w:spacing w:after="0" w:line="177"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 xml:space="preserve">In determining whether any rights, options or warrants entitle the holders to subscribe for or purchase Common Stock at less than such average of the Closing Sale Prices for the ten (10) consecutive Trading Day period ending on the Trading Day immediately preceding the date of announcement for such distribution, and in determining the aggregate offering price of such Common Stock, there shall be taken into account any consideration received by the Company for such rights, options or warrants and any amount payable on exercise or conversion thereof, the value of such consideration, if other than cash, to be determined by the Company’s Board of Directors. Except in the case of a readjustment of the Conversion Rate pursuant to the immediately preceding paragraph, the Conversion Rate shall not be decreased pursuant to this Section 3 of this </w:t>
      </w:r>
      <w:r>
        <w:rPr>
          <w:rFonts w:ascii="Arial" w:cs="Arial" w:eastAsia="Arial" w:hAnsi="Arial"/>
          <w:sz w:val="16"/>
          <w:szCs w:val="16"/>
          <w:u w:val="single" w:color="auto"/>
          <w:color w:val="auto"/>
        </w:rPr>
        <w:t>Appendix A</w:t>
      </w:r>
      <w:r>
        <w:rPr>
          <w:rFonts w:ascii="Arial" w:cs="Arial" w:eastAsia="Arial" w:hAnsi="Arial"/>
          <w:sz w:val="16"/>
          <w:szCs w:val="16"/>
          <w:color w:val="auto"/>
        </w:rPr>
        <w:t>.</w:t>
      </w:r>
    </w:p>
    <w:p>
      <w:pPr>
        <w:spacing w:after="0" w:line="164" w:lineRule="exact"/>
        <w:rPr>
          <w:sz w:val="20"/>
          <w:szCs w:val="20"/>
          <w:color w:val="auto"/>
        </w:rPr>
      </w:pPr>
    </w:p>
    <w:p>
      <w:pPr>
        <w:ind w:firstLine="436"/>
        <w:spacing w:after="0" w:line="269" w:lineRule="auto"/>
        <w:tabs>
          <w:tab w:leader="none" w:pos="755" w:val="left"/>
        </w:tabs>
        <w:numPr>
          <w:ilvl w:val="0"/>
          <w:numId w:val="152"/>
        </w:numPr>
        <w:rPr>
          <w:rFonts w:ascii="Arial" w:cs="Arial" w:eastAsia="Arial" w:hAnsi="Arial"/>
          <w:sz w:val="17"/>
          <w:szCs w:val="17"/>
          <w:color w:val="auto"/>
        </w:rPr>
      </w:pPr>
      <w:r>
        <w:rPr>
          <w:rFonts w:ascii="Arial" w:cs="Arial" w:eastAsia="Arial" w:hAnsi="Arial"/>
          <w:sz w:val="17"/>
          <w:szCs w:val="17"/>
          <w:color w:val="auto"/>
        </w:rPr>
        <w:t xml:space="preserve">If the Company distributes shares of its capital stock, evidences of its indebtedness or other of its assets, securities or property or rights, options or warrants to acquire its capital stock or other securities, to all or substantially all holders of Common Stock, but excluding: (i) dividends or distributions as to which an adjustment was effected pursuant to Sections 1, 2 or 3 of this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(ii) dividends or distributions paid exclusively in cash as to which an adjustment was effected pursuant to Section 5 of this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or that is excluded from the scope of Section 5 of this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by the parenthetical language preceding the formula therein; (iii) distributions of Reference Property (as defined in Section 2(c) of this Note) received by the holders of Common Stock in a Merger Event (as defined Section 2(c) of this Note); (iv) rights issued pursuant to a rights plan of the Company (i.e., a poison pill), except to the extent provided for in the last paragraph of this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and (v) Spin-Offs (as defined below) to which the provisions set forth in the latter portion of this Section 4 of this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shall apply (any of such shares of capital stock, indebtedness or other assets, securities or property or rights, options or warrants to acquire its capital Stock or other securities, the “</w:t>
      </w:r>
      <w:r>
        <w:rPr>
          <w:rFonts w:ascii="Arial" w:cs="Arial" w:eastAsia="Arial" w:hAnsi="Arial"/>
          <w:sz w:val="17"/>
          <w:szCs w:val="17"/>
          <w:u w:val="single" w:color="auto"/>
          <w:color w:val="auto"/>
        </w:rPr>
        <w:t>Distributed Property</w:t>
      </w:r>
      <w:r>
        <w:rPr>
          <w:rFonts w:ascii="Arial" w:cs="Arial" w:eastAsia="Arial" w:hAnsi="Arial"/>
          <w:sz w:val="17"/>
          <w:szCs w:val="17"/>
          <w:color w:val="auto"/>
        </w:rPr>
        <w:t>”), then, in each such case the Conversion Rate shall be increased based on the following formula: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CR2 = CR1* [SP1 ÷ (SP1 – FMV)]</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CR1 = the Conversion Rate in effect immediately prior to the Open of Business on the Ex Date for such distribution;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CR2 = the Conversion Rate in effect immediately after the Open of Business on the Ex Date for such distribution;</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000"/>
          </w:cols>
          <w:pgMar w:left="440" w:top="274" w:right="459" w:bottom="1440" w:gutter="0" w:footer="0" w:header="0"/>
        </w:sectPr>
      </w:pPr>
    </w:p>
    <w:bookmarkStart w:id="222" w:name="page223"/>
    <w:bookmarkEnd w:id="222"/>
    <w:p>
      <w:pPr>
        <w:ind w:right="56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SP1 = the average of the Closing Sale Prices of the Common Stock over the ten (10) consecutive Trading Day period ending on the Trading Day immediately preceding the Ex Date for such distribution; and</w:t>
      </w:r>
    </w:p>
    <w:p>
      <w:pPr>
        <w:spacing w:after="0" w:line="170"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FMV = the fair market value (as determined by the Company’s Board of Directors) of the Distributed Property distributable with respect to each outstanding share of Common Stock as of the Open of Business on the Ex Date for such distribution.</w:t>
      </w:r>
    </w:p>
    <w:p>
      <w:pPr>
        <w:spacing w:after="0" w:line="170"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 xml:space="preserve">If the Company’s Board of Directors determines “FMV” for purposes of this Section 4 of this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by reference to the actual or when issued trading market for any securities, it must in doing so consider the prices in such market over the same period used in computing the Closing Sale Prices of the Common Stock over the ten (10) consecutive Trading Day period ending on the Trading Day immediately preceding the Ex Date for such distribution.</w:t>
      </w:r>
    </w:p>
    <w:p>
      <w:pPr>
        <w:spacing w:after="0" w:line="187" w:lineRule="exact"/>
        <w:rPr>
          <w:sz w:val="20"/>
          <w:szCs w:val="20"/>
          <w:color w:val="auto"/>
        </w:rPr>
      </w:pPr>
    </w:p>
    <w:p>
      <w:pPr>
        <w:ind w:right="60" w:firstLine="440"/>
        <w:spacing w:after="0" w:line="279" w:lineRule="auto"/>
        <w:rPr>
          <w:sz w:val="20"/>
          <w:szCs w:val="20"/>
          <w:color w:val="auto"/>
        </w:rPr>
      </w:pPr>
      <w:r>
        <w:rPr>
          <w:rFonts w:ascii="Arial" w:cs="Arial" w:eastAsia="Arial" w:hAnsi="Arial"/>
          <w:sz w:val="17"/>
          <w:szCs w:val="17"/>
          <w:color w:val="auto"/>
        </w:rPr>
        <w:t>Notwithstanding the foregoing, if “FMV” (as defined above) is equal to or greater than the “SP1” (as defined above), in lieu of the foregoing increase, provision shall be made for the Holder to receive, for each $1,000 of the Conversion Amount, at the same time and upon the same terms as the holders of the Common Stock, the amount and kind of Distributed Property that such Holder would have received if such Holder had owned a number of shares of Common Stock equal to the Conversion Rate in effect on the Ex Date for such distribution.</w:t>
      </w:r>
    </w:p>
    <w:p>
      <w:pPr>
        <w:spacing w:after="0" w:line="17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Any increase made under the portion of this Section 4 of this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above shall become effective immediately after the Open of Business on the Ex Date for such distribution. If such distribution is not so paid or made, the Conversion Rate shall be decreased, effective as of the date the Company’s Board of Directors determines not to make such distribution, to the Conversion Rate that would then be in effect if such dividend or distribution had not been declared.</w:t>
      </w:r>
    </w:p>
    <w:p>
      <w:pPr>
        <w:spacing w:after="0" w:line="187" w:lineRule="exact"/>
        <w:rPr>
          <w:sz w:val="20"/>
          <w:szCs w:val="20"/>
          <w:color w:val="auto"/>
        </w:rPr>
      </w:pPr>
    </w:p>
    <w:p>
      <w:pPr>
        <w:jc w:val="both"/>
        <w:ind w:right="40" w:firstLine="440"/>
        <w:spacing w:after="0" w:line="301" w:lineRule="auto"/>
        <w:rPr>
          <w:sz w:val="20"/>
          <w:szCs w:val="20"/>
          <w:color w:val="auto"/>
        </w:rPr>
      </w:pPr>
      <w:r>
        <w:rPr>
          <w:rFonts w:ascii="Arial" w:cs="Arial" w:eastAsia="Arial" w:hAnsi="Arial"/>
          <w:sz w:val="16"/>
          <w:szCs w:val="16"/>
          <w:color w:val="auto"/>
        </w:rPr>
        <w:t xml:space="preserve">With respect to an adjustment pursuant to this Section 4 of this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where there has been a payment of a dividend or other distribution on the Common Stock or capital stock of any class or series, or similar equity interests, of or relating to a subsidiary of the Company or other business unit of the Company, where such capital stock or similar equity interest is listed or quoted (or will be listed or quoted upon consummation of the transaction) on a U.S. national securities exchange (a “</w:t>
      </w:r>
      <w:r>
        <w:rPr>
          <w:rFonts w:ascii="Arial" w:cs="Arial" w:eastAsia="Arial" w:hAnsi="Arial"/>
          <w:sz w:val="16"/>
          <w:szCs w:val="16"/>
          <w:u w:val="single" w:color="auto"/>
          <w:color w:val="auto"/>
        </w:rPr>
        <w:t>Spin-Off</w:t>
      </w:r>
      <w:r>
        <w:rPr>
          <w:rFonts w:ascii="Arial" w:cs="Arial" w:eastAsia="Arial" w:hAnsi="Arial"/>
          <w:sz w:val="16"/>
          <w:szCs w:val="16"/>
          <w:color w:val="auto"/>
        </w:rPr>
        <w:t>”), the Conversion Rate shall be increased based on the following formula:</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CR2 = CR1* [(FMV1 + MP1) ÷ MP1]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CR1 = the Conversion Rate in effect immediately prior to the Open of Business on the Ex Date for the Spin-Off;</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CR2 = the Conversion Rate in effect immediately after the Open of Business on the Ex Date for the Spin-Off;</w:t>
      </w:r>
    </w:p>
    <w:p>
      <w:pPr>
        <w:spacing w:after="0" w:line="225"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FMV1 = the average of the Closing Sale Prices of the capital stock or similar equity interest distributed to holders of the Common Stock applicable to one share of Common Stock over the ten (10) consecutive Trading Days immediately following, and including, the Ex Date for a Spin-Off (the “</w:t>
      </w:r>
      <w:r>
        <w:rPr>
          <w:rFonts w:ascii="Arial" w:cs="Arial" w:eastAsia="Arial" w:hAnsi="Arial"/>
          <w:sz w:val="18"/>
          <w:szCs w:val="18"/>
          <w:u w:val="single" w:color="auto"/>
          <w:color w:val="auto"/>
        </w:rPr>
        <w:t>Valuation Period</w:t>
      </w:r>
      <w:r>
        <w:rPr>
          <w:rFonts w:ascii="Arial" w:cs="Arial" w:eastAsia="Arial" w:hAnsi="Arial"/>
          <w:sz w:val="18"/>
          <w:szCs w:val="18"/>
          <w:color w:val="auto"/>
        </w:rPr>
        <w:t>”); and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000"/>
          </w:cols>
          <w:pgMar w:left="440" w:top="274" w:right="459" w:bottom="1440" w:gutter="0" w:footer="0" w:header="0"/>
        </w:sectPr>
      </w:pPr>
    </w:p>
    <w:bookmarkStart w:id="223" w:name="page224"/>
    <w:bookmarkEnd w:id="223"/>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MP1 = the average of the Closing Sale Prices of the Common Stock over the Valuation Period.</w:t>
      </w:r>
    </w:p>
    <w:p>
      <w:pPr>
        <w:spacing w:after="0" w:line="225" w:lineRule="exact"/>
        <w:rPr>
          <w:sz w:val="20"/>
          <w:szCs w:val="20"/>
          <w:color w:val="auto"/>
        </w:rPr>
      </w:pPr>
    </w:p>
    <w:p>
      <w:pPr>
        <w:ind w:right="120" w:firstLine="440"/>
        <w:spacing w:after="0" w:line="289" w:lineRule="auto"/>
        <w:rPr>
          <w:sz w:val="20"/>
          <w:szCs w:val="20"/>
          <w:color w:val="auto"/>
        </w:rPr>
      </w:pPr>
      <w:r>
        <w:rPr>
          <w:rFonts w:ascii="Arial" w:cs="Arial" w:eastAsia="Arial" w:hAnsi="Arial"/>
          <w:sz w:val="16"/>
          <w:szCs w:val="16"/>
          <w:color w:val="auto"/>
        </w:rPr>
        <w:t xml:space="preserve">The increase to the Conversion Rate under the preceding paragraph shall be determined on the last Trading Day of the Valuation Period, but will be given effect immediately after the Open of Business on the Ex Date for such Spin-Off. Notwithstanding the foregoing, in respect of any conversion during the Valuation Period, references in the portion of this Section 4 of this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related to Spin-Offs with respect to ten (10) Trading Days shall be deemed to be replaced with such lesser number of Trading Days as have elapsed between the Ex Date of such Spin-Off and the date on which this Note converts or is repaid pursuant to Section 2 of this Note (the “</w:t>
      </w:r>
      <w:r>
        <w:rPr>
          <w:rFonts w:ascii="Arial" w:cs="Arial" w:eastAsia="Arial" w:hAnsi="Arial"/>
          <w:sz w:val="16"/>
          <w:szCs w:val="16"/>
          <w:u w:val="single" w:color="auto"/>
          <w:color w:val="auto"/>
        </w:rPr>
        <w:t>Conversion Date</w:t>
      </w:r>
      <w:r>
        <w:rPr>
          <w:rFonts w:ascii="Arial" w:cs="Arial" w:eastAsia="Arial" w:hAnsi="Arial"/>
          <w:sz w:val="16"/>
          <w:szCs w:val="16"/>
          <w:color w:val="auto"/>
        </w:rPr>
        <w:t xml:space="preserve">”) in determining the Conversion Rate. If the period from and including the Ex Date for the Spin-Off to and including the last Trading Day of the Observation Period in respect of any conversion of this Note is less than ten (10) Trading Days, references in the portion of this Section 4 of this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related to Spin-Offs with respect to ten (10) Trading Days shall be deemed to be replaced, solely in respect of that conversion of this Note, with such lesser number of Trading Days as have elapsed from, and including, the Ex Date for the Spin-Off to, and including, the last Trading Day of such Observation Period.</w:t>
      </w:r>
    </w:p>
    <w:p>
      <w:pPr>
        <w:spacing w:after="0" w:line="166"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Rights, options or warrants distributed by the Company to all holders of its Common Stock entitling the holders thereof to subscribe for or purchase shares of the Company’s capital stock, including Common Stock (either initially or under certain circumstances), which rights, options or warrants, until the occurrence of a specified event or events (“</w:t>
      </w:r>
      <w:r>
        <w:rPr>
          <w:rFonts w:ascii="Arial" w:cs="Arial" w:eastAsia="Arial" w:hAnsi="Arial"/>
          <w:sz w:val="16"/>
          <w:szCs w:val="16"/>
          <w:u w:val="single" w:color="auto"/>
          <w:color w:val="auto"/>
        </w:rPr>
        <w:t>Trigger Event</w:t>
      </w:r>
      <w:r>
        <w:rPr>
          <w:rFonts w:ascii="Arial" w:cs="Arial" w:eastAsia="Arial" w:hAnsi="Arial"/>
          <w:sz w:val="16"/>
          <w:szCs w:val="16"/>
          <w:color w:val="auto"/>
        </w:rPr>
        <w:t xml:space="preserve">”): (i) are deemed to be transferred with such Common Stock; (ii) are not exercisable; and (iii) are also issued in respect of future issuances of the Common Stock, shall be deemed not to have been distributed for purposes of this Section 4 of this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(and no adjustment to the Conversion Rate under this Section 4 of this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 will be required) until the occurrence of the earliest Trigger Event, whereupon such rights, options or warrants shall be deemed to have been distributed and an appropriate adjustment (if any is required) to the Conversion Rate shall be made under this Section 4 of this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as the case may be. If any such right, option or warrant, including any such existing rights, options or warrants distributed prior to the date of this Indenture, are subject to events, upon the occurrence of which such rights, options or warrants become exercisable to purchase different securities, evidences of indebtedness or other assets, then the date of the occurrence of any and each such event shall be deemed to be the date of distribution and Ex Date with respect to new rights, options or warrants with such rights (and a termination or expiration of the existing rights, options or warrants without exercise by any of the holders thereof). In addition, in the event of any distribution (or deemed distribution) of rights, options or warrants, or any Trigger Event or other event (of the type described in the preceding sentence) with respect thereto that was counted for purposes of calculating a distribution amount for which an adjustment to the Conversion Rate under this Section 4 of this </w:t>
      </w:r>
      <w:r>
        <w:rPr>
          <w:rFonts w:ascii="Arial" w:cs="Arial" w:eastAsia="Arial" w:hAnsi="Arial"/>
          <w:sz w:val="16"/>
          <w:szCs w:val="16"/>
          <w:u w:val="single" w:color="auto"/>
          <w:color w:val="auto"/>
        </w:rPr>
        <w:t>Appendix A</w:t>
      </w:r>
      <w:r>
        <w:rPr>
          <w:rFonts w:ascii="Arial" w:cs="Arial" w:eastAsia="Arial" w:hAnsi="Arial"/>
          <w:sz w:val="16"/>
          <w:szCs w:val="16"/>
          <w:color w:val="auto"/>
        </w:rPr>
        <w:t>, as the case may be, was made, (1) in the case of any such rights, options or warrants that shall all have been redeemed or repurchased without exercise by any holders thereof, the Conversion Rate shall be readjusted upon such final redemption or repurchase to give effect to such distribution or Trigger Event, as the case may be, as though it were a cash distribution, equal to the per share redemption or repurchase price received by a holder or holders of Common Stock with respect to such rights, options or warrants (assuming such holder had retained such rights, options or warrants), made to all holders of Common Stock as of the date of such redemption or repurchase, and (2) in the case of such rights, options or warrants that shall have expired or been terminated without exercise by any holders thereof, the Conversion Rate shall be readjusted as if such rights, options or warrants had not been issued.</w:t>
      </w: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0960"/>
          </w:cols>
          <w:pgMar w:left="440" w:top="274" w:right="499" w:bottom="1440" w:gutter="0" w:footer="0" w:header="0"/>
        </w:sectPr>
      </w:pPr>
    </w:p>
    <w:bookmarkStart w:id="224" w:name="page225"/>
    <w:bookmarkEnd w:id="224"/>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For purposes of Sections 1, 2 and 3 and this Section 4 of this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any dividend or distribution to which this Section 4 of this </w:t>
      </w:r>
      <w:r>
        <w:rPr>
          <w:rFonts w:ascii="Arial" w:cs="Arial" w:eastAsia="Arial" w:hAnsi="Arial"/>
          <w:sz w:val="16"/>
          <w:szCs w:val="16"/>
          <w:u w:val="single" w:color="auto"/>
          <w:color w:val="auto"/>
        </w:rPr>
        <w:t>Appendix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is applicable that also includes one or both of: (A) a dividend or distribution of Common Stock to which Section 1 or 2 of this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is applicable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u w:val="single" w:color="auto"/>
          <w:color w:val="auto"/>
        </w:rPr>
        <w:t>Clause A Distribution</w:t>
      </w:r>
      <w:r>
        <w:rPr>
          <w:rFonts w:ascii="Arial" w:cs="Arial" w:eastAsia="Arial" w:hAnsi="Arial"/>
          <w:sz w:val="17"/>
          <w:szCs w:val="17"/>
          <w:color w:val="auto"/>
        </w:rPr>
        <w:t xml:space="preserve">”); or (B) a dividend or distribution of rights, options or warrants to which Section 3 of this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is applicable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Clause B Distribution</w:t>
      </w:r>
      <w:r>
        <w:rPr>
          <w:rFonts w:ascii="Arial" w:cs="Arial" w:eastAsia="Arial" w:hAnsi="Arial"/>
          <w:sz w:val="16"/>
          <w:szCs w:val="16"/>
          <w:color w:val="auto"/>
        </w:rPr>
        <w:t>”), then (1) such dividend or distribution, other than the Clause A Distribution and Clause B Distribution, shall be deemed to be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dividend or distribution to which this Section 4 of this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is applicable (the “</w:t>
      </w:r>
      <w:r>
        <w:rPr>
          <w:rFonts w:ascii="Arial" w:cs="Arial" w:eastAsia="Arial" w:hAnsi="Arial"/>
          <w:sz w:val="17"/>
          <w:szCs w:val="17"/>
          <w:u w:val="single" w:color="auto"/>
          <w:color w:val="auto"/>
        </w:rPr>
        <w:t>Clause C Distribution</w:t>
      </w:r>
      <w:r>
        <w:rPr>
          <w:rFonts w:ascii="Arial" w:cs="Arial" w:eastAsia="Arial" w:hAnsi="Arial"/>
          <w:sz w:val="17"/>
          <w:szCs w:val="17"/>
          <w:color w:val="auto"/>
        </w:rPr>
        <w:t>”) and any Conversion Rate adjustment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required by this Section 4 of this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with respect to such Clause C Distribution shall then be made and (2) the Clause A Distribution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Clause B Distribution shall be deemed to immediately follow the Clause C Distribution and any Conversion Rate adjustment required by Sections 1, 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and 3 of this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with respect thereto shall then be made, except that, if determined by the Company’s Board of Directors, the Ex Date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Clause A Distribution and the Clause B Distribution shall be deemed to be the Ex Date of the Clause C Distribution and any Common Stock included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Clause A Distribution or Clause B Distribution shall be deemed not to be “outstanding immediately prior to the Open of Business on the Ex Date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dividend or distribution” or “outstanding immediately after the Open of Business on the effective date of such share split or share combination,”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case may be within the meaning of this Section 1 of this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or “outstanding immediately prior to the Open of Business on the Ex Date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such distribution” within the meaning of this Section 3 of this </w:t>
      </w:r>
      <w:r>
        <w:rPr>
          <w:rFonts w:ascii="Arial" w:cs="Arial" w:eastAsia="Arial" w:hAnsi="Arial"/>
          <w:sz w:val="18"/>
          <w:szCs w:val="18"/>
          <w:u w:val="single" w:color="auto"/>
          <w:color w:val="auto"/>
        </w:rPr>
        <w:t>Appendix A</w:t>
      </w:r>
      <w:r>
        <w:rPr>
          <w:rFonts w:ascii="Arial" w:cs="Arial" w:eastAsia="Arial" w:hAnsi="Arial"/>
          <w:sz w:val="18"/>
          <w:szCs w:val="18"/>
          <w:color w:val="auto"/>
        </w:rPr>
        <w:t>.</w:t>
      </w:r>
    </w:p>
    <w:p>
      <w:pPr>
        <w:spacing w:after="0" w:line="211"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Except in the case of a readjustment of the Conversion Rate pursuant to the last sentence of either the fourth or seventh paragraph of this Section 4 of this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the Conversion Rate shall not be decreased pursuant to this Section 4 of this </w:t>
      </w:r>
      <w:r>
        <w:rPr>
          <w:rFonts w:ascii="Arial" w:cs="Arial" w:eastAsia="Arial" w:hAnsi="Arial"/>
          <w:sz w:val="18"/>
          <w:szCs w:val="18"/>
          <w:u w:val="single" w:color="auto"/>
          <w:color w:val="auto"/>
        </w:rPr>
        <w:t>Appendix A</w:t>
      </w:r>
      <w:r>
        <w:rPr>
          <w:rFonts w:ascii="Arial" w:cs="Arial" w:eastAsia="Arial" w:hAnsi="Arial"/>
          <w:sz w:val="18"/>
          <w:szCs w:val="18"/>
          <w:color w:val="auto"/>
        </w:rPr>
        <w:t>.</w:t>
      </w:r>
    </w:p>
    <w:p>
      <w:pPr>
        <w:spacing w:after="0" w:line="170" w:lineRule="exact"/>
        <w:rPr>
          <w:sz w:val="20"/>
          <w:szCs w:val="20"/>
          <w:color w:val="auto"/>
        </w:rPr>
      </w:pPr>
    </w:p>
    <w:p>
      <w:pPr>
        <w:ind w:right="220" w:firstLine="436"/>
        <w:spacing w:after="0" w:line="277" w:lineRule="auto"/>
        <w:tabs>
          <w:tab w:leader="none" w:pos="75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If any cash dividend or distribution is made to all or substantially all holders of the Common Stock, the Conversion Rate shall be increased based on the following formula: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CR2 = CR1* [(SP1 – T) ÷ (SP1 – 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CR1 = the Conversion Rate in effect immediately prior to the Open of Business on the Ex Date for such dividend or distribution;</w:t>
      </w:r>
    </w:p>
    <w:p>
      <w:pPr>
        <w:spacing w:after="0" w:line="23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CR2 = the Conversion Rate in effect immediately after the Open of Business on the Ex Date for such dividend or distribution;</w:t>
      </w:r>
    </w:p>
    <w:p>
      <w:pPr>
        <w:spacing w:after="0" w:line="225" w:lineRule="exact"/>
        <w:rPr>
          <w:sz w:val="20"/>
          <w:szCs w:val="20"/>
          <w:color w:val="auto"/>
        </w:rPr>
      </w:pPr>
    </w:p>
    <w:p>
      <w:pPr>
        <w:ind w:right="260" w:firstLine="991"/>
        <w:spacing w:after="0" w:line="257" w:lineRule="auto"/>
        <w:rPr>
          <w:sz w:val="20"/>
          <w:szCs w:val="20"/>
          <w:color w:val="auto"/>
        </w:rPr>
      </w:pPr>
      <w:r>
        <w:rPr>
          <w:rFonts w:ascii="Arial" w:cs="Arial" w:eastAsia="Arial" w:hAnsi="Arial"/>
          <w:sz w:val="18"/>
          <w:szCs w:val="18"/>
          <w:color w:val="auto"/>
        </w:rPr>
        <w:t>SP1 = the average of the Closing Sale Prices of the Common Stock over the ten (10) consecutive Trading Day period immediately preceding the Ex Date for such dividend or distribution (or, if the Company declares such dividend or distribution less than eleven (11) Trading Days prior to the Ex Date for such dividend or distribution the reference to ten (10) consecutive Trading Days shall be replaced with a smaller number of consecutive Trading Days that shall have occurred after, and not including, such declaration date and prior to, but not including, the Ex Date for such dividend or distribution);</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 = the dividend threshold shall equal zero;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0980"/>
          </w:cols>
          <w:pgMar w:left="440" w:top="274" w:right="479" w:bottom="1440" w:gutter="0" w:footer="0" w:header="0"/>
        </w:sectPr>
      </w:pPr>
    </w:p>
    <w:bookmarkStart w:id="225" w:name="page226"/>
    <w:bookmarkEnd w:id="225"/>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 = the amount in cash per share of Common Stock the Company distributes to holders of its Common Stock.</w:t>
      </w:r>
    </w:p>
    <w:p>
      <w:pPr>
        <w:spacing w:after="0" w:line="225"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 xml:space="preserve">Any adjustment made under this Section 5 of this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shall become effective immediately after the Open of Business on the Ex Date for such dividend or distribution.</w:t>
      </w:r>
    </w:p>
    <w:p>
      <w:pPr>
        <w:spacing w:after="0" w:line="170"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 xml:space="preserve">The dividend threshold is subject to adjustment in a manner inversely proportional to, and at the same time as, adjustments to the Conversion Rate; provided that no adjustment will be made to the dividend threshold for any adjustment to the Conversion Rate pursuant to this Section 5 of this </w:t>
      </w:r>
      <w:r>
        <w:rPr>
          <w:rFonts w:ascii="Arial" w:cs="Arial" w:eastAsia="Arial" w:hAnsi="Arial"/>
          <w:sz w:val="18"/>
          <w:szCs w:val="18"/>
          <w:u w:val="single" w:color="auto"/>
          <w:color w:val="auto"/>
        </w:rPr>
        <w:t>Appendix A</w:t>
      </w:r>
      <w:r>
        <w:rPr>
          <w:rFonts w:ascii="Arial" w:cs="Arial" w:eastAsia="Arial" w:hAnsi="Arial"/>
          <w:sz w:val="18"/>
          <w:szCs w:val="18"/>
          <w:color w:val="auto"/>
        </w:rPr>
        <w:t>.</w:t>
      </w:r>
    </w:p>
    <w:p>
      <w:pPr>
        <w:spacing w:after="0" w:line="184" w:lineRule="exact"/>
        <w:rPr>
          <w:sz w:val="20"/>
          <w:szCs w:val="20"/>
          <w:color w:val="auto"/>
        </w:rPr>
      </w:pPr>
    </w:p>
    <w:p>
      <w:pPr>
        <w:ind w:right="220" w:firstLine="440"/>
        <w:spacing w:after="0" w:line="273" w:lineRule="auto"/>
        <w:rPr>
          <w:sz w:val="20"/>
          <w:szCs w:val="20"/>
          <w:color w:val="auto"/>
        </w:rPr>
      </w:pPr>
      <w:r>
        <w:rPr>
          <w:rFonts w:ascii="Arial" w:cs="Arial" w:eastAsia="Arial" w:hAnsi="Arial"/>
          <w:sz w:val="17"/>
          <w:szCs w:val="17"/>
          <w:color w:val="auto"/>
        </w:rPr>
        <w:t>Notwithstanding the foregoing, if “C” (as defined above) is equal to or greater than “SP1” (as defined above), in lieu of the foregoing increase, provision shall be made for the Holder to receive, for each $1,000 of the Conversion Amount, at the same time and upon the same terms as holders of the Common Stock, the amount of cash the Holder would have received as if the Holder owned a number of shares of Common Stock equal to the Conversion Rate on the Ex Date for such cash dividend or distribution. If such dividend or distribution is not so paid, the Conversion Rate shall be decreased, effective as of the date the Company’s Board of Directors determines not to pay such dividend or distribution, to the Conversion Rate that would then be in effect if such dividend or distribution had not been declared.</w:t>
      </w:r>
    </w:p>
    <w:p>
      <w:pPr>
        <w:spacing w:after="0" w:line="178"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 xml:space="preserve">Except in the case of a readjustment of the Conversion Rate pursuant to the last sentence of the immediately preceding paragraph, the Conversion Rate shall not be decreased pursuant to this Section 5 of this </w:t>
      </w:r>
      <w:r>
        <w:rPr>
          <w:rFonts w:ascii="Arial" w:cs="Arial" w:eastAsia="Arial" w:hAnsi="Arial"/>
          <w:sz w:val="18"/>
          <w:szCs w:val="18"/>
          <w:u w:val="single" w:color="auto"/>
          <w:color w:val="auto"/>
        </w:rPr>
        <w:t>Appendix A</w:t>
      </w:r>
      <w:r>
        <w:rPr>
          <w:rFonts w:ascii="Arial" w:cs="Arial" w:eastAsia="Arial" w:hAnsi="Arial"/>
          <w:sz w:val="18"/>
          <w:szCs w:val="18"/>
          <w:color w:val="auto"/>
        </w:rPr>
        <w:t>.</w:t>
      </w:r>
    </w:p>
    <w:p>
      <w:pPr>
        <w:spacing w:after="0" w:line="170" w:lineRule="exact"/>
        <w:rPr>
          <w:sz w:val="20"/>
          <w:szCs w:val="20"/>
          <w:color w:val="auto"/>
        </w:rPr>
      </w:pPr>
    </w:p>
    <w:p>
      <w:pPr>
        <w:ind w:right="220" w:firstLine="436"/>
        <w:spacing w:after="0" w:line="257" w:lineRule="auto"/>
        <w:tabs>
          <w:tab w:leader="none" w:pos="75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If the Company or any of its subsidiaries makes a payment in respect of a tender offer or exchange offer for the Common Stock, if the cash and value of any other consideration included in the payment per share of Common Stock exceeds the average of the Closing Sale Prices of the Common Stock over the ten (10) consecutive Trading Day period commencing on, and including, the Trading Day next succeeding the last date on which tenders or exchanges may be made pursuant to such tender or exchange offer, the Conversion Rate shall be increased based on the following formula:</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CR2 = CR1* [(AC+ (SP2* OS2)) ÷ (OS1* SP2)]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right="540" w:firstLine="991"/>
        <w:spacing w:after="0" w:line="342" w:lineRule="auto"/>
        <w:rPr>
          <w:sz w:val="20"/>
          <w:szCs w:val="20"/>
          <w:color w:val="auto"/>
        </w:rPr>
      </w:pPr>
      <w:r>
        <w:rPr>
          <w:rFonts w:ascii="Arial" w:cs="Arial" w:eastAsia="Arial" w:hAnsi="Arial"/>
          <w:sz w:val="16"/>
          <w:szCs w:val="16"/>
          <w:color w:val="auto"/>
        </w:rPr>
        <w:t>CR1 = the Conversion Rate in effect immediately prior to the Close of Business on the last Trading Day of the ten (10) consecutive Trading Day period commencing on, and including, the Trading Day next succeeding the date such tender or exchange offer expires;</w:t>
      </w:r>
    </w:p>
    <w:p>
      <w:pPr>
        <w:spacing w:after="0" w:line="124" w:lineRule="exact"/>
        <w:rPr>
          <w:sz w:val="20"/>
          <w:szCs w:val="20"/>
          <w:color w:val="auto"/>
        </w:rPr>
      </w:pPr>
    </w:p>
    <w:p>
      <w:pPr>
        <w:ind w:right="140" w:firstLine="991"/>
        <w:spacing w:after="0" w:line="308" w:lineRule="auto"/>
        <w:rPr>
          <w:sz w:val="20"/>
          <w:szCs w:val="20"/>
          <w:color w:val="auto"/>
        </w:rPr>
      </w:pPr>
      <w:r>
        <w:rPr>
          <w:rFonts w:ascii="Arial" w:cs="Arial" w:eastAsia="Arial" w:hAnsi="Arial"/>
          <w:sz w:val="17"/>
          <w:szCs w:val="17"/>
          <w:color w:val="auto"/>
        </w:rPr>
        <w:t>CR2 = the Conversion Rate in effect immediately after the Close of Business on the last Trading Day of the ten (10) consecutive Trading Day period commencing on, and including, the Trading Day next succeeding the date such tender or exchange offer expires;</w:t>
      </w:r>
    </w:p>
    <w:p>
      <w:pPr>
        <w:spacing w:after="0" w:line="146"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AC = the aggregate value of all cash and any other consideration (as determined by the Company’s Board of Directors) paid or payable for shares of Common Stock purchased in such tender or exchange offer;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0980"/>
          </w:cols>
          <w:pgMar w:left="440" w:top="274" w:right="479" w:bottom="1440" w:gutter="0" w:footer="0" w:header="0"/>
        </w:sectPr>
      </w:pPr>
    </w:p>
    <w:bookmarkStart w:id="226" w:name="page227"/>
    <w:bookmarkEnd w:id="226"/>
    <w:p>
      <w:pPr>
        <w:ind w:right="22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OS1 = the number of shares of Common Stock outstanding immediately prior to the time such tender or exchange offer expires (prior to giving effect to such tender offer or exchange offer);</w:t>
      </w:r>
    </w:p>
    <w:p>
      <w:pPr>
        <w:spacing w:after="0" w:line="170"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OS2 = the number of shares of Common Stock outstanding immediately after the time such tender or exchange offer expires (after giving effect to such tender offer or exchange offer); and</w:t>
      </w:r>
    </w:p>
    <w:p>
      <w:pPr>
        <w:spacing w:after="0" w:line="170"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SP2 = the average of the Closing Sale Prices of the Common Stock over the ten (10) consecutive Trading Day period commencing on, and including, the Trading Day next succeeding the date such tender or exchange offer expires.</w:t>
      </w:r>
    </w:p>
    <w:p>
      <w:pPr>
        <w:spacing w:after="0" w:line="170" w:lineRule="exact"/>
        <w:rPr>
          <w:sz w:val="20"/>
          <w:szCs w:val="20"/>
          <w:color w:val="auto"/>
        </w:rPr>
      </w:pPr>
    </w:p>
    <w:p>
      <w:pPr>
        <w:ind w:right="60" w:firstLine="440"/>
        <w:spacing w:after="0" w:line="290" w:lineRule="auto"/>
        <w:rPr>
          <w:sz w:val="20"/>
          <w:szCs w:val="20"/>
          <w:color w:val="auto"/>
        </w:rPr>
      </w:pPr>
      <w:r>
        <w:rPr>
          <w:rFonts w:ascii="Arial" w:cs="Arial" w:eastAsia="Arial" w:hAnsi="Arial"/>
          <w:sz w:val="16"/>
          <w:szCs w:val="16"/>
          <w:color w:val="auto"/>
        </w:rPr>
        <w:t xml:space="preserve">The increase to the Conversion Rate under this Section 6 of this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shall occur at the Close of Business on the tenth (10th) Trading Day immediately following, and including, the Trading Day next succeeding the date such tender or exchange offer expires; provided that, for purposes of determining the Conversion Rate, in respect of any conversion during the ten (10) Trading Days immediately following, but excluding, the date that any such tender or exchange offer expires, references in this Section 6 of this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to ten (10) consecutive Trading Days shall be deemed to be replaced with such lesser number of consecutive Trading Days as have elapsed between the date such tender or exchange offer expires and the relevant Conversion Date. If the Company or one of its subsidiaries is obligated to purchase the Common Stock pursuant to any such tender or exchange offer but the Company or such subsidiary is permanently prevented by applicable law from effecting any such purchase or all such purchases are rescinded, the Conversion Rate shall be immediately decreased to the Conversion Rate that would be in effect if such tender or exchange offer had not been made.</w:t>
      </w:r>
    </w:p>
    <w:p>
      <w:pPr>
        <w:spacing w:after="0" w:line="165"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 xml:space="preserve">Except in the case of a readjustment of the Conversion Rate pursuant to the last sentence of the immediately preceding paragraph, the Conversion Rate shall not be decreased pursuant to this Section 6 of this </w:t>
      </w:r>
      <w:r>
        <w:rPr>
          <w:rFonts w:ascii="Arial" w:cs="Arial" w:eastAsia="Arial" w:hAnsi="Arial"/>
          <w:sz w:val="18"/>
          <w:szCs w:val="18"/>
          <w:u w:val="single" w:color="auto"/>
          <w:color w:val="auto"/>
        </w:rPr>
        <w:t>Appendix A</w:t>
      </w:r>
      <w:r>
        <w:rPr>
          <w:rFonts w:ascii="Arial" w:cs="Arial" w:eastAsia="Arial" w:hAnsi="Arial"/>
          <w:sz w:val="18"/>
          <w:szCs w:val="18"/>
          <w:color w:val="auto"/>
        </w:rPr>
        <w:t>.</w:t>
      </w:r>
    </w:p>
    <w:p>
      <w:pPr>
        <w:spacing w:after="0" w:line="170" w:lineRule="exact"/>
        <w:rPr>
          <w:sz w:val="20"/>
          <w:szCs w:val="20"/>
          <w:color w:val="auto"/>
        </w:rPr>
      </w:pPr>
    </w:p>
    <w:p>
      <w:pPr>
        <w:jc w:val="both"/>
        <w:ind w:right="100" w:firstLine="436"/>
        <w:spacing w:after="0" w:line="296" w:lineRule="auto"/>
        <w:tabs>
          <w:tab w:leader="none" w:pos="755" w:val="left"/>
        </w:tabs>
        <w:numPr>
          <w:ilvl w:val="0"/>
          <w:numId w:val="155"/>
        </w:numPr>
        <w:rPr>
          <w:rFonts w:ascii="Arial" w:cs="Arial" w:eastAsia="Arial" w:hAnsi="Arial"/>
          <w:sz w:val="16"/>
          <w:szCs w:val="16"/>
          <w:color w:val="auto"/>
        </w:rPr>
      </w:pPr>
      <w:r>
        <w:rPr>
          <w:rFonts w:ascii="Arial" w:cs="Arial" w:eastAsia="Arial" w:hAnsi="Arial"/>
          <w:sz w:val="16"/>
          <w:szCs w:val="16"/>
          <w:color w:val="auto"/>
        </w:rPr>
        <w:t xml:space="preserve">In addition to the foregoing adjustments in Sections 1 through 6 of this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above, and to the extent permitted by applicable law and the rules of the principal U.S. national securities exchange or market on which the Listed Stock is then listed, the Company may, from time to time and to the extent permitted by law, increase the Conversion Rate by any amount for a period of at least twenty-five (25) Trading Days or any longer period as may be permitted or required by law, if the Company’s Board of Directors has made a determination, which determination shall be conclusive, that such increase would be in the best interests of the Company. Such Conversion Rate increase shall be irrevocable during such period.</w:t>
      </w:r>
    </w:p>
    <w:p>
      <w:pPr>
        <w:spacing w:after="0" w:line="161"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All calculations under this </w:t>
      </w:r>
      <w:r>
        <w:rPr>
          <w:rFonts w:ascii="Arial" w:cs="Arial" w:eastAsia="Arial" w:hAnsi="Arial"/>
          <w:sz w:val="18"/>
          <w:szCs w:val="18"/>
          <w:u w:val="single" w:color="auto"/>
          <w:color w:val="auto"/>
        </w:rPr>
        <w:t>Appendix</w:t>
      </w:r>
      <w:r>
        <w:rPr>
          <w:rFonts w:ascii="Arial" w:cs="Arial" w:eastAsia="Arial" w:hAnsi="Arial"/>
          <w:sz w:val="18"/>
          <w:szCs w:val="18"/>
          <w:color w:val="auto"/>
        </w:rPr>
        <w:t xml:space="preserve"> A shall be made to the nearest cent or to the nearest 1/10,000th of a share, as the case may be. Adjustments to the Conversion Rate will be calculated to the nearest 1/10,000th.</w:t>
      </w:r>
    </w:p>
    <w:p>
      <w:pPr>
        <w:spacing w:after="0" w:line="170" w:lineRule="exact"/>
        <w:rPr>
          <w:sz w:val="20"/>
          <w:szCs w:val="20"/>
          <w:color w:val="auto"/>
        </w:rPr>
      </w:pPr>
    </w:p>
    <w:p>
      <w:pPr>
        <w:ind w:right="100" w:firstLine="440"/>
        <w:spacing w:after="0" w:line="301" w:lineRule="auto"/>
        <w:rPr>
          <w:sz w:val="20"/>
          <w:szCs w:val="20"/>
          <w:color w:val="auto"/>
        </w:rPr>
      </w:pPr>
      <w:r>
        <w:rPr>
          <w:rFonts w:ascii="Arial" w:cs="Arial" w:eastAsia="Arial" w:hAnsi="Arial"/>
          <w:sz w:val="16"/>
          <w:szCs w:val="16"/>
          <w:color w:val="auto"/>
        </w:rPr>
        <w:t xml:space="preserve">Notwithstanding this Section 7 of this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or any other provision of this Note, if a Conversion Rate adjustment becomes effective on any Ex Date, and this Note is converted on or after such Ex Date and on or prior to the related record date would be treated as the record holder of the Common Stock as of the date this Note was converted based on an adjusted Conversion Rate for such Ex Date, then, notwithstanding the Conversion Rate adjustment provisions in this Section 7 of this </w:t>
      </w:r>
      <w:r>
        <w:rPr>
          <w:rFonts w:ascii="Arial" w:cs="Arial" w:eastAsia="Arial" w:hAnsi="Arial"/>
          <w:sz w:val="16"/>
          <w:szCs w:val="16"/>
          <w:u w:val="single" w:color="auto"/>
          <w:color w:val="auto"/>
        </w:rPr>
        <w:t>Appendix A</w:t>
      </w:r>
      <w:r>
        <w:rPr>
          <w:rFonts w:ascii="Arial" w:cs="Arial" w:eastAsia="Arial" w:hAnsi="Arial"/>
          <w:sz w:val="16"/>
          <w:szCs w:val="16"/>
          <w:color w:val="auto"/>
        </w:rPr>
        <w:t>, the Conversion Rate adjustment relating to such Ex Date shall not be made for the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000"/>
          </w:cols>
          <w:pgMar w:left="440" w:top="274" w:right="459" w:bottom="1440" w:gutter="0" w:footer="0" w:header="0"/>
        </w:sectPr>
      </w:pPr>
    </w:p>
    <w:bookmarkStart w:id="227" w:name="page228"/>
    <w:bookmarkEnd w:id="227"/>
    <w:p>
      <w:pPr>
        <w:ind w:right="2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Holder. Instead, the Holder shall be treated as if the Holder were the record owner of the Common Stock on an unadjusted basis and participate in the related dividend, distribution or other event giving rise to such adjustment.</w:t>
      </w:r>
    </w:p>
    <w:p>
      <w:pPr>
        <w:spacing w:after="0" w:line="170" w:lineRule="exact"/>
        <w:rPr>
          <w:sz w:val="20"/>
          <w:szCs w:val="20"/>
          <w:color w:val="auto"/>
        </w:rPr>
      </w:pPr>
    </w:p>
    <w:p>
      <w:pPr>
        <w:ind w:right="100" w:firstLine="440"/>
        <w:spacing w:after="0" w:line="342" w:lineRule="auto"/>
        <w:rPr>
          <w:sz w:val="20"/>
          <w:szCs w:val="20"/>
          <w:color w:val="auto"/>
        </w:rPr>
      </w:pPr>
      <w:r>
        <w:rPr>
          <w:rFonts w:ascii="Arial" w:cs="Arial" w:eastAsia="Arial" w:hAnsi="Arial"/>
          <w:sz w:val="16"/>
          <w:szCs w:val="16"/>
          <w:color w:val="auto"/>
        </w:rPr>
        <w:t xml:space="preserve">For purposes of this </w:t>
      </w:r>
      <w:r>
        <w:rPr>
          <w:rFonts w:ascii="Arial" w:cs="Arial" w:eastAsia="Arial" w:hAnsi="Arial"/>
          <w:sz w:val="16"/>
          <w:szCs w:val="16"/>
          <w:u w:val="single" w:color="auto"/>
          <w:color w:val="auto"/>
        </w:rPr>
        <w:t>Appendix A</w:t>
      </w:r>
      <w:r>
        <w:rPr>
          <w:rFonts w:ascii="Arial" w:cs="Arial" w:eastAsia="Arial" w:hAnsi="Arial"/>
          <w:sz w:val="16"/>
          <w:szCs w:val="16"/>
          <w:color w:val="auto"/>
        </w:rPr>
        <w:t>, “</w:t>
      </w:r>
      <w:r>
        <w:rPr>
          <w:rFonts w:ascii="Arial" w:cs="Arial" w:eastAsia="Arial" w:hAnsi="Arial"/>
          <w:sz w:val="16"/>
          <w:szCs w:val="16"/>
          <w:u w:val="single" w:color="auto"/>
          <w:color w:val="auto"/>
        </w:rPr>
        <w:t>effective date</w:t>
      </w:r>
      <w:r>
        <w:rPr>
          <w:rFonts w:ascii="Arial" w:cs="Arial" w:eastAsia="Arial" w:hAnsi="Arial"/>
          <w:sz w:val="16"/>
          <w:szCs w:val="16"/>
          <w:color w:val="auto"/>
        </w:rPr>
        <w:t>” means the first date on which the Common Stock trade on the principal U.S. national securities exchange or market on which the Listed Stock is then listed, regular way, reflecting the relevant share split or share combination, as applicable.</w:t>
      </w:r>
    </w:p>
    <w:p>
      <w:pPr>
        <w:spacing w:after="0" w:line="124"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 xml:space="preserve">For purposes of this </w:t>
      </w:r>
      <w:r>
        <w:rPr>
          <w:rFonts w:ascii="Arial" w:cs="Arial" w:eastAsia="Arial" w:hAnsi="Arial"/>
          <w:sz w:val="17"/>
          <w:szCs w:val="17"/>
          <w:u w:val="single" w:color="auto"/>
          <w:color w:val="auto"/>
        </w:rPr>
        <w:t>Appendix A</w:t>
      </w:r>
      <w:r>
        <w:rPr>
          <w:rFonts w:ascii="Arial" w:cs="Arial" w:eastAsia="Arial" w:hAnsi="Arial"/>
          <w:sz w:val="17"/>
          <w:szCs w:val="17"/>
          <w:color w:val="auto"/>
        </w:rPr>
        <w:t>, the number of shares of Common Stock at any time outstanding shall not include shares held in the treasury of the Company but shall include shares issuable in respect of scrip certificates issued in lieu of fractions of shares of Common Stock. The Company shall not pay any dividend or make any distribution on shares of Common Stock held in the treasury of the Company. The Company shall not pay any dividend or distribution on shares of capital stock of the Company held in the treasury of the Company to the extent such dividend or distribution would be made in an amount based on the amount of a dividend or distribution paid on the Common Stock.</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ind w:right="80" w:firstLine="440"/>
        <w:spacing w:after="0" w:line="269" w:lineRule="auto"/>
        <w:rPr>
          <w:sz w:val="20"/>
          <w:szCs w:val="20"/>
          <w:color w:val="auto"/>
        </w:rPr>
      </w:pPr>
      <w:r>
        <w:rPr>
          <w:rFonts w:ascii="Arial" w:cs="Arial" w:eastAsia="Arial" w:hAnsi="Arial"/>
          <w:sz w:val="17"/>
          <w:szCs w:val="17"/>
          <w:color w:val="auto"/>
        </w:rPr>
        <w:t xml:space="preserve">Notwithstanding the foregoing, the Conversion Rate shall not be adjusted for any transaction or event other than for any transaction or event described in this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Without limiting the foregoing, the Conversion Rate shall not be adjusted: (i) upon the issuance of any Common Stock pursuant to any present or future plan providing for the reinvestment of dividends or interest payable on the Company’s securities and the investment of additional optional amounts in shares of Common Stock under any plan; (ii) upon the issuance of any shares of Common Stock or options or rights to purchase those shares pursuant to any present or future employee, director or consultant benefit plan or program of or assumed by the Company or any of its subsidiaries (or the issuance of any shares of Common Stock pursuant to any such options or other rights); (iii) upon the issuance of any Common Stock pursuant to any option, warrant, right or exercisable, exchangeable or convertible security not described in clause (ii) above and outstanding as of the date this Note was first issued; (iv) for accrued and unpaid interest, if any; (v) repurchases of Common Stock that are not tender offers or exchange offers pursuant to Section 6 of this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including structured or derivative transactions such as accelerated share repurchase transactions or similar forward derivatives; (vi) solely for a change in the par value of the Common Stock; or (vii) for the issuance of Common Stock or any securities convertible into or exchangeable for Common Stock or the right to purchase Common Stock or such convertible or exchangeable securities, except as described in this </w:t>
      </w:r>
      <w:r>
        <w:rPr>
          <w:rFonts w:ascii="Arial" w:cs="Arial" w:eastAsia="Arial" w:hAnsi="Arial"/>
          <w:sz w:val="17"/>
          <w:szCs w:val="17"/>
          <w:u w:val="single" w:color="auto"/>
          <w:color w:val="auto"/>
        </w:rPr>
        <w:t>Appendix A</w:t>
      </w:r>
      <w:r>
        <w:rPr>
          <w:rFonts w:ascii="Arial" w:cs="Arial" w:eastAsia="Arial" w:hAnsi="Arial"/>
          <w:sz w:val="17"/>
          <w:szCs w:val="17"/>
          <w:color w:val="auto"/>
        </w:rPr>
        <w:t>.</w:t>
      </w:r>
    </w:p>
    <w:p>
      <w:pPr>
        <w:spacing w:after="0" w:line="179"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Additionally, no adjustment in the Conversion Rate less than one percent (1%) of the Conversion Rate as last adjusted (or, if never adjusted, the initial Conversion Rate) shall be made pursuant to Section 1 through Section 6 of this </w:t>
      </w:r>
      <w:r>
        <w:rPr>
          <w:rFonts w:ascii="Arial" w:cs="Arial" w:eastAsia="Arial" w:hAnsi="Arial"/>
          <w:sz w:val="17"/>
          <w:szCs w:val="17"/>
          <w:u w:val="single" w:color="auto"/>
          <w:color w:val="auto"/>
        </w:rPr>
        <w:t>Appendix A</w:t>
      </w:r>
      <w:r>
        <w:rPr>
          <w:rFonts w:ascii="Arial" w:cs="Arial" w:eastAsia="Arial" w:hAnsi="Arial"/>
          <w:sz w:val="17"/>
          <w:szCs w:val="17"/>
          <w:color w:val="auto"/>
        </w:rPr>
        <w:t>; provided, however, that (i) the Company shall carry forward any adjustments that are not made as a result of the foregoing and make such carried forward adjustments with respect to the Conversion Rate when the cumulative effect of all adjustments not yet made will result in a change of one percent (1%) or more of the Conversion Rate as last adjusted (or, if never adjusted, the initial Conversion Rate) and (ii) notwithstanding the foregoing, all such deferred adjustments that have not yet been made shall be made (including any adjustments that are less than one percent (1%) of the Conversion Rate as last adjusted (or, if never adjusted, the initial Conversion Rate)) on the Conversion Date, after such adjustment shall be made such adjustments shall no longer be carried forward and taken into account in any subsequent adjustment to the Conversion Rate).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000"/>
          </w:cols>
          <w:pgMar w:left="440" w:top="274" w:right="459" w:bottom="1440" w:gutter="0" w:footer="0" w:header="0"/>
        </w:sectPr>
      </w:pPr>
    </w:p>
    <w:bookmarkStart w:id="228" w:name="page229"/>
    <w:bookmarkEnd w:id="228"/>
    <w:p>
      <w:pPr>
        <w:ind w:left="4" w:right="40" w:firstLine="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 adjustment to the Conversion Rate need be made pursuant to Section 1 through Section 7 of this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for a transaction (other than for share splits or share combinations pursuant to Section 1 and Section 2 of this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if the Company makes provision for the Holder to participate in the transaction, at the same time and upon the same terms as holders of Common Stock participate in such transaction, without conversion, as if the Holder held a number of shares of Common Stock equal to the Conversion Rate in effect on the Ex Date or effective date, as applicable, of the transaction (without giving effect to any adjustment pursuant to Section 1 through Section 7 of this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on account of such transaction), multiplied by the Conversion Amount (expressed in thousands) of this Note.</w:t>
      </w:r>
    </w:p>
    <w:p>
      <w:pPr>
        <w:spacing w:after="0" w:line="178" w:lineRule="exact"/>
        <w:rPr>
          <w:sz w:val="20"/>
          <w:szCs w:val="20"/>
          <w:color w:val="auto"/>
        </w:rPr>
      </w:pPr>
    </w:p>
    <w:p>
      <w:pPr>
        <w:ind w:left="4" w:right="140" w:firstLine="440"/>
        <w:spacing w:after="0" w:line="301" w:lineRule="auto"/>
        <w:rPr>
          <w:sz w:val="20"/>
          <w:szCs w:val="20"/>
          <w:color w:val="auto"/>
        </w:rPr>
      </w:pPr>
      <w:r>
        <w:rPr>
          <w:rFonts w:ascii="Arial" w:cs="Arial" w:eastAsia="Arial" w:hAnsi="Arial"/>
          <w:sz w:val="16"/>
          <w:szCs w:val="16"/>
          <w:color w:val="auto"/>
        </w:rPr>
        <w:t>Whenever any provision of this Note requires the computation of an average of the Closing Sale Prices or the Daily VWAPs over a period of multiple Trading Days (including an Observation Period), the Company’s Board of Directors, in its good faith determination, shall appropriately adjust such average to account for any event requiring, pursuant hereto, an adjustment to the Conversion Rate where the effective date, Ex Date or expiration date of such event occurs at any time on or after the first Trading Day of such period and on or prior to the last Trading Day of such period.</w:t>
      </w:r>
    </w:p>
    <w:p>
      <w:pPr>
        <w:spacing w:after="0" w:line="157"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 xml:space="preserve">Except as prohibited by law, the Company may (but is not obligated to) make such increases in the Conversion Rate, in addition to those required by Section 1 through Section 7 of this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hereof, as it considers to be advisable to avoid or diminish any income tax to any holders of Common Stock (or rights to purchase Common Stock) resulting from any dividend or distribution of stock (or rights to acquire stock) or from any event treated as such for income tax purposes or for any other reason.</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Whenever the Conversion Rate is adjusted, the Company shall promptly send to the Holder a notice of the adjustment setting forth the adjusted</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6"/>
          <w:szCs w:val="16"/>
          <w:color w:val="auto"/>
        </w:rPr>
        <w:t>Conversion Rate and the calculation thereof. The notice shall be conclusive evidence of the correctness of such adjustment. Additionally, in case of any:</w:t>
      </w:r>
    </w:p>
    <w:p>
      <w:pPr>
        <w:spacing w:after="0" w:line="32" w:lineRule="exact"/>
        <w:rPr>
          <w:sz w:val="20"/>
          <w:szCs w:val="20"/>
          <w:color w:val="auto"/>
        </w:rPr>
      </w:pPr>
    </w:p>
    <w:p>
      <w:pPr>
        <w:ind w:left="224" w:hanging="224"/>
        <w:spacing w:after="0"/>
        <w:tabs>
          <w:tab w:leader="none" w:pos="224" w:val="left"/>
        </w:tabs>
        <w:numPr>
          <w:ilvl w:val="0"/>
          <w:numId w:val="156"/>
        </w:numPr>
        <w:rPr>
          <w:rFonts w:ascii="Arial" w:cs="Arial" w:eastAsia="Arial" w:hAnsi="Arial"/>
          <w:sz w:val="17"/>
          <w:szCs w:val="17"/>
          <w:color w:val="auto"/>
        </w:rPr>
      </w:pPr>
      <w:r>
        <w:rPr>
          <w:rFonts w:ascii="Arial" w:cs="Arial" w:eastAsia="Arial" w:hAnsi="Arial"/>
          <w:sz w:val="17"/>
          <w:szCs w:val="17"/>
          <w:color w:val="auto"/>
        </w:rPr>
        <w:t xml:space="preserve">action by the Company or one of its subsidiaries that would require an adjustment to the Conversion Rate in accordance with this </w:t>
      </w:r>
      <w:r>
        <w:rPr>
          <w:rFonts w:ascii="Arial" w:cs="Arial" w:eastAsia="Arial" w:hAnsi="Arial"/>
          <w:sz w:val="17"/>
          <w:szCs w:val="17"/>
          <w:u w:val="single" w:color="auto"/>
          <w:color w:val="auto"/>
        </w:rPr>
        <w:t>Appendix A</w:t>
      </w:r>
      <w:r>
        <w:rPr>
          <w:rFonts w:ascii="Arial" w:cs="Arial" w:eastAsia="Arial" w:hAnsi="Arial"/>
          <w:sz w:val="17"/>
          <w:szCs w:val="17"/>
          <w:color w:val="auto"/>
        </w:rPr>
        <w:t>;</w:t>
      </w:r>
    </w:p>
    <w:p>
      <w:pPr>
        <w:spacing w:after="0" w:line="20" w:lineRule="exact"/>
        <w:rPr>
          <w:rFonts w:ascii="Arial" w:cs="Arial" w:eastAsia="Arial" w:hAnsi="Arial"/>
          <w:sz w:val="17"/>
          <w:szCs w:val="17"/>
          <w:color w:val="auto"/>
        </w:rPr>
      </w:pPr>
    </w:p>
    <w:p>
      <w:pPr>
        <w:ind w:left="4" w:right="20" w:hanging="4"/>
        <w:spacing w:after="0" w:line="290" w:lineRule="auto"/>
        <w:tabs>
          <w:tab w:leader="none" w:pos="269" w:val="left"/>
        </w:tabs>
        <w:numPr>
          <w:ilvl w:val="0"/>
          <w:numId w:val="156"/>
        </w:numPr>
        <w:rPr>
          <w:rFonts w:ascii="Arial" w:cs="Arial" w:eastAsia="Arial" w:hAnsi="Arial"/>
          <w:sz w:val="16"/>
          <w:szCs w:val="16"/>
          <w:color w:val="auto"/>
        </w:rPr>
      </w:pPr>
      <w:r>
        <w:rPr>
          <w:rFonts w:ascii="Arial" w:cs="Arial" w:eastAsia="Arial" w:hAnsi="Arial"/>
          <w:sz w:val="16"/>
          <w:szCs w:val="16"/>
          <w:color w:val="auto"/>
        </w:rPr>
        <w:t>Merger Event; or (iii) voluntary or involuntary dissolution, liquidation or winding-up of the Company; then the Company shall at least ten days prior to the anticipated effective date of such transaction or event cause written notice thereof to be sent to the Holder. Such notice shall specify, as applicable, the date or expected date on which the holders of Common Stock shall be entitled to a distribution and the date or expected date on which the holders of Common Stock shall be entitled to exchange their Common Stock for securities or other property deliverable upon such reorganization, reclassification, consolidation, merger, sale, transfer, dissolution, liquidation or winding-up, as the case may be. Failure to give such notice, or any defect therein, shall not affect the legality or validity of such action by the Company or one of its subsidiaries, Merger Event, dissolution, liquidation or winding-up.</w:t>
      </w:r>
    </w:p>
    <w:p>
      <w:pPr>
        <w:spacing w:after="0" w:line="164" w:lineRule="exact"/>
        <w:rPr>
          <w:sz w:val="20"/>
          <w:szCs w:val="20"/>
          <w:color w:val="auto"/>
        </w:rPr>
      </w:pPr>
    </w:p>
    <w:p>
      <w:pPr>
        <w:jc w:val="both"/>
        <w:ind w:left="4" w:right="60" w:firstLine="440"/>
        <w:spacing w:after="0" w:line="259" w:lineRule="auto"/>
        <w:rPr>
          <w:sz w:val="20"/>
          <w:szCs w:val="20"/>
          <w:color w:val="auto"/>
        </w:rPr>
      </w:pPr>
      <w:r>
        <w:rPr>
          <w:rFonts w:ascii="Arial" w:cs="Arial" w:eastAsia="Arial" w:hAnsi="Arial"/>
          <w:sz w:val="18"/>
          <w:szCs w:val="18"/>
          <w:color w:val="auto"/>
        </w:rPr>
        <w:t>To the extent that on or after the date of this Note the Company adopts a rights plan (i.e., a poison pill) and such plan is in effect upon conversion of this Note or a portion thereof, the Company shall make provision such that the Holder shall receive, in addition to, and concurrently with the delivery of, the Common Stock due upon conversion, the rights described in such plan, unless the rights have separated from the Common Stock before the time of conversion, in which case the</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004"/>
          </w:cols>
          <w:pgMar w:left="436" w:top="274" w:right="459" w:bottom="1440" w:gutter="0" w:footer="0" w:header="0"/>
        </w:sectPr>
      </w:pPr>
    </w:p>
    <w:bookmarkStart w:id="229" w:name="page230"/>
    <w:bookmarkEnd w:id="229"/>
    <w:p>
      <w:pPr>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Conversion Rate shall be adjusted at the time of separation as if the Company distributed to all holders of Common Stock, Distributed Property as described in Section 4 of this </w:t>
      </w:r>
      <w:r>
        <w:rPr>
          <w:rFonts w:ascii="Arial" w:cs="Arial" w:eastAsia="Arial" w:hAnsi="Arial"/>
          <w:sz w:val="16"/>
          <w:szCs w:val="16"/>
          <w:u w:val="single" w:color="auto"/>
          <w:color w:val="auto"/>
        </w:rPr>
        <w:t>Appendix A</w:t>
      </w:r>
      <w:r>
        <w:rPr>
          <w:rFonts w:ascii="Arial" w:cs="Arial" w:eastAsia="Arial" w:hAnsi="Arial"/>
          <w:sz w:val="16"/>
          <w:szCs w:val="16"/>
          <w:color w:val="auto"/>
        </w:rPr>
        <w:t>, subject to readjustment in the event of the expiration, termination or redemption of such rights.</w:t>
      </w:r>
    </w:p>
    <w:p>
      <w:pPr>
        <w:spacing w:after="0" w:line="56"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0520"/>
          </w:cols>
          <w:pgMar w:left="440" w:top="274" w:right="939" w:bottom="1440" w:gutter="0" w:footer="0" w:header="0"/>
        </w:sectPr>
      </w:pPr>
    </w:p>
    <w:bookmarkStart w:id="230" w:name="page231"/>
    <w:bookmarkEnd w:id="230"/>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ASANA,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2009 STOCK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through March 29, 2016)</w:t>
      </w:r>
    </w:p>
    <w:p>
      <w:pPr>
        <w:spacing w:after="0" w:line="225" w:lineRule="exact"/>
        <w:rPr>
          <w:sz w:val="20"/>
          <w:szCs w:val="20"/>
          <w:color w:val="auto"/>
        </w:rPr>
      </w:pPr>
    </w:p>
    <w:p>
      <w:pPr>
        <w:ind w:right="80" w:firstLine="436"/>
        <w:spacing w:after="0" w:line="258" w:lineRule="auto"/>
        <w:tabs>
          <w:tab w:leader="none" w:pos="620" w:val="left"/>
        </w:tabs>
        <w:numPr>
          <w:ilvl w:val="0"/>
          <w:numId w:val="157"/>
        </w:numPr>
        <w:rPr>
          <w:rFonts w:ascii="Arial" w:cs="Arial" w:eastAsia="Arial" w:hAnsi="Arial"/>
          <w:sz w:val="18"/>
          <w:szCs w:val="18"/>
          <w:color w:val="auto"/>
        </w:rPr>
      </w:pPr>
      <w:r>
        <w:rPr>
          <w:rFonts w:ascii="Arial" w:cs="Arial" w:eastAsia="Arial" w:hAnsi="Arial"/>
          <w:sz w:val="18"/>
          <w:szCs w:val="18"/>
          <w:b w:val="1"/>
          <w:bCs w:val="1"/>
          <w:u w:val="single" w:color="auto"/>
          <w:color w:val="auto"/>
        </w:rPr>
        <w:t>Purposes of the Plan</w:t>
      </w:r>
      <w:r>
        <w:rPr>
          <w:rFonts w:ascii="Arial" w:cs="Arial" w:eastAsia="Arial" w:hAnsi="Arial"/>
          <w:sz w:val="18"/>
          <w:szCs w:val="18"/>
          <w:color w:val="auto"/>
        </w:rPr>
        <w:t>. The purposes of this 2009 Stock Plan are to attract and retain the best available personnel for positions of substantial</w:t>
      </w:r>
      <w:r>
        <w:rPr>
          <w:rFonts w:ascii="Arial" w:cs="Arial" w:eastAsia="Arial" w:hAnsi="Arial"/>
          <w:sz w:val="18"/>
          <w:szCs w:val="18"/>
          <w:b w:val="1"/>
          <w:bCs w:val="1"/>
          <w:color w:val="auto"/>
        </w:rPr>
        <w:t xml:space="preserve"> </w:t>
      </w:r>
      <w:r>
        <w:rPr>
          <w:rFonts w:ascii="Arial" w:cs="Arial" w:eastAsia="Arial" w:hAnsi="Arial"/>
          <w:sz w:val="18"/>
          <w:szCs w:val="18"/>
          <w:color w:val="auto"/>
        </w:rPr>
        <w:t>responsibility, to provide additional incentive to Employees and Consultants, and to promote the success of the Company’s business. Options granted under the Plan may be Incentive Stock Options or Nonstatutory Stock Options, as determined by the Administrator at the time of grant of an Option and subject to the applicable provisions of Section 422 of the Code and the regulations promulgated thereunder. Restricted Stock may also be granted under the Plan.</w:t>
      </w:r>
    </w:p>
    <w:p>
      <w:pPr>
        <w:spacing w:after="0" w:line="75" w:lineRule="exact"/>
        <w:rPr>
          <w:rFonts w:ascii="Arial" w:cs="Arial" w:eastAsia="Arial" w:hAnsi="Arial"/>
          <w:sz w:val="18"/>
          <w:szCs w:val="18"/>
          <w:color w:val="auto"/>
        </w:rPr>
      </w:pPr>
    </w:p>
    <w:p>
      <w:pPr>
        <w:ind w:left="620" w:hanging="184"/>
        <w:spacing w:after="0"/>
        <w:tabs>
          <w:tab w:leader="none" w:pos="620" w:val="left"/>
        </w:tabs>
        <w:numPr>
          <w:ilvl w:val="0"/>
          <w:numId w:val="157"/>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As used herein, the following definitions shall apply:</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Administrator</w:t>
      </w:r>
      <w:r>
        <w:rPr>
          <w:rFonts w:ascii="Arial" w:cs="Arial" w:eastAsia="Arial" w:hAnsi="Arial"/>
          <w:sz w:val="18"/>
          <w:szCs w:val="18"/>
          <w:color w:val="auto"/>
        </w:rPr>
        <w:t>” means the Board or a Committee.</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1"/>
          <w:numId w:val="15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Affiliate</w:t>
      </w:r>
      <w:r>
        <w:rPr>
          <w:rFonts w:ascii="Arial" w:cs="Arial" w:eastAsia="Arial" w:hAnsi="Arial"/>
          <w:sz w:val="16"/>
          <w:szCs w:val="16"/>
          <w:color w:val="auto"/>
        </w:rPr>
        <w:t>” means an entity other than a Subsidiary which, together with the Company, is under common control of a third person or</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entity.</w:t>
      </w:r>
    </w:p>
    <w:p>
      <w:pPr>
        <w:spacing w:after="0" w:line="98" w:lineRule="exact"/>
        <w:rPr>
          <w:rFonts w:ascii="Arial" w:cs="Arial" w:eastAsia="Arial" w:hAnsi="Arial"/>
          <w:sz w:val="16"/>
          <w:szCs w:val="16"/>
          <w:color w:val="auto"/>
        </w:rPr>
      </w:pPr>
    </w:p>
    <w:p>
      <w:pPr>
        <w:jc w:val="both"/>
        <w:ind w:right="260" w:firstLine="987"/>
        <w:spacing w:after="0" w:line="261" w:lineRule="auto"/>
        <w:tabs>
          <w:tab w:leader="none" w:pos="1236" w:val="left"/>
        </w:tabs>
        <w:numPr>
          <w:ilvl w:val="1"/>
          <w:numId w:val="1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Applicable Laws</w:t>
      </w:r>
      <w:r>
        <w:rPr>
          <w:rFonts w:ascii="Arial" w:cs="Arial" w:eastAsia="Arial" w:hAnsi="Arial"/>
          <w:sz w:val="18"/>
          <w:szCs w:val="18"/>
          <w:color w:val="auto"/>
        </w:rPr>
        <w:t>” means all applicable laws, rules, regulations and requirements, including, but not limited to, all applicable U.S. federal or state laws, any Stock Exchange rules or regulations, and the applicable laws, rules or regulations of any other country or jurisdiction where Options or Restricted Stock are granted under the Plan or Participants reside or provide services, as such laws, rules, and regulations shall be in effect from time to time.</w:t>
      </w:r>
    </w:p>
    <w:p>
      <w:pPr>
        <w:spacing w:after="0" w:line="71" w:lineRule="exact"/>
        <w:rPr>
          <w:rFonts w:ascii="Arial" w:cs="Arial" w:eastAsia="Arial" w:hAnsi="Arial"/>
          <w:sz w:val="18"/>
          <w:szCs w:val="18"/>
          <w:color w:val="auto"/>
        </w:rPr>
      </w:pPr>
    </w:p>
    <w:p>
      <w:pPr>
        <w:ind w:left="1240" w:hanging="253"/>
        <w:spacing w:after="0"/>
        <w:tabs>
          <w:tab w:leader="none" w:pos="124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Award</w:t>
      </w:r>
      <w:r>
        <w:rPr>
          <w:rFonts w:ascii="Arial" w:cs="Arial" w:eastAsia="Arial" w:hAnsi="Arial"/>
          <w:sz w:val="18"/>
          <w:szCs w:val="18"/>
          <w:color w:val="auto"/>
        </w:rPr>
        <w:t>” means any award of an Option or Restricted Stock under the Plan.</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Board</w:t>
      </w:r>
      <w:r>
        <w:rPr>
          <w:rFonts w:ascii="Arial" w:cs="Arial" w:eastAsia="Arial" w:hAnsi="Arial"/>
          <w:sz w:val="18"/>
          <w:szCs w:val="18"/>
          <w:color w:val="auto"/>
        </w:rPr>
        <w:t>” means the Board of Directors of the Company.</w:t>
      </w:r>
    </w:p>
    <w:p>
      <w:pPr>
        <w:spacing w:after="0" w:line="117" w:lineRule="exact"/>
        <w:rPr>
          <w:rFonts w:ascii="Arial" w:cs="Arial" w:eastAsia="Arial" w:hAnsi="Arial"/>
          <w:sz w:val="18"/>
          <w:szCs w:val="18"/>
          <w:color w:val="auto"/>
        </w:rPr>
      </w:pPr>
    </w:p>
    <w:p>
      <w:pPr>
        <w:ind w:left="1220" w:hanging="233"/>
        <w:spacing w:after="0"/>
        <w:tabs>
          <w:tab w:leader="none" w:pos="1220" w:val="left"/>
        </w:tabs>
        <w:numPr>
          <w:ilvl w:val="1"/>
          <w:numId w:val="15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California Participant</w:t>
      </w:r>
      <w:r>
        <w:rPr>
          <w:rFonts w:ascii="Arial" w:cs="Arial" w:eastAsia="Arial" w:hAnsi="Arial"/>
          <w:sz w:val="16"/>
          <w:szCs w:val="16"/>
          <w:color w:val="auto"/>
        </w:rPr>
        <w:t>” means a Participant whose Award is issued in reliance on Section 25102(o) of the California Corporations</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Code.</w:t>
      </w:r>
    </w:p>
    <w:p>
      <w:pPr>
        <w:spacing w:after="0" w:line="98" w:lineRule="exact"/>
        <w:rPr>
          <w:rFonts w:ascii="Arial" w:cs="Arial" w:eastAsia="Arial" w:hAnsi="Arial"/>
          <w:sz w:val="16"/>
          <w:szCs w:val="16"/>
          <w:color w:val="auto"/>
        </w:rPr>
      </w:pPr>
    </w:p>
    <w:p>
      <w:pPr>
        <w:ind w:right="140" w:firstLine="987"/>
        <w:spacing w:after="0" w:line="281" w:lineRule="auto"/>
        <w:tabs>
          <w:tab w:leader="none" w:pos="1246" w:val="left"/>
        </w:tabs>
        <w:numPr>
          <w:ilvl w:val="1"/>
          <w:numId w:val="15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Cashless Exercise</w:t>
      </w:r>
      <w:r>
        <w:rPr>
          <w:rFonts w:ascii="Arial" w:cs="Arial" w:eastAsia="Arial" w:hAnsi="Arial"/>
          <w:sz w:val="17"/>
          <w:szCs w:val="17"/>
          <w:color w:val="auto"/>
        </w:rPr>
        <w:t>” means a program approved by the Administrator in which payment of the Option exercise price or tax withholding obligations may be satisfied, in whole or in part, with Shares subject to the Option, including by delivery of an irrevocable direction to a securities broker (on a form prescribed by the Administrator) to sell Shares and to deliver all or part of the sale proceeds to the Company in payment of the aggregate exercise price and, if applicable, the amount necessary to satisfy the Company’s withholding obligations.</w:t>
      </w:r>
    </w:p>
    <w:p>
      <w:pPr>
        <w:spacing w:after="0" w:line="56" w:lineRule="exact"/>
        <w:rPr>
          <w:rFonts w:ascii="Arial" w:cs="Arial" w:eastAsia="Arial" w:hAnsi="Arial"/>
          <w:sz w:val="17"/>
          <w:szCs w:val="17"/>
          <w:color w:val="auto"/>
        </w:rPr>
      </w:pPr>
    </w:p>
    <w:p>
      <w:pPr>
        <w:ind w:right="20" w:firstLine="987"/>
        <w:spacing w:after="0" w:line="254" w:lineRule="auto"/>
        <w:tabs>
          <w:tab w:leader="none" w:pos="1246" w:val="left"/>
        </w:tabs>
        <w:numPr>
          <w:ilvl w:val="1"/>
          <w:numId w:val="1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Cause</w:t>
      </w:r>
      <w:r>
        <w:rPr>
          <w:rFonts w:ascii="Arial" w:cs="Arial" w:eastAsia="Arial" w:hAnsi="Arial"/>
          <w:sz w:val="18"/>
          <w:szCs w:val="18"/>
          <w:color w:val="auto"/>
        </w:rPr>
        <w:t>” for termination of a Participant’s Continuous Service Status will exist (unless another definition is provided in an applicable Option Agreement, Restricted Stock Purchase Agreement, employment agreement or other applicable written agreement) if the Participant’s Continuous Service Status is terminated for any of the following reasons: (i) Participant’s willful failure to perform his or her duties and responsibilities to the Company or Participant’s violation of any written Company policy; (ii) Participant’s commission of any act of fraud, embezzlement, dishonesty or any other willful misconduct that has caused or is reasonably expected to result in injury to the Company; (iii) Participant’s unauthorized use or disclosure of any proprietary information or trade secrets of the Company or any other party to whom the Participant owes an obligation of nondisclosure as a result of his or her relationship with the Company; or (iv) Participant’s material breach of any of his or her obligations under any written agreement or covenant with the Company.</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231" w:name="page232"/>
    <w:bookmarkEnd w:id="231"/>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determination as to whether a Participant’s Continuous Service Status has been terminated for Cause shall be made in good faith by the Company and shall be final and binding on the Participant. The foregoing definition does not in any way limit the Company’s ability to terminate a Participant’s employment or consulting relationship at any time, and the term “Company” will be interpreted to include any Subsidiary, Parent, Affiliate, or any successor thereto, if appropriate.</w:t>
      </w:r>
    </w:p>
    <w:p>
      <w:pPr>
        <w:spacing w:after="0" w:line="75" w:lineRule="exact"/>
        <w:rPr>
          <w:sz w:val="20"/>
          <w:szCs w:val="20"/>
          <w:color w:val="auto"/>
        </w:rPr>
      </w:pPr>
    </w:p>
    <w:p>
      <w:pPr>
        <w:ind w:left="1200" w:hanging="213"/>
        <w:spacing w:after="0"/>
        <w:tabs>
          <w:tab w:leader="none" w:pos="12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Code</w:t>
      </w:r>
      <w:r>
        <w:rPr>
          <w:rFonts w:ascii="Arial" w:cs="Arial" w:eastAsia="Arial" w:hAnsi="Arial"/>
          <w:sz w:val="18"/>
          <w:szCs w:val="18"/>
          <w:color w:val="auto"/>
        </w:rPr>
        <w:t>” means the Internal Revenue Code of 1986, as amended.</w:t>
      </w:r>
    </w:p>
    <w:p>
      <w:pPr>
        <w:spacing w:after="0" w:line="117" w:lineRule="exact"/>
        <w:rPr>
          <w:rFonts w:ascii="Arial" w:cs="Arial" w:eastAsia="Arial" w:hAnsi="Arial"/>
          <w:sz w:val="18"/>
          <w:szCs w:val="18"/>
          <w:color w:val="auto"/>
        </w:rPr>
      </w:pPr>
    </w:p>
    <w:p>
      <w:pPr>
        <w:ind w:right="40" w:firstLine="987"/>
        <w:spacing w:after="0" w:line="266" w:lineRule="auto"/>
        <w:tabs>
          <w:tab w:leader="none" w:pos="1206" w:val="left"/>
        </w:tabs>
        <w:numPr>
          <w:ilvl w:val="0"/>
          <w:numId w:val="1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Committee</w:t>
      </w:r>
      <w:r>
        <w:rPr>
          <w:rFonts w:ascii="Arial" w:cs="Arial" w:eastAsia="Arial" w:hAnsi="Arial"/>
          <w:sz w:val="18"/>
          <w:szCs w:val="18"/>
          <w:color w:val="auto"/>
        </w:rPr>
        <w:t>” means one or more committees or subcommittees of the Board consisting of two (2) or more Directors (or such lesser or greater number of Directors as shall constitute the minimum number permitted by Applicable Laws to establish a committee or sub-committee of the Board) appointed by the Board to administer the Plan in accordance with Section 4 below.</w:t>
      </w:r>
    </w:p>
    <w:p>
      <w:pPr>
        <w:spacing w:after="0" w:line="67" w:lineRule="exact"/>
        <w:rPr>
          <w:rFonts w:ascii="Arial" w:cs="Arial" w:eastAsia="Arial" w:hAnsi="Arial"/>
          <w:sz w:val="18"/>
          <w:szCs w:val="18"/>
          <w:color w:val="auto"/>
        </w:rPr>
      </w:pPr>
    </w:p>
    <w:p>
      <w:pPr>
        <w:ind w:left="1240" w:hanging="253"/>
        <w:spacing w:after="0"/>
        <w:tabs>
          <w:tab w:leader="none" w:pos="124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Common Stock</w:t>
      </w:r>
      <w:r>
        <w:rPr>
          <w:rFonts w:ascii="Arial" w:cs="Arial" w:eastAsia="Arial" w:hAnsi="Arial"/>
          <w:sz w:val="16"/>
          <w:szCs w:val="16"/>
          <w:color w:val="auto"/>
        </w:rPr>
        <w:t>” means the Company’s common stock, par value $0.000001 per share, as adjusted in accordance with Section 14</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below.</w:t>
      </w:r>
    </w:p>
    <w:p>
      <w:pPr>
        <w:spacing w:after="0" w:line="98" w:lineRule="exact"/>
        <w:rPr>
          <w:rFonts w:ascii="Arial" w:cs="Arial" w:eastAsia="Arial" w:hAnsi="Arial"/>
          <w:sz w:val="16"/>
          <w:szCs w:val="16"/>
          <w:color w:val="auto"/>
        </w:rPr>
      </w:pPr>
    </w:p>
    <w:p>
      <w:pPr>
        <w:ind w:left="1200" w:hanging="213"/>
        <w:spacing w:after="0"/>
        <w:tabs>
          <w:tab w:leader="none" w:pos="12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means Asana, Inc., a Delaware corporation.</w:t>
      </w:r>
    </w:p>
    <w:p>
      <w:pPr>
        <w:spacing w:after="0" w:line="117" w:lineRule="exact"/>
        <w:rPr>
          <w:rFonts w:ascii="Arial" w:cs="Arial" w:eastAsia="Arial" w:hAnsi="Arial"/>
          <w:sz w:val="18"/>
          <w:szCs w:val="18"/>
          <w:color w:val="auto"/>
        </w:rPr>
      </w:pPr>
    </w:p>
    <w:p>
      <w:pPr>
        <w:ind w:right="700" w:firstLine="987"/>
        <w:spacing w:after="0" w:line="266" w:lineRule="auto"/>
        <w:tabs>
          <w:tab w:leader="none" w:pos="1296" w:val="left"/>
        </w:tabs>
        <w:numPr>
          <w:ilvl w:val="0"/>
          <w:numId w:val="1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Consultant</w:t>
      </w:r>
      <w:r>
        <w:rPr>
          <w:rFonts w:ascii="Arial" w:cs="Arial" w:eastAsia="Arial" w:hAnsi="Arial"/>
          <w:sz w:val="18"/>
          <w:szCs w:val="18"/>
          <w:color w:val="auto"/>
        </w:rPr>
        <w:t>” means any person, including an advisor but not an Employee, who is engaged by the Company, or any Parent, Subsidiary or Affiliate, to render services (other than capital-raising services) and is compensated for such services, and any Director whether compensated for such services or not.</w:t>
      </w:r>
    </w:p>
    <w:p>
      <w:pPr>
        <w:spacing w:after="0" w:line="67" w:lineRule="exact"/>
        <w:rPr>
          <w:rFonts w:ascii="Arial" w:cs="Arial" w:eastAsia="Arial" w:hAnsi="Arial"/>
          <w:sz w:val="18"/>
          <w:szCs w:val="18"/>
          <w:color w:val="auto"/>
        </w:rPr>
      </w:pPr>
    </w:p>
    <w:p>
      <w:pPr>
        <w:ind w:firstLine="987"/>
        <w:spacing w:after="0" w:line="273" w:lineRule="auto"/>
        <w:tabs>
          <w:tab w:leader="none" w:pos="1246" w:val="left"/>
        </w:tabs>
        <w:numPr>
          <w:ilvl w:val="0"/>
          <w:numId w:val="15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Continuous Service Status</w:t>
      </w:r>
      <w:r>
        <w:rPr>
          <w:rFonts w:ascii="Arial" w:cs="Arial" w:eastAsia="Arial" w:hAnsi="Arial"/>
          <w:sz w:val="17"/>
          <w:szCs w:val="17"/>
          <w:color w:val="auto"/>
        </w:rPr>
        <w:t>” means the absence of any interruption or termination of service as an Employee or Consultant. Continuous Service Status as an Employee or Consultant shall not be considered interrupted or terminated in the case of: (i) Company approved sick leave; (ii) military leave; (iii) any other bona fide leave of absence approved by the Administrator, provided that such leave is for a period of not more than ninety (90) days, unless reemployment upon the expiration of such leave is guaranteed by contract or statute, or unless provided otherwise pursuant to a written Company policy. Also, Continuous Service Status as an Employee or Consultant shall not be considered interrupted or terminated in the case of a transfer between locations of the Company or between the Company, its Parents, Subsidiaries or Affiliates, or their respective successors, or a change in status from an Employee to a Consultant or from a Consultant to an Employee.</w:t>
      </w:r>
    </w:p>
    <w:p>
      <w:pPr>
        <w:spacing w:after="0" w:line="63" w:lineRule="exact"/>
        <w:rPr>
          <w:rFonts w:ascii="Arial" w:cs="Arial" w:eastAsia="Arial" w:hAnsi="Arial"/>
          <w:sz w:val="17"/>
          <w:szCs w:val="17"/>
          <w:color w:val="auto"/>
        </w:rPr>
      </w:pPr>
    </w:p>
    <w:p>
      <w:pPr>
        <w:ind w:left="1240" w:hanging="253"/>
        <w:spacing w:after="0"/>
        <w:tabs>
          <w:tab w:leader="none" w:pos="12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Director</w:t>
      </w:r>
      <w:r>
        <w:rPr>
          <w:rFonts w:ascii="Arial" w:cs="Arial" w:eastAsia="Arial" w:hAnsi="Arial"/>
          <w:sz w:val="18"/>
          <w:szCs w:val="18"/>
          <w:color w:val="auto"/>
        </w:rPr>
        <w:t>” means a member of the Board.</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Disability</w:t>
      </w:r>
      <w:r>
        <w:rPr>
          <w:rFonts w:ascii="Arial" w:cs="Arial" w:eastAsia="Arial" w:hAnsi="Arial"/>
          <w:sz w:val="18"/>
          <w:szCs w:val="18"/>
          <w:color w:val="auto"/>
        </w:rPr>
        <w:t>” means “disability” within the meaning of Section 22(e)(3) of the Code.</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4" w:right="499" w:bottom="1440" w:gutter="0" w:footer="0" w:header="0"/>
        </w:sectPr>
      </w:pPr>
    </w:p>
    <w:bookmarkStart w:id="232" w:name="page233"/>
    <w:bookmarkEnd w:id="232"/>
    <w:p>
      <w:pPr>
        <w:ind w:left="-20" w:right="80" w:firstLine="987"/>
        <w:spacing w:after="0" w:line="261" w:lineRule="auto"/>
        <w:tabs>
          <w:tab w:leader="none" w:pos="1226" w:val="left"/>
        </w:tabs>
        <w:numPr>
          <w:ilvl w:val="0"/>
          <w:numId w:val="1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u w:val="single" w:color="auto"/>
          <w:color w:val="auto"/>
        </w:rPr>
        <w:t>Employee</w:t>
      </w:r>
      <w:r>
        <w:rPr>
          <w:rFonts w:ascii="Arial" w:cs="Arial" w:eastAsia="Arial" w:hAnsi="Arial"/>
          <w:sz w:val="18"/>
          <w:szCs w:val="18"/>
          <w:color w:val="auto"/>
        </w:rPr>
        <w:t>” means any person employed by the Company, or any Parent, Subsidiary or Affiliate, with the status of employment determined pursuant to such factors as are deemed appropriate by the Administrator in its sole discretion, subject to any requirements of the Applicable Laws, including the Code. The payment by the Company of a director’s fee shall not be sufficient to constitute “employment” of such director by the Company or any Parent, Subsidiary or Affiliate.</w:t>
      </w:r>
    </w:p>
    <w:p>
      <w:pPr>
        <w:spacing w:after="0" w:line="71" w:lineRule="exact"/>
        <w:rPr>
          <w:rFonts w:ascii="Arial" w:cs="Arial" w:eastAsia="Arial" w:hAnsi="Arial"/>
          <w:sz w:val="18"/>
          <w:szCs w:val="18"/>
          <w:color w:val="auto"/>
        </w:rPr>
      </w:pPr>
    </w:p>
    <w:p>
      <w:pPr>
        <w:ind w:left="1200" w:hanging="233"/>
        <w:spacing w:after="0"/>
        <w:tabs>
          <w:tab w:leader="none" w:pos="12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Exchange Act</w:t>
      </w:r>
      <w:r>
        <w:rPr>
          <w:rFonts w:ascii="Arial" w:cs="Arial" w:eastAsia="Arial" w:hAnsi="Arial"/>
          <w:sz w:val="18"/>
          <w:szCs w:val="18"/>
          <w:color w:val="auto"/>
        </w:rPr>
        <w:t>” means the Securities Exchange Act of 1934, as amended.</w:t>
      </w:r>
    </w:p>
    <w:p>
      <w:pPr>
        <w:spacing w:after="0" w:line="117" w:lineRule="exact"/>
        <w:rPr>
          <w:rFonts w:ascii="Arial" w:cs="Arial" w:eastAsia="Arial" w:hAnsi="Arial"/>
          <w:sz w:val="18"/>
          <w:szCs w:val="18"/>
          <w:color w:val="auto"/>
        </w:rPr>
      </w:pPr>
    </w:p>
    <w:p>
      <w:pPr>
        <w:ind w:left="-20" w:right="20" w:firstLine="987"/>
        <w:spacing w:after="0" w:line="314" w:lineRule="auto"/>
        <w:tabs>
          <w:tab w:leader="none" w:pos="1206" w:val="left"/>
        </w:tabs>
        <w:numPr>
          <w:ilvl w:val="0"/>
          <w:numId w:val="15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Fair Market Value</w:t>
      </w:r>
      <w:r>
        <w:rPr>
          <w:rFonts w:ascii="Arial" w:cs="Arial" w:eastAsia="Arial" w:hAnsi="Arial"/>
          <w:sz w:val="16"/>
          <w:szCs w:val="16"/>
          <w:color w:val="auto"/>
        </w:rPr>
        <w:t xml:space="preserve">” means, as of any date, the per share fair market value of the Common Stock, as determined by the Administrator in good faith on such basis as it deems appropriate and applied consistently with respect to Participants. Whenever possible, the determination of Fair Market Value shall be based upon the per share closing price for the Shares as reported in </w:t>
      </w:r>
      <w:r>
        <w:rPr>
          <w:rFonts w:ascii="Arial" w:cs="Arial" w:eastAsia="Arial" w:hAnsi="Arial"/>
          <w:sz w:val="16"/>
          <w:szCs w:val="16"/>
          <w:u w:val="single" w:color="auto"/>
          <w:color w:val="auto"/>
        </w:rPr>
        <w:t>The Wall Street Journal</w:t>
      </w:r>
      <w:r>
        <w:rPr>
          <w:rFonts w:ascii="Arial" w:cs="Arial" w:eastAsia="Arial" w:hAnsi="Arial"/>
          <w:sz w:val="16"/>
          <w:szCs w:val="16"/>
          <w:color w:val="auto"/>
        </w:rPr>
        <w:t xml:space="preserve"> for the applicable date.</w:t>
      </w:r>
    </w:p>
    <w:p>
      <w:pPr>
        <w:spacing w:after="0" w:line="33" w:lineRule="exact"/>
        <w:rPr>
          <w:rFonts w:ascii="Arial" w:cs="Arial" w:eastAsia="Arial" w:hAnsi="Arial"/>
          <w:sz w:val="16"/>
          <w:szCs w:val="16"/>
          <w:color w:val="auto"/>
        </w:rPr>
      </w:pPr>
    </w:p>
    <w:p>
      <w:pPr>
        <w:ind w:left="-20" w:right="100" w:firstLine="987"/>
        <w:spacing w:after="0" w:line="258" w:lineRule="auto"/>
        <w:tabs>
          <w:tab w:leader="none" w:pos="1186" w:val="left"/>
        </w:tabs>
        <w:numPr>
          <w:ilvl w:val="0"/>
          <w:numId w:val="1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Family Members</w:t>
      </w:r>
      <w:r>
        <w:rPr>
          <w:rFonts w:ascii="Arial" w:cs="Arial" w:eastAsia="Arial" w:hAnsi="Arial"/>
          <w:sz w:val="18"/>
          <w:szCs w:val="18"/>
          <w:color w:val="auto"/>
        </w:rPr>
        <w:t>” means any child, stepchild, grandchild, parent, stepparent, grandparent, spouse, former spouse, sibling, niece, nephew, mother-in-law, father-in-law, son-in-law, daughter-in-law, brother-in-law, or sister-in-law (including adoptive relationships) of the Optionee, any person sharing the Optionee’s household (other than a tenant or employee), a trust in which these persons (or the Optionee) have more than 50% of the beneficial interest, a foundation in which these persons (or the Optionee) control the management of assets, and any other entity in which these persons (or the Optionee) own more than 50% of the voting interests.</w:t>
      </w:r>
    </w:p>
    <w:p>
      <w:pPr>
        <w:spacing w:after="0" w:line="75" w:lineRule="exact"/>
        <w:rPr>
          <w:rFonts w:ascii="Arial" w:cs="Arial" w:eastAsia="Arial" w:hAnsi="Arial"/>
          <w:sz w:val="18"/>
          <w:szCs w:val="18"/>
          <w:color w:val="auto"/>
        </w:rPr>
      </w:pPr>
    </w:p>
    <w:p>
      <w:pPr>
        <w:ind w:left="-20" w:right="100" w:firstLine="987"/>
        <w:spacing w:after="0" w:line="282" w:lineRule="auto"/>
        <w:tabs>
          <w:tab w:leader="none" w:pos="1226" w:val="left"/>
        </w:tabs>
        <w:numPr>
          <w:ilvl w:val="0"/>
          <w:numId w:val="1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Incentive Stock Option</w:t>
      </w:r>
      <w:r>
        <w:rPr>
          <w:rFonts w:ascii="Arial" w:cs="Arial" w:eastAsia="Arial" w:hAnsi="Arial"/>
          <w:sz w:val="18"/>
          <w:szCs w:val="18"/>
          <w:color w:val="auto"/>
        </w:rPr>
        <w:t>” means an Option intended to qualify as an incentive stock option within the meaning of Section 422 of the Code, as designated in the applicable Option Agreement.</w:t>
      </w:r>
    </w:p>
    <w:p>
      <w:pPr>
        <w:spacing w:after="0" w:line="53" w:lineRule="exact"/>
        <w:rPr>
          <w:rFonts w:ascii="Arial" w:cs="Arial" w:eastAsia="Arial" w:hAnsi="Arial"/>
          <w:sz w:val="18"/>
          <w:szCs w:val="18"/>
          <w:color w:val="auto"/>
        </w:rPr>
      </w:pPr>
    </w:p>
    <w:p>
      <w:pPr>
        <w:ind w:left="-20" w:right="140" w:firstLine="987"/>
        <w:spacing w:after="0" w:line="289" w:lineRule="auto"/>
        <w:tabs>
          <w:tab w:leader="none" w:pos="1226" w:val="left"/>
        </w:tabs>
        <w:numPr>
          <w:ilvl w:val="0"/>
          <w:numId w:val="15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Involuntary Termination</w:t>
      </w:r>
      <w:r>
        <w:rPr>
          <w:rFonts w:ascii="Arial" w:cs="Arial" w:eastAsia="Arial" w:hAnsi="Arial"/>
          <w:sz w:val="17"/>
          <w:szCs w:val="17"/>
          <w:color w:val="auto"/>
        </w:rPr>
        <w:t>” means (unless another definition is provided in the applicable Option Agreement, Restricted Stock Purchase Agreement, employment agreement or other applicable written agreement) the termination of a Participant’s Continuous Service Status other than for death or Disability or for Cause by the Company or a Subsidiary, Parent, Affiliate or successor thereto, as appropriate.</w:t>
      </w:r>
    </w:p>
    <w:p>
      <w:pPr>
        <w:spacing w:after="0" w:line="49" w:lineRule="exact"/>
        <w:rPr>
          <w:rFonts w:ascii="Arial" w:cs="Arial" w:eastAsia="Arial" w:hAnsi="Arial"/>
          <w:sz w:val="17"/>
          <w:szCs w:val="17"/>
          <w:color w:val="auto"/>
        </w:rPr>
      </w:pPr>
    </w:p>
    <w:p>
      <w:pPr>
        <w:ind w:left="-20" w:firstLine="987"/>
        <w:spacing w:after="0" w:line="266" w:lineRule="auto"/>
        <w:tabs>
          <w:tab w:leader="none" w:pos="1266" w:val="left"/>
        </w:tabs>
        <w:numPr>
          <w:ilvl w:val="0"/>
          <w:numId w:val="1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Listed Security</w:t>
      </w:r>
      <w:r>
        <w:rPr>
          <w:rFonts w:ascii="Arial" w:cs="Arial" w:eastAsia="Arial" w:hAnsi="Arial"/>
          <w:sz w:val="18"/>
          <w:szCs w:val="18"/>
          <w:color w:val="auto"/>
        </w:rPr>
        <w:t>” means any security of the Company that is listed or approved for listing on a national securities exchange or designated or approved for designation as a national market system security on an interdealer quotation system by the National Association of Securities Dealers, Inc.</w:t>
      </w:r>
    </w:p>
    <w:p>
      <w:pPr>
        <w:spacing w:after="0" w:line="67" w:lineRule="exact"/>
        <w:rPr>
          <w:rFonts w:ascii="Arial" w:cs="Arial" w:eastAsia="Arial" w:hAnsi="Arial"/>
          <w:sz w:val="18"/>
          <w:szCs w:val="18"/>
          <w:color w:val="auto"/>
        </w:rPr>
      </w:pPr>
    </w:p>
    <w:p>
      <w:pPr>
        <w:ind w:left="-20" w:right="140" w:firstLine="987"/>
        <w:spacing w:after="0" w:line="282" w:lineRule="auto"/>
        <w:tabs>
          <w:tab w:leader="none" w:pos="1226" w:val="left"/>
        </w:tabs>
        <w:numPr>
          <w:ilvl w:val="0"/>
          <w:numId w:val="1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Nonstatutory Stock Option</w:t>
      </w:r>
      <w:r>
        <w:rPr>
          <w:rFonts w:ascii="Arial" w:cs="Arial" w:eastAsia="Arial" w:hAnsi="Arial"/>
          <w:sz w:val="18"/>
          <w:szCs w:val="18"/>
          <w:color w:val="auto"/>
        </w:rPr>
        <w:t>” means an Option not intended to qualify as an Incentive Stock Option, as designated in the applicable Option Agreement.</w:t>
      </w:r>
    </w:p>
    <w:p>
      <w:pPr>
        <w:spacing w:after="0" w:line="53" w:lineRule="exact"/>
        <w:rPr>
          <w:rFonts w:ascii="Arial" w:cs="Arial" w:eastAsia="Arial" w:hAnsi="Arial"/>
          <w:sz w:val="18"/>
          <w:szCs w:val="18"/>
          <w:color w:val="auto"/>
        </w:rPr>
      </w:pPr>
    </w:p>
    <w:p>
      <w:pPr>
        <w:ind w:left="1220" w:hanging="253"/>
        <w:spacing w:after="0"/>
        <w:tabs>
          <w:tab w:leader="none" w:pos="12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Option</w:t>
      </w:r>
      <w:r>
        <w:rPr>
          <w:rFonts w:ascii="Arial" w:cs="Arial" w:eastAsia="Arial" w:hAnsi="Arial"/>
          <w:sz w:val="18"/>
          <w:szCs w:val="18"/>
          <w:color w:val="auto"/>
        </w:rPr>
        <w:t>” means a stock option granted pursuant to the Plan.</w:t>
      </w:r>
    </w:p>
    <w:p>
      <w:pPr>
        <w:spacing w:after="0" w:line="117" w:lineRule="exact"/>
        <w:rPr>
          <w:rFonts w:ascii="Arial" w:cs="Arial" w:eastAsia="Arial" w:hAnsi="Arial"/>
          <w:sz w:val="18"/>
          <w:szCs w:val="18"/>
          <w:color w:val="auto"/>
        </w:rPr>
      </w:pPr>
    </w:p>
    <w:p>
      <w:pPr>
        <w:ind w:left="-20" w:firstLine="987"/>
        <w:spacing w:after="0" w:line="266" w:lineRule="auto"/>
        <w:tabs>
          <w:tab w:leader="none" w:pos="1216" w:val="left"/>
        </w:tabs>
        <w:numPr>
          <w:ilvl w:val="0"/>
          <w:numId w:val="1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Option Agreement</w:t>
      </w:r>
      <w:r>
        <w:rPr>
          <w:rFonts w:ascii="Arial" w:cs="Arial" w:eastAsia="Arial" w:hAnsi="Arial"/>
          <w:sz w:val="18"/>
          <w:szCs w:val="18"/>
          <w:color w:val="auto"/>
        </w:rPr>
        <w:t>” means a written document, the form(s) of which shall be approved from time to time by the Administrator, reflecting the terms of an Option granted under the Plan and includes any documents attached to or incorporated into such Option Agreement, including, but not limited to, a notice of stock option grant and a form of exercise notice.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60" w:top="270" w:right="479" w:bottom="1440" w:gutter="0" w:footer="0" w:header="0"/>
        </w:sectPr>
      </w:pPr>
    </w:p>
    <w:bookmarkStart w:id="233" w:name="page234"/>
    <w:bookmarkEnd w:id="233"/>
    <w:p>
      <w:pPr>
        <w:ind w:firstLine="987"/>
        <w:spacing w:after="0" w:line="266" w:lineRule="auto"/>
        <w:tabs>
          <w:tab w:leader="none" w:pos="1316" w:val="left"/>
        </w:tabs>
        <w:numPr>
          <w:ilvl w:val="0"/>
          <w:numId w:val="1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u w:val="single" w:color="auto"/>
          <w:color w:val="auto"/>
        </w:rPr>
        <w:t>Option Exchange Program</w:t>
      </w:r>
      <w:r>
        <w:rPr>
          <w:rFonts w:ascii="Arial" w:cs="Arial" w:eastAsia="Arial" w:hAnsi="Arial"/>
          <w:sz w:val="18"/>
          <w:szCs w:val="18"/>
          <w:color w:val="auto"/>
        </w:rPr>
        <w:t>” means a program approved by the Administrator whereby outstanding Options (i) are exchanged for Options with a lower exercise price or Restricted Stock or (ii) are amended to decrease the exercise price as a result of a decline in the Fair Market Value of the Common Stock.</w:t>
      </w:r>
    </w:p>
    <w:p>
      <w:pPr>
        <w:spacing w:after="0" w:line="67" w:lineRule="exact"/>
        <w:rPr>
          <w:rFonts w:ascii="Arial" w:cs="Arial" w:eastAsia="Arial" w:hAnsi="Arial"/>
          <w:sz w:val="18"/>
          <w:szCs w:val="18"/>
          <w:color w:val="auto"/>
        </w:rPr>
      </w:pPr>
    </w:p>
    <w:p>
      <w:pPr>
        <w:ind w:left="1340" w:hanging="353"/>
        <w:spacing w:after="0"/>
        <w:tabs>
          <w:tab w:leader="none" w:pos="13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Optioned Stock</w:t>
      </w:r>
      <w:r>
        <w:rPr>
          <w:rFonts w:ascii="Arial" w:cs="Arial" w:eastAsia="Arial" w:hAnsi="Arial"/>
          <w:sz w:val="18"/>
          <w:szCs w:val="18"/>
          <w:color w:val="auto"/>
        </w:rPr>
        <w:t>” means Shares that are subject to an Option or that were issued pursuant to the exercise of an Option.</w:t>
      </w:r>
    </w:p>
    <w:p>
      <w:pPr>
        <w:spacing w:after="0" w:line="117" w:lineRule="exact"/>
        <w:rPr>
          <w:rFonts w:ascii="Arial" w:cs="Arial" w:eastAsia="Arial" w:hAnsi="Arial"/>
          <w:sz w:val="18"/>
          <w:szCs w:val="18"/>
          <w:color w:val="auto"/>
        </w:rPr>
      </w:pPr>
    </w:p>
    <w:p>
      <w:pPr>
        <w:ind w:left="1320" w:hanging="333"/>
        <w:spacing w:after="0"/>
        <w:tabs>
          <w:tab w:leader="none" w:pos="13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Optionee</w:t>
      </w:r>
      <w:r>
        <w:rPr>
          <w:rFonts w:ascii="Arial" w:cs="Arial" w:eastAsia="Arial" w:hAnsi="Arial"/>
          <w:sz w:val="18"/>
          <w:szCs w:val="18"/>
          <w:color w:val="auto"/>
        </w:rPr>
        <w:t>” means an Employee or Consultant who receives an Option.</w:t>
      </w:r>
    </w:p>
    <w:p>
      <w:pPr>
        <w:spacing w:after="0" w:line="117" w:lineRule="exact"/>
        <w:rPr>
          <w:rFonts w:ascii="Arial" w:cs="Arial" w:eastAsia="Arial" w:hAnsi="Arial"/>
          <w:sz w:val="18"/>
          <w:szCs w:val="18"/>
          <w:color w:val="auto"/>
        </w:rPr>
      </w:pPr>
    </w:p>
    <w:p>
      <w:pPr>
        <w:ind w:right="60" w:firstLine="987"/>
        <w:spacing w:after="0" w:line="261" w:lineRule="auto"/>
        <w:tabs>
          <w:tab w:leader="none" w:pos="1336" w:val="left"/>
        </w:tabs>
        <w:numPr>
          <w:ilvl w:val="0"/>
          <w:numId w:val="1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Parent</w:t>
      </w:r>
      <w:r>
        <w:rPr>
          <w:rFonts w:ascii="Arial" w:cs="Arial" w:eastAsia="Arial" w:hAnsi="Arial"/>
          <w:sz w:val="18"/>
          <w:szCs w:val="18"/>
          <w:color w:val="auto"/>
        </w:rPr>
        <w:t>” means any corporation (other than the Company) in an unbroken chain of corporations ending with the Company if, at the time of grant of the Award, each of the corporations other than the Company owns stock possessing 50% or more of the total combined voting power of all classes of stock in one of the other corporations in such chain. A corporation that attains the status of a Parent on a date after the adoption of the Plan shall be considered a Parent commencing as of such date.</w:t>
      </w:r>
    </w:p>
    <w:p>
      <w:pPr>
        <w:spacing w:after="0" w:line="71" w:lineRule="exact"/>
        <w:rPr>
          <w:rFonts w:ascii="Arial" w:cs="Arial" w:eastAsia="Arial" w:hAnsi="Arial"/>
          <w:sz w:val="18"/>
          <w:szCs w:val="18"/>
          <w:color w:val="auto"/>
        </w:rPr>
      </w:pPr>
    </w:p>
    <w:p>
      <w:pPr>
        <w:ind w:left="1320" w:hanging="333"/>
        <w:spacing w:after="0"/>
        <w:tabs>
          <w:tab w:leader="none" w:pos="13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Participant</w:t>
      </w:r>
      <w:r>
        <w:rPr>
          <w:rFonts w:ascii="Arial" w:cs="Arial" w:eastAsia="Arial" w:hAnsi="Arial"/>
          <w:sz w:val="18"/>
          <w:szCs w:val="18"/>
          <w:color w:val="auto"/>
        </w:rPr>
        <w:t>” means any holder of one or more Awards or Shares issued pursuant to an Award.</w:t>
      </w:r>
    </w:p>
    <w:p>
      <w:pPr>
        <w:spacing w:after="0" w:line="117" w:lineRule="exact"/>
        <w:rPr>
          <w:rFonts w:ascii="Arial" w:cs="Arial" w:eastAsia="Arial" w:hAnsi="Arial"/>
          <w:sz w:val="18"/>
          <w:szCs w:val="18"/>
          <w:color w:val="auto"/>
        </w:rPr>
      </w:pPr>
    </w:p>
    <w:p>
      <w:pPr>
        <w:ind w:left="1260" w:hanging="273"/>
        <w:spacing w:after="0"/>
        <w:tabs>
          <w:tab w:leader="none" w:pos="12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Plan</w:t>
      </w:r>
      <w:r>
        <w:rPr>
          <w:rFonts w:ascii="Arial" w:cs="Arial" w:eastAsia="Arial" w:hAnsi="Arial"/>
          <w:sz w:val="18"/>
          <w:szCs w:val="18"/>
          <w:color w:val="auto"/>
        </w:rPr>
        <w:t>” means this 2009 Stock Plan.</w:t>
      </w:r>
    </w:p>
    <w:p>
      <w:pPr>
        <w:spacing w:after="0" w:line="117" w:lineRule="exact"/>
        <w:rPr>
          <w:rFonts w:ascii="Arial" w:cs="Arial" w:eastAsia="Arial" w:hAnsi="Arial"/>
          <w:sz w:val="18"/>
          <w:szCs w:val="18"/>
          <w:color w:val="auto"/>
        </w:rPr>
      </w:pPr>
    </w:p>
    <w:p>
      <w:pPr>
        <w:ind w:left="1340" w:hanging="353"/>
        <w:spacing w:after="0"/>
        <w:tabs>
          <w:tab w:leader="none" w:pos="134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Restricted Stock</w:t>
      </w:r>
      <w:r>
        <w:rPr>
          <w:rFonts w:ascii="Arial" w:cs="Arial" w:eastAsia="Arial" w:hAnsi="Arial"/>
          <w:sz w:val="16"/>
          <w:szCs w:val="16"/>
          <w:color w:val="auto"/>
        </w:rPr>
        <w:t>” means Shares acquired pursuant to a right to purchase Common Stock granted pursuant to Section 11 below.</w:t>
      </w:r>
    </w:p>
    <w:p>
      <w:pPr>
        <w:spacing w:after="0" w:line="140" w:lineRule="exact"/>
        <w:rPr>
          <w:rFonts w:ascii="Arial" w:cs="Arial" w:eastAsia="Arial" w:hAnsi="Arial"/>
          <w:sz w:val="16"/>
          <w:szCs w:val="16"/>
          <w:color w:val="auto"/>
        </w:rPr>
      </w:pPr>
    </w:p>
    <w:p>
      <w:pPr>
        <w:ind w:right="240" w:firstLine="987"/>
        <w:spacing w:after="0" w:line="347" w:lineRule="auto"/>
        <w:tabs>
          <w:tab w:leader="none" w:pos="1336" w:val="left"/>
        </w:tabs>
        <w:numPr>
          <w:ilvl w:val="0"/>
          <w:numId w:val="160"/>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Restricted Stock Purchase Agreement</w:t>
      </w:r>
      <w:r>
        <w:rPr>
          <w:rFonts w:ascii="Arial" w:cs="Arial" w:eastAsia="Arial" w:hAnsi="Arial"/>
          <w:sz w:val="16"/>
          <w:szCs w:val="16"/>
          <w:color w:val="auto"/>
        </w:rPr>
        <w:t>” means a written document, the form(s) of which shall be approved from time to time by</w:t>
      </w:r>
      <w:r>
        <w:rPr>
          <w:rFonts w:ascii="Arial" w:cs="Arial" w:eastAsia="Arial" w:hAnsi="Arial"/>
          <w:sz w:val="16"/>
          <w:szCs w:val="16"/>
          <w:b w:val="1"/>
          <w:bCs w:val="1"/>
          <w:color w:val="auto"/>
        </w:rPr>
        <w:t xml:space="preserve"> </w:t>
      </w:r>
      <w:r>
        <w:rPr>
          <w:rFonts w:ascii="Arial" w:cs="Arial" w:eastAsia="Arial" w:hAnsi="Arial"/>
          <w:sz w:val="16"/>
          <w:szCs w:val="16"/>
          <w:color w:val="auto"/>
        </w:rPr>
        <w:t>the Administrator, reflecting the terms of Restricted Stock granted under the Plan and includes any documents attached to such agreement.</w:t>
      </w:r>
    </w:p>
    <w:p>
      <w:pPr>
        <w:spacing w:after="0" w:line="7" w:lineRule="exact"/>
        <w:rPr>
          <w:rFonts w:ascii="Arial" w:cs="Arial" w:eastAsia="Arial" w:hAnsi="Arial"/>
          <w:sz w:val="16"/>
          <w:szCs w:val="16"/>
          <w:color w:val="auto"/>
        </w:rPr>
      </w:pPr>
    </w:p>
    <w:p>
      <w:pPr>
        <w:ind w:left="1260" w:hanging="273"/>
        <w:spacing w:after="0"/>
        <w:tabs>
          <w:tab w:leader="none" w:pos="126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Rule 16b-3</w:t>
      </w:r>
      <w:r>
        <w:rPr>
          <w:rFonts w:ascii="Arial" w:cs="Arial" w:eastAsia="Arial" w:hAnsi="Arial"/>
          <w:sz w:val="16"/>
          <w:szCs w:val="16"/>
          <w:color w:val="auto"/>
        </w:rPr>
        <w:t>” means Rule 16b-3 promulgated under the Exchange Act, as amended from time to time, or any successor provision.</w:t>
      </w:r>
    </w:p>
    <w:p>
      <w:pPr>
        <w:spacing w:after="0" w:line="140" w:lineRule="exact"/>
        <w:rPr>
          <w:rFonts w:ascii="Arial" w:cs="Arial" w:eastAsia="Arial" w:hAnsi="Arial"/>
          <w:sz w:val="16"/>
          <w:szCs w:val="16"/>
          <w:color w:val="auto"/>
        </w:rPr>
      </w:pPr>
    </w:p>
    <w:p>
      <w:pPr>
        <w:ind w:left="1260" w:hanging="273"/>
        <w:spacing w:after="0"/>
        <w:tabs>
          <w:tab w:leader="none" w:pos="12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Share</w:t>
      </w:r>
      <w:r>
        <w:rPr>
          <w:rFonts w:ascii="Arial" w:cs="Arial" w:eastAsia="Arial" w:hAnsi="Arial"/>
          <w:sz w:val="18"/>
          <w:szCs w:val="18"/>
          <w:color w:val="auto"/>
        </w:rPr>
        <w:t>” means a share of Common Stock, as adjusted in accordance with Section 14 below.</w:t>
      </w:r>
    </w:p>
    <w:p>
      <w:pPr>
        <w:spacing w:after="0" w:line="117" w:lineRule="exact"/>
        <w:rPr>
          <w:rFonts w:ascii="Arial" w:cs="Arial" w:eastAsia="Arial" w:hAnsi="Arial"/>
          <w:sz w:val="18"/>
          <w:szCs w:val="18"/>
          <w:color w:val="auto"/>
        </w:rPr>
      </w:pPr>
    </w:p>
    <w:p>
      <w:pPr>
        <w:ind w:right="220" w:firstLine="987"/>
        <w:spacing w:after="0" w:line="282" w:lineRule="auto"/>
        <w:tabs>
          <w:tab w:leader="none" w:pos="1336" w:val="left"/>
        </w:tabs>
        <w:numPr>
          <w:ilvl w:val="0"/>
          <w:numId w:val="1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Stock Exchange</w:t>
      </w:r>
      <w:r>
        <w:rPr>
          <w:rFonts w:ascii="Arial" w:cs="Arial" w:eastAsia="Arial" w:hAnsi="Arial"/>
          <w:sz w:val="18"/>
          <w:szCs w:val="18"/>
          <w:color w:val="auto"/>
        </w:rPr>
        <w:t>” means any stock exchange or consolidated stock price reporting system on which prices for the Common Stock are quoted at any given time.</w:t>
      </w:r>
    </w:p>
    <w:p>
      <w:pPr>
        <w:spacing w:after="0" w:line="53" w:lineRule="exact"/>
        <w:rPr>
          <w:rFonts w:ascii="Arial" w:cs="Arial" w:eastAsia="Arial" w:hAnsi="Arial"/>
          <w:sz w:val="18"/>
          <w:szCs w:val="18"/>
          <w:color w:val="auto"/>
        </w:rPr>
      </w:pPr>
    </w:p>
    <w:p>
      <w:pPr>
        <w:jc w:val="both"/>
        <w:ind w:firstLine="987"/>
        <w:spacing w:after="0" w:line="281" w:lineRule="auto"/>
        <w:tabs>
          <w:tab w:leader="none" w:pos="1256" w:val="left"/>
        </w:tabs>
        <w:numPr>
          <w:ilvl w:val="0"/>
          <w:numId w:val="16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Subsidiary</w:t>
      </w:r>
      <w:r>
        <w:rPr>
          <w:rFonts w:ascii="Arial" w:cs="Arial" w:eastAsia="Arial" w:hAnsi="Arial"/>
          <w:sz w:val="17"/>
          <w:szCs w:val="17"/>
          <w:color w:val="auto"/>
        </w:rPr>
        <w:t>” means any corporation (other than the Company) in an unbroken chain of corporations beginning with the Company if, at the time of grant of the Award, each of the corporations other than the last corporation in the unbroken chain owns stock possessing 50% or more of the total combined voting power of all classes of stock in one of the other corporations in such chain. A corporation that attains the status of a Subsidiary on a date after the adoption of the Plan shall be considered a Subsidiary commencing as of such date.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0" w:right="459" w:bottom="1440" w:gutter="0" w:footer="0" w:header="0"/>
        </w:sectPr>
      </w:pPr>
    </w:p>
    <w:bookmarkStart w:id="234" w:name="page235"/>
    <w:bookmarkEnd w:id="234"/>
    <w:p>
      <w:pPr>
        <w:ind w:left="4" w:right="220" w:firstLine="987"/>
        <w:spacing w:after="0" w:line="282" w:lineRule="auto"/>
        <w:tabs>
          <w:tab w:leader="none" w:pos="1440" w:val="left"/>
        </w:tabs>
        <w:numPr>
          <w:ilvl w:val="1"/>
          <w:numId w:val="1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u w:val="single" w:color="auto"/>
          <w:color w:val="auto"/>
        </w:rPr>
        <w:t>Ten Percent Holder</w:t>
      </w:r>
      <w:r>
        <w:rPr>
          <w:rFonts w:ascii="Arial" w:cs="Arial" w:eastAsia="Arial" w:hAnsi="Arial"/>
          <w:sz w:val="18"/>
          <w:szCs w:val="18"/>
          <w:color w:val="auto"/>
        </w:rPr>
        <w:t>” means a person who owns stock representing more than 10% of the voting power of all classes of stock of the Company or any Parent or Subsidiary measured as of an Award’s date of grant.</w:t>
      </w:r>
    </w:p>
    <w:p>
      <w:pPr>
        <w:spacing w:after="0" w:line="53" w:lineRule="exact"/>
        <w:rPr>
          <w:rFonts w:ascii="Arial" w:cs="Arial" w:eastAsia="Arial" w:hAnsi="Arial"/>
          <w:sz w:val="18"/>
          <w:szCs w:val="18"/>
          <w:color w:val="auto"/>
        </w:rPr>
      </w:pPr>
    </w:p>
    <w:p>
      <w:pPr>
        <w:ind w:left="1344" w:hanging="353"/>
        <w:spacing w:after="0"/>
        <w:tabs>
          <w:tab w:leader="none" w:pos="1344" w:val="left"/>
        </w:tabs>
        <w:numPr>
          <w:ilvl w:val="1"/>
          <w:numId w:val="1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Triggering Event</w:t>
      </w:r>
      <w:r>
        <w:rPr>
          <w:rFonts w:ascii="Arial" w:cs="Arial" w:eastAsia="Arial" w:hAnsi="Arial"/>
          <w:sz w:val="18"/>
          <w:szCs w:val="18"/>
          <w:color w:val="auto"/>
        </w:rPr>
        <w:t>” means:</w:t>
      </w:r>
    </w:p>
    <w:p>
      <w:pPr>
        <w:spacing w:after="0" w:line="121" w:lineRule="exact"/>
        <w:rPr>
          <w:rFonts w:ascii="Arial" w:cs="Arial" w:eastAsia="Arial" w:hAnsi="Arial"/>
          <w:sz w:val="18"/>
          <w:szCs w:val="18"/>
          <w:color w:val="auto"/>
        </w:rPr>
      </w:pPr>
    </w:p>
    <w:p>
      <w:pPr>
        <w:ind w:left="4" w:right="40" w:firstLine="1979"/>
        <w:spacing w:after="0" w:line="287" w:lineRule="auto"/>
        <w:tabs>
          <w:tab w:leader="none" w:pos="2202" w:val="left"/>
        </w:tabs>
        <w:numPr>
          <w:ilvl w:val="2"/>
          <w:numId w:val="161"/>
        </w:numPr>
        <w:rPr>
          <w:rFonts w:ascii="Arial" w:cs="Arial" w:eastAsia="Arial" w:hAnsi="Arial"/>
          <w:sz w:val="16"/>
          <w:szCs w:val="16"/>
          <w:color w:val="auto"/>
        </w:rPr>
      </w:pPr>
      <w:r>
        <w:rPr>
          <w:rFonts w:ascii="Arial" w:cs="Arial" w:eastAsia="Arial" w:hAnsi="Arial"/>
          <w:sz w:val="16"/>
          <w:szCs w:val="16"/>
          <w:color w:val="auto"/>
        </w:rPr>
        <w:t>a sale, transfer or disposition of all or substantially all of the Company’s assets other than to (A) a corporation or other entity of which at least a majority of its combined voting power is owned directly or indirectly by the Company, (B) a corporation or other entity owned directly or indirectly by the holders of capital stock of the Company in substantially the same proportions as their ownership of Common Stock, or</w:t>
      </w:r>
    </w:p>
    <w:p>
      <w:pPr>
        <w:spacing w:after="0" w:line="2" w:lineRule="exact"/>
        <w:rPr>
          <w:rFonts w:ascii="Arial" w:cs="Arial" w:eastAsia="Arial" w:hAnsi="Arial"/>
          <w:sz w:val="16"/>
          <w:szCs w:val="16"/>
          <w:color w:val="auto"/>
        </w:rPr>
      </w:pPr>
    </w:p>
    <w:p>
      <w:pPr>
        <w:ind w:left="284" w:hanging="284"/>
        <w:spacing w:after="0"/>
        <w:tabs>
          <w:tab w:leader="none" w:pos="284"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an Excluded Entity (as defined in subsection (ii) below); or</w:t>
      </w:r>
    </w:p>
    <w:p>
      <w:pPr>
        <w:spacing w:after="0" w:line="102" w:lineRule="exact"/>
        <w:rPr>
          <w:rFonts w:ascii="Arial" w:cs="Arial" w:eastAsia="Arial" w:hAnsi="Arial"/>
          <w:sz w:val="18"/>
          <w:szCs w:val="18"/>
          <w:color w:val="auto"/>
        </w:rPr>
      </w:pPr>
    </w:p>
    <w:p>
      <w:pPr>
        <w:ind w:left="4" w:right="60" w:firstLine="1979"/>
        <w:spacing w:after="0" w:line="255" w:lineRule="auto"/>
        <w:tabs>
          <w:tab w:leader="none" w:pos="2252" w:val="left"/>
        </w:tabs>
        <w:numPr>
          <w:ilvl w:val="2"/>
          <w:numId w:val="162"/>
        </w:numPr>
        <w:rPr>
          <w:rFonts w:ascii="Arial" w:cs="Arial" w:eastAsia="Arial" w:hAnsi="Arial"/>
          <w:sz w:val="18"/>
          <w:szCs w:val="18"/>
          <w:color w:val="auto"/>
        </w:rPr>
      </w:pPr>
      <w:r>
        <w:rPr>
          <w:rFonts w:ascii="Arial" w:cs="Arial" w:eastAsia="Arial" w:hAnsi="Arial"/>
          <w:sz w:val="18"/>
          <w:szCs w:val="18"/>
          <w:color w:val="auto"/>
        </w:rPr>
        <w:t>any merger, consolidation or other business combination transaction of the Company with or into another corporation, entity or person, other than a transaction with or into another corporation, entity or person in which the holders of at least a majority of the shares of voting capital stock of the Company outstanding immediately prior to such transaction continue to hold (either by such shares remaining outstanding in the continuing entity or by their being converted into shares of voting capital stock of the surviving entity) a majority of the total voting power represented by the shares of voting capital stock of the Company (or the surviving entity) outstanding immediately after such transaction (an “</w:t>
      </w:r>
      <w:r>
        <w:rPr>
          <w:rFonts w:ascii="Arial" w:cs="Arial" w:eastAsia="Arial" w:hAnsi="Arial"/>
          <w:sz w:val="18"/>
          <w:szCs w:val="18"/>
          <w:u w:val="single" w:color="auto"/>
          <w:color w:val="auto"/>
        </w:rPr>
        <w:t>Excluded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Entity</w:t>
      </w:r>
      <w:r>
        <w:rPr>
          <w:rFonts w:ascii="Arial" w:cs="Arial" w:eastAsia="Arial" w:hAnsi="Arial"/>
          <w:sz w:val="18"/>
          <w:szCs w:val="18"/>
          <w:color w:val="auto"/>
        </w:rPr>
        <w:t>”).</w:t>
      </w:r>
    </w:p>
    <w:p>
      <w:pPr>
        <w:spacing w:after="0" w:line="192" w:lineRule="exact"/>
        <w:rPr>
          <w:sz w:val="20"/>
          <w:szCs w:val="20"/>
          <w:color w:val="auto"/>
        </w:rPr>
      </w:pPr>
    </w:p>
    <w:p>
      <w:pPr>
        <w:ind w:left="4"/>
        <w:spacing w:after="0" w:line="259" w:lineRule="auto"/>
        <w:rPr>
          <w:sz w:val="20"/>
          <w:szCs w:val="20"/>
          <w:color w:val="auto"/>
        </w:rPr>
      </w:pPr>
      <w:r>
        <w:rPr>
          <w:rFonts w:ascii="Arial" w:cs="Arial" w:eastAsia="Arial" w:hAnsi="Arial"/>
          <w:sz w:val="18"/>
          <w:szCs w:val="18"/>
          <w:color w:val="auto"/>
        </w:rPr>
        <w:t>Notwithstanding anything stated herein, a transaction shall not constitute a “Triggering Event” if its sole purpose is to change the state of the Company’s incorporation, or to create a holding company that will be owned in substantially the same proportions by the persons who hold the Company’s securities immediately before such transaction. For clarity, the term “Triggering Event” as defined herein shall not include stock sale transactions whether by the Company or by the holders of capital stock.</w:t>
      </w:r>
    </w:p>
    <w:p>
      <w:pPr>
        <w:spacing w:after="0" w:line="75" w:lineRule="exact"/>
        <w:rPr>
          <w:sz w:val="20"/>
          <w:szCs w:val="20"/>
          <w:color w:val="auto"/>
        </w:rPr>
      </w:pPr>
    </w:p>
    <w:p>
      <w:pPr>
        <w:ind w:left="4" w:right="40" w:firstLine="436"/>
        <w:spacing w:after="0" w:line="291" w:lineRule="auto"/>
        <w:tabs>
          <w:tab w:leader="none" w:pos="624" w:val="left"/>
        </w:tabs>
        <w:numPr>
          <w:ilvl w:val="0"/>
          <w:numId w:val="163"/>
        </w:numPr>
        <w:rPr>
          <w:rFonts w:ascii="Arial" w:cs="Arial" w:eastAsia="Arial" w:hAnsi="Arial"/>
          <w:sz w:val="16"/>
          <w:szCs w:val="16"/>
          <w:color w:val="auto"/>
        </w:rPr>
      </w:pPr>
      <w:r>
        <w:rPr>
          <w:rFonts w:ascii="Arial" w:cs="Arial" w:eastAsia="Arial" w:hAnsi="Arial"/>
          <w:sz w:val="16"/>
          <w:szCs w:val="16"/>
          <w:b w:val="1"/>
          <w:bCs w:val="1"/>
          <w:u w:val="single" w:color="auto"/>
          <w:color w:val="auto"/>
        </w:rPr>
        <w:t>Stock Subject to the Plan</w:t>
      </w:r>
      <w:r>
        <w:rPr>
          <w:rFonts w:ascii="Arial" w:cs="Arial" w:eastAsia="Arial" w:hAnsi="Arial"/>
          <w:sz w:val="16"/>
          <w:szCs w:val="16"/>
          <w:color w:val="auto"/>
        </w:rPr>
        <w:t>. Subject to the provisions of Section 14 of the Plan, the maximum aggregate number of Shares that may be issued</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Plan is 14,893,032 Shares, of which a maximum of 14,893,032 Shares may be issued under the Plan pursuant to Incentive Stock Options. The Shares issued under the Plan may be authorized, but unissued, or reacquired Shares. If an Award should expire or become unexercisable for any reason without having been exercised in full, or is surrendered pursuant to an Option Exchange Program, the unpurchased Shares that were subject thereto shall, unless the Plan shall have been terminated, become available for future grant under the Plan. In addition, any Shares which are retained by the Company upon exercise of an Award in order to satisfy the exercise or purchase price for such Award or any withholding taxes due with respect to such Award shall be treated as not issued and shall continue to be available under the Plan. Shares issued under the Plan and later repurchased by the Company pursuant to any repurchase right that the Company may have shall not be available for future grant under the Plan.</w:t>
      </w:r>
    </w:p>
    <w:p>
      <w:pPr>
        <w:spacing w:after="0" w:line="9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4"/>
          </w:cols>
          <w:pgMar w:left="436" w:top="270" w:right="479" w:bottom="1440" w:gutter="0" w:footer="0" w:header="0"/>
        </w:sectPr>
      </w:pPr>
    </w:p>
    <w:bookmarkStart w:id="235" w:name="page236"/>
    <w:bookmarkEnd w:id="235"/>
    <w:p>
      <w:pPr>
        <w:ind w:left="580" w:hanging="184"/>
        <w:spacing w:after="0"/>
        <w:tabs>
          <w:tab w:leader="none" w:pos="580" w:val="left"/>
        </w:tabs>
        <w:numPr>
          <w:ilvl w:val="0"/>
          <w:numId w:val="164"/>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Administration of the Plan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40" w:firstLine="987"/>
        <w:spacing w:after="0" w:line="261" w:lineRule="auto"/>
        <w:tabs>
          <w:tab w:leader="none" w:pos="1196" w:val="left"/>
        </w:tabs>
        <w:numPr>
          <w:ilvl w:val="1"/>
          <w:numId w:val="164"/>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w:t>
      </w:r>
      <w:r>
        <w:rPr>
          <w:rFonts w:ascii="Arial" w:cs="Arial" w:eastAsia="Arial" w:hAnsi="Arial"/>
          <w:sz w:val="18"/>
          <w:szCs w:val="18"/>
          <w:color w:val="auto"/>
        </w:rPr>
        <w:t>. The Plan shall be administered by the Board or a Committee, or a combination thereof, as determined by the Board.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may be administered by different administrative bodies with respect to different classes of Participants and, if permitted by Applicable Laws, the Board may authorize one or more officers of the Company to make Awards under the Plan to Employees and Consultants (who are not subject to Section 16 of the Exchange Act) within parameters specified by the Board.</w:t>
      </w:r>
    </w:p>
    <w:p>
      <w:pPr>
        <w:spacing w:after="0" w:line="71" w:lineRule="exact"/>
        <w:rPr>
          <w:rFonts w:ascii="Arial" w:cs="Arial" w:eastAsia="Arial" w:hAnsi="Arial"/>
          <w:sz w:val="18"/>
          <w:szCs w:val="18"/>
          <w:color w:val="auto"/>
        </w:rPr>
      </w:pPr>
    </w:p>
    <w:p>
      <w:pPr>
        <w:ind w:left="-40" w:right="40" w:firstLine="987"/>
        <w:spacing w:after="0" w:line="256" w:lineRule="auto"/>
        <w:tabs>
          <w:tab w:leader="none" w:pos="1206" w:val="left"/>
        </w:tabs>
        <w:numPr>
          <w:ilvl w:val="1"/>
          <w:numId w:val="164"/>
        </w:numPr>
        <w:rPr>
          <w:rFonts w:ascii="Arial" w:cs="Arial" w:eastAsia="Arial" w:hAnsi="Arial"/>
          <w:sz w:val="18"/>
          <w:szCs w:val="18"/>
          <w:color w:val="auto"/>
        </w:rPr>
      </w:pPr>
      <w:r>
        <w:rPr>
          <w:rFonts w:ascii="Arial" w:cs="Arial" w:eastAsia="Arial" w:hAnsi="Arial"/>
          <w:sz w:val="18"/>
          <w:szCs w:val="18"/>
          <w:b w:val="1"/>
          <w:bCs w:val="1"/>
          <w:u w:val="single" w:color="auto"/>
          <w:color w:val="auto"/>
        </w:rPr>
        <w:t>Committee Composition</w:t>
      </w:r>
      <w:r>
        <w:rPr>
          <w:rFonts w:ascii="Arial" w:cs="Arial" w:eastAsia="Arial" w:hAnsi="Arial"/>
          <w:sz w:val="18"/>
          <w:szCs w:val="18"/>
          <w:color w:val="auto"/>
        </w:rPr>
        <w:t>. If a Committee has been appointed pursuant to this Section 4, such Committee shall continue to serve in its</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designated capacity until otherwise directed by the Board. From time to time the Board may increase the size of any Committee and appoint additional members thereof, remove members (with or without cause) and appoint new members in substitution therefor, fill vacancies (however caused) and dissolve a Committee and thereafter directly administer the Plan, all to the extent permitted by the Applicable Laws and, in the case of a Committee administering the Plan in accordance with the requirements of Rule 16b-3 or Section 162(m) of the Code, to the extent permitted or required by such provisions.</w:t>
      </w:r>
    </w:p>
    <w:p>
      <w:pPr>
        <w:spacing w:after="0" w:line="79" w:lineRule="exact"/>
        <w:rPr>
          <w:rFonts w:ascii="Arial" w:cs="Arial" w:eastAsia="Arial" w:hAnsi="Arial"/>
          <w:sz w:val="18"/>
          <w:szCs w:val="18"/>
          <w:color w:val="auto"/>
        </w:rPr>
      </w:pPr>
    </w:p>
    <w:p>
      <w:pPr>
        <w:ind w:left="-40" w:right="160" w:firstLine="987"/>
        <w:spacing w:after="0" w:line="282" w:lineRule="auto"/>
        <w:tabs>
          <w:tab w:leader="none" w:pos="1196" w:val="left"/>
        </w:tabs>
        <w:numPr>
          <w:ilvl w:val="1"/>
          <w:numId w:val="164"/>
        </w:numPr>
        <w:rPr>
          <w:rFonts w:ascii="Arial" w:cs="Arial" w:eastAsia="Arial" w:hAnsi="Arial"/>
          <w:sz w:val="18"/>
          <w:szCs w:val="18"/>
          <w:color w:val="auto"/>
        </w:rPr>
      </w:pPr>
      <w:r>
        <w:rPr>
          <w:rFonts w:ascii="Arial" w:cs="Arial" w:eastAsia="Arial" w:hAnsi="Arial"/>
          <w:sz w:val="18"/>
          <w:szCs w:val="18"/>
          <w:b w:val="1"/>
          <w:bCs w:val="1"/>
          <w:u w:val="single" w:color="auto"/>
          <w:color w:val="auto"/>
        </w:rPr>
        <w:t>Powers of the Administrator</w:t>
      </w:r>
      <w:r>
        <w:rPr>
          <w:rFonts w:ascii="Arial" w:cs="Arial" w:eastAsia="Arial" w:hAnsi="Arial"/>
          <w:sz w:val="18"/>
          <w:szCs w:val="18"/>
          <w:color w:val="auto"/>
        </w:rPr>
        <w:t>. Subject to the provisions of the Plan and, in the case of a Committee, the specific duties delegated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to such Committee, the Administrator shall have the authority, in its sole discretion:</w:t>
      </w:r>
    </w:p>
    <w:p>
      <w:pPr>
        <w:spacing w:after="0" w:line="57" w:lineRule="exact"/>
        <w:rPr>
          <w:rFonts w:ascii="Arial" w:cs="Arial" w:eastAsia="Arial" w:hAnsi="Arial"/>
          <w:sz w:val="18"/>
          <w:szCs w:val="18"/>
          <w:color w:val="auto"/>
        </w:rPr>
      </w:pPr>
    </w:p>
    <w:p>
      <w:pPr>
        <w:ind w:left="-40" w:right="960" w:firstLine="1428"/>
        <w:spacing w:after="0" w:line="277" w:lineRule="auto"/>
        <w:tabs>
          <w:tab w:leader="none" w:pos="1607" w:val="left"/>
        </w:tabs>
        <w:numPr>
          <w:ilvl w:val="2"/>
          <w:numId w:val="164"/>
        </w:numPr>
        <w:rPr>
          <w:rFonts w:ascii="Arial" w:cs="Arial" w:eastAsia="Arial" w:hAnsi="Arial"/>
          <w:sz w:val="18"/>
          <w:szCs w:val="18"/>
          <w:color w:val="auto"/>
        </w:rPr>
      </w:pPr>
      <w:r>
        <w:rPr>
          <w:rFonts w:ascii="Arial" w:cs="Arial" w:eastAsia="Arial" w:hAnsi="Arial"/>
          <w:sz w:val="18"/>
          <w:szCs w:val="18"/>
          <w:color w:val="auto"/>
        </w:rPr>
        <w:t>to determine the Fair Market Value of the Common Stock in accordance with Section 2(s) above, provided that such determination shall be applied consistently with respect to Participants under the Plan;</w:t>
      </w:r>
    </w:p>
    <w:p>
      <w:pPr>
        <w:spacing w:after="0" w:line="62" w:lineRule="exact"/>
        <w:rPr>
          <w:rFonts w:ascii="Arial" w:cs="Arial" w:eastAsia="Arial" w:hAnsi="Arial"/>
          <w:sz w:val="18"/>
          <w:szCs w:val="18"/>
          <w:color w:val="auto"/>
        </w:rPr>
      </w:pPr>
    </w:p>
    <w:p>
      <w:pPr>
        <w:ind w:left="1660" w:hanging="272"/>
        <w:spacing w:after="0"/>
        <w:tabs>
          <w:tab w:leader="none" w:pos="1660" w:val="left"/>
        </w:tabs>
        <w:numPr>
          <w:ilvl w:val="2"/>
          <w:numId w:val="164"/>
        </w:numPr>
        <w:rPr>
          <w:rFonts w:ascii="Arial" w:cs="Arial" w:eastAsia="Arial" w:hAnsi="Arial"/>
          <w:sz w:val="18"/>
          <w:szCs w:val="18"/>
          <w:color w:val="auto"/>
        </w:rPr>
      </w:pPr>
      <w:r>
        <w:rPr>
          <w:rFonts w:ascii="Arial" w:cs="Arial" w:eastAsia="Arial" w:hAnsi="Arial"/>
          <w:sz w:val="18"/>
          <w:szCs w:val="18"/>
          <w:color w:val="auto"/>
        </w:rPr>
        <w:t>to select the Employees and Consultants to whom Awards may from time to time be granted;</w:t>
      </w:r>
    </w:p>
    <w:p>
      <w:pPr>
        <w:spacing w:after="0" w:line="117" w:lineRule="exact"/>
        <w:rPr>
          <w:rFonts w:ascii="Arial" w:cs="Arial" w:eastAsia="Arial" w:hAnsi="Arial"/>
          <w:sz w:val="18"/>
          <w:szCs w:val="18"/>
          <w:color w:val="auto"/>
        </w:rPr>
      </w:pPr>
    </w:p>
    <w:p>
      <w:pPr>
        <w:ind w:left="1700" w:hanging="312"/>
        <w:spacing w:after="0"/>
        <w:tabs>
          <w:tab w:leader="none" w:pos="1700" w:val="left"/>
        </w:tabs>
        <w:numPr>
          <w:ilvl w:val="2"/>
          <w:numId w:val="164"/>
        </w:numPr>
        <w:rPr>
          <w:rFonts w:ascii="Arial" w:cs="Arial" w:eastAsia="Arial" w:hAnsi="Arial"/>
          <w:sz w:val="18"/>
          <w:szCs w:val="18"/>
          <w:color w:val="auto"/>
        </w:rPr>
      </w:pPr>
      <w:r>
        <w:rPr>
          <w:rFonts w:ascii="Arial" w:cs="Arial" w:eastAsia="Arial" w:hAnsi="Arial"/>
          <w:sz w:val="18"/>
          <w:szCs w:val="18"/>
          <w:color w:val="auto"/>
        </w:rPr>
        <w:t>to determine the number of Shares to be covered by each Award;</w:t>
      </w:r>
    </w:p>
    <w:p>
      <w:pPr>
        <w:spacing w:after="0" w:line="117" w:lineRule="exact"/>
        <w:rPr>
          <w:rFonts w:ascii="Arial" w:cs="Arial" w:eastAsia="Arial" w:hAnsi="Arial"/>
          <w:sz w:val="18"/>
          <w:szCs w:val="18"/>
          <w:color w:val="auto"/>
        </w:rPr>
      </w:pPr>
    </w:p>
    <w:p>
      <w:pPr>
        <w:ind w:left="1700" w:hanging="312"/>
        <w:spacing w:after="0"/>
        <w:tabs>
          <w:tab w:leader="none" w:pos="1700" w:val="left"/>
        </w:tabs>
        <w:numPr>
          <w:ilvl w:val="2"/>
          <w:numId w:val="164"/>
        </w:numPr>
        <w:rPr>
          <w:rFonts w:ascii="Arial" w:cs="Arial" w:eastAsia="Arial" w:hAnsi="Arial"/>
          <w:sz w:val="18"/>
          <w:szCs w:val="18"/>
          <w:color w:val="auto"/>
        </w:rPr>
      </w:pPr>
      <w:r>
        <w:rPr>
          <w:rFonts w:ascii="Arial" w:cs="Arial" w:eastAsia="Arial" w:hAnsi="Arial"/>
          <w:sz w:val="18"/>
          <w:szCs w:val="18"/>
          <w:color w:val="auto"/>
        </w:rPr>
        <w:t>to approve the form(s) of agreement(s) and other related documents used under the Plan;</w:t>
      </w:r>
    </w:p>
    <w:p>
      <w:pPr>
        <w:spacing w:after="0" w:line="117" w:lineRule="exact"/>
        <w:rPr>
          <w:rFonts w:ascii="Arial" w:cs="Arial" w:eastAsia="Arial" w:hAnsi="Arial"/>
          <w:sz w:val="18"/>
          <w:szCs w:val="18"/>
          <w:color w:val="auto"/>
        </w:rPr>
      </w:pPr>
    </w:p>
    <w:p>
      <w:pPr>
        <w:ind w:left="-40" w:right="60" w:firstLine="1428"/>
        <w:spacing w:after="0" w:line="259" w:lineRule="auto"/>
        <w:tabs>
          <w:tab w:leader="none" w:pos="1647" w:val="left"/>
        </w:tabs>
        <w:numPr>
          <w:ilvl w:val="2"/>
          <w:numId w:val="164"/>
        </w:numPr>
        <w:rPr>
          <w:rFonts w:ascii="Arial" w:cs="Arial" w:eastAsia="Arial" w:hAnsi="Arial"/>
          <w:sz w:val="18"/>
          <w:szCs w:val="18"/>
          <w:color w:val="auto"/>
        </w:rPr>
      </w:pPr>
      <w:r>
        <w:rPr>
          <w:rFonts w:ascii="Arial" w:cs="Arial" w:eastAsia="Arial" w:hAnsi="Arial"/>
          <w:sz w:val="18"/>
          <w:szCs w:val="18"/>
          <w:color w:val="auto"/>
        </w:rPr>
        <w:t>to determine the terms and conditions, not inconsistent with the terms of the Plan, of any Award granted hereunder, which terms and conditions include but are not limited to the exercise or purchase price, the time or times when Awards may be exercised (which may be based on performance criteria), the circumstances (if any) when vesting will be accelerated or forfeiture restrictions will be waived, and any restriction or limitation regarding any Award, Optioned Stock, or Restricted Stock;</w:t>
      </w:r>
    </w:p>
    <w:p>
      <w:pPr>
        <w:spacing w:after="0" w:line="78" w:lineRule="exact"/>
        <w:rPr>
          <w:rFonts w:ascii="Arial" w:cs="Arial" w:eastAsia="Arial" w:hAnsi="Arial"/>
          <w:sz w:val="18"/>
          <w:szCs w:val="18"/>
          <w:color w:val="auto"/>
        </w:rPr>
      </w:pPr>
    </w:p>
    <w:p>
      <w:pPr>
        <w:ind w:left="-40" w:right="20" w:firstLine="1428"/>
        <w:spacing w:after="0" w:line="311" w:lineRule="auto"/>
        <w:tabs>
          <w:tab w:leader="none" w:pos="1697" w:val="left"/>
        </w:tabs>
        <w:numPr>
          <w:ilvl w:val="2"/>
          <w:numId w:val="164"/>
        </w:numPr>
        <w:rPr>
          <w:rFonts w:ascii="Arial" w:cs="Arial" w:eastAsia="Arial" w:hAnsi="Arial"/>
          <w:sz w:val="16"/>
          <w:szCs w:val="16"/>
          <w:color w:val="auto"/>
        </w:rPr>
      </w:pPr>
      <w:r>
        <w:rPr>
          <w:rFonts w:ascii="Arial" w:cs="Arial" w:eastAsia="Arial" w:hAnsi="Arial"/>
          <w:sz w:val="16"/>
          <w:szCs w:val="16"/>
          <w:color w:val="auto"/>
        </w:rPr>
        <w:t>to amend any outstanding Award or agreement related to any Optioned Stock or Restricted Stock, including any amendment adjusting vesting (e.g., in connection with a change in the terms or conditions under which such person is providing services to the Company), provided that no amendment shall be made that would materially and adversely affect the rights of any Participant without his or her consent;</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480" w:top="270" w:right="499" w:bottom="1440" w:gutter="0" w:footer="0" w:header="0"/>
        </w:sectPr>
      </w:pPr>
    </w:p>
    <w:bookmarkStart w:id="236" w:name="page237"/>
    <w:bookmarkEnd w:id="236"/>
    <w:p>
      <w:pPr>
        <w:ind w:left="14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(vii) to determine whether and under what circumstances an Option may be settled in cash under Section 10(c) instead of Common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103" w:lineRule="exact"/>
        <w:rPr>
          <w:sz w:val="20"/>
          <w:szCs w:val="20"/>
          <w:color w:val="auto"/>
        </w:rPr>
      </w:pPr>
    </w:p>
    <w:p>
      <w:pPr>
        <w:ind w:right="80" w:firstLine="1428"/>
        <w:spacing w:after="0" w:line="263" w:lineRule="auto"/>
        <w:tabs>
          <w:tab w:leader="none" w:pos="1837" w:val="left"/>
        </w:tabs>
        <w:numPr>
          <w:ilvl w:val="2"/>
          <w:numId w:val="165"/>
        </w:numPr>
        <w:rPr>
          <w:rFonts w:ascii="Arial" w:cs="Arial" w:eastAsia="Arial" w:hAnsi="Arial"/>
          <w:sz w:val="18"/>
          <w:szCs w:val="18"/>
          <w:color w:val="auto"/>
        </w:rPr>
      </w:pPr>
      <w:r>
        <w:rPr>
          <w:rFonts w:ascii="Arial" w:cs="Arial" w:eastAsia="Arial" w:hAnsi="Arial"/>
          <w:sz w:val="18"/>
          <w:szCs w:val="18"/>
          <w:color w:val="auto"/>
        </w:rPr>
        <w:t>to implement an Option Exchange Program and establish the terms and conditions of such Option Exchange Program, provided that no amendment or adjustment to an Option that would materially and adversely affect the rights of any Optionee shall be made without his or her consent;</w:t>
      </w:r>
    </w:p>
    <w:p>
      <w:pPr>
        <w:spacing w:after="0" w:line="75" w:lineRule="exact"/>
        <w:rPr>
          <w:rFonts w:ascii="Arial" w:cs="Arial" w:eastAsia="Arial" w:hAnsi="Arial"/>
          <w:sz w:val="18"/>
          <w:szCs w:val="18"/>
          <w:color w:val="auto"/>
        </w:rPr>
      </w:pPr>
    </w:p>
    <w:p>
      <w:pPr>
        <w:ind w:firstLine="1428"/>
        <w:spacing w:after="0" w:line="301" w:lineRule="auto"/>
        <w:tabs>
          <w:tab w:leader="none" w:pos="1737" w:val="left"/>
        </w:tabs>
        <w:numPr>
          <w:ilvl w:val="2"/>
          <w:numId w:val="165"/>
        </w:numPr>
        <w:rPr>
          <w:rFonts w:ascii="Arial" w:cs="Arial" w:eastAsia="Arial" w:hAnsi="Arial"/>
          <w:sz w:val="16"/>
          <w:szCs w:val="16"/>
          <w:color w:val="auto"/>
        </w:rPr>
      </w:pPr>
      <w:r>
        <w:rPr>
          <w:rFonts w:ascii="Arial" w:cs="Arial" w:eastAsia="Arial" w:hAnsi="Arial"/>
          <w:sz w:val="16"/>
          <w:szCs w:val="16"/>
          <w:color w:val="auto"/>
        </w:rPr>
        <w:t>to grant Awards to, or to modify the terms of any outstanding Option Agreement or Restricted Stock Purchase Agreement or any agreement related to any Optioned Stock or Restricted Stock held by, Participants who are foreign nationals or employed outside of the United States with such terms and conditions as the Administrator deems necessary or appropriate to accommodate differences in local law, tax policy or custom which deviate from the terms and conditions set forth in this Plan to the extent necessary or appropriate to accommodate such differences; and</w:t>
      </w:r>
    </w:p>
    <w:p>
      <w:pPr>
        <w:spacing w:after="0" w:line="49" w:lineRule="exact"/>
        <w:rPr>
          <w:rFonts w:ascii="Arial" w:cs="Arial" w:eastAsia="Arial" w:hAnsi="Arial"/>
          <w:sz w:val="16"/>
          <w:szCs w:val="16"/>
          <w:color w:val="auto"/>
        </w:rPr>
      </w:pPr>
    </w:p>
    <w:p>
      <w:pPr>
        <w:jc w:val="both"/>
        <w:ind w:right="640" w:firstLine="1428"/>
        <w:spacing w:after="0" w:line="263" w:lineRule="auto"/>
        <w:tabs>
          <w:tab w:leader="none" w:pos="1687" w:val="left"/>
        </w:tabs>
        <w:numPr>
          <w:ilvl w:val="2"/>
          <w:numId w:val="165"/>
        </w:numPr>
        <w:rPr>
          <w:rFonts w:ascii="Arial" w:cs="Arial" w:eastAsia="Arial" w:hAnsi="Arial"/>
          <w:sz w:val="18"/>
          <w:szCs w:val="18"/>
          <w:color w:val="auto"/>
        </w:rPr>
      </w:pPr>
      <w:r>
        <w:rPr>
          <w:rFonts w:ascii="Arial" w:cs="Arial" w:eastAsia="Arial" w:hAnsi="Arial"/>
          <w:sz w:val="18"/>
          <w:szCs w:val="18"/>
          <w:color w:val="auto"/>
        </w:rPr>
        <w:t>to construe and interpret the terms of the Plan, any Option Agreement or Restricted Stock Purchase Agreement, and any agreement related to any Optioned Stock or Restricted Stock, which constructions, interpretations and decisions shall be final and binding on all Participants.</w:t>
      </w:r>
    </w:p>
    <w:p>
      <w:pPr>
        <w:spacing w:after="0" w:line="71" w:lineRule="exact"/>
        <w:rPr>
          <w:rFonts w:ascii="Arial" w:cs="Arial" w:eastAsia="Arial" w:hAnsi="Arial"/>
          <w:sz w:val="18"/>
          <w:szCs w:val="18"/>
          <w:color w:val="auto"/>
        </w:rPr>
      </w:pPr>
    </w:p>
    <w:p>
      <w:pPr>
        <w:ind w:right="60" w:firstLine="987"/>
        <w:spacing w:after="0" w:line="269" w:lineRule="auto"/>
        <w:tabs>
          <w:tab w:leader="none" w:pos="1246" w:val="left"/>
        </w:tabs>
        <w:numPr>
          <w:ilvl w:val="1"/>
          <w:numId w:val="166"/>
        </w:numPr>
        <w:rPr>
          <w:rFonts w:ascii="Arial" w:cs="Arial" w:eastAsia="Arial" w:hAnsi="Arial"/>
          <w:sz w:val="17"/>
          <w:szCs w:val="17"/>
          <w:color w:val="auto"/>
        </w:rPr>
      </w:pPr>
      <w:r>
        <w:rPr>
          <w:rFonts w:ascii="Arial" w:cs="Arial" w:eastAsia="Arial" w:hAnsi="Arial"/>
          <w:sz w:val="17"/>
          <w:szCs w:val="17"/>
          <w:b w:val="1"/>
          <w:bCs w:val="1"/>
          <w:u w:val="single" w:color="auto"/>
          <w:color w:val="auto"/>
        </w:rPr>
        <w:t>Indemnification</w:t>
      </w:r>
      <w:r>
        <w:rPr>
          <w:rFonts w:ascii="Arial" w:cs="Arial" w:eastAsia="Arial" w:hAnsi="Arial"/>
          <w:sz w:val="17"/>
          <w:szCs w:val="17"/>
          <w:color w:val="auto"/>
        </w:rPr>
        <w:t>. To the maximum extent permitted by Applicable Laws, each member of the Committee (including officers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if applicable), or of the Board, as applicable, shall be indemnified and held harmless by the Company against and from (i)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or pursuant to the terms and conditions of any Award except for actions taken in bad faith or failures to act in bad faith, and (ii) any and all amounts paid by him or her in settlement thereof, with the Company’s approval, or paid by him or her in satisfaction of any judgment in any such claim, action, suit, or proceeding against him or her, provided that such member shall give the Company an opportunity, at its own expense, to handle and defend any such claim, action, suit or proceeding before he or she undertakes to handle and defend it on his or her own behalf. The foregoing right of indemnification shall not be exclusive of any other rights of indemnification to which such persons may be entitled under the Company’s Articles of Incorporation, Certificate of Incorporation or Bylaws, by contract, as a matter of law, or otherwise, or under any other power that the Company may have to indemnify or hold harmless each such person.</w:t>
      </w:r>
    </w:p>
    <w:p>
      <w:pPr>
        <w:spacing w:after="0" w:line="73" w:lineRule="exact"/>
        <w:rPr>
          <w:rFonts w:ascii="Arial" w:cs="Arial" w:eastAsia="Arial" w:hAnsi="Arial"/>
          <w:sz w:val="17"/>
          <w:szCs w:val="17"/>
          <w:color w:val="auto"/>
        </w:rPr>
      </w:pPr>
    </w:p>
    <w:p>
      <w:pPr>
        <w:ind w:left="620" w:hanging="184"/>
        <w:spacing w:after="0"/>
        <w:tabs>
          <w:tab w:leader="none" w:pos="620" w:val="left"/>
        </w:tabs>
        <w:numPr>
          <w:ilvl w:val="0"/>
          <w:numId w:val="167"/>
        </w:numPr>
        <w:rPr>
          <w:rFonts w:ascii="Arial" w:cs="Arial" w:eastAsia="Arial" w:hAnsi="Arial"/>
          <w:sz w:val="18"/>
          <w:szCs w:val="18"/>
          <w:color w:val="auto"/>
        </w:rPr>
      </w:pPr>
      <w:r>
        <w:rPr>
          <w:rFonts w:ascii="Arial" w:cs="Arial" w:eastAsia="Arial" w:hAnsi="Arial"/>
          <w:sz w:val="18"/>
          <w:szCs w:val="18"/>
          <w:b w:val="1"/>
          <w:bCs w:val="1"/>
          <w:u w:val="single" w:color="auto"/>
          <w:color w:val="auto"/>
        </w:rPr>
        <w:t>Eligibility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420" w:firstLine="987"/>
        <w:spacing w:after="0" w:line="347" w:lineRule="auto"/>
        <w:tabs>
          <w:tab w:leader="none" w:pos="1236" w:val="left"/>
        </w:tabs>
        <w:numPr>
          <w:ilvl w:val="1"/>
          <w:numId w:val="167"/>
        </w:numPr>
        <w:rPr>
          <w:rFonts w:ascii="Arial" w:cs="Arial" w:eastAsia="Arial" w:hAnsi="Arial"/>
          <w:sz w:val="16"/>
          <w:szCs w:val="16"/>
          <w:color w:val="auto"/>
        </w:rPr>
      </w:pPr>
      <w:r>
        <w:rPr>
          <w:rFonts w:ascii="Arial" w:cs="Arial" w:eastAsia="Arial" w:hAnsi="Arial"/>
          <w:sz w:val="16"/>
          <w:szCs w:val="16"/>
          <w:b w:val="1"/>
          <w:bCs w:val="1"/>
          <w:u w:val="single" w:color="auto"/>
          <w:color w:val="auto"/>
        </w:rPr>
        <w:t>Recipients of Grants</w:t>
      </w:r>
      <w:r>
        <w:rPr>
          <w:rFonts w:ascii="Arial" w:cs="Arial" w:eastAsia="Arial" w:hAnsi="Arial"/>
          <w:sz w:val="16"/>
          <w:szCs w:val="16"/>
          <w:color w:val="auto"/>
        </w:rPr>
        <w:t>. Nonstatutory Stock Options and Restricted Stock may be granted to Employees and Consultants. Incentive</w:t>
      </w:r>
      <w:r>
        <w:rPr>
          <w:rFonts w:ascii="Arial" w:cs="Arial" w:eastAsia="Arial" w:hAnsi="Arial"/>
          <w:sz w:val="16"/>
          <w:szCs w:val="16"/>
          <w:b w:val="1"/>
          <w:bCs w:val="1"/>
          <w:color w:val="auto"/>
        </w:rPr>
        <w:t xml:space="preserve"> </w:t>
      </w:r>
      <w:r>
        <w:rPr>
          <w:rFonts w:ascii="Arial" w:cs="Arial" w:eastAsia="Arial" w:hAnsi="Arial"/>
          <w:sz w:val="16"/>
          <w:szCs w:val="16"/>
          <w:color w:val="auto"/>
        </w:rPr>
        <w:t>Stock Options may be granted only to Employees, provided that Employees of Affiliates shall not be eligible to receive Incentive Stock Options.</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237" w:name="page238"/>
    <w:bookmarkEnd w:id="237"/>
    <w:p>
      <w:pPr>
        <w:ind w:left="98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(b) </w:t>
      </w:r>
      <w:r>
        <w:rPr>
          <w:rFonts w:ascii="Arial" w:cs="Arial" w:eastAsia="Arial" w:hAnsi="Arial"/>
          <w:sz w:val="16"/>
          <w:szCs w:val="16"/>
          <w:b w:val="1"/>
          <w:bCs w:val="1"/>
          <w:u w:val="single" w:color="auto"/>
          <w:color w:val="auto"/>
        </w:rPr>
        <w:t>Type of Option</w:t>
      </w:r>
      <w:r>
        <w:rPr>
          <w:rFonts w:ascii="Arial" w:cs="Arial" w:eastAsia="Arial" w:hAnsi="Arial"/>
          <w:sz w:val="16"/>
          <w:szCs w:val="16"/>
          <w:color w:val="auto"/>
        </w:rPr>
        <w:t>. Each Option shall be designated in the Option Agreement as either an Incentive Stock Option or a Nonstatutory Stock</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8"/>
          <w:szCs w:val="18"/>
          <w:color w:val="auto"/>
        </w:rPr>
        <w:t>Option.</w:t>
      </w:r>
    </w:p>
    <w:p>
      <w:pPr>
        <w:spacing w:after="0" w:line="99" w:lineRule="exact"/>
        <w:rPr>
          <w:sz w:val="20"/>
          <w:szCs w:val="20"/>
          <w:color w:val="auto"/>
        </w:rPr>
      </w:pPr>
    </w:p>
    <w:p>
      <w:pPr>
        <w:ind w:left="4" w:firstLine="987"/>
        <w:spacing w:after="0" w:line="298" w:lineRule="auto"/>
        <w:tabs>
          <w:tab w:leader="none" w:pos="1240" w:val="left"/>
        </w:tabs>
        <w:numPr>
          <w:ilvl w:val="2"/>
          <w:numId w:val="168"/>
        </w:numPr>
        <w:rPr>
          <w:rFonts w:ascii="Arial" w:cs="Arial" w:eastAsia="Arial" w:hAnsi="Arial"/>
          <w:sz w:val="16"/>
          <w:szCs w:val="16"/>
          <w:color w:val="auto"/>
        </w:rPr>
      </w:pPr>
      <w:r>
        <w:rPr>
          <w:rFonts w:ascii="Arial" w:cs="Arial" w:eastAsia="Arial" w:hAnsi="Arial"/>
          <w:sz w:val="16"/>
          <w:szCs w:val="16"/>
          <w:b w:val="1"/>
          <w:bCs w:val="1"/>
          <w:u w:val="single" w:color="auto"/>
          <w:color w:val="auto"/>
        </w:rPr>
        <w:t>ISO $100,000 Limitation</w:t>
      </w:r>
      <w:r>
        <w:rPr>
          <w:rFonts w:ascii="Arial" w:cs="Arial" w:eastAsia="Arial" w:hAnsi="Arial"/>
          <w:sz w:val="16"/>
          <w:szCs w:val="16"/>
          <w:color w:val="auto"/>
        </w:rPr>
        <w:t>. Notwithstanding any designation under Section 5(b), to the extent that the aggregate Fair Market Value of</w:t>
      </w:r>
      <w:r>
        <w:rPr>
          <w:rFonts w:ascii="Arial" w:cs="Arial" w:eastAsia="Arial" w:hAnsi="Arial"/>
          <w:sz w:val="16"/>
          <w:szCs w:val="16"/>
          <w:b w:val="1"/>
          <w:bCs w:val="1"/>
          <w:color w:val="auto"/>
        </w:rPr>
        <w:t xml:space="preserve"> </w:t>
      </w:r>
      <w:r>
        <w:rPr>
          <w:rFonts w:ascii="Arial" w:cs="Arial" w:eastAsia="Arial" w:hAnsi="Arial"/>
          <w:sz w:val="16"/>
          <w:szCs w:val="16"/>
          <w:color w:val="auto"/>
        </w:rPr>
        <w:t>Shares with respect to which Options designated as Incentive Stock Options are exercisable for the first time by any Optionee during any calendar year (under all plans of the Company or any Parent or Subsidiary) exceeds $100,000, such excess Options shall be treated as Nonstatutory Stock Options. For purposes of this Section 5(c), Incentive Stock Options shall be taken into account in the order in which they were granted, and the Fair Market Value of the Shares subject to an Incentive Stock Option shall be determined as of the date of the grant of such Option.</w:t>
      </w:r>
    </w:p>
    <w:p>
      <w:pPr>
        <w:spacing w:after="0" w:line="45" w:lineRule="exact"/>
        <w:rPr>
          <w:rFonts w:ascii="Arial" w:cs="Arial" w:eastAsia="Arial" w:hAnsi="Arial"/>
          <w:sz w:val="16"/>
          <w:szCs w:val="16"/>
          <w:color w:val="auto"/>
        </w:rPr>
      </w:pPr>
    </w:p>
    <w:p>
      <w:pPr>
        <w:jc w:val="both"/>
        <w:ind w:left="4" w:right="100" w:firstLine="987"/>
        <w:spacing w:after="0" w:line="261" w:lineRule="auto"/>
        <w:tabs>
          <w:tab w:leader="none" w:pos="1250" w:val="left"/>
        </w:tabs>
        <w:numPr>
          <w:ilvl w:val="2"/>
          <w:numId w:val="168"/>
        </w:numPr>
        <w:rPr>
          <w:rFonts w:ascii="Arial" w:cs="Arial" w:eastAsia="Arial" w:hAnsi="Arial"/>
          <w:sz w:val="18"/>
          <w:szCs w:val="18"/>
          <w:color w:val="auto"/>
        </w:rPr>
      </w:pPr>
      <w:r>
        <w:rPr>
          <w:rFonts w:ascii="Arial" w:cs="Arial" w:eastAsia="Arial" w:hAnsi="Arial"/>
          <w:sz w:val="18"/>
          <w:szCs w:val="18"/>
          <w:b w:val="1"/>
          <w:bCs w:val="1"/>
          <w:u w:val="single" w:color="auto"/>
          <w:color w:val="auto"/>
        </w:rPr>
        <w:t>No Employment Rights</w:t>
      </w:r>
      <w:r>
        <w:rPr>
          <w:rFonts w:ascii="Arial" w:cs="Arial" w:eastAsia="Arial" w:hAnsi="Arial"/>
          <w:sz w:val="18"/>
          <w:szCs w:val="18"/>
          <w:color w:val="auto"/>
        </w:rPr>
        <w:t>. Neither the Plan nor any Award shall confer upon any Employee or Consultant any right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continuation of an employment or consulting relationship with the Company (any Parent or Subsidiary), nor shall it interfere in any way with such Employee’s or Consultant’s right or the Company’s (Parent’s or Subsidiary’s) right to terminate his or her employment or consulting relationship at any time, with or without cause.</w:t>
      </w:r>
    </w:p>
    <w:p>
      <w:pPr>
        <w:spacing w:after="0" w:line="71" w:lineRule="exact"/>
        <w:rPr>
          <w:rFonts w:ascii="Arial" w:cs="Arial" w:eastAsia="Arial" w:hAnsi="Arial"/>
          <w:sz w:val="18"/>
          <w:szCs w:val="18"/>
          <w:color w:val="auto"/>
        </w:rPr>
      </w:pPr>
    </w:p>
    <w:p>
      <w:pPr>
        <w:ind w:left="624" w:hanging="184"/>
        <w:spacing w:after="0"/>
        <w:tabs>
          <w:tab w:leader="none" w:pos="624" w:val="left"/>
        </w:tabs>
        <w:numPr>
          <w:ilvl w:val="1"/>
          <w:numId w:val="169"/>
        </w:numPr>
        <w:rPr>
          <w:rFonts w:ascii="Arial" w:cs="Arial" w:eastAsia="Arial" w:hAnsi="Arial"/>
          <w:sz w:val="17"/>
          <w:szCs w:val="17"/>
          <w:color w:val="auto"/>
        </w:rPr>
      </w:pPr>
      <w:r>
        <w:rPr>
          <w:rFonts w:ascii="Arial" w:cs="Arial" w:eastAsia="Arial" w:hAnsi="Arial"/>
          <w:sz w:val="17"/>
          <w:szCs w:val="17"/>
          <w:b w:val="1"/>
          <w:bCs w:val="1"/>
          <w:u w:val="single" w:color="auto"/>
          <w:color w:val="auto"/>
        </w:rPr>
        <w:t>Term of Plan</w:t>
      </w:r>
      <w:r>
        <w:rPr>
          <w:rFonts w:ascii="Arial" w:cs="Arial" w:eastAsia="Arial" w:hAnsi="Arial"/>
          <w:sz w:val="17"/>
          <w:szCs w:val="17"/>
          <w:color w:val="auto"/>
        </w:rPr>
        <w:t>. The Plan shall become effective upon its adoption by the Board of Directors. It shall continue in effect for a term of ten</w:t>
      </w:r>
    </w:p>
    <w:p>
      <w:pPr>
        <w:spacing w:after="0" w:line="38" w:lineRule="exact"/>
        <w:rPr>
          <w:rFonts w:ascii="Arial" w:cs="Arial" w:eastAsia="Arial" w:hAnsi="Arial"/>
          <w:sz w:val="17"/>
          <w:szCs w:val="17"/>
          <w:color w:val="auto"/>
        </w:rPr>
      </w:pPr>
    </w:p>
    <w:p>
      <w:pPr>
        <w:ind w:left="344" w:hanging="344"/>
        <w:spacing w:after="0"/>
        <w:tabs>
          <w:tab w:leader="none" w:pos="344" w:val="left"/>
        </w:tabs>
        <w:numPr>
          <w:ilvl w:val="0"/>
          <w:numId w:val="170"/>
        </w:numPr>
        <w:rPr>
          <w:rFonts w:ascii="Arial" w:cs="Arial" w:eastAsia="Arial" w:hAnsi="Arial"/>
          <w:sz w:val="18"/>
          <w:szCs w:val="18"/>
          <w:color w:val="auto"/>
        </w:rPr>
      </w:pPr>
      <w:r>
        <w:rPr>
          <w:rFonts w:ascii="Arial" w:cs="Arial" w:eastAsia="Arial" w:hAnsi="Arial"/>
          <w:sz w:val="18"/>
          <w:szCs w:val="18"/>
          <w:color w:val="auto"/>
        </w:rPr>
        <w:t>years unless sooner terminated under Section 16 below.</w:t>
      </w:r>
    </w:p>
    <w:p>
      <w:pPr>
        <w:spacing w:after="0" w:line="98" w:lineRule="exact"/>
        <w:rPr>
          <w:rFonts w:ascii="Arial" w:cs="Arial" w:eastAsia="Arial" w:hAnsi="Arial"/>
          <w:sz w:val="18"/>
          <w:szCs w:val="18"/>
          <w:color w:val="auto"/>
        </w:rPr>
      </w:pPr>
    </w:p>
    <w:p>
      <w:pPr>
        <w:ind w:left="624" w:hanging="184"/>
        <w:spacing w:after="0"/>
        <w:tabs>
          <w:tab w:leader="none" w:pos="624" w:val="left"/>
        </w:tabs>
        <w:numPr>
          <w:ilvl w:val="1"/>
          <w:numId w:val="170"/>
        </w:numPr>
        <w:rPr>
          <w:rFonts w:ascii="Arial" w:cs="Arial" w:eastAsia="Arial" w:hAnsi="Arial"/>
          <w:sz w:val="16"/>
          <w:szCs w:val="16"/>
          <w:color w:val="auto"/>
        </w:rPr>
      </w:pPr>
      <w:r>
        <w:rPr>
          <w:rFonts w:ascii="Arial" w:cs="Arial" w:eastAsia="Arial" w:hAnsi="Arial"/>
          <w:sz w:val="16"/>
          <w:szCs w:val="16"/>
          <w:b w:val="1"/>
          <w:bCs w:val="1"/>
          <w:u w:val="single" w:color="auto"/>
          <w:color w:val="auto"/>
        </w:rPr>
        <w:t>Term of Option</w:t>
      </w:r>
      <w:r>
        <w:rPr>
          <w:rFonts w:ascii="Arial" w:cs="Arial" w:eastAsia="Arial" w:hAnsi="Arial"/>
          <w:sz w:val="16"/>
          <w:szCs w:val="16"/>
          <w:color w:val="auto"/>
        </w:rPr>
        <w:t>. The term of each Option shall be the term stated in the Option Agreement; provided that the term shall be no more than ten</w:t>
      </w:r>
    </w:p>
    <w:p>
      <w:pPr>
        <w:spacing w:after="0" w:line="50" w:lineRule="exact"/>
        <w:rPr>
          <w:rFonts w:ascii="Arial" w:cs="Arial" w:eastAsia="Arial" w:hAnsi="Arial"/>
          <w:sz w:val="16"/>
          <w:szCs w:val="16"/>
          <w:color w:val="auto"/>
        </w:rPr>
      </w:pPr>
    </w:p>
    <w:p>
      <w:pPr>
        <w:ind w:left="4" w:right="100" w:hanging="4"/>
        <w:spacing w:after="0" w:line="255" w:lineRule="auto"/>
        <w:tabs>
          <w:tab w:leader="none" w:pos="349" w:val="left"/>
        </w:tabs>
        <w:numPr>
          <w:ilvl w:val="0"/>
          <w:numId w:val="171"/>
        </w:numPr>
        <w:rPr>
          <w:rFonts w:ascii="Arial" w:cs="Arial" w:eastAsia="Arial" w:hAnsi="Arial"/>
          <w:sz w:val="18"/>
          <w:szCs w:val="18"/>
          <w:color w:val="auto"/>
        </w:rPr>
      </w:pPr>
      <w:r>
        <w:rPr>
          <w:rFonts w:ascii="Arial" w:cs="Arial" w:eastAsia="Arial" w:hAnsi="Arial"/>
          <w:sz w:val="18"/>
          <w:szCs w:val="18"/>
          <w:color w:val="auto"/>
        </w:rPr>
        <w:t>years from the date of grant thereof or such shorter term as may be provided in the Option Agreement and provided further that, in the case of an Incentive Stock Option granted to a person who at the time of such grant is a Ten Percent Holder, the term of the Option shall be five (5) years from the date of grant thereof or such shorter term as may be provided in the Option Agreement.</w:t>
      </w:r>
    </w:p>
    <w:p>
      <w:pPr>
        <w:spacing w:after="0" w:line="77" w:lineRule="exact"/>
        <w:rPr>
          <w:rFonts w:ascii="Arial" w:cs="Arial" w:eastAsia="Arial" w:hAnsi="Arial"/>
          <w:sz w:val="18"/>
          <w:szCs w:val="18"/>
          <w:color w:val="auto"/>
        </w:rPr>
      </w:pPr>
    </w:p>
    <w:p>
      <w:pPr>
        <w:ind w:left="624" w:hanging="184"/>
        <w:spacing w:after="0"/>
        <w:tabs>
          <w:tab w:leader="none" w:pos="624" w:val="left"/>
        </w:tabs>
        <w:numPr>
          <w:ilvl w:val="1"/>
          <w:numId w:val="171"/>
        </w:numPr>
        <w:rPr>
          <w:rFonts w:ascii="Arial" w:cs="Arial" w:eastAsia="Arial" w:hAnsi="Arial"/>
          <w:sz w:val="18"/>
          <w:szCs w:val="18"/>
          <w:color w:val="auto"/>
        </w:rPr>
      </w:pPr>
      <w:r>
        <w:rPr>
          <w:rFonts w:ascii="Arial" w:cs="Arial" w:eastAsia="Arial" w:hAnsi="Arial"/>
          <w:sz w:val="18"/>
          <w:szCs w:val="18"/>
          <w:b w:val="1"/>
          <w:bCs w:val="1"/>
          <w:u w:val="single" w:color="auto"/>
          <w:color w:val="auto"/>
        </w:rPr>
        <w:t>[Reserved]</w:t>
      </w:r>
    </w:p>
    <w:p>
      <w:pPr>
        <w:spacing w:after="0" w:line="117" w:lineRule="exact"/>
        <w:rPr>
          <w:rFonts w:ascii="Arial" w:cs="Arial" w:eastAsia="Arial" w:hAnsi="Arial"/>
          <w:sz w:val="18"/>
          <w:szCs w:val="18"/>
          <w:color w:val="auto"/>
        </w:rPr>
      </w:pPr>
    </w:p>
    <w:p>
      <w:pPr>
        <w:ind w:left="624" w:hanging="184"/>
        <w:spacing w:after="0"/>
        <w:tabs>
          <w:tab w:leader="none" w:pos="624" w:val="left"/>
        </w:tabs>
        <w:numPr>
          <w:ilvl w:val="1"/>
          <w:numId w:val="171"/>
        </w:numPr>
        <w:rPr>
          <w:rFonts w:ascii="Arial" w:cs="Arial" w:eastAsia="Arial" w:hAnsi="Arial"/>
          <w:sz w:val="18"/>
          <w:szCs w:val="18"/>
          <w:color w:val="auto"/>
        </w:rPr>
      </w:pPr>
      <w:r>
        <w:rPr>
          <w:rFonts w:ascii="Arial" w:cs="Arial" w:eastAsia="Arial" w:hAnsi="Arial"/>
          <w:sz w:val="18"/>
          <w:szCs w:val="18"/>
          <w:b w:val="1"/>
          <w:bCs w:val="1"/>
          <w:u w:val="single" w:color="auto"/>
          <w:color w:val="auto"/>
        </w:rPr>
        <w:t>Option Exercise Price and Consideration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160" w:firstLine="987"/>
        <w:spacing w:after="0" w:line="282" w:lineRule="auto"/>
        <w:tabs>
          <w:tab w:leader="none" w:pos="1240" w:val="left"/>
        </w:tabs>
        <w:numPr>
          <w:ilvl w:val="2"/>
          <w:numId w:val="171"/>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 Price</w:t>
      </w:r>
      <w:r>
        <w:rPr>
          <w:rFonts w:ascii="Arial" w:cs="Arial" w:eastAsia="Arial" w:hAnsi="Arial"/>
          <w:sz w:val="18"/>
          <w:szCs w:val="18"/>
          <w:color w:val="auto"/>
        </w:rPr>
        <w:t>. The per Share exercise price for the Shares to be issued pursuant to the exercise of an Option shall be such price as is</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by the Administrator and set forth in the Option Agreement, but shall be subject to the following:</w:t>
      </w:r>
    </w:p>
    <w:p>
      <w:pPr>
        <w:spacing w:after="0" w:line="57" w:lineRule="exact"/>
        <w:rPr>
          <w:rFonts w:ascii="Arial" w:cs="Arial" w:eastAsia="Arial" w:hAnsi="Arial"/>
          <w:sz w:val="18"/>
          <w:szCs w:val="18"/>
          <w:color w:val="auto"/>
        </w:rPr>
      </w:pPr>
    </w:p>
    <w:p>
      <w:pPr>
        <w:ind w:left="1644" w:hanging="212"/>
        <w:spacing w:after="0"/>
        <w:tabs>
          <w:tab w:leader="none" w:pos="1644" w:val="left"/>
        </w:tabs>
        <w:numPr>
          <w:ilvl w:val="3"/>
          <w:numId w:val="171"/>
        </w:numPr>
        <w:rPr>
          <w:rFonts w:ascii="Arial" w:cs="Arial" w:eastAsia="Arial" w:hAnsi="Arial"/>
          <w:sz w:val="18"/>
          <w:szCs w:val="18"/>
          <w:color w:val="auto"/>
        </w:rPr>
      </w:pPr>
      <w:r>
        <w:rPr>
          <w:rFonts w:ascii="Arial" w:cs="Arial" w:eastAsia="Arial" w:hAnsi="Arial"/>
          <w:sz w:val="18"/>
          <w:szCs w:val="18"/>
          <w:color w:val="auto"/>
        </w:rPr>
        <w:t>In the case of an Incentive Stock Option</w:t>
      </w:r>
    </w:p>
    <w:p>
      <w:pPr>
        <w:spacing w:after="0" w:line="117" w:lineRule="exact"/>
        <w:rPr>
          <w:rFonts w:ascii="Arial" w:cs="Arial" w:eastAsia="Arial" w:hAnsi="Arial"/>
          <w:sz w:val="18"/>
          <w:szCs w:val="18"/>
          <w:color w:val="auto"/>
        </w:rPr>
      </w:pPr>
    </w:p>
    <w:p>
      <w:pPr>
        <w:ind w:left="4" w:right="300" w:firstLine="1979"/>
        <w:spacing w:after="0" w:line="277" w:lineRule="auto"/>
        <w:tabs>
          <w:tab w:leader="none" w:pos="2282" w:val="left"/>
        </w:tabs>
        <w:numPr>
          <w:ilvl w:val="4"/>
          <w:numId w:val="171"/>
        </w:numPr>
        <w:rPr>
          <w:rFonts w:ascii="Arial" w:cs="Arial" w:eastAsia="Arial" w:hAnsi="Arial"/>
          <w:sz w:val="18"/>
          <w:szCs w:val="18"/>
          <w:color w:val="auto"/>
        </w:rPr>
      </w:pPr>
      <w:r>
        <w:rPr>
          <w:rFonts w:ascii="Arial" w:cs="Arial" w:eastAsia="Arial" w:hAnsi="Arial"/>
          <w:sz w:val="18"/>
          <w:szCs w:val="18"/>
          <w:color w:val="auto"/>
        </w:rPr>
        <w:t>granted to an Employee who at the time of grant is a Ten Percent Holder, the per Share exercise price shall be no less than 110% of the Fair Market Value on the date of grant;</w:t>
      </w:r>
    </w:p>
    <w:p>
      <w:pPr>
        <w:spacing w:after="0" w:line="62" w:lineRule="exact"/>
        <w:rPr>
          <w:rFonts w:ascii="Arial" w:cs="Arial" w:eastAsia="Arial" w:hAnsi="Arial"/>
          <w:sz w:val="18"/>
          <w:szCs w:val="18"/>
          <w:color w:val="auto"/>
        </w:rPr>
      </w:pPr>
    </w:p>
    <w:p>
      <w:pPr>
        <w:ind w:left="2264" w:hanging="281"/>
        <w:spacing w:after="0"/>
        <w:tabs>
          <w:tab w:leader="none" w:pos="2264" w:val="left"/>
        </w:tabs>
        <w:numPr>
          <w:ilvl w:val="4"/>
          <w:numId w:val="171"/>
        </w:numPr>
        <w:rPr>
          <w:rFonts w:ascii="Arial" w:cs="Arial" w:eastAsia="Arial" w:hAnsi="Arial"/>
          <w:sz w:val="16"/>
          <w:szCs w:val="16"/>
          <w:color w:val="auto"/>
        </w:rPr>
      </w:pPr>
      <w:r>
        <w:rPr>
          <w:rFonts w:ascii="Arial" w:cs="Arial" w:eastAsia="Arial" w:hAnsi="Arial"/>
          <w:sz w:val="16"/>
          <w:szCs w:val="16"/>
          <w:color w:val="auto"/>
        </w:rPr>
        <w:t>granted to any other Employee, the per Share exercise price shall be no less than 100% of the Fair Market Value on the</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date of grant;</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0" w:right="459" w:bottom="1440" w:gutter="0" w:footer="0" w:header="0"/>
        </w:sectPr>
      </w:pPr>
    </w:p>
    <w:bookmarkStart w:id="238" w:name="page239"/>
    <w:bookmarkEnd w:id="238"/>
    <w:p>
      <w:pPr>
        <w:jc w:val="both"/>
        <w:ind w:left="4" w:firstLine="1428"/>
        <w:spacing w:after="0" w:line="263" w:lineRule="auto"/>
        <w:tabs>
          <w:tab w:leader="none" w:pos="1701" w:val="left"/>
        </w:tabs>
        <w:numPr>
          <w:ilvl w:val="3"/>
          <w:numId w:val="1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Except as provided in subsection (iii) below, in the case of a Nonstatutory Stock Option the per Share exercise price shall be such price as is determined by the Administrator, provided that, if the per Share exercise price is less than 100% of the Fair Market Value on the date of grant, it shall otherwise comply with all Applicable Laws, including Section 409A of the Code;</w:t>
      </w:r>
    </w:p>
    <w:p>
      <w:pPr>
        <w:spacing w:after="0" w:line="75" w:lineRule="exact"/>
        <w:rPr>
          <w:rFonts w:ascii="Arial" w:cs="Arial" w:eastAsia="Arial" w:hAnsi="Arial"/>
          <w:sz w:val="18"/>
          <w:szCs w:val="18"/>
          <w:color w:val="auto"/>
        </w:rPr>
      </w:pPr>
    </w:p>
    <w:p>
      <w:pPr>
        <w:ind w:left="4" w:right="20" w:firstLine="1428"/>
        <w:spacing w:after="0" w:line="263" w:lineRule="auto"/>
        <w:tabs>
          <w:tab w:leader="none" w:pos="1751" w:val="left"/>
        </w:tabs>
        <w:numPr>
          <w:ilvl w:val="3"/>
          <w:numId w:val="172"/>
        </w:numPr>
        <w:rPr>
          <w:rFonts w:ascii="Arial" w:cs="Arial" w:eastAsia="Arial" w:hAnsi="Arial"/>
          <w:sz w:val="18"/>
          <w:szCs w:val="18"/>
          <w:color w:val="auto"/>
        </w:rPr>
      </w:pPr>
      <w:r>
        <w:rPr>
          <w:rFonts w:ascii="Arial" w:cs="Arial" w:eastAsia="Arial" w:hAnsi="Arial"/>
          <w:sz w:val="18"/>
          <w:szCs w:val="18"/>
          <w:color w:val="auto"/>
        </w:rPr>
        <w:t>In the case of a Nonstatutory Stock Option that is intended to qualify as performance-based compensation under Section 162(m) of the Code and is granted on or after the date, if ever, on which the Common Stock becomes a Listed Security, the per Share exercise price shall be no less than 100% of the Fair Market Value on the date of grant; and</w:t>
      </w:r>
    </w:p>
    <w:p>
      <w:pPr>
        <w:spacing w:after="0" w:line="75" w:lineRule="exact"/>
        <w:rPr>
          <w:rFonts w:ascii="Arial" w:cs="Arial" w:eastAsia="Arial" w:hAnsi="Arial"/>
          <w:sz w:val="18"/>
          <w:szCs w:val="18"/>
          <w:color w:val="auto"/>
        </w:rPr>
      </w:pPr>
    </w:p>
    <w:p>
      <w:pPr>
        <w:ind w:left="4" w:right="60" w:firstLine="1428"/>
        <w:spacing w:after="0" w:line="277" w:lineRule="auto"/>
        <w:tabs>
          <w:tab w:leader="none" w:pos="1741" w:val="left"/>
        </w:tabs>
        <w:numPr>
          <w:ilvl w:val="3"/>
          <w:numId w:val="172"/>
        </w:numPr>
        <w:rPr>
          <w:rFonts w:ascii="Arial" w:cs="Arial" w:eastAsia="Arial" w:hAnsi="Arial"/>
          <w:sz w:val="18"/>
          <w:szCs w:val="18"/>
          <w:color w:val="auto"/>
        </w:rPr>
      </w:pPr>
      <w:r>
        <w:rPr>
          <w:rFonts w:ascii="Arial" w:cs="Arial" w:eastAsia="Arial" w:hAnsi="Arial"/>
          <w:sz w:val="18"/>
          <w:szCs w:val="18"/>
          <w:color w:val="auto"/>
        </w:rPr>
        <w:t>Notwithstanding the foregoing, Options may be granted with a per Share exercise price other than as required above pursuant to a merger or other corporate transaction.</w:t>
      </w:r>
    </w:p>
    <w:p>
      <w:pPr>
        <w:spacing w:after="0" w:line="58" w:lineRule="exact"/>
        <w:rPr>
          <w:rFonts w:ascii="Arial" w:cs="Arial" w:eastAsia="Arial" w:hAnsi="Arial"/>
          <w:sz w:val="18"/>
          <w:szCs w:val="18"/>
          <w:color w:val="auto"/>
        </w:rPr>
      </w:pPr>
    </w:p>
    <w:p>
      <w:pPr>
        <w:ind w:left="4" w:firstLine="987"/>
        <w:spacing w:after="0" w:line="286" w:lineRule="auto"/>
        <w:tabs>
          <w:tab w:leader="none" w:pos="1250" w:val="left"/>
        </w:tabs>
        <w:numPr>
          <w:ilvl w:val="2"/>
          <w:numId w:val="173"/>
        </w:numPr>
        <w:rPr>
          <w:rFonts w:ascii="Arial" w:cs="Arial" w:eastAsia="Arial" w:hAnsi="Arial"/>
          <w:sz w:val="16"/>
          <w:szCs w:val="16"/>
          <w:color w:val="auto"/>
        </w:rPr>
      </w:pPr>
      <w:r>
        <w:rPr>
          <w:rFonts w:ascii="Arial" w:cs="Arial" w:eastAsia="Arial" w:hAnsi="Arial"/>
          <w:sz w:val="16"/>
          <w:szCs w:val="16"/>
          <w:b w:val="1"/>
          <w:bCs w:val="1"/>
          <w:u w:val="single" w:color="auto"/>
          <w:color w:val="auto"/>
        </w:rPr>
        <w:t>Permissible Consideration</w:t>
      </w:r>
      <w:r>
        <w:rPr>
          <w:rFonts w:ascii="Arial" w:cs="Arial" w:eastAsia="Arial" w:hAnsi="Arial"/>
          <w:sz w:val="16"/>
          <w:szCs w:val="16"/>
          <w:color w:val="auto"/>
        </w:rPr>
        <w:t>. The consideration to be paid for the Shares to be issued upon exercise of an Option, including the method</w:t>
      </w:r>
      <w:r>
        <w:rPr>
          <w:rFonts w:ascii="Arial" w:cs="Arial" w:eastAsia="Arial" w:hAnsi="Arial"/>
          <w:sz w:val="16"/>
          <w:szCs w:val="16"/>
          <w:b w:val="1"/>
          <w:bCs w:val="1"/>
          <w:color w:val="auto"/>
        </w:rPr>
        <w:t xml:space="preserve"> </w:t>
      </w:r>
      <w:r>
        <w:rPr>
          <w:rFonts w:ascii="Arial" w:cs="Arial" w:eastAsia="Arial" w:hAnsi="Arial"/>
          <w:sz w:val="16"/>
          <w:szCs w:val="16"/>
          <w:color w:val="auto"/>
        </w:rPr>
        <w:t>of payment, shall be determined by the Administrator (and, in the case of an Incentive Stock Option and to the extent required by Applicable Laws, shall be determined at the time of grant) and may consist entirely of (1) cash; (2) check; (3) to the extent permitted under Applicable Laws, delivery of a promissory note with such recourse, interest, security and redemption provisions as the Administrator determines to be appropriate (subject to the provisions of Section 153 of the Delaware General Corporation Law and Section 409 of the California Corporations Code, to the extent applicable);</w:t>
      </w:r>
    </w:p>
    <w:p>
      <w:pPr>
        <w:spacing w:after="0" w:line="2" w:lineRule="exact"/>
        <w:rPr>
          <w:rFonts w:ascii="Arial" w:cs="Arial" w:eastAsia="Arial" w:hAnsi="Arial"/>
          <w:sz w:val="16"/>
          <w:szCs w:val="16"/>
          <w:color w:val="auto"/>
        </w:rPr>
      </w:pPr>
    </w:p>
    <w:p>
      <w:pPr>
        <w:ind w:left="4" w:right="100" w:hanging="4"/>
        <w:spacing w:after="0" w:line="271" w:lineRule="auto"/>
        <w:tabs>
          <w:tab w:leader="none" w:pos="259" w:val="left"/>
        </w:tabs>
        <w:numPr>
          <w:ilvl w:val="0"/>
          <w:numId w:val="174"/>
        </w:numPr>
        <w:rPr>
          <w:rFonts w:ascii="Arial" w:cs="Arial" w:eastAsia="Arial" w:hAnsi="Arial"/>
          <w:sz w:val="17"/>
          <w:szCs w:val="17"/>
          <w:color w:val="auto"/>
        </w:rPr>
      </w:pPr>
      <w:r>
        <w:rPr>
          <w:rFonts w:ascii="Arial" w:cs="Arial" w:eastAsia="Arial" w:hAnsi="Arial"/>
          <w:sz w:val="17"/>
          <w:szCs w:val="17"/>
          <w:color w:val="auto"/>
        </w:rPr>
        <w:t>cancellation of indebtedness; (5) other previously owned Shares that have a Fair Market Value on the date of surrender equal to the aggregate exercise price of the Shares as to which the Option is exercised; (6) a Cashless Exercise; (7) such other consideration and method of payment permitted under Applicable Laws; or (8) any combination of the foregoing methods of payment. In making its determination as to the type of consideration to accept, the Administrator shall consider if acceptance of such consideration may be reasonably expected to benefit the Company and the Administrator may, in its sole discretion, refuse to accept a particular form of consideration at the time of any Option exercise.</w:t>
      </w:r>
    </w:p>
    <w:p>
      <w:pPr>
        <w:spacing w:after="0" w:line="66" w:lineRule="exact"/>
        <w:rPr>
          <w:rFonts w:ascii="Arial" w:cs="Arial" w:eastAsia="Arial" w:hAnsi="Arial"/>
          <w:sz w:val="17"/>
          <w:szCs w:val="17"/>
          <w:color w:val="auto"/>
        </w:rPr>
      </w:pPr>
    </w:p>
    <w:p>
      <w:pPr>
        <w:ind w:left="704" w:hanging="264"/>
        <w:spacing w:after="0"/>
        <w:tabs>
          <w:tab w:leader="none" w:pos="704" w:val="left"/>
        </w:tabs>
        <w:numPr>
          <w:ilvl w:val="1"/>
          <w:numId w:val="174"/>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 of Option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44" w:hanging="253"/>
        <w:spacing w:after="0"/>
        <w:tabs>
          <w:tab w:leader="none" w:pos="1244" w:val="left"/>
        </w:tabs>
        <w:numPr>
          <w:ilvl w:val="2"/>
          <w:numId w:val="174"/>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4" w:right="100" w:firstLine="1428"/>
        <w:spacing w:after="0" w:line="266" w:lineRule="auto"/>
        <w:tabs>
          <w:tab w:leader="none" w:pos="1651" w:val="left"/>
        </w:tabs>
        <w:numPr>
          <w:ilvl w:val="3"/>
          <w:numId w:val="174"/>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Exercisability</w:t>
      </w:r>
      <w:r>
        <w:rPr>
          <w:rFonts w:ascii="Arial" w:cs="Arial" w:eastAsia="Arial" w:hAnsi="Arial"/>
          <w:sz w:val="18"/>
          <w:szCs w:val="18"/>
          <w:color w:val="auto"/>
        </w:rPr>
        <w:t>. Any Option granted hereunder shall be exercisable at such times and under such conditions as determined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Administrator, consistent with the terms of the Plan and reflected in the Option Agreement, including vesting requirements and/or performance criteria with respect to the Company, and Parent or Subsidiary, and/or the Optionee.</w:t>
      </w:r>
    </w:p>
    <w:p>
      <w:pPr>
        <w:spacing w:after="0" w:line="67" w:lineRule="exact"/>
        <w:rPr>
          <w:rFonts w:ascii="Arial" w:cs="Arial" w:eastAsia="Arial" w:hAnsi="Arial"/>
          <w:sz w:val="18"/>
          <w:szCs w:val="18"/>
          <w:color w:val="auto"/>
        </w:rPr>
      </w:pPr>
    </w:p>
    <w:p>
      <w:pPr>
        <w:ind w:left="4" w:firstLine="1428"/>
        <w:spacing w:after="0" w:line="292" w:lineRule="auto"/>
        <w:tabs>
          <w:tab w:leader="none" w:pos="1701" w:val="left"/>
        </w:tabs>
        <w:numPr>
          <w:ilvl w:val="3"/>
          <w:numId w:val="174"/>
        </w:numPr>
        <w:rPr>
          <w:rFonts w:ascii="Arial" w:cs="Arial" w:eastAsia="Arial" w:hAnsi="Arial"/>
          <w:sz w:val="16"/>
          <w:szCs w:val="16"/>
          <w:color w:val="auto"/>
        </w:rPr>
      </w:pPr>
      <w:r>
        <w:rPr>
          <w:rFonts w:ascii="Arial" w:cs="Arial" w:eastAsia="Arial" w:hAnsi="Arial"/>
          <w:sz w:val="16"/>
          <w:szCs w:val="16"/>
          <w:b w:val="1"/>
          <w:bCs w:val="1"/>
          <w:u w:val="single" w:color="auto"/>
          <w:color w:val="auto"/>
        </w:rPr>
        <w:t>Leave of Absence</w:t>
      </w:r>
      <w:r>
        <w:rPr>
          <w:rFonts w:ascii="Arial" w:cs="Arial" w:eastAsia="Arial" w:hAnsi="Arial"/>
          <w:sz w:val="16"/>
          <w:szCs w:val="16"/>
          <w:color w:val="auto"/>
        </w:rPr>
        <w:t>. The Administrator shall have the discretion to determine whether and to what extent the vesting of Options</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tolled during any unpaid leave of absence; provided, however, that in the absence of such determination, vesting of Options shall be tolled during any such unpaid leave (unless otherwise required by the Applicable Laws). Notwithstanding the foregoing, in the event of military leave, vesting shall toll during any unpaid portion of such leave, provided that, upon a Optionee’s returning from military leave (under conditions that would entitle him or her to protection upon such return under the Uniform Services Employment and Reemployment Rights Act), he or she shall be given vesting credit with respect to Options to the same extent as would have applied had the Optionee continued to provide services to the Company (or any Parent or Subsidiary, if applicable) throughout the leave on the same terms as he or she was providing services immediately prior to such leave.</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239" w:name="page240"/>
    <w:bookmarkEnd w:id="239"/>
    <w:p>
      <w:pPr>
        <w:ind w:left="-20" w:right="160" w:firstLine="1428"/>
        <w:spacing w:after="0" w:line="266" w:lineRule="auto"/>
        <w:tabs>
          <w:tab w:leader="none" w:pos="1727" w:val="left"/>
        </w:tabs>
        <w:numPr>
          <w:ilvl w:val="1"/>
          <w:numId w:val="175"/>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Minimum Exercise Requirements</w:t>
      </w:r>
      <w:r>
        <w:rPr>
          <w:rFonts w:ascii="Arial" w:cs="Arial" w:eastAsia="Arial" w:hAnsi="Arial"/>
          <w:sz w:val="18"/>
          <w:szCs w:val="18"/>
          <w:color w:val="auto"/>
        </w:rPr>
        <w:t>. An Option may not be exercised for a fraction of a Share. The Administrator may require</w:t>
      </w:r>
      <w:r>
        <w:rPr>
          <w:rFonts w:ascii="Arial" w:cs="Arial" w:eastAsia="Arial" w:hAnsi="Arial"/>
          <w:sz w:val="18"/>
          <w:szCs w:val="18"/>
          <w:b w:val="1"/>
          <w:bCs w:val="1"/>
          <w:color w:val="auto"/>
        </w:rPr>
        <w:t xml:space="preserve"> </w:t>
      </w:r>
      <w:r>
        <w:rPr>
          <w:rFonts w:ascii="Arial" w:cs="Arial" w:eastAsia="Arial" w:hAnsi="Arial"/>
          <w:sz w:val="18"/>
          <w:szCs w:val="18"/>
          <w:color w:val="auto"/>
        </w:rPr>
        <w:t>that an Option be exercised as to a minimum number of Shares, provided that such requirement shall not prevent an Optionee from exercising the full number of Shares as to which the Option is then exercisable.</w:t>
      </w:r>
    </w:p>
    <w:p>
      <w:pPr>
        <w:spacing w:after="0" w:line="67" w:lineRule="exact"/>
        <w:rPr>
          <w:rFonts w:ascii="Arial" w:cs="Arial" w:eastAsia="Arial" w:hAnsi="Arial"/>
          <w:sz w:val="18"/>
          <w:szCs w:val="18"/>
          <w:color w:val="auto"/>
        </w:rPr>
      </w:pPr>
    </w:p>
    <w:p>
      <w:pPr>
        <w:ind w:left="-20" w:right="180" w:firstLine="1428"/>
        <w:spacing w:after="0" w:line="298" w:lineRule="auto"/>
        <w:tabs>
          <w:tab w:leader="none" w:pos="1717" w:val="left"/>
        </w:tabs>
        <w:numPr>
          <w:ilvl w:val="1"/>
          <w:numId w:val="175"/>
        </w:numPr>
        <w:rPr>
          <w:rFonts w:ascii="Arial" w:cs="Arial" w:eastAsia="Arial" w:hAnsi="Arial"/>
          <w:sz w:val="16"/>
          <w:szCs w:val="16"/>
          <w:color w:val="auto"/>
        </w:rPr>
      </w:pPr>
      <w:r>
        <w:rPr>
          <w:rFonts w:ascii="Arial" w:cs="Arial" w:eastAsia="Arial" w:hAnsi="Arial"/>
          <w:sz w:val="16"/>
          <w:szCs w:val="16"/>
          <w:b w:val="1"/>
          <w:bCs w:val="1"/>
          <w:u w:val="single" w:color="auto"/>
          <w:color w:val="auto"/>
        </w:rPr>
        <w:t>Procedures for and Results of Exercise</w:t>
      </w:r>
      <w:r>
        <w:rPr>
          <w:rFonts w:ascii="Arial" w:cs="Arial" w:eastAsia="Arial" w:hAnsi="Arial"/>
          <w:sz w:val="16"/>
          <w:szCs w:val="16"/>
          <w:color w:val="auto"/>
        </w:rPr>
        <w:t>. An Option shall be deemed exercised when written notice of such exercise has been</w:t>
      </w:r>
      <w:r>
        <w:rPr>
          <w:rFonts w:ascii="Arial" w:cs="Arial" w:eastAsia="Arial" w:hAnsi="Arial"/>
          <w:sz w:val="16"/>
          <w:szCs w:val="16"/>
          <w:b w:val="1"/>
          <w:bCs w:val="1"/>
          <w:color w:val="auto"/>
        </w:rPr>
        <w:t xml:space="preserve"> </w:t>
      </w:r>
      <w:r>
        <w:rPr>
          <w:rFonts w:ascii="Arial" w:cs="Arial" w:eastAsia="Arial" w:hAnsi="Arial"/>
          <w:sz w:val="16"/>
          <w:szCs w:val="16"/>
          <w:color w:val="auto"/>
        </w:rPr>
        <w:t>received by the Company in accordance with the terms of the Option Agreement by the person entitled to exercise the Option and the Company has received full payment for the Shares with respect to which the Option is exercised and has paid, or made arrangements to satisfy, any applicable withholding requirements in accordance with Section 12 below. The exercise of an Option shall result in a decrease in the number of Shares that thereafter may be available, both for purposes of the Plan and for sale under the Option, by the number of Shares as to which the Option is exercised.</w:t>
      </w:r>
    </w:p>
    <w:p>
      <w:pPr>
        <w:spacing w:after="0" w:line="45" w:lineRule="exact"/>
        <w:rPr>
          <w:rFonts w:ascii="Arial" w:cs="Arial" w:eastAsia="Arial" w:hAnsi="Arial"/>
          <w:sz w:val="16"/>
          <w:szCs w:val="16"/>
          <w:color w:val="auto"/>
        </w:rPr>
      </w:pPr>
    </w:p>
    <w:p>
      <w:pPr>
        <w:ind w:left="-20" w:right="160" w:firstLine="1428"/>
        <w:spacing w:after="0" w:line="281" w:lineRule="auto"/>
        <w:tabs>
          <w:tab w:leader="none" w:pos="1667" w:val="left"/>
        </w:tabs>
        <w:numPr>
          <w:ilvl w:val="1"/>
          <w:numId w:val="175"/>
        </w:numPr>
        <w:rPr>
          <w:rFonts w:ascii="Arial" w:cs="Arial" w:eastAsia="Arial" w:hAnsi="Arial"/>
          <w:sz w:val="17"/>
          <w:szCs w:val="17"/>
          <w:color w:val="auto"/>
        </w:rPr>
      </w:pPr>
      <w:r>
        <w:rPr>
          <w:rFonts w:ascii="Arial" w:cs="Arial" w:eastAsia="Arial" w:hAnsi="Arial"/>
          <w:sz w:val="17"/>
          <w:szCs w:val="17"/>
          <w:b w:val="1"/>
          <w:bCs w:val="1"/>
          <w:u w:val="single" w:color="auto"/>
          <w:color w:val="auto"/>
        </w:rPr>
        <w:t>Rights as Holder of Capital Stock</w:t>
      </w:r>
      <w:r>
        <w:rPr>
          <w:rFonts w:ascii="Arial" w:cs="Arial" w:eastAsia="Arial" w:hAnsi="Arial"/>
          <w:sz w:val="17"/>
          <w:szCs w:val="17"/>
          <w:color w:val="auto"/>
        </w:rPr>
        <w:t>. Until the issuance of the Shares (as evidenced by the appropriate entry on the books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or of a duly authorized transfer agent of the Company), no right to vote or receive dividends or any other rights as a holder of capital stock shall exist with respect to the Optioned Stock, notwithstanding the exercise of the Option. No adjustment will be made for a dividend or other right for which the record date is prior to the date the stock certificate is issued, except as provided in Section 14 below.</w:t>
      </w:r>
    </w:p>
    <w:p>
      <w:pPr>
        <w:spacing w:after="0" w:line="56" w:lineRule="exact"/>
        <w:rPr>
          <w:rFonts w:ascii="Arial" w:cs="Arial" w:eastAsia="Arial" w:hAnsi="Arial"/>
          <w:sz w:val="17"/>
          <w:szCs w:val="17"/>
          <w:color w:val="auto"/>
        </w:rPr>
      </w:pPr>
    </w:p>
    <w:p>
      <w:pPr>
        <w:ind w:left="-20" w:firstLine="987"/>
        <w:spacing w:after="0" w:line="258" w:lineRule="auto"/>
        <w:tabs>
          <w:tab w:leader="none" w:pos="1226" w:val="left"/>
        </w:tabs>
        <w:numPr>
          <w:ilvl w:val="0"/>
          <w:numId w:val="176"/>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Employment or Consulting Relationship</w:t>
      </w:r>
      <w:r>
        <w:rPr>
          <w:rFonts w:ascii="Arial" w:cs="Arial" w:eastAsia="Arial" w:hAnsi="Arial"/>
          <w:sz w:val="18"/>
          <w:szCs w:val="18"/>
          <w:color w:val="auto"/>
        </w:rPr>
        <w:t>. The Administrator shall establish and set forth in the applicable Option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the terms and conditions upon which an Option shall remain exercisable, if at all, following termination of an Optionee’s Continuous Service Status, which provisions may be waived or modified by the Administrator at any time. To the extent that an Option Agreement does not specify the terms and conditions upon which an Option shall terminate upon termination of an Optionee’s Continuous Service Status, the following provisions shall apply:</w:t>
      </w:r>
    </w:p>
    <w:p>
      <w:pPr>
        <w:spacing w:after="0" w:line="75" w:lineRule="exact"/>
        <w:rPr>
          <w:rFonts w:ascii="Arial" w:cs="Arial" w:eastAsia="Arial" w:hAnsi="Arial"/>
          <w:sz w:val="18"/>
          <w:szCs w:val="18"/>
          <w:color w:val="auto"/>
        </w:rPr>
      </w:pPr>
    </w:p>
    <w:p>
      <w:pPr>
        <w:jc w:val="both"/>
        <w:ind w:left="-20" w:right="20" w:firstLine="1428"/>
        <w:spacing w:after="0" w:line="261" w:lineRule="auto"/>
        <w:tabs>
          <w:tab w:leader="none" w:pos="1627" w:val="left"/>
        </w:tabs>
        <w:numPr>
          <w:ilvl w:val="1"/>
          <w:numId w:val="176"/>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 Provisions</w:t>
      </w:r>
      <w:r>
        <w:rPr>
          <w:rFonts w:ascii="Arial" w:cs="Arial" w:eastAsia="Arial" w:hAnsi="Arial"/>
          <w:sz w:val="18"/>
          <w:szCs w:val="18"/>
          <w:color w:val="auto"/>
        </w:rPr>
        <w:t>. If the Optionee (or other person entitled to exercise the Option) does not exercise the Option to the extent so</w:t>
      </w:r>
      <w:r>
        <w:rPr>
          <w:rFonts w:ascii="Arial" w:cs="Arial" w:eastAsia="Arial" w:hAnsi="Arial"/>
          <w:sz w:val="18"/>
          <w:szCs w:val="18"/>
          <w:b w:val="1"/>
          <w:bCs w:val="1"/>
          <w:color w:val="auto"/>
        </w:rPr>
        <w:t xml:space="preserve"> </w:t>
      </w:r>
      <w:r>
        <w:rPr>
          <w:rFonts w:ascii="Arial" w:cs="Arial" w:eastAsia="Arial" w:hAnsi="Arial"/>
          <w:sz w:val="18"/>
          <w:szCs w:val="18"/>
          <w:color w:val="auto"/>
        </w:rPr>
        <w:t>entitled within the time specified below, the Option shall terminate and the Optioned Stock underlying the unexercised portion of the Option shall revert to the Plan. In no event may any Option be exercised after the expiration of the Option term as set forth in the Option Agreement (and subject to Section 7).</w:t>
      </w:r>
    </w:p>
    <w:p>
      <w:pPr>
        <w:spacing w:after="0" w:line="71" w:lineRule="exact"/>
        <w:rPr>
          <w:rFonts w:ascii="Arial" w:cs="Arial" w:eastAsia="Arial" w:hAnsi="Arial"/>
          <w:sz w:val="18"/>
          <w:szCs w:val="18"/>
          <w:color w:val="auto"/>
        </w:rPr>
      </w:pPr>
    </w:p>
    <w:p>
      <w:pPr>
        <w:ind w:left="-20" w:right="60" w:firstLine="1428"/>
        <w:spacing w:after="0" w:line="289" w:lineRule="auto"/>
        <w:tabs>
          <w:tab w:leader="none" w:pos="1677" w:val="left"/>
        </w:tabs>
        <w:numPr>
          <w:ilvl w:val="1"/>
          <w:numId w:val="176"/>
        </w:numPr>
        <w:rPr>
          <w:rFonts w:ascii="Arial" w:cs="Arial" w:eastAsia="Arial" w:hAnsi="Arial"/>
          <w:sz w:val="17"/>
          <w:szCs w:val="17"/>
          <w:color w:val="auto"/>
        </w:rPr>
      </w:pPr>
      <w:r>
        <w:rPr>
          <w:rFonts w:ascii="Arial" w:cs="Arial" w:eastAsia="Arial" w:hAnsi="Arial"/>
          <w:sz w:val="17"/>
          <w:szCs w:val="17"/>
          <w:b w:val="1"/>
          <w:bCs w:val="1"/>
          <w:u w:val="single" w:color="auto"/>
          <w:color w:val="auto"/>
        </w:rPr>
        <w:t>Termination other than Upon Disability or Death or for Cause</w:t>
      </w:r>
      <w:r>
        <w:rPr>
          <w:rFonts w:ascii="Arial" w:cs="Arial" w:eastAsia="Arial" w:hAnsi="Arial"/>
          <w:sz w:val="17"/>
          <w:szCs w:val="17"/>
          <w:color w:val="auto"/>
        </w:rPr>
        <w:t>. In the event of termination of an Optionee’s Continuous</w:t>
      </w:r>
      <w:r>
        <w:rPr>
          <w:rFonts w:ascii="Arial" w:cs="Arial" w:eastAsia="Arial" w:hAnsi="Arial"/>
          <w:sz w:val="17"/>
          <w:szCs w:val="17"/>
          <w:b w:val="1"/>
          <w:bCs w:val="1"/>
          <w:color w:val="auto"/>
        </w:rPr>
        <w:t xml:space="preserve"> </w:t>
      </w:r>
      <w:r>
        <w:rPr>
          <w:rFonts w:ascii="Arial" w:cs="Arial" w:eastAsia="Arial" w:hAnsi="Arial"/>
          <w:sz w:val="17"/>
          <w:szCs w:val="17"/>
          <w:color w:val="auto"/>
        </w:rPr>
        <w:t>Service Status other than under the circumstances set forth in subsections (iii) through (v) below, such Optionee may exercise any outstanding Option at any time within three (3) months following such termination to the extent the Optionee is vested in the Optioned Stock.</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60" w:top="270" w:right="459" w:bottom="1440" w:gutter="0" w:footer="0" w:header="0"/>
        </w:sectPr>
      </w:pPr>
    </w:p>
    <w:bookmarkStart w:id="240" w:name="page241"/>
    <w:bookmarkEnd w:id="240"/>
    <w:p>
      <w:pPr>
        <w:ind w:right="480" w:firstLine="1428"/>
        <w:spacing w:after="0" w:line="266" w:lineRule="auto"/>
        <w:tabs>
          <w:tab w:leader="none" w:pos="1747" w:val="left"/>
        </w:tabs>
        <w:numPr>
          <w:ilvl w:val="2"/>
          <w:numId w:val="177"/>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Disability of Optionee</w:t>
      </w:r>
      <w:r>
        <w:rPr>
          <w:rFonts w:ascii="Arial" w:cs="Arial" w:eastAsia="Arial" w:hAnsi="Arial"/>
          <w:sz w:val="18"/>
          <w:szCs w:val="18"/>
          <w:color w:val="auto"/>
        </w:rPr>
        <w:t>. In the event of termination of an Optionee’s Continuous Service Status as a result of his or her</w:t>
      </w:r>
      <w:r>
        <w:rPr>
          <w:rFonts w:ascii="Arial" w:cs="Arial" w:eastAsia="Arial" w:hAnsi="Arial"/>
          <w:sz w:val="18"/>
          <w:szCs w:val="18"/>
          <w:b w:val="1"/>
          <w:bCs w:val="1"/>
          <w:color w:val="auto"/>
        </w:rPr>
        <w:t xml:space="preserve"> </w:t>
      </w:r>
      <w:r>
        <w:rPr>
          <w:rFonts w:ascii="Arial" w:cs="Arial" w:eastAsia="Arial" w:hAnsi="Arial"/>
          <w:sz w:val="18"/>
          <w:szCs w:val="18"/>
          <w:color w:val="auto"/>
        </w:rPr>
        <w:t>Disability, such Optionee may exercise any outstanding Option at any time within twelve (12) months following such termination to the extent the Optionee is vested in the Optioned Stock.</w:t>
      </w:r>
    </w:p>
    <w:p>
      <w:pPr>
        <w:spacing w:after="0" w:line="67" w:lineRule="exact"/>
        <w:rPr>
          <w:rFonts w:ascii="Arial" w:cs="Arial" w:eastAsia="Arial" w:hAnsi="Arial"/>
          <w:sz w:val="18"/>
          <w:szCs w:val="18"/>
          <w:color w:val="auto"/>
        </w:rPr>
      </w:pPr>
    </w:p>
    <w:p>
      <w:pPr>
        <w:ind w:firstLine="1428"/>
        <w:spacing w:after="0" w:line="258" w:lineRule="auto"/>
        <w:tabs>
          <w:tab w:leader="none" w:pos="1737" w:val="left"/>
        </w:tabs>
        <w:numPr>
          <w:ilvl w:val="2"/>
          <w:numId w:val="177"/>
        </w:numPr>
        <w:rPr>
          <w:rFonts w:ascii="Arial" w:cs="Arial" w:eastAsia="Arial" w:hAnsi="Arial"/>
          <w:sz w:val="18"/>
          <w:szCs w:val="18"/>
          <w:color w:val="auto"/>
        </w:rPr>
      </w:pPr>
      <w:r>
        <w:rPr>
          <w:rFonts w:ascii="Arial" w:cs="Arial" w:eastAsia="Arial" w:hAnsi="Arial"/>
          <w:sz w:val="18"/>
          <w:szCs w:val="18"/>
          <w:b w:val="1"/>
          <w:bCs w:val="1"/>
          <w:u w:val="single" w:color="auto"/>
          <w:color w:val="auto"/>
        </w:rPr>
        <w:t>Death of Optionee</w:t>
      </w:r>
      <w:r>
        <w:rPr>
          <w:rFonts w:ascii="Arial" w:cs="Arial" w:eastAsia="Arial" w:hAnsi="Arial"/>
          <w:sz w:val="18"/>
          <w:szCs w:val="18"/>
          <w:color w:val="auto"/>
        </w:rPr>
        <w:t>. In the event of the death of an Optionee during the period of Continuous Service Status since the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grant of any outstanding Option, or within three (3) months following termination of Optionee’s Continuous Service Status, the Option may be exercised by the Optionee’s estate, or by a person who acquired the right to exercise the Option by bequest or inheritance, at any time within twelve (12) months following the date of death or, if earlier, the date the Optionee’s Continuous Service Status terminated, but only to the extent the Optionee is vested in the Optioned Stock.</w:t>
      </w:r>
    </w:p>
    <w:p>
      <w:pPr>
        <w:spacing w:after="0" w:line="75" w:lineRule="exact"/>
        <w:rPr>
          <w:rFonts w:ascii="Arial" w:cs="Arial" w:eastAsia="Arial" w:hAnsi="Arial"/>
          <w:sz w:val="18"/>
          <w:szCs w:val="18"/>
          <w:color w:val="auto"/>
        </w:rPr>
      </w:pPr>
    </w:p>
    <w:p>
      <w:pPr>
        <w:ind w:right="40" w:firstLine="1428"/>
        <w:spacing w:after="0" w:line="274" w:lineRule="auto"/>
        <w:tabs>
          <w:tab w:leader="none" w:pos="1687" w:val="left"/>
        </w:tabs>
        <w:numPr>
          <w:ilvl w:val="2"/>
          <w:numId w:val="177"/>
        </w:numPr>
        <w:rPr>
          <w:rFonts w:ascii="Arial" w:cs="Arial" w:eastAsia="Arial" w:hAnsi="Arial"/>
          <w:sz w:val="17"/>
          <w:szCs w:val="17"/>
          <w:color w:val="auto"/>
        </w:rPr>
      </w:pPr>
      <w:r>
        <w:rPr>
          <w:rFonts w:ascii="Arial" w:cs="Arial" w:eastAsia="Arial" w:hAnsi="Arial"/>
          <w:sz w:val="17"/>
          <w:szCs w:val="17"/>
          <w:b w:val="1"/>
          <w:bCs w:val="1"/>
          <w:u w:val="single" w:color="auto"/>
          <w:color w:val="auto"/>
        </w:rPr>
        <w:t>Termination for Cause</w:t>
      </w:r>
      <w:r>
        <w:rPr>
          <w:rFonts w:ascii="Arial" w:cs="Arial" w:eastAsia="Arial" w:hAnsi="Arial"/>
          <w:sz w:val="17"/>
          <w:szCs w:val="17"/>
          <w:color w:val="auto"/>
        </w:rPr>
        <w:t>. In the event of termination of an Optionee’s Continuous Service Status for Cause, any outstanding</w:t>
      </w:r>
      <w:r>
        <w:rPr>
          <w:rFonts w:ascii="Arial" w:cs="Arial" w:eastAsia="Arial" w:hAnsi="Arial"/>
          <w:sz w:val="17"/>
          <w:szCs w:val="17"/>
          <w:b w:val="1"/>
          <w:bCs w:val="1"/>
          <w:color w:val="auto"/>
        </w:rPr>
        <w:t xml:space="preserve"> </w:t>
      </w:r>
      <w:r>
        <w:rPr>
          <w:rFonts w:ascii="Arial" w:cs="Arial" w:eastAsia="Arial" w:hAnsi="Arial"/>
          <w:sz w:val="17"/>
          <w:szCs w:val="17"/>
          <w:color w:val="auto"/>
        </w:rPr>
        <w:t>Option (including any vested portion thereof) held by such Optionee shall immediately terminate in its entirety upon first notification to the Optionee of termination of the Optionee’s Continuous Service Status for Cause. If an Optionee’s Continuous Service Status is suspended pending an investigation of whether the Optionee’s Continuous Service Status will be terminated for Cause, all the Optionee’s rights under any Option, including the right to exercise the Option, shall be suspended during the investigation period. Nothing in this Section 10(b)(v) shall in any way limit the Company’s right to purchase unvested Shares issued upon exercise of an Option as set forth in the applicable Option Agreement.</w:t>
      </w:r>
    </w:p>
    <w:p>
      <w:pPr>
        <w:spacing w:after="0" w:line="65" w:lineRule="exact"/>
        <w:rPr>
          <w:rFonts w:ascii="Arial" w:cs="Arial" w:eastAsia="Arial" w:hAnsi="Arial"/>
          <w:sz w:val="17"/>
          <w:szCs w:val="17"/>
          <w:color w:val="auto"/>
        </w:rPr>
      </w:pPr>
    </w:p>
    <w:p>
      <w:pPr>
        <w:ind w:right="120" w:firstLine="987"/>
        <w:spacing w:after="0" w:line="266" w:lineRule="auto"/>
        <w:tabs>
          <w:tab w:leader="none" w:pos="1236" w:val="left"/>
        </w:tabs>
        <w:numPr>
          <w:ilvl w:val="1"/>
          <w:numId w:val="178"/>
        </w:numPr>
        <w:rPr>
          <w:rFonts w:ascii="Arial" w:cs="Arial" w:eastAsia="Arial" w:hAnsi="Arial"/>
          <w:sz w:val="18"/>
          <w:szCs w:val="18"/>
          <w:color w:val="auto"/>
        </w:rPr>
      </w:pPr>
      <w:r>
        <w:rPr>
          <w:rFonts w:ascii="Arial" w:cs="Arial" w:eastAsia="Arial" w:hAnsi="Arial"/>
          <w:sz w:val="18"/>
          <w:szCs w:val="18"/>
          <w:b w:val="1"/>
          <w:bCs w:val="1"/>
          <w:u w:val="single" w:color="auto"/>
          <w:color w:val="auto"/>
        </w:rPr>
        <w:t>Buyout Provisions</w:t>
      </w:r>
      <w:r>
        <w:rPr>
          <w:rFonts w:ascii="Arial" w:cs="Arial" w:eastAsia="Arial" w:hAnsi="Arial"/>
          <w:sz w:val="18"/>
          <w:szCs w:val="18"/>
          <w:color w:val="auto"/>
        </w:rPr>
        <w:t>. The Administrator may at any time offer to buy out for a payment in cash or Shares an Option previously granted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Plan based on such terms and conditions as the Administrator shall establish and communicate to the Optionee at the time that such offer is made.</w:t>
      </w:r>
    </w:p>
    <w:p>
      <w:pPr>
        <w:spacing w:after="0" w:line="67" w:lineRule="exact"/>
        <w:rPr>
          <w:rFonts w:ascii="Arial" w:cs="Arial" w:eastAsia="Arial" w:hAnsi="Arial"/>
          <w:sz w:val="18"/>
          <w:szCs w:val="18"/>
          <w:color w:val="auto"/>
        </w:rPr>
      </w:pPr>
    </w:p>
    <w:p>
      <w:pPr>
        <w:ind w:left="700" w:hanging="264"/>
        <w:spacing w:after="0"/>
        <w:tabs>
          <w:tab w:leader="none" w:pos="700" w:val="left"/>
        </w:tabs>
        <w:numPr>
          <w:ilvl w:val="0"/>
          <w:numId w:val="179"/>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Restricted Stock</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987"/>
        <w:spacing w:after="0" w:line="274" w:lineRule="auto"/>
        <w:tabs>
          <w:tab w:leader="none" w:pos="1236" w:val="left"/>
        </w:tabs>
        <w:numPr>
          <w:ilvl w:val="1"/>
          <w:numId w:val="179"/>
        </w:numPr>
        <w:rPr>
          <w:rFonts w:ascii="Arial" w:cs="Arial" w:eastAsia="Arial" w:hAnsi="Arial"/>
          <w:sz w:val="17"/>
          <w:szCs w:val="17"/>
          <w:color w:val="auto"/>
        </w:rPr>
      </w:pPr>
      <w:r>
        <w:rPr>
          <w:rFonts w:ascii="Arial" w:cs="Arial" w:eastAsia="Arial" w:hAnsi="Arial"/>
          <w:sz w:val="17"/>
          <w:szCs w:val="17"/>
          <w:b w:val="1"/>
          <w:bCs w:val="1"/>
          <w:u w:val="single" w:color="auto"/>
          <w:color w:val="auto"/>
        </w:rPr>
        <w:t>Rights to Purchase</w:t>
      </w:r>
      <w:r>
        <w:rPr>
          <w:rFonts w:ascii="Arial" w:cs="Arial" w:eastAsia="Arial" w:hAnsi="Arial"/>
          <w:sz w:val="17"/>
          <w:szCs w:val="17"/>
          <w:color w:val="auto"/>
        </w:rPr>
        <w:t>. When a right to purchase Restricted Stock is granted under the Plan, the Administrator shall advise the recipient</w:t>
      </w:r>
      <w:r>
        <w:rPr>
          <w:rFonts w:ascii="Arial" w:cs="Arial" w:eastAsia="Arial" w:hAnsi="Arial"/>
          <w:sz w:val="17"/>
          <w:szCs w:val="17"/>
          <w:b w:val="1"/>
          <w:bCs w:val="1"/>
          <w:color w:val="auto"/>
        </w:rPr>
        <w:t xml:space="preserve"> </w:t>
      </w:r>
      <w:r>
        <w:rPr>
          <w:rFonts w:ascii="Arial" w:cs="Arial" w:eastAsia="Arial" w:hAnsi="Arial"/>
          <w:sz w:val="17"/>
          <w:szCs w:val="17"/>
          <w:color w:val="auto"/>
        </w:rPr>
        <w:t>in writing of the terms, conditions and restrictions related to the offer, including the number of Shares that such person shall be entitled to purchase, the price to be paid (which shall be as determined by the Administrator, subject to Applicable Laws, including any applicable securities laws), and the time within which such person must accept such offer. The permissible consideration for Restricted Stock shall be determined by the Administrator and shall be the same as is set forth in Section 9(b) with respect to exercise of Options. The offer to purchase Shares shall be accepted by execution of a Restricted Stock Purchase Agreement in the form determined by the Administrator.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0" w:right="459" w:bottom="1440" w:gutter="0" w:footer="0" w:header="0"/>
        </w:sectPr>
      </w:pPr>
    </w:p>
    <w:bookmarkStart w:id="241" w:name="page242"/>
    <w:bookmarkEnd w:id="241"/>
    <w:p>
      <w:pPr>
        <w:ind w:left="1240" w:hanging="253"/>
        <w:spacing w:after="0"/>
        <w:tabs>
          <w:tab w:leader="none" w:pos="1240" w:val="left"/>
        </w:tabs>
        <w:numPr>
          <w:ilvl w:val="1"/>
          <w:numId w:val="180"/>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Repurchase Option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0" w:firstLine="1428"/>
        <w:spacing w:after="0" w:line="258" w:lineRule="auto"/>
        <w:tabs>
          <w:tab w:leader="none" w:pos="1647" w:val="left"/>
        </w:tabs>
        <w:numPr>
          <w:ilvl w:val="2"/>
          <w:numId w:val="180"/>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w:t>
      </w:r>
      <w:r>
        <w:rPr>
          <w:rFonts w:ascii="Arial" w:cs="Arial" w:eastAsia="Arial" w:hAnsi="Arial"/>
          <w:sz w:val="18"/>
          <w:szCs w:val="18"/>
          <w:color w:val="auto"/>
        </w:rPr>
        <w:t>. Unless the Administrator determines otherwise, the Restricted Stock Purchase Agreement shall grant the Company a</w:t>
      </w:r>
      <w:r>
        <w:rPr>
          <w:rFonts w:ascii="Arial" w:cs="Arial" w:eastAsia="Arial" w:hAnsi="Arial"/>
          <w:sz w:val="18"/>
          <w:szCs w:val="18"/>
          <w:b w:val="1"/>
          <w:bCs w:val="1"/>
          <w:color w:val="auto"/>
        </w:rPr>
        <w:t xml:space="preserve"> </w:t>
      </w:r>
      <w:r>
        <w:rPr>
          <w:rFonts w:ascii="Arial" w:cs="Arial" w:eastAsia="Arial" w:hAnsi="Arial"/>
          <w:sz w:val="18"/>
          <w:szCs w:val="18"/>
          <w:color w:val="auto"/>
        </w:rPr>
        <w:t>repurchase option exercisable upon the voluntary or involuntary termination of the Participant’s Continuous Service Status for any reason (including death or Disability). The purchase price for Shares repurchased pursuant to the Restricted Stock Purchase Agreement shall be the original purchase price paid by the purchaser and may be paid by cancellation of any indebtedness of the purchaser to the Company. The repurchase option shall lapse at such rate as the Administrator may determine.</w:t>
      </w:r>
    </w:p>
    <w:p>
      <w:pPr>
        <w:spacing w:after="0" w:line="75" w:lineRule="exact"/>
        <w:rPr>
          <w:rFonts w:ascii="Arial" w:cs="Arial" w:eastAsia="Arial" w:hAnsi="Arial"/>
          <w:sz w:val="18"/>
          <w:szCs w:val="18"/>
          <w:color w:val="auto"/>
        </w:rPr>
      </w:pPr>
    </w:p>
    <w:p>
      <w:pPr>
        <w:ind w:firstLine="1428"/>
        <w:spacing w:after="0" w:line="272" w:lineRule="auto"/>
        <w:tabs>
          <w:tab w:leader="none" w:pos="1697" w:val="left"/>
        </w:tabs>
        <w:numPr>
          <w:ilvl w:val="2"/>
          <w:numId w:val="180"/>
        </w:numPr>
        <w:rPr>
          <w:rFonts w:ascii="Arial" w:cs="Arial" w:eastAsia="Arial" w:hAnsi="Arial"/>
          <w:sz w:val="17"/>
          <w:szCs w:val="17"/>
          <w:color w:val="auto"/>
        </w:rPr>
      </w:pPr>
      <w:r>
        <w:rPr>
          <w:rFonts w:ascii="Arial" w:cs="Arial" w:eastAsia="Arial" w:hAnsi="Arial"/>
          <w:sz w:val="17"/>
          <w:szCs w:val="17"/>
          <w:b w:val="1"/>
          <w:bCs w:val="1"/>
          <w:u w:val="single" w:color="auto"/>
          <w:color w:val="auto"/>
        </w:rPr>
        <w:t>Leave of Absence</w:t>
      </w:r>
      <w:r>
        <w:rPr>
          <w:rFonts w:ascii="Arial" w:cs="Arial" w:eastAsia="Arial" w:hAnsi="Arial"/>
          <w:sz w:val="17"/>
          <w:szCs w:val="17"/>
          <w:color w:val="auto"/>
        </w:rPr>
        <w:t>. The Administrator shall have the discretion to determine whether and to what extent the lapsing of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repurchase rights shall be tolled during any unpaid leave of absence; provided, however, that in the absence of such determination, such lapsing shall be tolled during any such unpaid leave (unless otherwise required by the Applicable Laws). Notwithstanding the foregoing, in the event of military leave, the lapsing of Company repurchase rights shall toll during any unpaid portion of such leave, provided that, upon a Participant’s returning from military leave (under conditions that would entitle him or her to protection upon such return under the Uniform Services Employment and Reemployment Rights Act), he or she shall be given vesting credit with respect to Shares purchased pursuant to the Restricted Stock Purchase Agreement to the same extent as would have applied had the Participant continued to provide services to the Company (or any Parent or Subsidiary, if applicable) throughout the leave on the same terms as he or she was providing services immediately prior to such leave.</w:t>
      </w:r>
    </w:p>
    <w:p>
      <w:pPr>
        <w:spacing w:after="0" w:line="63" w:lineRule="exact"/>
        <w:rPr>
          <w:rFonts w:ascii="Arial" w:cs="Arial" w:eastAsia="Arial" w:hAnsi="Arial"/>
          <w:sz w:val="17"/>
          <w:szCs w:val="17"/>
          <w:color w:val="auto"/>
        </w:rPr>
      </w:pPr>
    </w:p>
    <w:p>
      <w:pPr>
        <w:jc w:val="both"/>
        <w:ind w:firstLine="987"/>
        <w:spacing w:after="0" w:line="266" w:lineRule="auto"/>
        <w:tabs>
          <w:tab w:leader="none" w:pos="1236" w:val="left"/>
        </w:tabs>
        <w:numPr>
          <w:ilvl w:val="1"/>
          <w:numId w:val="180"/>
        </w:numPr>
        <w:rPr>
          <w:rFonts w:ascii="Arial" w:cs="Arial" w:eastAsia="Arial" w:hAnsi="Arial"/>
          <w:sz w:val="18"/>
          <w:szCs w:val="18"/>
          <w:color w:val="auto"/>
        </w:rPr>
      </w:pPr>
      <w:r>
        <w:rPr>
          <w:rFonts w:ascii="Arial" w:cs="Arial" w:eastAsia="Arial" w:hAnsi="Arial"/>
          <w:sz w:val="18"/>
          <w:szCs w:val="18"/>
          <w:b w:val="1"/>
          <w:bCs w:val="1"/>
          <w:u w:val="single" w:color="auto"/>
          <w:color w:val="auto"/>
        </w:rPr>
        <w:t>Other Provisions</w:t>
      </w:r>
      <w:r>
        <w:rPr>
          <w:rFonts w:ascii="Arial" w:cs="Arial" w:eastAsia="Arial" w:hAnsi="Arial"/>
          <w:sz w:val="18"/>
          <w:szCs w:val="18"/>
          <w:color w:val="auto"/>
        </w:rPr>
        <w:t>. The Restricted Stock Purchase Agreement shall contain such other terms, provisions and conditions not inconsistent</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Plan as may be determined by the Administrator in its sole discretion. In addition, the provisions of Restricted Stock Purchase Agreements need not be the same with respect to each Participant.</w:t>
      </w:r>
    </w:p>
    <w:p>
      <w:pPr>
        <w:spacing w:after="0" w:line="67" w:lineRule="exact"/>
        <w:rPr>
          <w:rFonts w:ascii="Arial" w:cs="Arial" w:eastAsia="Arial" w:hAnsi="Arial"/>
          <w:sz w:val="18"/>
          <w:szCs w:val="18"/>
          <w:color w:val="auto"/>
        </w:rPr>
      </w:pPr>
    </w:p>
    <w:p>
      <w:pPr>
        <w:ind w:right="60" w:firstLine="987"/>
        <w:spacing w:after="0" w:line="261" w:lineRule="auto"/>
        <w:tabs>
          <w:tab w:leader="none" w:pos="1246" w:val="left"/>
        </w:tabs>
        <w:numPr>
          <w:ilvl w:val="1"/>
          <w:numId w:val="180"/>
        </w:numPr>
        <w:rPr>
          <w:rFonts w:ascii="Arial" w:cs="Arial" w:eastAsia="Arial" w:hAnsi="Arial"/>
          <w:sz w:val="18"/>
          <w:szCs w:val="18"/>
          <w:color w:val="auto"/>
        </w:rPr>
      </w:pPr>
      <w:r>
        <w:rPr>
          <w:rFonts w:ascii="Arial" w:cs="Arial" w:eastAsia="Arial" w:hAnsi="Arial"/>
          <w:sz w:val="18"/>
          <w:szCs w:val="18"/>
          <w:b w:val="1"/>
          <w:bCs w:val="1"/>
          <w:u w:val="single" w:color="auto"/>
          <w:color w:val="auto"/>
        </w:rPr>
        <w:t>Rights as a Holder of Capital Stock</w:t>
      </w:r>
      <w:r>
        <w:rPr>
          <w:rFonts w:ascii="Arial" w:cs="Arial" w:eastAsia="Arial" w:hAnsi="Arial"/>
          <w:sz w:val="18"/>
          <w:szCs w:val="18"/>
          <w:color w:val="auto"/>
        </w:rPr>
        <w:t>. Once the Restricted Stock is purchased, the Participant shall have the rights equivalent to those</w:t>
      </w:r>
      <w:r>
        <w:rPr>
          <w:rFonts w:ascii="Arial" w:cs="Arial" w:eastAsia="Arial" w:hAnsi="Arial"/>
          <w:sz w:val="18"/>
          <w:szCs w:val="18"/>
          <w:b w:val="1"/>
          <w:bCs w:val="1"/>
          <w:color w:val="auto"/>
        </w:rPr>
        <w:t xml:space="preserve"> </w:t>
      </w:r>
      <w:r>
        <w:rPr>
          <w:rFonts w:ascii="Arial" w:cs="Arial" w:eastAsia="Arial" w:hAnsi="Arial"/>
          <w:sz w:val="18"/>
          <w:szCs w:val="18"/>
          <w:color w:val="auto"/>
        </w:rPr>
        <w:t>of a holder of capital stock, and shall be a record holder when his or her purchase is entered upon the records of the duly authorized transfer agent of the Company. No adjustment will be made for a dividend or other right for which the record date is prior to the date the Restricted Stock is purchased, except as provided in Section 14 of the Plan.</w:t>
      </w:r>
    </w:p>
    <w:p>
      <w:pPr>
        <w:spacing w:after="0" w:line="71" w:lineRule="exact"/>
        <w:rPr>
          <w:rFonts w:ascii="Arial" w:cs="Arial" w:eastAsia="Arial" w:hAnsi="Arial"/>
          <w:sz w:val="18"/>
          <w:szCs w:val="18"/>
          <w:color w:val="auto"/>
        </w:rPr>
      </w:pPr>
    </w:p>
    <w:p>
      <w:pPr>
        <w:ind w:left="700" w:hanging="264"/>
        <w:spacing w:after="0"/>
        <w:tabs>
          <w:tab w:leader="none" w:pos="700" w:val="left"/>
        </w:tabs>
        <w:numPr>
          <w:ilvl w:val="0"/>
          <w:numId w:val="181"/>
        </w:numPr>
        <w:rPr>
          <w:rFonts w:ascii="Arial" w:cs="Arial" w:eastAsia="Arial" w:hAnsi="Arial"/>
          <w:sz w:val="18"/>
          <w:szCs w:val="18"/>
          <w:color w:val="auto"/>
        </w:rPr>
      </w:pPr>
      <w:r>
        <w:rPr>
          <w:rFonts w:ascii="Arial" w:cs="Arial" w:eastAsia="Arial" w:hAnsi="Arial"/>
          <w:sz w:val="18"/>
          <w:szCs w:val="18"/>
          <w:b w:val="1"/>
          <w:bCs w:val="1"/>
          <w:u w:val="single" w:color="auto"/>
          <w:color w:val="auto"/>
        </w:rPr>
        <w:t>Taxes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right="160" w:firstLine="987"/>
        <w:spacing w:after="0" w:line="279" w:lineRule="auto"/>
        <w:tabs>
          <w:tab w:leader="none" w:pos="1236" w:val="left"/>
        </w:tabs>
        <w:numPr>
          <w:ilvl w:val="1"/>
          <w:numId w:val="181"/>
        </w:numPr>
        <w:rPr>
          <w:rFonts w:ascii="Arial" w:cs="Arial" w:eastAsia="Arial" w:hAnsi="Arial"/>
          <w:sz w:val="17"/>
          <w:szCs w:val="17"/>
          <w:color w:val="auto"/>
        </w:rPr>
      </w:pPr>
      <w:r>
        <w:rPr>
          <w:rFonts w:ascii="Arial" w:cs="Arial" w:eastAsia="Arial" w:hAnsi="Arial"/>
          <w:sz w:val="17"/>
          <w:szCs w:val="17"/>
          <w:color w:val="auto"/>
        </w:rPr>
        <w:t>As a condition of the grant, vesting and exercise of an Award, the Participant (or in the case of the Participant’s death or a permitted transferee, the person holding or exercising the Award) shall make such arrangements as the Administrator may require for the satisfaction of any applicable U.S. federal, state or local tax withholding obligations or foreign tax withholding obligations that may arise in connection with such Award. The Company shall not be required to issue any Shares under the Plan until such obligations are satisfied.</w:t>
      </w:r>
    </w:p>
    <w:p>
      <w:pPr>
        <w:spacing w:after="0" w:line="63" w:lineRule="exact"/>
        <w:rPr>
          <w:rFonts w:ascii="Arial" w:cs="Arial" w:eastAsia="Arial" w:hAnsi="Arial"/>
          <w:sz w:val="17"/>
          <w:szCs w:val="17"/>
          <w:color w:val="auto"/>
        </w:rPr>
      </w:pPr>
    </w:p>
    <w:p>
      <w:pPr>
        <w:ind w:right="20" w:firstLine="987"/>
        <w:spacing w:after="0" w:line="272" w:lineRule="auto"/>
        <w:tabs>
          <w:tab w:leader="none" w:pos="1246" w:val="left"/>
        </w:tabs>
        <w:numPr>
          <w:ilvl w:val="1"/>
          <w:numId w:val="181"/>
        </w:numPr>
        <w:rPr>
          <w:rFonts w:ascii="Arial" w:cs="Arial" w:eastAsia="Arial" w:hAnsi="Arial"/>
          <w:sz w:val="17"/>
          <w:szCs w:val="17"/>
          <w:color w:val="auto"/>
        </w:rPr>
      </w:pPr>
      <w:r>
        <w:rPr>
          <w:rFonts w:ascii="Arial" w:cs="Arial" w:eastAsia="Arial" w:hAnsi="Arial"/>
          <w:sz w:val="17"/>
          <w:szCs w:val="17"/>
          <w:color w:val="auto"/>
        </w:rPr>
        <w:t>The Administrator may permit a Participant (or in the case of the Participant’s death or a permitted transferee, the person holding or exercising the Award) to satisfy all or part of his or her tax withholding obligations by Cashless Exercise or by surrendering Shares (either directly or by stock attestation) that he or she previously acquired; provided that, unless the Cashless Exercise is an approved broker-assisted Cashless Exercise, the Shares tendered for payment have been previously held for a minimum duration (e.g., to avoid financial accounting charges to the Company’s earnings), or as otherwise permitted to avoid financial accounting charges under applicable accounting guidance, amounts withheld shall not exceed the amount necessary to satisfy the Company’s tax withholding obligations at the minimum statutory withholding rates, including, but not limited to, U.S. federal and state income taxes, payroll taxes, and foreign taxes, if applicable.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0" w:right="459" w:bottom="1440" w:gutter="0" w:footer="0" w:header="0"/>
        </w:sectPr>
      </w:pPr>
    </w:p>
    <w:bookmarkStart w:id="242" w:name="page243"/>
    <w:bookmarkEnd w:id="242"/>
    <w:p>
      <w:pPr>
        <w:ind w:left="4"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 payment of taxes by surrendering Shares to the Company may be subject to restrictions, including, but not limited to, any restrictions required by rules of the Securities and Exchange Commission.</w:t>
      </w:r>
    </w:p>
    <w:p>
      <w:pPr>
        <w:spacing w:after="0" w:line="58" w:lineRule="exact"/>
        <w:rPr>
          <w:sz w:val="20"/>
          <w:szCs w:val="20"/>
          <w:color w:val="auto"/>
        </w:rPr>
      </w:pPr>
    </w:p>
    <w:p>
      <w:pPr>
        <w:ind w:left="704" w:hanging="264"/>
        <w:spacing w:after="0"/>
        <w:tabs>
          <w:tab w:leader="none" w:pos="704" w:val="left"/>
        </w:tabs>
        <w:numPr>
          <w:ilvl w:val="1"/>
          <w:numId w:val="182"/>
        </w:numPr>
        <w:rPr>
          <w:rFonts w:ascii="Arial" w:cs="Arial" w:eastAsia="Arial" w:hAnsi="Arial"/>
          <w:sz w:val="18"/>
          <w:szCs w:val="18"/>
          <w:color w:val="auto"/>
        </w:rPr>
      </w:pPr>
      <w:r>
        <w:rPr>
          <w:rFonts w:ascii="Arial" w:cs="Arial" w:eastAsia="Arial" w:hAnsi="Arial"/>
          <w:sz w:val="18"/>
          <w:szCs w:val="18"/>
          <w:b w:val="1"/>
          <w:bCs w:val="1"/>
          <w:u w:val="single" w:color="auto"/>
          <w:color w:val="auto"/>
        </w:rPr>
        <w:t>Non-Transferability of Options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4" w:firstLine="987"/>
        <w:spacing w:after="0" w:line="314" w:lineRule="auto"/>
        <w:tabs>
          <w:tab w:leader="none" w:pos="1240" w:val="left"/>
        </w:tabs>
        <w:numPr>
          <w:ilvl w:val="2"/>
          <w:numId w:val="182"/>
        </w:numPr>
        <w:rPr>
          <w:rFonts w:ascii="Arial" w:cs="Arial" w:eastAsia="Arial" w:hAnsi="Arial"/>
          <w:sz w:val="16"/>
          <w:szCs w:val="16"/>
          <w:color w:val="auto"/>
        </w:rPr>
      </w:pPr>
      <w:r>
        <w:rPr>
          <w:rFonts w:ascii="Arial" w:cs="Arial" w:eastAsia="Arial" w:hAnsi="Arial"/>
          <w:sz w:val="16"/>
          <w:szCs w:val="16"/>
          <w:b w:val="1"/>
          <w:bCs w:val="1"/>
          <w:u w:val="single" w:color="auto"/>
          <w:color w:val="auto"/>
        </w:rPr>
        <w:t>General</w:t>
      </w:r>
      <w:r>
        <w:rPr>
          <w:rFonts w:ascii="Arial" w:cs="Arial" w:eastAsia="Arial" w:hAnsi="Arial"/>
          <w:sz w:val="16"/>
          <w:szCs w:val="16"/>
          <w:color w:val="auto"/>
        </w:rPr>
        <w:t>. Except as set forth in this Section 13, Options may not be sold, pledged, assigned, hypothecated, transferred or disposed of in</w:t>
      </w:r>
      <w:r>
        <w:rPr>
          <w:rFonts w:ascii="Arial" w:cs="Arial" w:eastAsia="Arial" w:hAnsi="Arial"/>
          <w:sz w:val="16"/>
          <w:szCs w:val="16"/>
          <w:b w:val="1"/>
          <w:bCs w:val="1"/>
          <w:color w:val="auto"/>
        </w:rPr>
        <w:t xml:space="preserve"> </w:t>
      </w:r>
      <w:r>
        <w:rPr>
          <w:rFonts w:ascii="Arial" w:cs="Arial" w:eastAsia="Arial" w:hAnsi="Arial"/>
          <w:sz w:val="16"/>
          <w:szCs w:val="16"/>
          <w:color w:val="auto"/>
        </w:rPr>
        <w:t>any manner other than by will or by the laws of descent or distribution. The designation of a beneficiary by an Optionee will not constitute a transfer. An Option may be exercised, during the lifetime of the holder of the Option, only by such holder or a transferee permitted by this Section 13.</w:t>
      </w:r>
    </w:p>
    <w:p>
      <w:pPr>
        <w:spacing w:after="0" w:line="33" w:lineRule="exact"/>
        <w:rPr>
          <w:rFonts w:ascii="Arial" w:cs="Arial" w:eastAsia="Arial" w:hAnsi="Arial"/>
          <w:sz w:val="16"/>
          <w:szCs w:val="16"/>
          <w:color w:val="auto"/>
        </w:rPr>
      </w:pPr>
    </w:p>
    <w:p>
      <w:pPr>
        <w:ind w:left="4" w:right="200" w:firstLine="987"/>
        <w:spacing w:after="0" w:line="266" w:lineRule="auto"/>
        <w:tabs>
          <w:tab w:leader="none" w:pos="1250" w:val="left"/>
        </w:tabs>
        <w:numPr>
          <w:ilvl w:val="2"/>
          <w:numId w:val="182"/>
        </w:numPr>
        <w:rPr>
          <w:rFonts w:ascii="Arial" w:cs="Arial" w:eastAsia="Arial" w:hAnsi="Arial"/>
          <w:sz w:val="18"/>
          <w:szCs w:val="18"/>
          <w:color w:val="auto"/>
        </w:rPr>
      </w:pPr>
      <w:r>
        <w:rPr>
          <w:rFonts w:ascii="Arial" w:cs="Arial" w:eastAsia="Arial" w:hAnsi="Arial"/>
          <w:sz w:val="18"/>
          <w:szCs w:val="18"/>
          <w:b w:val="1"/>
          <w:bCs w:val="1"/>
          <w:u w:val="single" w:color="auto"/>
          <w:color w:val="auto"/>
        </w:rPr>
        <w:t>Limited Transferability Rights</w:t>
      </w:r>
      <w:r>
        <w:rPr>
          <w:rFonts w:ascii="Arial" w:cs="Arial" w:eastAsia="Arial" w:hAnsi="Arial"/>
          <w:sz w:val="18"/>
          <w:szCs w:val="18"/>
          <w:color w:val="auto"/>
        </w:rPr>
        <w:t>. Notwithstanding anything else in this Section 13, the Administrator may in its sole discretion grant</w:t>
      </w:r>
      <w:r>
        <w:rPr>
          <w:rFonts w:ascii="Arial" w:cs="Arial" w:eastAsia="Arial" w:hAnsi="Arial"/>
          <w:sz w:val="18"/>
          <w:szCs w:val="18"/>
          <w:b w:val="1"/>
          <w:bCs w:val="1"/>
          <w:color w:val="auto"/>
        </w:rPr>
        <w:t xml:space="preserve"> </w:t>
      </w:r>
      <w:r>
        <w:rPr>
          <w:rFonts w:ascii="Arial" w:cs="Arial" w:eastAsia="Arial" w:hAnsi="Arial"/>
          <w:sz w:val="18"/>
          <w:szCs w:val="18"/>
          <w:color w:val="auto"/>
        </w:rPr>
        <w:t>Nonstatutory Stock Options that may be transferred by instrument to an interview or testamentary trust in which the Options are to be passed to beneficiaries upon the death of the trustor (settlor) or by gift to Family Members.</w:t>
      </w:r>
    </w:p>
    <w:p>
      <w:pPr>
        <w:spacing w:after="0" w:line="67" w:lineRule="exact"/>
        <w:rPr>
          <w:rFonts w:ascii="Arial" w:cs="Arial" w:eastAsia="Arial" w:hAnsi="Arial"/>
          <w:sz w:val="18"/>
          <w:szCs w:val="18"/>
          <w:color w:val="auto"/>
        </w:rPr>
      </w:pPr>
    </w:p>
    <w:p>
      <w:pPr>
        <w:ind w:left="704" w:hanging="264"/>
        <w:spacing w:after="0"/>
        <w:tabs>
          <w:tab w:leader="none" w:pos="704" w:val="left"/>
        </w:tabs>
        <w:numPr>
          <w:ilvl w:val="1"/>
          <w:numId w:val="182"/>
        </w:numPr>
        <w:rPr>
          <w:rFonts w:ascii="Arial" w:cs="Arial" w:eastAsia="Arial" w:hAnsi="Arial"/>
          <w:sz w:val="18"/>
          <w:szCs w:val="18"/>
          <w:color w:val="auto"/>
        </w:rPr>
      </w:pPr>
      <w:r>
        <w:rPr>
          <w:rFonts w:ascii="Arial" w:cs="Arial" w:eastAsia="Arial" w:hAnsi="Arial"/>
          <w:sz w:val="18"/>
          <w:szCs w:val="18"/>
          <w:b w:val="1"/>
          <w:bCs w:val="1"/>
          <w:u w:val="single" w:color="auto"/>
          <w:color w:val="auto"/>
        </w:rPr>
        <w:t>Adjustments Upon Changes in Capitalization, Merger or Certain Other Transactions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44" w:hanging="253"/>
        <w:spacing w:after="0"/>
        <w:tabs>
          <w:tab w:leader="none" w:pos="1244" w:val="left"/>
        </w:tabs>
        <w:numPr>
          <w:ilvl w:val="2"/>
          <w:numId w:val="182"/>
        </w:numPr>
        <w:rPr>
          <w:rFonts w:ascii="Arial" w:cs="Arial" w:eastAsia="Arial" w:hAnsi="Arial"/>
          <w:sz w:val="17"/>
          <w:szCs w:val="17"/>
          <w:color w:val="auto"/>
        </w:rPr>
      </w:pPr>
      <w:r>
        <w:rPr>
          <w:rFonts w:ascii="Arial" w:cs="Arial" w:eastAsia="Arial" w:hAnsi="Arial"/>
          <w:sz w:val="17"/>
          <w:szCs w:val="17"/>
          <w:b w:val="1"/>
          <w:bCs w:val="1"/>
          <w:u w:val="single" w:color="auto"/>
          <w:color w:val="auto"/>
        </w:rPr>
        <w:t>Changes in Capitalization</w:t>
      </w:r>
      <w:r>
        <w:rPr>
          <w:rFonts w:ascii="Arial" w:cs="Arial" w:eastAsia="Arial" w:hAnsi="Arial"/>
          <w:sz w:val="17"/>
          <w:szCs w:val="17"/>
          <w:color w:val="auto"/>
        </w:rPr>
        <w:t>. Subject to any action required under Applicable Laws by the holders of capital stock of the Company,</w:t>
      </w:r>
    </w:p>
    <w:p>
      <w:pPr>
        <w:spacing w:after="0" w:line="38" w:lineRule="exact"/>
        <w:rPr>
          <w:rFonts w:ascii="Arial" w:cs="Arial" w:eastAsia="Arial" w:hAnsi="Arial"/>
          <w:sz w:val="17"/>
          <w:szCs w:val="17"/>
          <w:color w:val="auto"/>
        </w:rPr>
      </w:pPr>
    </w:p>
    <w:p>
      <w:pPr>
        <w:ind w:left="4" w:hanging="4"/>
        <w:spacing w:after="0" w:line="285" w:lineRule="auto"/>
        <w:tabs>
          <w:tab w:leader="none" w:pos="219"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the numbers and class of Shares or other stock or securities: (x) available for future Awards under Section 3 above and (y) covered by each outstanding Award, (ii) the price per Share covered by each such outstanding Option, and (iii) any repurchase price per Share applicable to Shares issued pursuant to any Award, shall be proportionately adjusted by the Administrator in the event of a stock split, reverse stock split, stock dividend, combination, consolidation, recapitalization (including a recapitalization through a large nonrecurring cash dividend) or reclassification of the Shares, subdivision of the Shares, a rights offering, a reorganization, merger, spin-off, split-up, change in corporate structure or other similar occurrence. Any adjustment by the Administrator pursuant to this Section 14(a) shall be made in the Administrator’s sole and absolute discretion and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subject to an Award. If, by reason of a transaction described in this Section 14(a) or an adjustment pursuant to this Section 14(a), a Participant’s Award agreement or agreement related to any Optioned Stock or Restricted Stock covers additional or different shares of stock or securities, then such additional or different shares, and the Award agreement or agreement related to the Optioned Stock or Restricted Stock in respect thereof, shall be subject to all of the terms, conditions and restrictions which were applicable to the Award, Optioned Stock and Restricted Stock prior to such adjustment.</w:t>
      </w:r>
    </w:p>
    <w:p>
      <w:pPr>
        <w:spacing w:after="0" w:line="10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4"/>
          </w:cols>
          <w:pgMar w:left="436" w:top="274" w:right="459" w:bottom="1440" w:gutter="0" w:footer="0" w:header="0"/>
        </w:sectPr>
      </w:pPr>
    </w:p>
    <w:bookmarkStart w:id="243" w:name="page244"/>
    <w:bookmarkEnd w:id="243"/>
    <w:p>
      <w:pPr>
        <w:ind w:right="360" w:firstLine="987"/>
        <w:spacing w:after="0" w:line="282" w:lineRule="auto"/>
        <w:tabs>
          <w:tab w:leader="none" w:pos="1246" w:val="left"/>
        </w:tabs>
        <w:numPr>
          <w:ilvl w:val="1"/>
          <w:numId w:val="184"/>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Dissolution or Liquidation</w:t>
      </w:r>
      <w:r>
        <w:rPr>
          <w:rFonts w:ascii="Arial" w:cs="Arial" w:eastAsia="Arial" w:hAnsi="Arial"/>
          <w:sz w:val="18"/>
          <w:szCs w:val="18"/>
          <w:color w:val="auto"/>
        </w:rPr>
        <w:t>. In the event of the dissolution or liquidation of the Company, each Award will terminate immediately</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the consummation of such action, unless otherwise determined by the Administrator.</w:t>
      </w:r>
    </w:p>
    <w:p>
      <w:pPr>
        <w:spacing w:after="0" w:line="53" w:lineRule="exact"/>
        <w:rPr>
          <w:rFonts w:ascii="Arial" w:cs="Arial" w:eastAsia="Arial" w:hAnsi="Arial"/>
          <w:sz w:val="18"/>
          <w:szCs w:val="18"/>
          <w:color w:val="auto"/>
        </w:rPr>
      </w:pPr>
    </w:p>
    <w:p>
      <w:pPr>
        <w:ind w:firstLine="987"/>
        <w:spacing w:after="0" w:line="254" w:lineRule="auto"/>
        <w:tabs>
          <w:tab w:leader="none" w:pos="1236" w:val="left"/>
        </w:tabs>
        <w:numPr>
          <w:ilvl w:val="1"/>
          <w:numId w:val="184"/>
        </w:numPr>
        <w:rPr>
          <w:rFonts w:ascii="Arial" w:cs="Arial" w:eastAsia="Arial" w:hAnsi="Arial"/>
          <w:sz w:val="18"/>
          <w:szCs w:val="18"/>
          <w:color w:val="auto"/>
        </w:rPr>
      </w:pPr>
      <w:r>
        <w:rPr>
          <w:rFonts w:ascii="Arial" w:cs="Arial" w:eastAsia="Arial" w:hAnsi="Arial"/>
          <w:sz w:val="18"/>
          <w:szCs w:val="18"/>
          <w:b w:val="1"/>
          <w:bCs w:val="1"/>
          <w:u w:val="single" w:color="auto"/>
          <w:color w:val="auto"/>
        </w:rPr>
        <w:t>Corporate Transactions</w:t>
      </w:r>
      <w:r>
        <w:rPr>
          <w:rFonts w:ascii="Arial" w:cs="Arial" w:eastAsia="Arial" w:hAnsi="Arial"/>
          <w:sz w:val="18"/>
          <w:szCs w:val="18"/>
          <w:color w:val="auto"/>
        </w:rPr>
        <w:t>. In the event of a sale of all or substantially all of the Company’s assets, or a merger, consolidation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reorganization or business combination transaction of the Company with or into another corporation, entity or person (a “</w:t>
      </w:r>
      <w:r>
        <w:rPr>
          <w:rFonts w:ascii="Arial" w:cs="Arial" w:eastAsia="Arial" w:hAnsi="Arial"/>
          <w:sz w:val="18"/>
          <w:szCs w:val="18"/>
          <w:u w:val="single" w:color="auto"/>
          <w:color w:val="auto"/>
        </w:rPr>
        <w:t>Corporate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Transaction</w:t>
      </w:r>
      <w:r>
        <w:rPr>
          <w:rFonts w:ascii="Arial" w:cs="Arial" w:eastAsia="Arial" w:hAnsi="Arial"/>
          <w:sz w:val="18"/>
          <w:szCs w:val="18"/>
          <w:color w:val="auto"/>
        </w:rPr>
        <w:t>”), each outstanding Option shall either be (i) assumed or an equivalent option or right shall be substituted by such successor corporation or a parent or subsidiary of such successor corporation (the “</w:t>
      </w:r>
      <w:r>
        <w:rPr>
          <w:rFonts w:ascii="Arial" w:cs="Arial" w:eastAsia="Arial" w:hAnsi="Arial"/>
          <w:sz w:val="18"/>
          <w:szCs w:val="18"/>
          <w:u w:val="single" w:color="auto"/>
          <w:color w:val="auto"/>
        </w:rPr>
        <w:t>Successor Corporation</w:t>
      </w:r>
      <w:r>
        <w:rPr>
          <w:rFonts w:ascii="Arial" w:cs="Arial" w:eastAsia="Arial" w:hAnsi="Arial"/>
          <w:sz w:val="18"/>
          <w:szCs w:val="18"/>
          <w:color w:val="auto"/>
        </w:rPr>
        <w:t>”), or (ii) terminated in exchange for a payment of cash, securities and/or other property equal to the excess of the Fair Market Value of the portion of the Optioned Stock that is vested and exercisable immediately prior to the consummation of the Corporate Transaction over the per Share exercise price thereof. Notwithstanding the foregoing, in the event such Successor Corporation does not agree to such assumption, substitution or exchange, each such Option shall terminate upon the consummation of the Corporate Transaction.</w:t>
      </w:r>
    </w:p>
    <w:p>
      <w:pPr>
        <w:spacing w:after="0" w:line="83" w:lineRule="exact"/>
        <w:rPr>
          <w:rFonts w:ascii="Arial" w:cs="Arial" w:eastAsia="Arial" w:hAnsi="Arial"/>
          <w:sz w:val="18"/>
          <w:szCs w:val="18"/>
          <w:color w:val="auto"/>
        </w:rPr>
      </w:pPr>
    </w:p>
    <w:p>
      <w:pPr>
        <w:jc w:val="both"/>
        <w:ind w:right="280" w:firstLine="436"/>
        <w:spacing w:after="0" w:line="303" w:lineRule="auto"/>
        <w:tabs>
          <w:tab w:leader="none" w:pos="710" w:val="left"/>
        </w:tabs>
        <w:numPr>
          <w:ilvl w:val="0"/>
          <w:numId w:val="185"/>
        </w:numPr>
        <w:rPr>
          <w:rFonts w:ascii="Arial" w:cs="Arial" w:eastAsia="Arial" w:hAnsi="Arial"/>
          <w:sz w:val="16"/>
          <w:szCs w:val="16"/>
          <w:color w:val="auto"/>
        </w:rPr>
      </w:pPr>
      <w:r>
        <w:rPr>
          <w:rFonts w:ascii="Arial" w:cs="Arial" w:eastAsia="Arial" w:hAnsi="Arial"/>
          <w:sz w:val="16"/>
          <w:szCs w:val="16"/>
          <w:b w:val="1"/>
          <w:bCs w:val="1"/>
          <w:u w:val="single" w:color="auto"/>
          <w:color w:val="auto"/>
        </w:rPr>
        <w:t>Time of Granting Options and Right to Purchase Restricted Stock</w:t>
      </w:r>
      <w:r>
        <w:rPr>
          <w:rFonts w:ascii="Arial" w:cs="Arial" w:eastAsia="Arial" w:hAnsi="Arial"/>
          <w:sz w:val="16"/>
          <w:szCs w:val="16"/>
          <w:color w:val="auto"/>
        </w:rPr>
        <w:t>. The date of grant of an Award shall, for all purposes, be the date on</w:t>
      </w:r>
      <w:r>
        <w:rPr>
          <w:rFonts w:ascii="Arial" w:cs="Arial" w:eastAsia="Arial" w:hAnsi="Arial"/>
          <w:sz w:val="16"/>
          <w:szCs w:val="16"/>
          <w:b w:val="1"/>
          <w:bCs w:val="1"/>
          <w:color w:val="auto"/>
        </w:rPr>
        <w:t xml:space="preserve"> </w:t>
      </w:r>
      <w:r>
        <w:rPr>
          <w:rFonts w:ascii="Arial" w:cs="Arial" w:eastAsia="Arial" w:hAnsi="Arial"/>
          <w:sz w:val="16"/>
          <w:szCs w:val="16"/>
          <w:color w:val="auto"/>
        </w:rPr>
        <w:t>which the Administrator makes the determination granting such Award, or such other date as is determined by the Administrator, provided that in the case of any Incentive Stock Option, the grant date shall be the later of the date on which the Administrator makes the determination granting such Incentive Stock Option or the date of commencement of the Optionee’s employment relationship with the Company.</w:t>
      </w:r>
    </w:p>
    <w:p>
      <w:pPr>
        <w:spacing w:after="0" w:line="42" w:lineRule="exact"/>
        <w:rPr>
          <w:rFonts w:ascii="Arial" w:cs="Arial" w:eastAsia="Arial" w:hAnsi="Arial"/>
          <w:sz w:val="16"/>
          <w:szCs w:val="16"/>
          <w:color w:val="auto"/>
        </w:rPr>
      </w:pPr>
    </w:p>
    <w:p>
      <w:pPr>
        <w:ind w:right="40" w:firstLine="436"/>
        <w:spacing w:after="0" w:line="303" w:lineRule="auto"/>
        <w:tabs>
          <w:tab w:leader="none" w:pos="710" w:val="left"/>
        </w:tabs>
        <w:numPr>
          <w:ilvl w:val="0"/>
          <w:numId w:val="185"/>
        </w:numPr>
        <w:rPr>
          <w:rFonts w:ascii="Arial" w:cs="Arial" w:eastAsia="Arial" w:hAnsi="Arial"/>
          <w:sz w:val="16"/>
          <w:szCs w:val="16"/>
          <w:color w:val="auto"/>
        </w:rPr>
      </w:pPr>
      <w:r>
        <w:rPr>
          <w:rFonts w:ascii="Arial" w:cs="Arial" w:eastAsia="Arial" w:hAnsi="Arial"/>
          <w:sz w:val="16"/>
          <w:szCs w:val="16"/>
          <w:b w:val="1"/>
          <w:bCs w:val="1"/>
          <w:u w:val="single" w:color="auto"/>
          <w:color w:val="auto"/>
        </w:rPr>
        <w:t>Amendment and Termination of the Plan</w:t>
      </w:r>
      <w:r>
        <w:rPr>
          <w:rFonts w:ascii="Arial" w:cs="Arial" w:eastAsia="Arial" w:hAnsi="Arial"/>
          <w:sz w:val="16"/>
          <w:szCs w:val="16"/>
          <w:color w:val="auto"/>
        </w:rPr>
        <w:t>. The Board may at any time amend or terminate the Plan, but no amendment or termination (other</w:t>
      </w:r>
      <w:r>
        <w:rPr>
          <w:rFonts w:ascii="Arial" w:cs="Arial" w:eastAsia="Arial" w:hAnsi="Arial"/>
          <w:sz w:val="16"/>
          <w:szCs w:val="16"/>
          <w:b w:val="1"/>
          <w:bCs w:val="1"/>
          <w:color w:val="auto"/>
        </w:rPr>
        <w:t xml:space="preserve"> </w:t>
      </w:r>
      <w:r>
        <w:rPr>
          <w:rFonts w:ascii="Arial" w:cs="Arial" w:eastAsia="Arial" w:hAnsi="Arial"/>
          <w:sz w:val="16"/>
          <w:szCs w:val="16"/>
          <w:color w:val="auto"/>
        </w:rPr>
        <w:t>than an adjustment pursuant to Section 14 above) shall be made that would materially and adversely affect the rights of any Participant under any outstanding Award, without his or her consent. In addition, to the extent necessary and desirable to comply with the Applicable Laws, the Company shall obtain the approval of holders of capital stock with respect to any Plan amendment in such a manner and to such a degree as required.</w:t>
      </w:r>
    </w:p>
    <w:p>
      <w:pPr>
        <w:spacing w:after="0" w:line="42" w:lineRule="exact"/>
        <w:rPr>
          <w:rFonts w:ascii="Arial" w:cs="Arial" w:eastAsia="Arial" w:hAnsi="Arial"/>
          <w:sz w:val="16"/>
          <w:szCs w:val="16"/>
          <w:color w:val="auto"/>
        </w:rPr>
      </w:pPr>
    </w:p>
    <w:p>
      <w:pPr>
        <w:ind w:right="60" w:firstLine="436"/>
        <w:spacing w:after="0" w:line="270" w:lineRule="auto"/>
        <w:tabs>
          <w:tab w:leader="none" w:pos="710" w:val="left"/>
        </w:tabs>
        <w:numPr>
          <w:ilvl w:val="0"/>
          <w:numId w:val="185"/>
        </w:numPr>
        <w:rPr>
          <w:rFonts w:ascii="Arial" w:cs="Arial" w:eastAsia="Arial" w:hAnsi="Arial"/>
          <w:sz w:val="17"/>
          <w:szCs w:val="17"/>
          <w:color w:val="auto"/>
        </w:rPr>
      </w:pPr>
      <w:r>
        <w:rPr>
          <w:rFonts w:ascii="Arial" w:cs="Arial" w:eastAsia="Arial" w:hAnsi="Arial"/>
          <w:sz w:val="17"/>
          <w:szCs w:val="17"/>
          <w:b w:val="1"/>
          <w:bCs w:val="1"/>
          <w:u w:val="single" w:color="auto"/>
          <w:color w:val="auto"/>
        </w:rPr>
        <w:t>Conditions Upon Issuance of Shares</w:t>
      </w:r>
      <w:r>
        <w:rPr>
          <w:rFonts w:ascii="Arial" w:cs="Arial" w:eastAsia="Arial" w:hAnsi="Arial"/>
          <w:sz w:val="17"/>
          <w:szCs w:val="17"/>
          <w:color w:val="auto"/>
        </w:rPr>
        <w:t>. Notwithstanding any other provision of the Plan or any agreement entered into by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the Plan, the Company shall not be obligated, and shall have no liability for failure, to issue or deliver any Shares under the Plan unless such issuance or delivery would comply with the Applicable Laws, with such compliance determined by the Company in consultation with its legal counsel. As a condition to the exercise of any Option or purchase of any Restricted Stock, the Company may require the person exercising the Option or purchasing the Restricted Stock to represent and warrant at the time of any such exercise or purchase that the Shares are being purchased only for investment and without any present intention to sell or distribute such Shares if, in the opinion of counsel for the Company, such a representation is required by Applicable Laws. Shares issued upon exercise of Options or purchase of Restricted Stock prior to the date, if ever, on which the Common Stock becomes a Listed Security shall be subject to a right of first refusal in favor of the Company pursuant to which the Participant will be required to offer Shares to the Company before selling or transferring them to any third party on such terms and subject to such conditions as is reflected in the applicable Option Agreement or Restricted Stock Purchase Agreement.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0" w:right="459" w:bottom="1440" w:gutter="0" w:footer="0" w:header="0"/>
        </w:sectPr>
      </w:pPr>
    </w:p>
    <w:bookmarkStart w:id="244" w:name="page245"/>
    <w:bookmarkEnd w:id="244"/>
    <w:p>
      <w:pPr>
        <w:ind w:left="-20" w:right="20" w:firstLine="436"/>
        <w:spacing w:after="0" w:line="281" w:lineRule="auto"/>
        <w:tabs>
          <w:tab w:leader="none" w:pos="690" w:val="left"/>
        </w:tabs>
        <w:numPr>
          <w:ilvl w:val="0"/>
          <w:numId w:val="186"/>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Beneficiaries</w:t>
      </w:r>
      <w:r>
        <w:rPr>
          <w:rFonts w:ascii="Arial" w:cs="Arial" w:eastAsia="Arial" w:hAnsi="Arial"/>
          <w:sz w:val="17"/>
          <w:szCs w:val="17"/>
          <w:color w:val="auto"/>
        </w:rPr>
        <w:t>. Unless stated otherwise in an Award agreement, a Participant may designate one or more beneficiaries with respect to an Award</w:t>
      </w:r>
      <w:r>
        <w:rPr>
          <w:rFonts w:ascii="Arial" w:cs="Arial" w:eastAsia="Arial" w:hAnsi="Arial"/>
          <w:sz w:val="17"/>
          <w:szCs w:val="17"/>
          <w:b w:val="1"/>
          <w:bCs w:val="1"/>
          <w:color w:val="auto"/>
        </w:rPr>
        <w:t xml:space="preserve"> </w:t>
      </w:r>
      <w:r>
        <w:rPr>
          <w:rFonts w:ascii="Arial" w:cs="Arial" w:eastAsia="Arial" w:hAnsi="Arial"/>
          <w:sz w:val="17"/>
          <w:szCs w:val="17"/>
          <w:color w:val="auto"/>
        </w:rPr>
        <w:t>by timely filing the prescribed form with the Company. A beneficiary designation may be changed by filing the prescribed form with the Company at any time before the Participant’s death. If no beneficiary was designated or if no designated beneficiary survives the Participant, then after a Participant’s death any vested Award(s) shall be transferred or distributed to the Participant’s estate.</w:t>
      </w:r>
    </w:p>
    <w:p>
      <w:pPr>
        <w:spacing w:after="0" w:line="56" w:lineRule="exact"/>
        <w:rPr>
          <w:rFonts w:ascii="Arial" w:cs="Arial" w:eastAsia="Arial" w:hAnsi="Arial"/>
          <w:sz w:val="17"/>
          <w:szCs w:val="17"/>
          <w:color w:val="auto"/>
        </w:rPr>
      </w:pPr>
    </w:p>
    <w:p>
      <w:pPr>
        <w:ind w:left="-20" w:right="220" w:firstLine="436"/>
        <w:spacing w:after="0" w:line="314" w:lineRule="auto"/>
        <w:tabs>
          <w:tab w:leader="none" w:pos="690" w:val="left"/>
        </w:tabs>
        <w:numPr>
          <w:ilvl w:val="0"/>
          <w:numId w:val="186"/>
        </w:numPr>
        <w:rPr>
          <w:rFonts w:ascii="Arial" w:cs="Arial" w:eastAsia="Arial" w:hAnsi="Arial"/>
          <w:sz w:val="16"/>
          <w:szCs w:val="16"/>
          <w:color w:val="auto"/>
        </w:rPr>
      </w:pPr>
      <w:r>
        <w:rPr>
          <w:rFonts w:ascii="Arial" w:cs="Arial" w:eastAsia="Arial" w:hAnsi="Arial"/>
          <w:sz w:val="16"/>
          <w:szCs w:val="16"/>
          <w:b w:val="1"/>
          <w:bCs w:val="1"/>
          <w:u w:val="single" w:color="auto"/>
          <w:color w:val="auto"/>
        </w:rPr>
        <w:t>Approval of Holders of Capital Stock</w:t>
      </w:r>
      <w:r>
        <w:rPr>
          <w:rFonts w:ascii="Arial" w:cs="Arial" w:eastAsia="Arial" w:hAnsi="Arial"/>
          <w:sz w:val="16"/>
          <w:szCs w:val="16"/>
          <w:color w:val="auto"/>
        </w:rPr>
        <w:t>. If required by the Applicable Laws, continuance of the Plan shall be subject to approval by the</w:t>
      </w:r>
      <w:r>
        <w:rPr>
          <w:rFonts w:ascii="Arial" w:cs="Arial" w:eastAsia="Arial" w:hAnsi="Arial"/>
          <w:sz w:val="16"/>
          <w:szCs w:val="16"/>
          <w:b w:val="1"/>
          <w:bCs w:val="1"/>
          <w:color w:val="auto"/>
        </w:rPr>
        <w:t xml:space="preserve"> </w:t>
      </w:r>
      <w:r>
        <w:rPr>
          <w:rFonts w:ascii="Arial" w:cs="Arial" w:eastAsia="Arial" w:hAnsi="Arial"/>
          <w:sz w:val="16"/>
          <w:szCs w:val="16"/>
          <w:color w:val="auto"/>
        </w:rPr>
        <w:t>holders of capital stock of the Company within twelve (12) months before or after the date the Plan is adopted or, to the extent required by Applicable Laws, any date the Plan is amended. Such approval shall be obtained in the manner and to the degree required under the Applicable Laws.</w:t>
      </w:r>
    </w:p>
    <w:p>
      <w:pPr>
        <w:spacing w:after="0" w:line="33" w:lineRule="exact"/>
        <w:rPr>
          <w:rFonts w:ascii="Arial" w:cs="Arial" w:eastAsia="Arial" w:hAnsi="Arial"/>
          <w:sz w:val="16"/>
          <w:szCs w:val="16"/>
          <w:color w:val="auto"/>
        </w:rPr>
      </w:pPr>
    </w:p>
    <w:p>
      <w:pPr>
        <w:ind w:left="-20" w:firstLine="436"/>
        <w:spacing w:after="0" w:line="258" w:lineRule="auto"/>
        <w:tabs>
          <w:tab w:leader="none" w:pos="690" w:val="left"/>
        </w:tabs>
        <w:numPr>
          <w:ilvl w:val="0"/>
          <w:numId w:val="186"/>
        </w:numPr>
        <w:rPr>
          <w:rFonts w:ascii="Arial" w:cs="Arial" w:eastAsia="Arial" w:hAnsi="Arial"/>
          <w:sz w:val="18"/>
          <w:szCs w:val="18"/>
          <w:color w:val="auto"/>
        </w:rPr>
      </w:pPr>
      <w:r>
        <w:rPr>
          <w:rFonts w:ascii="Arial" w:cs="Arial" w:eastAsia="Arial" w:hAnsi="Arial"/>
          <w:sz w:val="18"/>
          <w:szCs w:val="18"/>
          <w:b w:val="1"/>
          <w:bCs w:val="1"/>
          <w:u w:val="single" w:color="auto"/>
          <w:color w:val="auto"/>
        </w:rPr>
        <w:t>Addenda</w:t>
      </w:r>
      <w:r>
        <w:rPr>
          <w:rFonts w:ascii="Arial" w:cs="Arial" w:eastAsia="Arial" w:hAnsi="Arial"/>
          <w:sz w:val="18"/>
          <w:szCs w:val="18"/>
          <w:color w:val="auto"/>
        </w:rPr>
        <w:t>. The Administrator may approve such addenda to the Plan as it may consider necessary or appropriate for the purpose of granting</w:t>
      </w:r>
      <w:r>
        <w:rPr>
          <w:rFonts w:ascii="Arial" w:cs="Arial" w:eastAsia="Arial" w:hAnsi="Arial"/>
          <w:sz w:val="18"/>
          <w:szCs w:val="18"/>
          <w:b w:val="1"/>
          <w:bCs w:val="1"/>
          <w:color w:val="auto"/>
        </w:rPr>
        <w:t xml:space="preserve"> </w:t>
      </w:r>
      <w:r>
        <w:rPr>
          <w:rFonts w:ascii="Arial" w:cs="Arial" w:eastAsia="Arial" w:hAnsi="Arial"/>
          <w:sz w:val="18"/>
          <w:szCs w:val="18"/>
          <w:color w:val="auto"/>
        </w:rPr>
        <w:t>Awards to Employees or Consultants, which Awards may contain such terms and conditions as the Administrator deems necessary or appropriate to accommodate differences in local law, tax policy or custom, which, if so required under Applicable Laws, may deviate from the terms and conditions set forth in this Plan. The terms of any such addenda shall supersede the terms of the Plan to the extent necessary to accommodate such differences but shall not otherwise affect the terms of the Plan as in effect for any other purpose.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60" w:top="270" w:right="459" w:bottom="1440" w:gutter="0" w:footer="0" w:header="0"/>
        </w:sectPr>
      </w:pPr>
    </w:p>
    <w:bookmarkStart w:id="245" w:name="page246"/>
    <w:bookmarkEnd w:id="245"/>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ADDENDUM A</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2009 STOCK PLAN</w:t>
      </w: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California Participants</w:t>
      </w:r>
      <w:r>
        <w:rPr>
          <w:rFonts w:ascii="Arial" w:cs="Arial" w:eastAsia="Arial" w:hAnsi="Arial"/>
          <w:sz w:val="18"/>
          <w:szCs w:val="18"/>
          <w:color w:val="auto"/>
        </w:rPr>
        <w:t>)</w:t>
      </w:r>
    </w:p>
    <w:p>
      <w:pPr>
        <w:spacing w:after="0" w:line="225" w:lineRule="exact"/>
        <w:rPr>
          <w:sz w:val="20"/>
          <w:szCs w:val="20"/>
          <w:color w:val="auto"/>
        </w:rPr>
      </w:pPr>
    </w:p>
    <w:p>
      <w:pPr>
        <w:jc w:val="both"/>
        <w:ind w:left="4" w:right="140" w:firstLine="440"/>
        <w:spacing w:after="0" w:line="263" w:lineRule="auto"/>
        <w:rPr>
          <w:sz w:val="20"/>
          <w:szCs w:val="20"/>
          <w:color w:val="auto"/>
        </w:rPr>
      </w:pPr>
      <w:r>
        <w:rPr>
          <w:rFonts w:ascii="Arial" w:cs="Arial" w:eastAsia="Arial" w:hAnsi="Arial"/>
          <w:sz w:val="18"/>
          <w:szCs w:val="18"/>
          <w:color w:val="auto"/>
        </w:rPr>
        <w:t>Prior to the date, if ever, on which the Common Stock becomes a Listed Security and/or the Company is subject to the reporting requirements of the Exchange Act, the terms set forth herein shall apply to Awards issued to California Participants. All capitalized terms used herein but not otherwise defined shall have the respective meanings set forth in the Plan.</w:t>
      </w:r>
    </w:p>
    <w:p>
      <w:pPr>
        <w:spacing w:after="0" w:line="76" w:lineRule="exact"/>
        <w:rPr>
          <w:sz w:val="20"/>
          <w:szCs w:val="20"/>
          <w:color w:val="auto"/>
        </w:rPr>
      </w:pPr>
    </w:p>
    <w:p>
      <w:pPr>
        <w:ind w:left="624" w:hanging="184"/>
        <w:spacing w:after="0"/>
        <w:tabs>
          <w:tab w:leader="none" w:pos="624" w:val="left"/>
        </w:tabs>
        <w:numPr>
          <w:ilvl w:val="1"/>
          <w:numId w:val="187"/>
        </w:numPr>
        <w:rPr>
          <w:rFonts w:ascii="Arial" w:cs="Arial" w:eastAsia="Arial" w:hAnsi="Arial"/>
          <w:sz w:val="18"/>
          <w:szCs w:val="18"/>
          <w:color w:val="auto"/>
        </w:rPr>
      </w:pPr>
      <w:r>
        <w:rPr>
          <w:rFonts w:ascii="Arial" w:cs="Arial" w:eastAsia="Arial" w:hAnsi="Arial"/>
          <w:sz w:val="18"/>
          <w:szCs w:val="18"/>
          <w:color w:val="auto"/>
        </w:rPr>
        <w:t>The following rules shall apply to any Option in the event of termination of the Participant’s Continuous Service Status:</w:t>
      </w:r>
    </w:p>
    <w:p>
      <w:pPr>
        <w:spacing w:after="0" w:line="117" w:lineRule="exact"/>
        <w:rPr>
          <w:rFonts w:ascii="Arial" w:cs="Arial" w:eastAsia="Arial" w:hAnsi="Arial"/>
          <w:sz w:val="18"/>
          <w:szCs w:val="18"/>
          <w:color w:val="auto"/>
        </w:rPr>
      </w:pPr>
    </w:p>
    <w:p>
      <w:pPr>
        <w:ind w:left="1164" w:hanging="173"/>
        <w:spacing w:after="0"/>
        <w:tabs>
          <w:tab w:leader="none" w:pos="1164" w:val="left"/>
        </w:tabs>
        <w:numPr>
          <w:ilvl w:val="2"/>
          <w:numId w:val="187"/>
        </w:numPr>
        <w:rPr>
          <w:rFonts w:ascii="Arial" w:cs="Arial" w:eastAsia="Arial" w:hAnsi="Arial"/>
          <w:sz w:val="16"/>
          <w:szCs w:val="16"/>
          <w:color w:val="auto"/>
        </w:rPr>
      </w:pPr>
      <w:r>
        <w:rPr>
          <w:rFonts w:ascii="Arial" w:cs="Arial" w:eastAsia="Arial" w:hAnsi="Arial"/>
          <w:sz w:val="16"/>
          <w:szCs w:val="16"/>
          <w:color w:val="auto"/>
        </w:rPr>
        <w:t>If such termination was for reasons other than death, “disability” (as defined below), or Cause, the Participant shall have at least thirty</w:t>
      </w:r>
    </w:p>
    <w:p>
      <w:pPr>
        <w:spacing w:after="0" w:line="46" w:lineRule="exact"/>
        <w:rPr>
          <w:rFonts w:ascii="Arial" w:cs="Arial" w:eastAsia="Arial" w:hAnsi="Arial"/>
          <w:sz w:val="16"/>
          <w:szCs w:val="16"/>
          <w:color w:val="auto"/>
        </w:rPr>
      </w:pPr>
    </w:p>
    <w:p>
      <w:pPr>
        <w:ind w:left="4" w:hanging="4"/>
        <w:spacing w:after="0" w:line="323" w:lineRule="auto"/>
        <w:tabs>
          <w:tab w:leader="none" w:pos="349" w:val="left"/>
        </w:tabs>
        <w:numPr>
          <w:ilvl w:val="0"/>
          <w:numId w:val="188"/>
        </w:numPr>
        <w:rPr>
          <w:rFonts w:ascii="Arial" w:cs="Arial" w:eastAsia="Arial" w:hAnsi="Arial"/>
          <w:sz w:val="16"/>
          <w:szCs w:val="16"/>
          <w:color w:val="auto"/>
        </w:rPr>
      </w:pPr>
      <w:r>
        <w:rPr>
          <w:rFonts w:ascii="Arial" w:cs="Arial" w:eastAsia="Arial" w:hAnsi="Arial"/>
          <w:sz w:val="16"/>
          <w:szCs w:val="16"/>
          <w:color w:val="auto"/>
        </w:rPr>
        <w:t>days after the date of such termination to exercise his or her Option to the extent the Participant is entitled to exercise on his or her termination date, provided that in no event shall the Option be exercisable after the expiration of the Option term as set forth in the Option Agreement.</w:t>
      </w:r>
    </w:p>
    <w:p>
      <w:pPr>
        <w:spacing w:after="0" w:line="30" w:lineRule="exact"/>
        <w:rPr>
          <w:rFonts w:ascii="Arial" w:cs="Arial" w:eastAsia="Arial" w:hAnsi="Arial"/>
          <w:sz w:val="16"/>
          <w:szCs w:val="16"/>
          <w:color w:val="auto"/>
        </w:rPr>
      </w:pPr>
    </w:p>
    <w:p>
      <w:pPr>
        <w:ind w:left="4" w:right="80" w:firstLine="987"/>
        <w:spacing w:after="0" w:line="263" w:lineRule="auto"/>
        <w:tabs>
          <w:tab w:leader="none" w:pos="1175" w:val="left"/>
        </w:tabs>
        <w:numPr>
          <w:ilvl w:val="2"/>
          <w:numId w:val="188"/>
        </w:numPr>
        <w:rPr>
          <w:rFonts w:ascii="Arial" w:cs="Arial" w:eastAsia="Arial" w:hAnsi="Arial"/>
          <w:sz w:val="18"/>
          <w:szCs w:val="18"/>
          <w:color w:val="auto"/>
        </w:rPr>
      </w:pPr>
      <w:r>
        <w:rPr>
          <w:rFonts w:ascii="Arial" w:cs="Arial" w:eastAsia="Arial" w:hAnsi="Arial"/>
          <w:sz w:val="18"/>
          <w:szCs w:val="18"/>
          <w:color w:val="auto"/>
        </w:rPr>
        <w:t>If such termination was due to death or disability, the Participant shall have at least six (6) months after the date of such termination to exercise his or her Option to the extent the Participant is entitled to exercise on his or her termination date, provided that in no event shall the Option be exercisable after the expiration of the Option term as set forth in the Option Agreement.</w:t>
      </w:r>
    </w:p>
    <w:p>
      <w:pPr>
        <w:spacing w:after="0" w:line="184"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“Disability” for purposes of this Addendum shall mean the inability of the Participant, in the opinion of a qualified physician acceptable to the Company, to perform the major duties of the Participant’s position with the Company or any Parent or Subsidiary because of the sickness of injury of the Participant.</w:t>
      </w:r>
    </w:p>
    <w:p>
      <w:pPr>
        <w:spacing w:after="0" w:line="76" w:lineRule="exact"/>
        <w:rPr>
          <w:sz w:val="20"/>
          <w:szCs w:val="20"/>
          <w:color w:val="auto"/>
        </w:rPr>
      </w:pPr>
    </w:p>
    <w:p>
      <w:pPr>
        <w:ind w:left="4" w:right="140" w:firstLine="436"/>
        <w:spacing w:after="0" w:line="277" w:lineRule="auto"/>
        <w:tabs>
          <w:tab w:leader="none" w:pos="624" w:val="left"/>
        </w:tabs>
        <w:numPr>
          <w:ilvl w:val="0"/>
          <w:numId w:val="189"/>
        </w:numPr>
        <w:rPr>
          <w:rFonts w:ascii="Arial" w:cs="Arial" w:eastAsia="Arial" w:hAnsi="Arial"/>
          <w:sz w:val="18"/>
          <w:szCs w:val="18"/>
          <w:color w:val="auto"/>
        </w:rPr>
      </w:pPr>
      <w:r>
        <w:rPr>
          <w:rFonts w:ascii="Arial" w:cs="Arial" w:eastAsia="Arial" w:hAnsi="Arial"/>
          <w:sz w:val="18"/>
          <w:szCs w:val="18"/>
          <w:color w:val="auto"/>
        </w:rPr>
        <w:t>Notwithstanding anything stated herein to the contrary, no Option shall be exercisable on or after the tenth anniversary of the date of grant and any Award agreement shall terminate on or before the tenth anniversary of the date of grant.</w:t>
      </w:r>
    </w:p>
    <w:p>
      <w:pPr>
        <w:spacing w:after="0" w:line="62" w:lineRule="exact"/>
        <w:rPr>
          <w:rFonts w:ascii="Arial" w:cs="Arial" w:eastAsia="Arial" w:hAnsi="Arial"/>
          <w:sz w:val="18"/>
          <w:szCs w:val="18"/>
          <w:color w:val="auto"/>
        </w:rPr>
      </w:pPr>
    </w:p>
    <w:p>
      <w:pPr>
        <w:ind w:left="4" w:right="160" w:firstLine="436"/>
        <w:spacing w:after="0" w:line="272" w:lineRule="auto"/>
        <w:tabs>
          <w:tab w:leader="none" w:pos="624" w:val="left"/>
        </w:tabs>
        <w:numPr>
          <w:ilvl w:val="0"/>
          <w:numId w:val="189"/>
        </w:numPr>
        <w:rPr>
          <w:rFonts w:ascii="Arial" w:cs="Arial" w:eastAsia="Arial" w:hAnsi="Arial"/>
          <w:sz w:val="17"/>
          <w:szCs w:val="17"/>
          <w:color w:val="auto"/>
        </w:rPr>
      </w:pPr>
      <w:r>
        <w:rPr>
          <w:rFonts w:ascii="Arial" w:cs="Arial" w:eastAsia="Arial" w:hAnsi="Arial"/>
          <w:sz w:val="17"/>
          <w:szCs w:val="17"/>
          <w:color w:val="auto"/>
        </w:rPr>
        <w:t>The Company shall furnish summary financial information (audited or unaudited) of the Company’s financial condition and results of operations, consistent with the requirements of Applicable Laws, at least annually to each California Participant during the period such Participant has one or more Awards outstanding, and in the case of an individual who acquired Shares pursuant to the Plan, during the period such Participant owns such Shares. The Company shall not be required to provide such information if (i) the issuance is limited to key employees whose duties in connection with the Company assure their access to equivalent information or (ii) the Plan or any agreement complies with all conditions of Rule 701 of the Securities Act of 1933, as amended; provided that for purposes of determining such compliance, any registered domestic partner shall be considered a “family member” as that term is defined in Rule 701.</w:t>
      </w:r>
    </w:p>
    <w:p>
      <w:pPr>
        <w:sectPr>
          <w:pgSz w:w="11900" w:h="16838" w:orient="portrait"/>
          <w:cols w:equalWidth="0" w:num="1">
            <w:col w:w="11004"/>
          </w:cols>
          <w:pgMar w:left="436" w:top="270" w:right="459" w:bottom="1440" w:gutter="0" w:footer="0" w:header="0"/>
        </w:sectPr>
      </w:pPr>
    </w:p>
    <w:bookmarkStart w:id="246" w:name="page247"/>
    <w:bookmarkEnd w:id="24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ASANA,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2009 STOCK PLAN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NOTICE OF STOCK OPTION GRANT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151765</wp:posOffset>
            </wp:positionV>
            <wp:extent cx="268287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23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151765</wp:posOffset>
            </wp:positionV>
            <wp:extent cx="268287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You have been granted an option to purchase Common Stock of Asana,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as follows:</w:t>
      </w:r>
    </w:p>
    <w:p>
      <w:pPr>
        <w:sectPr>
          <w:pgSz w:w="11900" w:h="16838" w:orient="portrait"/>
          <w:cols w:equalWidth="0" w:num="1">
            <w:col w:w="10980"/>
          </w:cols>
          <w:pgMar w:left="440" w:top="270" w:right="479" w:bottom="1440" w:gutter="0" w:footer="0" w:header="0"/>
        </w:sectPr>
      </w:pPr>
    </w:p>
    <w:p>
      <w:pPr>
        <w:spacing w:after="0" w:line="27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Date of Grant:</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«GrantDate»</w:t>
      </w:r>
    </w:p>
    <w:p>
      <w:pPr>
        <w:spacing w:after="0" w:line="140" w:lineRule="exact"/>
        <w:rPr>
          <w:sz w:val="20"/>
          <w:szCs w:val="20"/>
          <w:color w:val="auto"/>
        </w:rPr>
      </w:pPr>
    </w:p>
    <w:p>
      <w:pPr>
        <w:sectPr>
          <w:pgSz w:w="11900" w:h="16838" w:orient="portrait"/>
          <w:cols w:equalWidth="0" w:num="2">
            <w:col w:w="3860" w:space="720"/>
            <w:col w:w="6400"/>
          </w:cols>
          <w:pgMar w:left="440" w:top="270" w:right="479" w:bottom="1440" w:gutter="0" w:footer="0" w:header="0"/>
          <w:type w:val="continuous"/>
        </w:sectPr>
      </w:pPr>
    </w:p>
    <w:p>
      <w:pPr>
        <w:ind w:left="1100"/>
        <w:spacing w:after="0"/>
        <w:rPr>
          <w:sz w:val="20"/>
          <w:szCs w:val="20"/>
          <w:color w:val="auto"/>
        </w:rPr>
      </w:pPr>
      <w:r>
        <w:rPr>
          <w:rFonts w:ascii="Arial" w:cs="Arial" w:eastAsia="Arial" w:hAnsi="Arial"/>
          <w:sz w:val="15"/>
          <w:szCs w:val="15"/>
          <w:color w:val="auto"/>
        </w:rPr>
        <w:t>Exercise Price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$«ExercisePrice»</w:t>
      </w:r>
    </w:p>
    <w:p>
      <w:pPr>
        <w:spacing w:after="0" w:line="140" w:lineRule="exact"/>
        <w:rPr>
          <w:sz w:val="20"/>
          <w:szCs w:val="20"/>
          <w:color w:val="auto"/>
        </w:rPr>
      </w:pPr>
    </w:p>
    <w:p>
      <w:pPr>
        <w:sectPr>
          <w:pgSz w:w="11900" w:h="16838" w:orient="portrait"/>
          <w:cols w:equalWidth="0" w:num="2">
            <w:col w:w="3860" w:space="720"/>
            <w:col w:w="6400"/>
          </w:cols>
          <w:pgMar w:left="440" w:top="270" w:right="479" w:bottom="1440" w:gutter="0" w:footer="0" w:header="0"/>
          <w:type w:val="continuous"/>
        </w:sectPr>
      </w:pPr>
    </w:p>
    <w:p>
      <w:pPr>
        <w:ind w:left="1100"/>
        <w:spacing w:after="0"/>
        <w:rPr>
          <w:sz w:val="20"/>
          <w:szCs w:val="20"/>
          <w:color w:val="auto"/>
        </w:rPr>
      </w:pPr>
      <w:r>
        <w:rPr>
          <w:rFonts w:ascii="Arial" w:cs="Arial" w:eastAsia="Arial" w:hAnsi="Arial"/>
          <w:sz w:val="16"/>
          <w:szCs w:val="16"/>
          <w:color w:val="auto"/>
        </w:rPr>
        <w:t>Total Number of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«NoOfShares»</w:t>
      </w:r>
    </w:p>
    <w:p>
      <w:pPr>
        <w:spacing w:after="0" w:line="140" w:lineRule="exact"/>
        <w:rPr>
          <w:sz w:val="20"/>
          <w:szCs w:val="20"/>
          <w:color w:val="auto"/>
        </w:rPr>
      </w:pPr>
    </w:p>
    <w:p>
      <w:pPr>
        <w:sectPr>
          <w:pgSz w:w="11900" w:h="16838" w:orient="portrait"/>
          <w:cols w:equalWidth="0" w:num="2">
            <w:col w:w="3860" w:space="720"/>
            <w:col w:w="6400"/>
          </w:cols>
          <w:pgMar w:left="440" w:top="270" w:right="479" w:bottom="1440" w:gutter="0" w:footer="0" w:header="0"/>
          <w:type w:val="continuous"/>
        </w:sectPr>
      </w:pPr>
    </w:p>
    <w:p>
      <w:pPr>
        <w:ind w:left="1100"/>
        <w:spacing w:after="0"/>
        <w:rPr>
          <w:sz w:val="20"/>
          <w:szCs w:val="20"/>
          <w:color w:val="auto"/>
        </w:rPr>
      </w:pPr>
      <w:r>
        <w:rPr>
          <w:rFonts w:ascii="Arial" w:cs="Arial" w:eastAsia="Arial" w:hAnsi="Arial"/>
          <w:sz w:val="16"/>
          <w:szCs w:val="16"/>
          <w:color w:val="auto"/>
        </w:rPr>
        <w:t>Total Exercise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$«TotalExercisePrice»</w:t>
      </w:r>
    </w:p>
    <w:p>
      <w:pPr>
        <w:spacing w:after="0" w:line="140" w:lineRule="exact"/>
        <w:rPr>
          <w:sz w:val="20"/>
          <w:szCs w:val="20"/>
          <w:color w:val="auto"/>
        </w:rPr>
      </w:pPr>
    </w:p>
    <w:p>
      <w:pPr>
        <w:sectPr>
          <w:pgSz w:w="11900" w:h="16838" w:orient="portrait"/>
          <w:cols w:equalWidth="0" w:num="2">
            <w:col w:w="3860" w:space="720"/>
            <w:col w:w="6400"/>
          </w:cols>
          <w:pgMar w:left="440" w:top="270" w:right="479" w:bottom="1440" w:gutter="0" w:footer="0" w:header="0"/>
          <w:type w:val="continuous"/>
        </w:sectPr>
      </w:pPr>
    </w:p>
    <w:p>
      <w:pPr>
        <w:ind w:left="1100"/>
        <w:spacing w:after="0"/>
        <w:rPr>
          <w:sz w:val="20"/>
          <w:szCs w:val="20"/>
          <w:color w:val="auto"/>
        </w:rPr>
      </w:pPr>
      <w:r>
        <w:rPr>
          <w:rFonts w:ascii="Arial" w:cs="Arial" w:eastAsia="Arial" w:hAnsi="Arial"/>
          <w:sz w:val="16"/>
          <w:szCs w:val="16"/>
          <w:color w:val="auto"/>
        </w:rPr>
        <w:t>Type of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«ISO» Shares Incentive Stock Option</w:t>
      </w:r>
    </w:p>
    <w:p>
      <w:pPr>
        <w:spacing w:after="0" w:line="140" w:lineRule="exact"/>
        <w:rPr>
          <w:sz w:val="20"/>
          <w:szCs w:val="20"/>
          <w:color w:val="auto"/>
        </w:rPr>
      </w:pPr>
    </w:p>
    <w:p>
      <w:pPr>
        <w:sectPr>
          <w:pgSz w:w="11900" w:h="16838" w:orient="portrait"/>
          <w:cols w:equalWidth="0" w:num="2">
            <w:col w:w="3860" w:space="720"/>
            <w:col w:w="6400"/>
          </w:cols>
          <w:pgMar w:left="440" w:top="270" w:right="479" w:bottom="1440" w:gutter="0" w:footer="0" w:header="0"/>
          <w:type w:val="continuous"/>
        </w:sectPr>
      </w:pPr>
    </w:p>
    <w:p>
      <w:pPr>
        <w:ind w:left="4580"/>
        <w:spacing w:after="0"/>
        <w:rPr>
          <w:sz w:val="20"/>
          <w:szCs w:val="20"/>
          <w:color w:val="auto"/>
        </w:rPr>
      </w:pPr>
      <w:r>
        <w:rPr>
          <w:rFonts w:ascii="Arial" w:cs="Arial" w:eastAsia="Arial" w:hAnsi="Arial"/>
          <w:sz w:val="16"/>
          <w:szCs w:val="16"/>
          <w:color w:val="auto"/>
        </w:rPr>
        <w:t>«NSO» Shares Nonstatutory Stock Option</w:t>
      </w:r>
    </w:p>
    <w:p>
      <w:pPr>
        <w:sectPr>
          <w:pgSz w:w="11900" w:h="16838" w:orient="portrait"/>
          <w:cols w:equalWidth="0" w:num="1">
            <w:col w:w="10980"/>
          </w:cols>
          <w:pgMar w:left="440" w:top="270" w:right="479" w:bottom="1440" w:gutter="0" w:footer="0" w:header="0"/>
          <w:type w:val="continuous"/>
        </w:sectPr>
      </w:pPr>
    </w:p>
    <w:p>
      <w:pPr>
        <w:spacing w:after="0" w:line="140"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Expiration Date: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«ExpirDate»</w:t>
      </w:r>
    </w:p>
    <w:p>
      <w:pPr>
        <w:spacing w:after="0" w:line="140" w:lineRule="exact"/>
        <w:rPr>
          <w:sz w:val="20"/>
          <w:szCs w:val="20"/>
          <w:color w:val="auto"/>
        </w:rPr>
      </w:pPr>
    </w:p>
    <w:p>
      <w:pPr>
        <w:sectPr>
          <w:pgSz w:w="11900" w:h="16838" w:orient="portrait"/>
          <w:cols w:equalWidth="0" w:num="2">
            <w:col w:w="3860" w:space="720"/>
            <w:col w:w="6400"/>
          </w:cols>
          <w:pgMar w:left="440" w:top="270" w:right="479" w:bottom="1440" w:gutter="0" w:footer="0" w:header="0"/>
          <w:type w:val="continuous"/>
        </w:sectPr>
      </w:pPr>
    </w:p>
    <w:p>
      <w:pPr>
        <w:ind w:left="1100"/>
        <w:spacing w:after="0"/>
        <w:rPr>
          <w:sz w:val="20"/>
          <w:szCs w:val="20"/>
          <w:color w:val="auto"/>
        </w:rPr>
      </w:pPr>
      <w:r>
        <w:rPr>
          <w:rFonts w:ascii="Arial" w:cs="Arial" w:eastAsia="Arial" w:hAnsi="Arial"/>
          <w:sz w:val="16"/>
          <w:szCs w:val="16"/>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«VestingCommencementDate»</w:t>
      </w:r>
    </w:p>
    <w:p>
      <w:pPr>
        <w:spacing w:after="0" w:line="140" w:lineRule="exact"/>
        <w:rPr>
          <w:sz w:val="20"/>
          <w:szCs w:val="20"/>
          <w:color w:val="auto"/>
        </w:rPr>
      </w:pPr>
    </w:p>
    <w:p>
      <w:pPr>
        <w:sectPr>
          <w:pgSz w:w="11900" w:h="16838" w:orient="portrait"/>
          <w:cols w:equalWidth="0" w:num="2">
            <w:col w:w="3860" w:space="720"/>
            <w:col w:w="6400"/>
          </w:cols>
          <w:pgMar w:left="440" w:top="270" w:right="479" w:bottom="1440" w:gutter="0" w:footer="0" w:header="0"/>
          <w:type w:val="continuous"/>
        </w:sectPr>
      </w:pPr>
    </w:p>
    <w:p>
      <w:pPr>
        <w:ind w:left="1100"/>
        <w:spacing w:after="0"/>
        <w:rPr>
          <w:sz w:val="20"/>
          <w:szCs w:val="20"/>
          <w:color w:val="auto"/>
        </w:rPr>
      </w:pPr>
      <w:r>
        <w:rPr>
          <w:rFonts w:ascii="Arial" w:cs="Arial" w:eastAsia="Arial" w:hAnsi="Arial"/>
          <w:sz w:val="16"/>
          <w:szCs w:val="16"/>
          <w:color w:val="auto"/>
        </w:rPr>
        <w:t>Vesting/Exercise Schedule:</w:t>
      </w:r>
    </w:p>
    <w:p>
      <w:pPr>
        <w:spacing w:after="0" w:line="20" w:lineRule="exact"/>
        <w:rPr>
          <w:sz w:val="20"/>
          <w:szCs w:val="20"/>
          <w:color w:val="auto"/>
        </w:rPr>
      </w:pPr>
      <w:r>
        <w:rPr>
          <w:sz w:val="20"/>
          <w:szCs w:val="20"/>
          <w:color w:val="auto"/>
        </w:rPr>
        <w:br w:type="column"/>
      </w:r>
    </w:p>
    <w:p>
      <w:pPr>
        <w:spacing w:after="0" w:line="263" w:lineRule="auto"/>
        <w:rPr>
          <w:sz w:val="20"/>
          <w:szCs w:val="20"/>
          <w:color w:val="auto"/>
        </w:rPr>
      </w:pPr>
      <w:r>
        <w:rPr>
          <w:rFonts w:ascii="Arial" w:cs="Arial" w:eastAsia="Arial" w:hAnsi="Arial"/>
          <w:sz w:val="18"/>
          <w:szCs w:val="18"/>
          <w:color w:val="auto"/>
        </w:rPr>
        <w:t>So long as your Continuous Service Status does not terminate, the Shares underlying this Option shall vest and become exercisable in accordance with the following schedule: «Vesting»</w:t>
      </w:r>
    </w:p>
    <w:p>
      <w:pPr>
        <w:spacing w:after="0" w:line="76" w:lineRule="exact"/>
        <w:rPr>
          <w:sz w:val="20"/>
          <w:szCs w:val="20"/>
          <w:color w:val="auto"/>
        </w:rPr>
      </w:pPr>
    </w:p>
    <w:p>
      <w:pPr>
        <w:sectPr>
          <w:pgSz w:w="11900" w:h="16838" w:orient="portrait"/>
          <w:cols w:equalWidth="0" w:num="2">
            <w:col w:w="3860" w:space="720"/>
            <w:col w:w="6400"/>
          </w:cols>
          <w:pgMar w:left="440" w:top="270" w:right="479" w:bottom="1440" w:gutter="0" w:footer="0" w:header="0"/>
          <w:type w:val="continuous"/>
        </w:sectPr>
      </w:pPr>
    </w:p>
    <w:p>
      <w:pPr>
        <w:ind w:left="1100"/>
        <w:spacing w:after="0"/>
        <w:rPr>
          <w:sz w:val="20"/>
          <w:szCs w:val="20"/>
          <w:color w:val="auto"/>
        </w:rPr>
      </w:pPr>
      <w:r>
        <w:rPr>
          <w:rFonts w:ascii="Arial" w:cs="Arial" w:eastAsia="Arial" w:hAnsi="Arial"/>
          <w:sz w:val="16"/>
          <w:szCs w:val="16"/>
          <w:color w:val="auto"/>
        </w:rPr>
        <w:t>Termination Period:</w:t>
      </w:r>
    </w:p>
    <w:p>
      <w:pPr>
        <w:spacing w:after="0" w:line="20" w:lineRule="exact"/>
        <w:rPr>
          <w:sz w:val="20"/>
          <w:szCs w:val="20"/>
          <w:color w:val="auto"/>
        </w:rPr>
      </w:pPr>
      <w:r>
        <w:rPr>
          <w:sz w:val="20"/>
          <w:szCs w:val="20"/>
          <w:color w:val="auto"/>
        </w:rPr>
        <w:br w:type="column"/>
      </w:r>
    </w:p>
    <w:p>
      <w:pPr>
        <w:ind w:right="100"/>
        <w:spacing w:after="0" w:line="296" w:lineRule="auto"/>
        <w:rPr>
          <w:sz w:val="20"/>
          <w:szCs w:val="20"/>
          <w:color w:val="auto"/>
        </w:rPr>
      </w:pPr>
      <w:r>
        <w:rPr>
          <w:rFonts w:ascii="Arial" w:cs="Arial" w:eastAsia="Arial" w:hAnsi="Arial"/>
          <w:sz w:val="16"/>
          <w:szCs w:val="16"/>
          <w:color w:val="auto"/>
        </w:rPr>
        <w:t>You may exercise this Option for three (3) months after termination of your Continuous Service Status except as set out in Section 5 of the Stock Option Agreement (but in no event later than the Expiration Date). You are responsible for keeping track of these exercise periods following the termination of your Continuous Service Status for any reason. The Company will not provide further notice of such periods.</w:t>
      </w:r>
    </w:p>
    <w:p>
      <w:pPr>
        <w:spacing w:after="0" w:line="53" w:lineRule="exact"/>
        <w:rPr>
          <w:sz w:val="20"/>
          <w:szCs w:val="20"/>
          <w:color w:val="auto"/>
        </w:rPr>
      </w:pPr>
    </w:p>
    <w:p>
      <w:pPr>
        <w:sectPr>
          <w:pgSz w:w="11900" w:h="16838" w:orient="portrait"/>
          <w:cols w:equalWidth="0" w:num="2">
            <w:col w:w="3860" w:space="720"/>
            <w:col w:w="6400"/>
          </w:cols>
          <w:pgMar w:left="440" w:top="270" w:right="479" w:bottom="1440" w:gutter="0" w:footer="0" w:header="0"/>
          <w:type w:val="continuous"/>
        </w:sectPr>
      </w:pPr>
    </w:p>
    <w:p>
      <w:pPr>
        <w:ind w:left="1100"/>
        <w:spacing w:after="0"/>
        <w:rPr>
          <w:sz w:val="20"/>
          <w:szCs w:val="20"/>
          <w:color w:val="auto"/>
        </w:rPr>
      </w:pPr>
      <w:r>
        <w:rPr>
          <w:rFonts w:ascii="Arial" w:cs="Arial" w:eastAsia="Arial" w:hAnsi="Arial"/>
          <w:sz w:val="17"/>
          <w:szCs w:val="17"/>
          <w:color w:val="auto"/>
        </w:rPr>
        <w:t>Transferability: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You may not transfer this Option.</w:t>
      </w:r>
    </w:p>
    <w:p>
      <w:pPr>
        <w:spacing w:after="0" w:line="180" w:lineRule="exact"/>
        <w:rPr>
          <w:sz w:val="20"/>
          <w:szCs w:val="20"/>
          <w:color w:val="auto"/>
        </w:rPr>
      </w:pPr>
    </w:p>
    <w:p>
      <w:pPr>
        <w:sectPr>
          <w:pgSz w:w="11900" w:h="16838" w:orient="portrait"/>
          <w:cols w:equalWidth="0" w:num="2">
            <w:col w:w="3860" w:space="720"/>
            <w:col w:w="6400"/>
          </w:cols>
          <w:pgMar w:left="440" w:top="270" w:right="479" w:bottom="1440" w:gutter="0" w:footer="0" w:header="0"/>
          <w:type w:val="continuous"/>
        </w:sectPr>
      </w:pPr>
    </w:p>
    <w:p>
      <w:pPr>
        <w:jc w:val="center"/>
        <w:ind w:right="-19"/>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0980"/>
          </w:cols>
          <w:pgMar w:left="440" w:top="270" w:right="479" w:bottom="1440" w:gutter="0" w:footer="0" w:header="0"/>
          <w:type w:val="continuous"/>
        </w:sectPr>
      </w:pPr>
    </w:p>
    <w:bookmarkStart w:id="247" w:name="page248"/>
    <w:bookmarkEnd w:id="247"/>
    <w:p>
      <w:pPr>
        <w:jc w:val="both"/>
        <w:ind w:right="2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By your signature and the signature of the Company’s representative below, you and the Company agree that this Option is granted under and governed by the terms and conditions of the Company’s 2009 Stock Plan and the Stock Option Agreement, both of which are attached to and made a part of this document.</w:t>
      </w:r>
    </w:p>
    <w:p>
      <w:pPr>
        <w:spacing w:after="0" w:line="184"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In addition, you agree and acknowledge that your rights to any Shares underlying this Option will be earned only as you provide services to the Company over time, that the grant of this Option is not as consideration for services you rendered to the Company prior to your date of hire, and that nothing in this Notice or the attached documents confers upon you any right to continue your employment or consulting relationship with the Company for any period of time, nor does it interfere in any way with your right or the Company’s right to terminate that relationship at any time, for any reason, with or without cause. Also, to the extent applicable, the Exercise Price Per Share has been set in good faith compliance with the applicable guidance issued by the IRS under Section 409A of the Code. However, there is no guarantee that the IRS will agree with the valuation, and by signing below, you agree and acknowledge that the Company shall not be held liable for any applicable costs, taxes, or penalties associated with this Option if, in fact, the IRS were to determine that this Option constitutes deferred compensation under Section 409A of the Code. You should consult with your own tax advisor concerning the tax consequences of such a determination by the IRS.</w:t>
      </w:r>
    </w:p>
    <w:p>
      <w:pPr>
        <w:spacing w:after="0" w:line="20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ASANA,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2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OPTIONEE:</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«OPTIONEE»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(Signature)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440" w:top="274" w:right="519" w:bottom="1440" w:gutter="0" w:footer="0" w:header="0"/>
        </w:sectPr>
      </w:pPr>
    </w:p>
    <w:bookmarkStart w:id="248" w:name="page249"/>
    <w:bookmarkEnd w:id="24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ASANA,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STOCK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STOCK OPTION AGREEMENT</w:t>
      </w:r>
    </w:p>
    <w:p>
      <w:pPr>
        <w:spacing w:after="0" w:line="225" w:lineRule="exact"/>
        <w:rPr>
          <w:sz w:val="20"/>
          <w:szCs w:val="20"/>
          <w:color w:val="auto"/>
        </w:rPr>
      </w:pPr>
    </w:p>
    <w:p>
      <w:pPr>
        <w:ind w:firstLine="436"/>
        <w:spacing w:after="0" w:line="258" w:lineRule="auto"/>
        <w:tabs>
          <w:tab w:leader="none" w:pos="620" w:val="left"/>
        </w:tabs>
        <w:numPr>
          <w:ilvl w:val="0"/>
          <w:numId w:val="190"/>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 of Option</w:t>
      </w:r>
      <w:r>
        <w:rPr>
          <w:rFonts w:ascii="Arial" w:cs="Arial" w:eastAsia="Arial" w:hAnsi="Arial"/>
          <w:sz w:val="18"/>
          <w:szCs w:val="18"/>
          <w:color w:val="auto"/>
        </w:rPr>
        <w:t>. Asana,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hereby grants to «Optionee» (“</w:t>
      </w:r>
      <w:r>
        <w:rPr>
          <w:rFonts w:ascii="Arial" w:cs="Arial" w:eastAsia="Arial" w:hAnsi="Arial"/>
          <w:sz w:val="18"/>
          <w:szCs w:val="18"/>
          <w:u w:val="single" w:color="auto"/>
          <w:color w:val="auto"/>
        </w:rPr>
        <w:t>Optionee</w:t>
      </w:r>
      <w:r>
        <w:rPr>
          <w:rFonts w:ascii="Arial" w:cs="Arial" w:eastAsia="Arial" w:hAnsi="Arial"/>
          <w:sz w:val="18"/>
          <w:szCs w:val="18"/>
          <w:color w:val="auto"/>
        </w:rPr>
        <w:t>”), an option (the “</w:t>
      </w:r>
      <w:r>
        <w:rPr>
          <w:rFonts w:ascii="Arial" w:cs="Arial" w:eastAsia="Arial" w:hAnsi="Arial"/>
          <w:sz w:val="18"/>
          <w:szCs w:val="18"/>
          <w:u w:val="single" w:color="auto"/>
          <w:color w:val="auto"/>
        </w:rPr>
        <w:t>Option</w:t>
      </w:r>
      <w:r>
        <w:rPr>
          <w:rFonts w:ascii="Arial" w:cs="Arial" w:eastAsia="Arial" w:hAnsi="Arial"/>
          <w:sz w:val="18"/>
          <w:szCs w:val="18"/>
          <w:color w:val="auto"/>
        </w:rPr>
        <w:t>”) to</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the total number of shares of Common Stock (the “</w:t>
      </w:r>
      <w:r>
        <w:rPr>
          <w:rFonts w:ascii="Arial" w:cs="Arial" w:eastAsia="Arial" w:hAnsi="Arial"/>
          <w:sz w:val="18"/>
          <w:szCs w:val="18"/>
          <w:u w:val="single" w:color="auto"/>
          <w:color w:val="auto"/>
        </w:rPr>
        <w:t>Shares</w:t>
      </w:r>
      <w:r>
        <w:rPr>
          <w:rFonts w:ascii="Arial" w:cs="Arial" w:eastAsia="Arial" w:hAnsi="Arial"/>
          <w:sz w:val="18"/>
          <w:szCs w:val="18"/>
          <w:color w:val="auto"/>
        </w:rPr>
        <w:t>”) set forth in the Notice of Stock Option Grant (the “</w:t>
      </w:r>
      <w:r>
        <w:rPr>
          <w:rFonts w:ascii="Arial" w:cs="Arial" w:eastAsia="Arial" w:hAnsi="Arial"/>
          <w:sz w:val="18"/>
          <w:szCs w:val="18"/>
          <w:u w:val="single" w:color="auto"/>
          <w:color w:val="auto"/>
        </w:rPr>
        <w:t>Notice</w:t>
      </w:r>
      <w:r>
        <w:rPr>
          <w:rFonts w:ascii="Arial" w:cs="Arial" w:eastAsia="Arial" w:hAnsi="Arial"/>
          <w:sz w:val="18"/>
          <w:szCs w:val="18"/>
          <w:color w:val="auto"/>
        </w:rPr>
        <w:t>”), at the exercise price per Share set forth in the Notice (the “</w:t>
      </w:r>
      <w:r>
        <w:rPr>
          <w:rFonts w:ascii="Arial" w:cs="Arial" w:eastAsia="Arial" w:hAnsi="Arial"/>
          <w:sz w:val="18"/>
          <w:szCs w:val="18"/>
          <w:u w:val="single" w:color="auto"/>
          <w:color w:val="auto"/>
        </w:rPr>
        <w:t>Exercise Price</w:t>
      </w:r>
      <w:r>
        <w:rPr>
          <w:rFonts w:ascii="Arial" w:cs="Arial" w:eastAsia="Arial" w:hAnsi="Arial"/>
          <w:sz w:val="18"/>
          <w:szCs w:val="18"/>
          <w:color w:val="auto"/>
        </w:rPr>
        <w:t>”) subject to the terms, definitions and provisions of the Asana, Inc. 2009 Stock Plan (the “</w:t>
      </w:r>
      <w:r>
        <w:rPr>
          <w:rFonts w:ascii="Arial" w:cs="Arial" w:eastAsia="Arial" w:hAnsi="Arial"/>
          <w:sz w:val="18"/>
          <w:szCs w:val="18"/>
          <w:u w:val="single" w:color="auto"/>
          <w:color w:val="auto"/>
        </w:rPr>
        <w:t>Plan</w:t>
      </w:r>
      <w:r>
        <w:rPr>
          <w:rFonts w:ascii="Arial" w:cs="Arial" w:eastAsia="Arial" w:hAnsi="Arial"/>
          <w:sz w:val="18"/>
          <w:szCs w:val="18"/>
          <w:color w:val="auto"/>
        </w:rPr>
        <w:t>”) adopted by the Company, which is incorporated in this Agreement by reference. Unless otherwise defined in this Agreement, the terms used in this Agreement shall have the meanings defined in the Plan.</w:t>
      </w:r>
    </w:p>
    <w:p>
      <w:pPr>
        <w:spacing w:after="0" w:line="75" w:lineRule="exact"/>
        <w:rPr>
          <w:rFonts w:ascii="Arial" w:cs="Arial" w:eastAsia="Arial" w:hAnsi="Arial"/>
          <w:sz w:val="18"/>
          <w:szCs w:val="18"/>
          <w:color w:val="auto"/>
        </w:rPr>
      </w:pPr>
    </w:p>
    <w:p>
      <w:pPr>
        <w:ind w:right="40" w:firstLine="436"/>
        <w:spacing w:after="0" w:line="266" w:lineRule="auto"/>
        <w:tabs>
          <w:tab w:leader="none" w:pos="620" w:val="left"/>
        </w:tabs>
        <w:numPr>
          <w:ilvl w:val="0"/>
          <w:numId w:val="190"/>
        </w:numPr>
        <w:rPr>
          <w:rFonts w:ascii="Arial" w:cs="Arial" w:eastAsia="Arial" w:hAnsi="Arial"/>
          <w:sz w:val="18"/>
          <w:szCs w:val="18"/>
          <w:color w:val="auto"/>
        </w:rPr>
      </w:pPr>
      <w:r>
        <w:rPr>
          <w:rFonts w:ascii="Arial" w:cs="Arial" w:eastAsia="Arial" w:hAnsi="Arial"/>
          <w:sz w:val="18"/>
          <w:szCs w:val="18"/>
          <w:b w:val="1"/>
          <w:bCs w:val="1"/>
          <w:u w:val="single" w:color="auto"/>
          <w:color w:val="auto"/>
        </w:rPr>
        <w:t>Designation of Option</w:t>
      </w:r>
      <w:r>
        <w:rPr>
          <w:rFonts w:ascii="Arial" w:cs="Arial" w:eastAsia="Arial" w:hAnsi="Arial"/>
          <w:sz w:val="18"/>
          <w:szCs w:val="18"/>
          <w:color w:val="auto"/>
        </w:rPr>
        <w:t>. This Option is intended to be an Incentive Stock Option as defined in Section 422 of the Code only to the extent so</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designated in the Notice, and to the extent it is not so designated or to the extent this Option does not qualify as an Incentive Stock Option, it is intended to be a Nonstatutory Stock Option.</w:t>
      </w:r>
    </w:p>
    <w:p>
      <w:pPr>
        <w:spacing w:after="0" w:line="180"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Notwithstanding the above, if designated as an Incentive Stock Option, in the event that the Shares subject to this Option (and all other Incentive Stock Options granted to Optionee by the Company or any Parent or Subsidiary, including under other plans of the Company) that first become exercisable in any calendar year have an aggregate fair market value (determined for each Share as of the date of grant of the option covering such Share) in excess of $100,000, the Shares in excess of $100,000 shall be treated as subject to a Nonstatutory Stock Option, in accordance with Section 5(c) of the Plan.</w:t>
      </w:r>
    </w:p>
    <w:p>
      <w:pPr>
        <w:spacing w:after="0" w:line="76" w:lineRule="exact"/>
        <w:rPr>
          <w:sz w:val="20"/>
          <w:szCs w:val="20"/>
          <w:color w:val="auto"/>
        </w:rPr>
      </w:pPr>
    </w:p>
    <w:p>
      <w:pPr>
        <w:ind w:right="20" w:firstLine="436"/>
        <w:spacing w:after="0" w:line="282" w:lineRule="auto"/>
        <w:tabs>
          <w:tab w:leader="none" w:pos="620" w:val="left"/>
        </w:tabs>
        <w:numPr>
          <w:ilvl w:val="0"/>
          <w:numId w:val="191"/>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 of Option</w:t>
      </w:r>
      <w:r>
        <w:rPr>
          <w:rFonts w:ascii="Arial" w:cs="Arial" w:eastAsia="Arial" w:hAnsi="Arial"/>
          <w:sz w:val="18"/>
          <w:szCs w:val="18"/>
          <w:color w:val="auto"/>
        </w:rPr>
        <w:t>. This Option shall be exercisable during its term in accordance with the Vesting/Exercise Schedule set out in the Notice and</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provisions of Section 10 of the Plan as follows:</w:t>
      </w:r>
    </w:p>
    <w:p>
      <w:pPr>
        <w:spacing w:after="0" w:line="53" w:lineRule="exact"/>
        <w:rPr>
          <w:rFonts w:ascii="Arial" w:cs="Arial" w:eastAsia="Arial" w:hAnsi="Arial"/>
          <w:sz w:val="18"/>
          <w:szCs w:val="18"/>
          <w:color w:val="auto"/>
        </w:rPr>
      </w:pPr>
    </w:p>
    <w:p>
      <w:pPr>
        <w:ind w:left="1240" w:hanging="253"/>
        <w:spacing w:after="0"/>
        <w:tabs>
          <w:tab w:leader="none" w:pos="1240" w:val="left"/>
        </w:tabs>
        <w:numPr>
          <w:ilvl w:val="1"/>
          <w:numId w:val="191"/>
        </w:numPr>
        <w:rPr>
          <w:rFonts w:ascii="Arial" w:cs="Arial" w:eastAsia="Arial" w:hAnsi="Arial"/>
          <w:sz w:val="18"/>
          <w:szCs w:val="18"/>
          <w:color w:val="auto"/>
        </w:rPr>
      </w:pPr>
      <w:r>
        <w:rPr>
          <w:rFonts w:ascii="Arial" w:cs="Arial" w:eastAsia="Arial" w:hAnsi="Arial"/>
          <w:sz w:val="18"/>
          <w:szCs w:val="18"/>
          <w:b w:val="1"/>
          <w:bCs w:val="1"/>
          <w:u w:val="single" w:color="auto"/>
          <w:color w:val="auto"/>
        </w:rPr>
        <w:t>Right to Exercise</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1640" w:hanging="212"/>
        <w:spacing w:after="0"/>
        <w:tabs>
          <w:tab w:leader="none" w:pos="1640" w:val="left"/>
        </w:tabs>
        <w:numPr>
          <w:ilvl w:val="2"/>
          <w:numId w:val="191"/>
        </w:numPr>
        <w:rPr>
          <w:rFonts w:ascii="Arial" w:cs="Arial" w:eastAsia="Arial" w:hAnsi="Arial"/>
          <w:sz w:val="18"/>
          <w:szCs w:val="18"/>
          <w:color w:val="auto"/>
        </w:rPr>
      </w:pPr>
      <w:r>
        <w:rPr>
          <w:rFonts w:ascii="Arial" w:cs="Arial" w:eastAsia="Arial" w:hAnsi="Arial"/>
          <w:sz w:val="18"/>
          <w:szCs w:val="18"/>
          <w:color w:val="auto"/>
        </w:rPr>
        <w:t>This Option may not be exercised for a fraction of a share.</w:t>
      </w:r>
    </w:p>
    <w:p>
      <w:pPr>
        <w:spacing w:after="0" w:line="117" w:lineRule="exact"/>
        <w:rPr>
          <w:rFonts w:ascii="Arial" w:cs="Arial" w:eastAsia="Arial" w:hAnsi="Arial"/>
          <w:sz w:val="18"/>
          <w:szCs w:val="18"/>
          <w:color w:val="auto"/>
        </w:rPr>
      </w:pPr>
    </w:p>
    <w:p>
      <w:pPr>
        <w:ind w:right="40" w:firstLine="1428"/>
        <w:spacing w:after="0" w:line="277" w:lineRule="auto"/>
        <w:tabs>
          <w:tab w:leader="none" w:pos="1697" w:val="left"/>
        </w:tabs>
        <w:numPr>
          <w:ilvl w:val="2"/>
          <w:numId w:val="191"/>
        </w:numPr>
        <w:rPr>
          <w:rFonts w:ascii="Arial" w:cs="Arial" w:eastAsia="Arial" w:hAnsi="Arial"/>
          <w:sz w:val="18"/>
          <w:szCs w:val="18"/>
          <w:color w:val="auto"/>
        </w:rPr>
      </w:pPr>
      <w:r>
        <w:rPr>
          <w:rFonts w:ascii="Arial" w:cs="Arial" w:eastAsia="Arial" w:hAnsi="Arial"/>
          <w:sz w:val="18"/>
          <w:szCs w:val="18"/>
          <w:color w:val="auto"/>
        </w:rPr>
        <w:t>In the event of Optionee’s death, Disability or other termination of Continuous Service Status, the exercisability of this Option is governed by Section 5 below, subject to the limitations contained in this Section 3.</w:t>
      </w:r>
    </w:p>
    <w:p>
      <w:pPr>
        <w:spacing w:after="0" w:line="62" w:lineRule="exact"/>
        <w:rPr>
          <w:rFonts w:ascii="Arial" w:cs="Arial" w:eastAsia="Arial" w:hAnsi="Arial"/>
          <w:sz w:val="18"/>
          <w:szCs w:val="18"/>
          <w:color w:val="auto"/>
        </w:rPr>
      </w:pPr>
    </w:p>
    <w:p>
      <w:pPr>
        <w:ind w:left="1740" w:hanging="312"/>
        <w:spacing w:after="0"/>
        <w:tabs>
          <w:tab w:leader="none" w:pos="1740" w:val="left"/>
        </w:tabs>
        <w:numPr>
          <w:ilvl w:val="2"/>
          <w:numId w:val="191"/>
        </w:numPr>
        <w:rPr>
          <w:rFonts w:ascii="Arial" w:cs="Arial" w:eastAsia="Arial" w:hAnsi="Arial"/>
          <w:sz w:val="18"/>
          <w:szCs w:val="18"/>
          <w:color w:val="auto"/>
        </w:rPr>
      </w:pPr>
      <w:r>
        <w:rPr>
          <w:rFonts w:ascii="Arial" w:cs="Arial" w:eastAsia="Arial" w:hAnsi="Arial"/>
          <w:sz w:val="18"/>
          <w:szCs w:val="18"/>
          <w:color w:val="auto"/>
        </w:rPr>
        <w:t>In no event may this Option be exercised after the Expiration Date set forth in the Notice.</w:t>
      </w:r>
    </w:p>
    <w:p>
      <w:pPr>
        <w:spacing w:after="0" w:line="113" w:lineRule="exact"/>
        <w:rPr>
          <w:rFonts w:ascii="Arial" w:cs="Arial" w:eastAsia="Arial" w:hAnsi="Arial"/>
          <w:sz w:val="18"/>
          <w:szCs w:val="18"/>
          <w:color w:val="auto"/>
        </w:rPr>
      </w:pPr>
    </w:p>
    <w:p>
      <w:pPr>
        <w:ind w:left="1240" w:hanging="253"/>
        <w:spacing w:after="0"/>
        <w:tabs>
          <w:tab w:leader="none" w:pos="1240" w:val="left"/>
        </w:tabs>
        <w:numPr>
          <w:ilvl w:val="1"/>
          <w:numId w:val="191"/>
        </w:numPr>
        <w:rPr>
          <w:rFonts w:ascii="Arial" w:cs="Arial" w:eastAsia="Arial" w:hAnsi="Arial"/>
          <w:sz w:val="18"/>
          <w:szCs w:val="18"/>
          <w:color w:val="auto"/>
        </w:rPr>
      </w:pPr>
      <w:r>
        <w:rPr>
          <w:rFonts w:ascii="Arial" w:cs="Arial" w:eastAsia="Arial" w:hAnsi="Arial"/>
          <w:sz w:val="18"/>
          <w:szCs w:val="18"/>
          <w:b w:val="1"/>
          <w:bCs w:val="1"/>
          <w:u w:val="single" w:color="auto"/>
          <w:color w:val="auto"/>
        </w:rPr>
        <w:t>Method of Exercise</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jc w:val="both"/>
        <w:ind w:firstLine="1428"/>
        <w:spacing w:after="0" w:line="259" w:lineRule="auto"/>
        <w:tabs>
          <w:tab w:leader="none" w:pos="1647" w:val="left"/>
        </w:tabs>
        <w:numPr>
          <w:ilvl w:val="2"/>
          <w:numId w:val="191"/>
        </w:numPr>
        <w:rPr>
          <w:rFonts w:ascii="Arial" w:cs="Arial" w:eastAsia="Arial" w:hAnsi="Arial"/>
          <w:sz w:val="18"/>
          <w:szCs w:val="18"/>
          <w:color w:val="auto"/>
        </w:rPr>
      </w:pPr>
      <w:r>
        <w:rPr>
          <w:rFonts w:ascii="Arial" w:cs="Arial" w:eastAsia="Arial" w:hAnsi="Arial"/>
          <w:sz w:val="18"/>
          <w:szCs w:val="18"/>
          <w:color w:val="auto"/>
        </w:rPr>
        <w:t xml:space="preserve">This Option shall be exercisable by execution and delivery of the Exercise Agreement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or of any other form of written notice approved for such purpose by the Company which shall state Optionee’s election to exercise this Option, the number of Shares in respect of which this Option is being exercised, and such other representations and agreements as to the holder’s investment intent with respect to such Shares as may be required by the Company pursuant to the provisions of the Plan.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440" w:top="270" w:right="459" w:bottom="1440" w:gutter="0" w:footer="0" w:header="0"/>
        </w:sectPr>
      </w:pPr>
    </w:p>
    <w:bookmarkStart w:id="249" w:name="page250"/>
    <w:bookmarkEnd w:id="249"/>
    <w:p>
      <w:pPr>
        <w:jc w:val="both"/>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Such written notice shall be signed by Optionee and shall be delivered to the Company by such means as are determined by the Plan Administrator in its discretion to constitute adequate delivery. The written notice shall be accompanied by payment of the aggregate Exercise Price for the purchased Shares.</w:t>
      </w:r>
    </w:p>
    <w:p>
      <w:pPr>
        <w:spacing w:after="0" w:line="16" w:lineRule="exact"/>
        <w:rPr>
          <w:sz w:val="20"/>
          <w:szCs w:val="20"/>
          <w:color w:val="auto"/>
        </w:rPr>
      </w:pPr>
    </w:p>
    <w:p>
      <w:pPr>
        <w:ind w:right="60" w:firstLine="1428"/>
        <w:spacing w:after="0" w:line="263" w:lineRule="auto"/>
        <w:tabs>
          <w:tab w:leader="none" w:pos="1697"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As a condition to the exercise of this Option and as further set forth in Section 12 of the Plan, Optionee agrees to make adequate provision for federal, state or other tax withholding obligations, if any, which arise upon the grant, vesting or exercise of this Option, or disposition of Shares, whether by withholding, direct payment to the Company, or otherwise.</w:t>
      </w:r>
    </w:p>
    <w:p>
      <w:pPr>
        <w:spacing w:after="0" w:line="75" w:lineRule="exact"/>
        <w:rPr>
          <w:rFonts w:ascii="Arial" w:cs="Arial" w:eastAsia="Arial" w:hAnsi="Arial"/>
          <w:sz w:val="18"/>
          <w:szCs w:val="18"/>
          <w:color w:val="auto"/>
        </w:rPr>
      </w:pPr>
    </w:p>
    <w:p>
      <w:pPr>
        <w:ind w:right="40" w:firstLine="1428"/>
        <w:spacing w:after="0" w:line="290" w:lineRule="auto"/>
        <w:tabs>
          <w:tab w:leader="none" w:pos="1747" w:val="left"/>
        </w:tabs>
        <w:numPr>
          <w:ilvl w:val="0"/>
          <w:numId w:val="192"/>
        </w:numPr>
        <w:rPr>
          <w:rFonts w:ascii="Arial" w:cs="Arial" w:eastAsia="Arial" w:hAnsi="Arial"/>
          <w:sz w:val="16"/>
          <w:szCs w:val="16"/>
          <w:color w:val="auto"/>
        </w:rPr>
      </w:pPr>
      <w:r>
        <w:rPr>
          <w:rFonts w:ascii="Arial" w:cs="Arial" w:eastAsia="Arial" w:hAnsi="Arial"/>
          <w:sz w:val="16"/>
          <w:szCs w:val="16"/>
          <w:color w:val="auto"/>
        </w:rPr>
        <w:t>The Company is not obligated, and will have no liability for failure, to issue or deliver any Shares upon exercise of this Option unless such issuance or delivery would comply with the Applicable Laws, with such compliance determined by the Company in consultation with its legal counsel. This Option may not be exercised until such time as the Plan has been approved by the holders of capital stock of the Company, or if the issuance of such Shares upon such exercise or the method of payment of consideration for such Shares would constitute a violation of any Applicable Laws, including any applicable U.S. federal or state securities laws or any other law or regulation, including any rule under Part 221 of Title 12 of the Code of Federal Regulations as promulgated by the Federal Reserve Board. As a condition to the exercise of this Option, the Company may require Optionee to make any representation and warranty to the Company as may be required by the Applicable Laws. Assuming such compliance, for income tax purposes the Shares shall be considered transferred to Optionee on the date on which this Option is exercised with respect to such Shares.</w:t>
      </w:r>
    </w:p>
    <w:p>
      <w:pPr>
        <w:spacing w:after="0" w:line="57" w:lineRule="exact"/>
        <w:rPr>
          <w:rFonts w:ascii="Arial" w:cs="Arial" w:eastAsia="Arial" w:hAnsi="Arial"/>
          <w:sz w:val="16"/>
          <w:szCs w:val="16"/>
          <w:color w:val="auto"/>
        </w:rPr>
      </w:pPr>
    </w:p>
    <w:p>
      <w:pPr>
        <w:ind w:right="160" w:firstLine="1428"/>
        <w:spacing w:after="0" w:line="308" w:lineRule="auto"/>
        <w:tabs>
          <w:tab w:leader="none" w:pos="1737" w:val="left"/>
        </w:tabs>
        <w:numPr>
          <w:ilvl w:val="0"/>
          <w:numId w:val="192"/>
        </w:numPr>
        <w:rPr>
          <w:rFonts w:ascii="Arial" w:cs="Arial" w:eastAsia="Arial" w:hAnsi="Arial"/>
          <w:sz w:val="17"/>
          <w:szCs w:val="17"/>
          <w:color w:val="auto"/>
        </w:rPr>
      </w:pPr>
      <w:r>
        <w:rPr>
          <w:rFonts w:ascii="Arial" w:cs="Arial" w:eastAsia="Arial" w:hAnsi="Arial"/>
          <w:sz w:val="17"/>
          <w:szCs w:val="17"/>
          <w:color w:val="auto"/>
        </w:rPr>
        <w:t>Subject to compliance with Applicable Laws, this Option shall be deemed to be exercised upon receipt by the Company of the appropriate written notice of exercise accompanied by the Exercise Price and the satisfaction of any applicable withholding obligations.</w:t>
      </w:r>
    </w:p>
    <w:p>
      <w:pPr>
        <w:spacing w:after="0" w:line="38" w:lineRule="exact"/>
        <w:rPr>
          <w:rFonts w:ascii="Arial" w:cs="Arial" w:eastAsia="Arial" w:hAnsi="Arial"/>
          <w:sz w:val="17"/>
          <w:szCs w:val="17"/>
          <w:color w:val="auto"/>
        </w:rPr>
      </w:pPr>
    </w:p>
    <w:p>
      <w:pPr>
        <w:ind w:right="160" w:firstLine="1428"/>
        <w:spacing w:after="0" w:line="259" w:lineRule="auto"/>
        <w:tabs>
          <w:tab w:leader="none" w:pos="1687"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As a condition to exercise of this Option, Optionee must execute and deliver a counterpart signature page to that certain Voting Agreement dated as of November 20, 2009, by and among the Company and certain of its stockholders (as may be amended from time to time) (the “</w:t>
      </w:r>
      <w:r>
        <w:rPr>
          <w:rFonts w:ascii="Arial" w:cs="Arial" w:eastAsia="Arial" w:hAnsi="Arial"/>
          <w:sz w:val="18"/>
          <w:szCs w:val="18"/>
          <w:u w:val="single" w:color="auto"/>
          <w:color w:val="auto"/>
        </w:rPr>
        <w:t>Voting Agreement</w:t>
      </w:r>
      <w:r>
        <w:rPr>
          <w:rFonts w:ascii="Arial" w:cs="Arial" w:eastAsia="Arial" w:hAnsi="Arial"/>
          <w:sz w:val="18"/>
          <w:szCs w:val="18"/>
          <w:color w:val="auto"/>
        </w:rPr>
        <w:t>”) so as to become a party thereto, and to be bound by the terms and conditions thereof, as an Additional Holder (as defined in the Voting Agreement).</w:t>
      </w:r>
    </w:p>
    <w:p>
      <w:pPr>
        <w:spacing w:after="0" w:line="78" w:lineRule="exact"/>
        <w:rPr>
          <w:rFonts w:ascii="Arial" w:cs="Arial" w:eastAsia="Arial" w:hAnsi="Arial"/>
          <w:sz w:val="18"/>
          <w:szCs w:val="18"/>
          <w:color w:val="auto"/>
        </w:rPr>
      </w:pPr>
    </w:p>
    <w:p>
      <w:pPr>
        <w:ind w:right="40" w:firstLine="1428"/>
        <w:spacing w:after="0" w:line="311" w:lineRule="auto"/>
        <w:tabs>
          <w:tab w:leader="none" w:pos="1737" w:val="left"/>
        </w:tabs>
        <w:numPr>
          <w:ilvl w:val="0"/>
          <w:numId w:val="192"/>
        </w:numPr>
        <w:rPr>
          <w:rFonts w:ascii="Arial" w:cs="Arial" w:eastAsia="Arial" w:hAnsi="Arial"/>
          <w:sz w:val="16"/>
          <w:szCs w:val="16"/>
          <w:color w:val="auto"/>
        </w:rPr>
      </w:pPr>
      <w:r>
        <w:rPr>
          <w:rFonts w:ascii="Arial" w:cs="Arial" w:eastAsia="Arial" w:hAnsi="Arial"/>
          <w:sz w:val="16"/>
          <w:szCs w:val="16"/>
          <w:color w:val="auto"/>
        </w:rPr>
        <w:t>Optionee acknowledges that any Shares issued to Optionee upon exercise of this Option will be subject to a restriction on transfer as described in Article X of the Bylaws of the Company, that any such Shares shall constitute Restricted Shares (as defined in the Bylaws of the Company), and that the approval of the Company’s Board of Directors must be obtained before Optionee can transfer any such Shares.</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250" w:name="page251"/>
    <w:bookmarkEnd w:id="250"/>
    <w:p>
      <w:pPr>
        <w:ind w:left="4" w:right="440" w:firstLine="436"/>
        <w:spacing w:after="0" w:line="282" w:lineRule="auto"/>
        <w:tabs>
          <w:tab w:leader="none" w:pos="624" w:val="left"/>
        </w:tabs>
        <w:numPr>
          <w:ilvl w:val="1"/>
          <w:numId w:val="193"/>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Method of Payment</w:t>
      </w:r>
      <w:r>
        <w:rPr>
          <w:rFonts w:ascii="Arial" w:cs="Arial" w:eastAsia="Arial" w:hAnsi="Arial"/>
          <w:sz w:val="18"/>
          <w:szCs w:val="18"/>
          <w:color w:val="auto"/>
        </w:rPr>
        <w:t>. Payment of the Exercise Price shall be by any of the following, or a combination of the following, at the election of</w:t>
      </w:r>
      <w:r>
        <w:rPr>
          <w:rFonts w:ascii="Arial" w:cs="Arial" w:eastAsia="Arial" w:hAnsi="Arial"/>
          <w:sz w:val="18"/>
          <w:szCs w:val="18"/>
          <w:b w:val="1"/>
          <w:bCs w:val="1"/>
          <w:color w:val="auto"/>
        </w:rPr>
        <w:t xml:space="preserve"> </w:t>
      </w:r>
      <w:r>
        <w:rPr>
          <w:rFonts w:ascii="Arial" w:cs="Arial" w:eastAsia="Arial" w:hAnsi="Arial"/>
          <w:sz w:val="18"/>
          <w:szCs w:val="18"/>
          <w:color w:val="auto"/>
        </w:rPr>
        <w:t>Optionee:</w:t>
      </w:r>
    </w:p>
    <w:p>
      <w:pPr>
        <w:spacing w:after="0" w:line="57" w:lineRule="exact"/>
        <w:rPr>
          <w:rFonts w:ascii="Arial" w:cs="Arial" w:eastAsia="Arial" w:hAnsi="Arial"/>
          <w:sz w:val="18"/>
          <w:szCs w:val="18"/>
          <w:color w:val="auto"/>
        </w:rPr>
      </w:pPr>
    </w:p>
    <w:p>
      <w:pPr>
        <w:ind w:left="1244" w:hanging="253"/>
        <w:spacing w:after="0"/>
        <w:tabs>
          <w:tab w:leader="none" w:pos="1244" w:val="left"/>
        </w:tabs>
        <w:numPr>
          <w:ilvl w:val="2"/>
          <w:numId w:val="193"/>
        </w:numPr>
        <w:rPr>
          <w:rFonts w:ascii="Arial" w:cs="Arial" w:eastAsia="Arial" w:hAnsi="Arial"/>
          <w:sz w:val="18"/>
          <w:szCs w:val="18"/>
          <w:color w:val="auto"/>
        </w:rPr>
      </w:pPr>
      <w:r>
        <w:rPr>
          <w:rFonts w:ascii="Arial" w:cs="Arial" w:eastAsia="Arial" w:hAnsi="Arial"/>
          <w:sz w:val="18"/>
          <w:szCs w:val="18"/>
          <w:color w:val="auto"/>
        </w:rPr>
        <w:t>cash or check;</w:t>
      </w:r>
    </w:p>
    <w:p>
      <w:pPr>
        <w:spacing w:after="0" w:line="117" w:lineRule="exact"/>
        <w:rPr>
          <w:rFonts w:ascii="Arial" w:cs="Arial" w:eastAsia="Arial" w:hAnsi="Arial"/>
          <w:sz w:val="18"/>
          <w:szCs w:val="18"/>
          <w:color w:val="auto"/>
        </w:rPr>
      </w:pPr>
    </w:p>
    <w:p>
      <w:pPr>
        <w:ind w:left="1244" w:hanging="253"/>
        <w:spacing w:after="0"/>
        <w:tabs>
          <w:tab w:leader="none" w:pos="1244" w:val="left"/>
        </w:tabs>
        <w:numPr>
          <w:ilvl w:val="2"/>
          <w:numId w:val="193"/>
        </w:numPr>
        <w:rPr>
          <w:rFonts w:ascii="Arial" w:cs="Arial" w:eastAsia="Arial" w:hAnsi="Arial"/>
          <w:sz w:val="18"/>
          <w:szCs w:val="18"/>
          <w:color w:val="auto"/>
        </w:rPr>
      </w:pPr>
      <w:r>
        <w:rPr>
          <w:rFonts w:ascii="Arial" w:cs="Arial" w:eastAsia="Arial" w:hAnsi="Arial"/>
          <w:sz w:val="18"/>
          <w:szCs w:val="18"/>
          <w:color w:val="auto"/>
        </w:rPr>
        <w:t>cancellation of indebtedness;</w:t>
      </w:r>
    </w:p>
    <w:p>
      <w:pPr>
        <w:spacing w:after="0" w:line="117" w:lineRule="exact"/>
        <w:rPr>
          <w:rFonts w:ascii="Arial" w:cs="Arial" w:eastAsia="Arial" w:hAnsi="Arial"/>
          <w:sz w:val="18"/>
          <w:szCs w:val="18"/>
          <w:color w:val="auto"/>
        </w:rPr>
      </w:pPr>
    </w:p>
    <w:p>
      <w:pPr>
        <w:ind w:left="4" w:right="60" w:firstLine="987"/>
        <w:spacing w:after="0" w:line="263" w:lineRule="auto"/>
        <w:tabs>
          <w:tab w:leader="none" w:pos="1240" w:val="left"/>
        </w:tabs>
        <w:numPr>
          <w:ilvl w:val="2"/>
          <w:numId w:val="193"/>
        </w:numPr>
        <w:rPr>
          <w:rFonts w:ascii="Arial" w:cs="Arial" w:eastAsia="Arial" w:hAnsi="Arial"/>
          <w:sz w:val="18"/>
          <w:szCs w:val="18"/>
          <w:color w:val="auto"/>
        </w:rPr>
      </w:pPr>
      <w:r>
        <w:rPr>
          <w:rFonts w:ascii="Arial" w:cs="Arial" w:eastAsia="Arial" w:hAnsi="Arial"/>
          <w:sz w:val="18"/>
          <w:szCs w:val="18"/>
          <w:color w:val="auto"/>
        </w:rPr>
        <w:t>at the discretion of the Plan Administrator on a case by case basis, by surrender of other shares of Common Stock of the Company (either directly or by stock attestation) that Optionee previously acquired and that have an aggregate Fair Market Value on the date of surrender equal to the aggregate Exercise Price of the Shares as to which this Option is being exercised; or</w:t>
      </w:r>
    </w:p>
    <w:p>
      <w:pPr>
        <w:spacing w:after="0" w:line="75" w:lineRule="exact"/>
        <w:rPr>
          <w:rFonts w:ascii="Arial" w:cs="Arial" w:eastAsia="Arial" w:hAnsi="Arial"/>
          <w:sz w:val="18"/>
          <w:szCs w:val="18"/>
          <w:color w:val="auto"/>
        </w:rPr>
      </w:pPr>
    </w:p>
    <w:p>
      <w:pPr>
        <w:ind w:left="1244" w:hanging="253"/>
        <w:spacing w:after="0"/>
        <w:tabs>
          <w:tab w:leader="none" w:pos="1244" w:val="left"/>
        </w:tabs>
        <w:numPr>
          <w:ilvl w:val="2"/>
          <w:numId w:val="193"/>
        </w:numPr>
        <w:rPr>
          <w:rFonts w:ascii="Arial" w:cs="Arial" w:eastAsia="Arial" w:hAnsi="Arial"/>
          <w:sz w:val="18"/>
          <w:szCs w:val="18"/>
          <w:color w:val="auto"/>
        </w:rPr>
      </w:pPr>
      <w:r>
        <w:rPr>
          <w:rFonts w:ascii="Arial" w:cs="Arial" w:eastAsia="Arial" w:hAnsi="Arial"/>
          <w:sz w:val="18"/>
          <w:szCs w:val="18"/>
          <w:color w:val="auto"/>
        </w:rPr>
        <w:t>at the discretion of the Plan Administrator on a case by case basis, by Cashless Exercise.</w:t>
      </w:r>
    </w:p>
    <w:p>
      <w:pPr>
        <w:spacing w:after="0" w:line="113" w:lineRule="exact"/>
        <w:rPr>
          <w:rFonts w:ascii="Arial" w:cs="Arial" w:eastAsia="Arial" w:hAnsi="Arial"/>
          <w:sz w:val="18"/>
          <w:szCs w:val="18"/>
          <w:color w:val="auto"/>
        </w:rPr>
      </w:pPr>
    </w:p>
    <w:p>
      <w:pPr>
        <w:ind w:left="4" w:right="320" w:firstLine="436"/>
        <w:spacing w:after="0" w:line="261" w:lineRule="auto"/>
        <w:tabs>
          <w:tab w:leader="none" w:pos="624" w:val="left"/>
        </w:tabs>
        <w:numPr>
          <w:ilvl w:val="1"/>
          <w:numId w:val="193"/>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Relationship</w:t>
      </w:r>
      <w:r>
        <w:rPr>
          <w:rFonts w:ascii="Arial" w:cs="Arial" w:eastAsia="Arial" w:hAnsi="Arial"/>
          <w:sz w:val="18"/>
          <w:szCs w:val="18"/>
          <w:color w:val="auto"/>
        </w:rPr>
        <w:t>. Following the date of termination of Optionee’s Continuous Service Status for any reason (the “</w:t>
      </w:r>
      <w:r>
        <w:rPr>
          <w:rFonts w:ascii="Arial" w:cs="Arial" w:eastAsia="Arial" w:hAnsi="Arial"/>
          <w:sz w:val="18"/>
          <w:szCs w:val="18"/>
          <w:u w:val="single" w:color="auto"/>
          <w:color w:val="auto"/>
        </w:rPr>
        <w:t>Termination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Optionee may exercise this Option only as set forth in the Notice and this Section 5. If Optionee does not exercise this Option within the Termination Period set forth in the Notice or the termination periods set forth below, this Option shall terminate in its entirety. In no event, may any Option be exercised after the Expiration Date of this Option as set forth in the Notice.</w:t>
      </w:r>
    </w:p>
    <w:p>
      <w:pPr>
        <w:spacing w:after="0" w:line="71" w:lineRule="exact"/>
        <w:rPr>
          <w:rFonts w:ascii="Arial" w:cs="Arial" w:eastAsia="Arial" w:hAnsi="Arial"/>
          <w:sz w:val="18"/>
          <w:szCs w:val="18"/>
          <w:color w:val="auto"/>
        </w:rPr>
      </w:pPr>
    </w:p>
    <w:p>
      <w:pPr>
        <w:ind w:left="4" w:right="120" w:firstLine="987"/>
        <w:spacing w:after="0" w:line="266" w:lineRule="auto"/>
        <w:tabs>
          <w:tab w:leader="none" w:pos="1240" w:val="left"/>
        </w:tabs>
        <w:numPr>
          <w:ilvl w:val="2"/>
          <w:numId w:val="193"/>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w:t>
      </w:r>
      <w:r>
        <w:rPr>
          <w:rFonts w:ascii="Arial" w:cs="Arial" w:eastAsia="Arial" w:hAnsi="Arial"/>
          <w:sz w:val="18"/>
          <w:szCs w:val="18"/>
          <w:color w:val="auto"/>
        </w:rPr>
        <w:t>. In the event of termination of Optionee’s Continuous Service Status other than as a result of Optionee’s Disability or</w:t>
      </w:r>
      <w:r>
        <w:rPr>
          <w:rFonts w:ascii="Arial" w:cs="Arial" w:eastAsia="Arial" w:hAnsi="Arial"/>
          <w:sz w:val="18"/>
          <w:szCs w:val="18"/>
          <w:b w:val="1"/>
          <w:bCs w:val="1"/>
          <w:color w:val="auto"/>
        </w:rPr>
        <w:t xml:space="preserve"> </w:t>
      </w:r>
      <w:r>
        <w:rPr>
          <w:rFonts w:ascii="Arial" w:cs="Arial" w:eastAsia="Arial" w:hAnsi="Arial"/>
          <w:sz w:val="18"/>
          <w:szCs w:val="18"/>
          <w:color w:val="auto"/>
        </w:rPr>
        <w:t>death or for Cause, Optionee may, to the extent Optionee is vested in the Option Shares, exercise this Option during the Termination Period set forth in the Notice.</w:t>
      </w:r>
    </w:p>
    <w:p>
      <w:pPr>
        <w:spacing w:after="0" w:line="67" w:lineRule="exact"/>
        <w:rPr>
          <w:rFonts w:ascii="Arial" w:cs="Arial" w:eastAsia="Arial" w:hAnsi="Arial"/>
          <w:sz w:val="18"/>
          <w:szCs w:val="18"/>
          <w:color w:val="auto"/>
        </w:rPr>
      </w:pPr>
    </w:p>
    <w:p>
      <w:pPr>
        <w:ind w:left="4" w:right="20" w:firstLine="987"/>
        <w:spacing w:after="0" w:line="282" w:lineRule="auto"/>
        <w:tabs>
          <w:tab w:leader="none" w:pos="1250" w:val="left"/>
        </w:tabs>
        <w:numPr>
          <w:ilvl w:val="2"/>
          <w:numId w:val="193"/>
        </w:numPr>
        <w:rPr>
          <w:rFonts w:ascii="Arial" w:cs="Arial" w:eastAsia="Arial" w:hAnsi="Arial"/>
          <w:sz w:val="18"/>
          <w:szCs w:val="18"/>
          <w:color w:val="auto"/>
        </w:rPr>
      </w:pPr>
      <w:r>
        <w:rPr>
          <w:rFonts w:ascii="Arial" w:cs="Arial" w:eastAsia="Arial" w:hAnsi="Arial"/>
          <w:sz w:val="18"/>
          <w:szCs w:val="18"/>
          <w:b w:val="1"/>
          <w:bCs w:val="1"/>
          <w:u w:val="single" w:color="auto"/>
          <w:color w:val="auto"/>
        </w:rPr>
        <w:t>Other Terminations</w:t>
      </w:r>
      <w:r>
        <w:rPr>
          <w:rFonts w:ascii="Arial" w:cs="Arial" w:eastAsia="Arial" w:hAnsi="Arial"/>
          <w:sz w:val="18"/>
          <w:szCs w:val="18"/>
          <w:color w:val="auto"/>
        </w:rPr>
        <w:t>. In connection with any termination other than a termination covered by Section 5(a), Optionee may exercise this</w:t>
      </w:r>
      <w:r>
        <w:rPr>
          <w:rFonts w:ascii="Arial" w:cs="Arial" w:eastAsia="Arial" w:hAnsi="Arial"/>
          <w:sz w:val="18"/>
          <w:szCs w:val="18"/>
          <w:b w:val="1"/>
          <w:bCs w:val="1"/>
          <w:color w:val="auto"/>
        </w:rPr>
        <w:t xml:space="preserve"> </w:t>
      </w:r>
      <w:r>
        <w:rPr>
          <w:rFonts w:ascii="Arial" w:cs="Arial" w:eastAsia="Arial" w:hAnsi="Arial"/>
          <w:sz w:val="18"/>
          <w:szCs w:val="18"/>
          <w:color w:val="auto"/>
        </w:rPr>
        <w:t>Option only as described below:</w:t>
      </w:r>
    </w:p>
    <w:p>
      <w:pPr>
        <w:spacing w:after="0" w:line="53" w:lineRule="exact"/>
        <w:rPr>
          <w:rFonts w:ascii="Arial" w:cs="Arial" w:eastAsia="Arial" w:hAnsi="Arial"/>
          <w:sz w:val="18"/>
          <w:szCs w:val="18"/>
          <w:color w:val="auto"/>
        </w:rPr>
      </w:pPr>
    </w:p>
    <w:p>
      <w:pPr>
        <w:ind w:left="4" w:right="80" w:firstLine="1428"/>
        <w:spacing w:after="0" w:line="266" w:lineRule="auto"/>
        <w:tabs>
          <w:tab w:leader="none" w:pos="1651" w:val="left"/>
        </w:tabs>
        <w:numPr>
          <w:ilvl w:val="3"/>
          <w:numId w:val="193"/>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upon Disability of Optionee</w:t>
      </w:r>
      <w:r>
        <w:rPr>
          <w:rFonts w:ascii="Arial" w:cs="Arial" w:eastAsia="Arial" w:hAnsi="Arial"/>
          <w:sz w:val="18"/>
          <w:szCs w:val="18"/>
          <w:color w:val="auto"/>
        </w:rPr>
        <w:t>. In the event of termination of Optionee’s Continuous Service Status as a result of</w:t>
      </w:r>
      <w:r>
        <w:rPr>
          <w:rFonts w:ascii="Arial" w:cs="Arial" w:eastAsia="Arial" w:hAnsi="Arial"/>
          <w:sz w:val="18"/>
          <w:szCs w:val="18"/>
          <w:b w:val="1"/>
          <w:bCs w:val="1"/>
          <w:color w:val="auto"/>
        </w:rPr>
        <w:t xml:space="preserve"> </w:t>
      </w:r>
      <w:r>
        <w:rPr>
          <w:rFonts w:ascii="Arial" w:cs="Arial" w:eastAsia="Arial" w:hAnsi="Arial"/>
          <w:sz w:val="18"/>
          <w:szCs w:val="18"/>
          <w:color w:val="auto"/>
        </w:rPr>
        <w:t>Optionee’s Disability, Optionee may, but only within twelve (12) months following the Termination Date, exercise this Option to the extent Optionee is vested in the Option Shares.</w:t>
      </w:r>
    </w:p>
    <w:p>
      <w:pPr>
        <w:spacing w:after="0" w:line="67" w:lineRule="exact"/>
        <w:rPr>
          <w:rFonts w:ascii="Arial" w:cs="Arial" w:eastAsia="Arial" w:hAnsi="Arial"/>
          <w:sz w:val="18"/>
          <w:szCs w:val="18"/>
          <w:color w:val="auto"/>
        </w:rPr>
      </w:pPr>
    </w:p>
    <w:p>
      <w:pPr>
        <w:ind w:left="4" w:firstLine="1428"/>
        <w:spacing w:after="0" w:line="293" w:lineRule="auto"/>
        <w:tabs>
          <w:tab w:leader="none" w:pos="1701" w:val="left"/>
        </w:tabs>
        <w:numPr>
          <w:ilvl w:val="3"/>
          <w:numId w:val="193"/>
        </w:numPr>
        <w:rPr>
          <w:rFonts w:ascii="Arial" w:cs="Arial" w:eastAsia="Arial" w:hAnsi="Arial"/>
          <w:sz w:val="16"/>
          <w:szCs w:val="16"/>
          <w:color w:val="auto"/>
        </w:rPr>
      </w:pPr>
      <w:r>
        <w:rPr>
          <w:rFonts w:ascii="Arial" w:cs="Arial" w:eastAsia="Arial" w:hAnsi="Arial"/>
          <w:sz w:val="16"/>
          <w:szCs w:val="16"/>
          <w:b w:val="1"/>
          <w:bCs w:val="1"/>
          <w:u w:val="single" w:color="auto"/>
          <w:color w:val="auto"/>
        </w:rPr>
        <w:t>Death of Optionee</w:t>
      </w:r>
      <w:r>
        <w:rPr>
          <w:rFonts w:ascii="Arial" w:cs="Arial" w:eastAsia="Arial" w:hAnsi="Arial"/>
          <w:sz w:val="16"/>
          <w:szCs w:val="16"/>
          <w:color w:val="auto"/>
        </w:rPr>
        <w:t>. In the event of termination of Optionee’s Continuous Service Status as a result of Optionee’s death, or in the</w:t>
      </w:r>
      <w:r>
        <w:rPr>
          <w:rFonts w:ascii="Arial" w:cs="Arial" w:eastAsia="Arial" w:hAnsi="Arial"/>
          <w:sz w:val="16"/>
          <w:szCs w:val="16"/>
          <w:b w:val="1"/>
          <w:bCs w:val="1"/>
          <w:color w:val="auto"/>
        </w:rPr>
        <w:t xml:space="preserve"> </w:t>
      </w:r>
      <w:r>
        <w:rPr>
          <w:rFonts w:ascii="Arial" w:cs="Arial" w:eastAsia="Arial" w:hAnsi="Arial"/>
          <w:sz w:val="16"/>
          <w:szCs w:val="16"/>
          <w:color w:val="auto"/>
        </w:rPr>
        <w:t>event of Optionee’s death within three (3) months following Optionee’s Termination Date, this Option may be exercised at any time within twelve</w:t>
      </w:r>
    </w:p>
    <w:p>
      <w:pPr>
        <w:spacing w:after="0" w:line="1" w:lineRule="exact"/>
        <w:rPr>
          <w:rFonts w:ascii="Arial" w:cs="Arial" w:eastAsia="Arial" w:hAnsi="Arial"/>
          <w:sz w:val="16"/>
          <w:szCs w:val="16"/>
          <w:color w:val="auto"/>
        </w:rPr>
      </w:pPr>
    </w:p>
    <w:p>
      <w:pPr>
        <w:ind w:left="4" w:right="320" w:hanging="4"/>
        <w:spacing w:after="0" w:line="290" w:lineRule="auto"/>
        <w:tabs>
          <w:tab w:leader="none" w:pos="349" w:val="left"/>
        </w:tabs>
        <w:numPr>
          <w:ilvl w:val="0"/>
          <w:numId w:val="194"/>
        </w:numPr>
        <w:rPr>
          <w:rFonts w:ascii="Arial" w:cs="Arial" w:eastAsia="Arial" w:hAnsi="Arial"/>
          <w:sz w:val="17"/>
          <w:szCs w:val="17"/>
          <w:color w:val="auto"/>
        </w:rPr>
      </w:pPr>
      <w:r>
        <w:rPr>
          <w:rFonts w:ascii="Arial" w:cs="Arial" w:eastAsia="Arial" w:hAnsi="Arial"/>
          <w:sz w:val="17"/>
          <w:szCs w:val="17"/>
          <w:color w:val="auto"/>
        </w:rPr>
        <w:t>months following the date of death (or, if earlier, the date Optionee’s Continuous Service Status terminated) by Optionee’s estate or by a person who acquired the right to exercise this Option by bequest or inheritance, but only to the extent Optionee is vested in this Option.</w:t>
      </w:r>
    </w:p>
    <w:p>
      <w:pPr>
        <w:spacing w:after="0" w:line="49" w:lineRule="exact"/>
        <w:rPr>
          <w:rFonts w:ascii="Arial" w:cs="Arial" w:eastAsia="Arial" w:hAnsi="Arial"/>
          <w:sz w:val="17"/>
          <w:szCs w:val="17"/>
          <w:color w:val="auto"/>
        </w:rPr>
      </w:pPr>
    </w:p>
    <w:p>
      <w:pPr>
        <w:ind w:left="4" w:right="100" w:firstLine="1428"/>
        <w:spacing w:after="0" w:line="303" w:lineRule="auto"/>
        <w:tabs>
          <w:tab w:leader="none" w:pos="1751" w:val="left"/>
        </w:tabs>
        <w:numPr>
          <w:ilvl w:val="3"/>
          <w:numId w:val="194"/>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for Cause</w:t>
      </w:r>
      <w:r>
        <w:rPr>
          <w:rFonts w:ascii="Arial" w:cs="Arial" w:eastAsia="Arial" w:hAnsi="Arial"/>
          <w:sz w:val="16"/>
          <w:szCs w:val="16"/>
          <w:color w:val="auto"/>
        </w:rPr>
        <w:t>. In the event of termination of Optionee’s Continuous Service Status for Cause, this Option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any vested portion thereof) shall immediately terminate in its entirety upon first notification to Optionee of such termination for Cause. If Optionee’s Continuous Service Status is suspended pending an investigation of whether Optionee’s Continuous Service Status will be terminated for Cause, all Optionee’s rights under this Option, including the right to exercise this Option, shall be suspended during the investigation period.</w:t>
      </w:r>
    </w:p>
    <w:p>
      <w:pPr>
        <w:spacing w:after="0" w:line="87"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4"/>
          </w:cols>
          <w:pgMar w:left="436" w:top="270" w:right="479" w:bottom="1440" w:gutter="0" w:footer="0" w:header="0"/>
        </w:sectPr>
      </w:pPr>
    </w:p>
    <w:bookmarkStart w:id="251" w:name="page252"/>
    <w:bookmarkEnd w:id="251"/>
    <w:p>
      <w:pPr>
        <w:ind w:left="-20" w:right="400" w:firstLine="436"/>
        <w:spacing w:after="0" w:line="266" w:lineRule="auto"/>
        <w:tabs>
          <w:tab w:leader="none" w:pos="600" w:val="left"/>
        </w:tabs>
        <w:numPr>
          <w:ilvl w:val="0"/>
          <w:numId w:val="195"/>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Non-Transferability of Option</w:t>
      </w:r>
      <w:r>
        <w:rPr>
          <w:rFonts w:ascii="Arial" w:cs="Arial" w:eastAsia="Arial" w:hAnsi="Arial"/>
          <w:sz w:val="18"/>
          <w:szCs w:val="18"/>
          <w:color w:val="auto"/>
        </w:rPr>
        <w:t>. This Option may not be transferred in any manner otherwise than by will or by the laws of descent or</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 and may be exercised during the lifetime of Optionee only by him or her. The terms of this Option shall be binding upon the executors, administrators, heirs, successors and assigns of Optionee.</w:t>
      </w:r>
    </w:p>
    <w:p>
      <w:pPr>
        <w:spacing w:after="0" w:line="67" w:lineRule="exact"/>
        <w:rPr>
          <w:rFonts w:ascii="Arial" w:cs="Arial" w:eastAsia="Arial" w:hAnsi="Arial"/>
          <w:sz w:val="18"/>
          <w:szCs w:val="18"/>
          <w:color w:val="auto"/>
        </w:rPr>
      </w:pPr>
    </w:p>
    <w:p>
      <w:pPr>
        <w:ind w:left="-20" w:firstLine="436"/>
        <w:spacing w:after="0" w:line="269" w:lineRule="auto"/>
        <w:tabs>
          <w:tab w:leader="none" w:pos="600" w:val="left"/>
        </w:tabs>
        <w:numPr>
          <w:ilvl w:val="0"/>
          <w:numId w:val="195"/>
        </w:numPr>
        <w:rPr>
          <w:rFonts w:ascii="Arial" w:cs="Arial" w:eastAsia="Arial" w:hAnsi="Arial"/>
          <w:sz w:val="17"/>
          <w:szCs w:val="17"/>
          <w:color w:val="auto"/>
        </w:rPr>
      </w:pPr>
      <w:r>
        <w:rPr>
          <w:rFonts w:ascii="Arial" w:cs="Arial" w:eastAsia="Arial" w:hAnsi="Arial"/>
          <w:sz w:val="17"/>
          <w:szCs w:val="17"/>
          <w:b w:val="1"/>
          <w:bCs w:val="1"/>
          <w:u w:val="single" w:color="auto"/>
          <w:color w:val="auto"/>
        </w:rPr>
        <w:t>Lock-Up Agreement</w:t>
      </w:r>
      <w:r>
        <w:rPr>
          <w:rFonts w:ascii="Arial" w:cs="Arial" w:eastAsia="Arial" w:hAnsi="Arial"/>
          <w:sz w:val="17"/>
          <w:szCs w:val="17"/>
          <w:color w:val="auto"/>
        </w:rPr>
        <w:t>. In connection with the initial public offering of the Company’s securities and upon request of the Company or the</w:t>
      </w:r>
      <w:r>
        <w:rPr>
          <w:rFonts w:ascii="Arial" w:cs="Arial" w:eastAsia="Arial" w:hAnsi="Arial"/>
          <w:sz w:val="17"/>
          <w:szCs w:val="17"/>
          <w:b w:val="1"/>
          <w:bCs w:val="1"/>
          <w:color w:val="auto"/>
        </w:rPr>
        <w:t xml:space="preserve"> </w:t>
      </w:r>
      <w:r>
        <w:rPr>
          <w:rFonts w:ascii="Arial" w:cs="Arial" w:eastAsia="Arial" w:hAnsi="Arial"/>
          <w:sz w:val="17"/>
          <w:szCs w:val="17"/>
          <w:color w:val="auto"/>
        </w:rPr>
        <w:t>underwriters managing any underwritten offering of the Company’s securities, Optionee hereby agrees not to sell, make any short sale of, loan, grant any option for the purchase of, or otherwise dispose of any securities of the Company however and whenever acquired (other than those included in the registration) without the prior written consent of the Company or such underwriters, as the case may be, for such period of time (not to exceed 180 days) from the effective date of such registration as may be requested by the Company or such managing underwriters and to execute an agreement reflecting the foregoing as may be requested by the underwriters at the time of the public offering; provided however that, if during the last 17 days of the restricted period the Company issues an earnings release or material news or a material event relating to the Company occurs, or prior to the expiration of the restricted period the Company announces that it will release earnings results during the 16-day period beginning on the last day of the restricted period, then, upon the request of the managing underwriter, to the extent required by any FINRA rules, the restrictions imposed by this subsection (a) shall continue to apply until the end of the third trading day following the expiration of the 15-day period beginning on the issuance of the earnings release or the occurrence of the material news or material event. In no event will the restricted period extend beyond 216 days after the effective date of the registration statement.</w:t>
      </w:r>
    </w:p>
    <w:p>
      <w:pPr>
        <w:spacing w:after="0" w:line="70" w:lineRule="exact"/>
        <w:rPr>
          <w:rFonts w:ascii="Arial" w:cs="Arial" w:eastAsia="Arial" w:hAnsi="Arial"/>
          <w:sz w:val="17"/>
          <w:szCs w:val="17"/>
          <w:color w:val="auto"/>
        </w:rPr>
      </w:pPr>
    </w:p>
    <w:p>
      <w:pPr>
        <w:ind w:left="-20" w:firstLine="436"/>
        <w:spacing w:after="0" w:line="277" w:lineRule="auto"/>
        <w:tabs>
          <w:tab w:leader="none" w:pos="600" w:val="left"/>
        </w:tabs>
        <w:numPr>
          <w:ilvl w:val="0"/>
          <w:numId w:val="195"/>
        </w:numPr>
        <w:rPr>
          <w:rFonts w:ascii="Arial" w:cs="Arial" w:eastAsia="Arial" w:hAnsi="Arial"/>
          <w:sz w:val="17"/>
          <w:szCs w:val="17"/>
          <w:color w:val="auto"/>
        </w:rPr>
      </w:pPr>
      <w:r>
        <w:rPr>
          <w:rFonts w:ascii="Arial" w:cs="Arial" w:eastAsia="Arial" w:hAnsi="Arial"/>
          <w:sz w:val="17"/>
          <w:szCs w:val="17"/>
          <w:b w:val="1"/>
          <w:bCs w:val="1"/>
          <w:u w:val="single" w:color="auto"/>
          <w:color w:val="auto"/>
        </w:rPr>
        <w:t>Effect of Agreement</w:t>
      </w:r>
      <w:r>
        <w:rPr>
          <w:rFonts w:ascii="Arial" w:cs="Arial" w:eastAsia="Arial" w:hAnsi="Arial"/>
          <w:sz w:val="17"/>
          <w:szCs w:val="17"/>
          <w:color w:val="auto"/>
        </w:rPr>
        <w:t>. Optionee acknowledges receipt of a copy of the Plan and represents that he or she is familiar with the terms and</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provisions thereof (and has had an opportunity to consult counsel regarding the Option terms), and hereby accepts this Option and agrees to be bound by its contractual terms as set forth herein and in the Plan. Optionee hereby agrees to accept as binding, conclusive and final all decisions and interpretations of the Plan Administrator regarding any questions relating to this Option. In the event of a conflict between the terms and provisions of the Plan and the terms and provisions of the Notice and this Agreement, the Plan terms and provisions shall prevail.</w:t>
      </w:r>
    </w:p>
    <w:p>
      <w:pPr>
        <w:spacing w:after="0" w:line="59" w:lineRule="exact"/>
        <w:rPr>
          <w:rFonts w:ascii="Arial" w:cs="Arial" w:eastAsia="Arial" w:hAnsi="Arial"/>
          <w:sz w:val="17"/>
          <w:szCs w:val="17"/>
          <w:color w:val="auto"/>
        </w:rPr>
      </w:pPr>
    </w:p>
    <w:p>
      <w:pPr>
        <w:ind w:left="600" w:hanging="184"/>
        <w:spacing w:after="0"/>
        <w:tabs>
          <w:tab w:leader="none" w:pos="600" w:val="left"/>
        </w:tabs>
        <w:numPr>
          <w:ilvl w:val="0"/>
          <w:numId w:val="195"/>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 w:right="20" w:firstLine="987"/>
        <w:spacing w:after="0" w:line="347" w:lineRule="auto"/>
        <w:tabs>
          <w:tab w:leader="none" w:pos="1216" w:val="left"/>
        </w:tabs>
        <w:numPr>
          <w:ilvl w:val="1"/>
          <w:numId w:val="195"/>
        </w:numPr>
        <w:rPr>
          <w:rFonts w:ascii="Arial" w:cs="Arial" w:eastAsia="Arial" w:hAnsi="Arial"/>
          <w:sz w:val="16"/>
          <w:szCs w:val="16"/>
          <w:color w:val="auto"/>
        </w:rPr>
      </w:pPr>
      <w:r>
        <w:rPr>
          <w:rFonts w:ascii="Arial" w:cs="Arial" w:eastAsia="Arial" w:hAnsi="Arial"/>
          <w:sz w:val="16"/>
          <w:szCs w:val="16"/>
          <w:b w:val="1"/>
          <w:bCs w:val="1"/>
          <w:u w:val="single" w:color="auto"/>
          <w:color w:val="auto"/>
        </w:rPr>
        <w:t>Governing Law</w:t>
      </w:r>
      <w:r>
        <w:rPr>
          <w:rFonts w:ascii="Arial" w:cs="Arial" w:eastAsia="Arial" w:hAnsi="Arial"/>
          <w:sz w:val="16"/>
          <w:szCs w:val="16"/>
          <w:color w:val="auto"/>
        </w:rPr>
        <w:t>. This Agreement and all acts and transactions pursuant hereto and the rights and obligations of the parties hereto shall</w:t>
      </w:r>
      <w:r>
        <w:rPr>
          <w:rFonts w:ascii="Arial" w:cs="Arial" w:eastAsia="Arial" w:hAnsi="Arial"/>
          <w:sz w:val="16"/>
          <w:szCs w:val="16"/>
          <w:b w:val="1"/>
          <w:bCs w:val="1"/>
          <w:color w:val="auto"/>
        </w:rPr>
        <w:t xml:space="preserve"> </w:t>
      </w:r>
      <w:r>
        <w:rPr>
          <w:rFonts w:ascii="Arial" w:cs="Arial" w:eastAsia="Arial" w:hAnsi="Arial"/>
          <w:sz w:val="16"/>
          <w:szCs w:val="16"/>
          <w:color w:val="auto"/>
        </w:rPr>
        <w:t>be governed, construed and interpreted in accordance with the laws of the State of California, without giving effect to principles of conflicts of law.</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60" w:top="270" w:right="479" w:bottom="1440" w:gutter="0" w:footer="0" w:header="0"/>
        </w:sectPr>
      </w:pPr>
    </w:p>
    <w:bookmarkStart w:id="252" w:name="page253"/>
    <w:bookmarkEnd w:id="252"/>
    <w:p>
      <w:pPr>
        <w:ind w:right="80" w:firstLine="987"/>
        <w:spacing w:after="0" w:line="277" w:lineRule="auto"/>
        <w:tabs>
          <w:tab w:leader="none" w:pos="1246" w:val="left"/>
        </w:tabs>
        <w:numPr>
          <w:ilvl w:val="0"/>
          <w:numId w:val="196"/>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Entire Agreement; Enforcement of Rights</w:t>
      </w:r>
      <w:r>
        <w:rPr>
          <w:rFonts w:ascii="Arial" w:cs="Arial" w:eastAsia="Arial" w:hAnsi="Arial"/>
          <w:sz w:val="17"/>
          <w:szCs w:val="17"/>
          <w:color w:val="auto"/>
        </w:rPr>
        <w:t>. This Agreement, together with the Notice of Stock Option Grant to which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is attached and the Plan, sets forth the entire agreement and understanding of the parties relating to the subject matter herein and therein and merges all prior discussions between the parties. Except as contemplated under the Plan, no modification of or amendment to this Agreement, nor any waiver of any rights under this Agreement, shall be effective unless in writing signed by the parties to this Agreement. The failure by either party to enforce any rights under this Agreement shall not be construed as a waiver of any rights of such party.</w:t>
      </w:r>
    </w:p>
    <w:p>
      <w:pPr>
        <w:spacing w:after="0" w:line="59" w:lineRule="exact"/>
        <w:rPr>
          <w:rFonts w:ascii="Arial" w:cs="Arial" w:eastAsia="Arial" w:hAnsi="Arial"/>
          <w:sz w:val="17"/>
          <w:szCs w:val="17"/>
          <w:color w:val="auto"/>
        </w:rPr>
      </w:pPr>
    </w:p>
    <w:p>
      <w:pPr>
        <w:ind w:right="80" w:firstLine="987"/>
        <w:spacing w:after="0" w:line="281" w:lineRule="auto"/>
        <w:tabs>
          <w:tab w:leader="none" w:pos="1236" w:val="left"/>
        </w:tabs>
        <w:numPr>
          <w:ilvl w:val="0"/>
          <w:numId w:val="196"/>
        </w:numPr>
        <w:rPr>
          <w:rFonts w:ascii="Arial" w:cs="Arial" w:eastAsia="Arial" w:hAnsi="Arial"/>
          <w:sz w:val="17"/>
          <w:szCs w:val="17"/>
          <w:color w:val="auto"/>
        </w:rPr>
      </w:pPr>
      <w:r>
        <w:rPr>
          <w:rFonts w:ascii="Arial" w:cs="Arial" w:eastAsia="Arial" w:hAnsi="Arial"/>
          <w:sz w:val="17"/>
          <w:szCs w:val="17"/>
          <w:b w:val="1"/>
          <w:bCs w:val="1"/>
          <w:u w:val="single" w:color="auto"/>
          <w:color w:val="auto"/>
        </w:rPr>
        <w:t>Severability</w:t>
      </w:r>
      <w:r>
        <w:rPr>
          <w:rFonts w:ascii="Arial" w:cs="Arial" w:eastAsia="Arial" w:hAnsi="Arial"/>
          <w:sz w:val="17"/>
          <w:szCs w:val="17"/>
          <w:color w:val="auto"/>
        </w:rPr>
        <w:t>. If one or more provisions of this Agreement are held to be unenforceable under Applicable Laws, the parties agree to</w:t>
      </w:r>
      <w:r>
        <w:rPr>
          <w:rFonts w:ascii="Arial" w:cs="Arial" w:eastAsia="Arial" w:hAnsi="Arial"/>
          <w:sz w:val="17"/>
          <w:szCs w:val="17"/>
          <w:b w:val="1"/>
          <w:bCs w:val="1"/>
          <w:color w:val="auto"/>
        </w:rPr>
        <w:t xml:space="preserve"> </w:t>
      </w:r>
      <w:r>
        <w:rPr>
          <w:rFonts w:ascii="Arial" w:cs="Arial" w:eastAsia="Arial" w:hAnsi="Arial"/>
          <w:sz w:val="17"/>
          <w:szCs w:val="17"/>
          <w:color w:val="auto"/>
        </w:rPr>
        <w:t>renegotiate such provision in good faith. In the event that the parties cannot reach a mutually agreeable and enforceable replacement for such provision, then (i) such provision shall be excluded from this Agreement, (ii) the balance of this Agreement shall be interpreted as if such provision were so excluded and (iii) the balance of this Agreement shall be enforceable in accordance with its terms.</w:t>
      </w:r>
    </w:p>
    <w:p>
      <w:pPr>
        <w:spacing w:after="0" w:line="56" w:lineRule="exact"/>
        <w:rPr>
          <w:rFonts w:ascii="Arial" w:cs="Arial" w:eastAsia="Arial" w:hAnsi="Arial"/>
          <w:sz w:val="17"/>
          <w:szCs w:val="17"/>
          <w:color w:val="auto"/>
        </w:rPr>
      </w:pPr>
    </w:p>
    <w:p>
      <w:pPr>
        <w:ind w:firstLine="987"/>
        <w:spacing w:after="0" w:line="289" w:lineRule="auto"/>
        <w:tabs>
          <w:tab w:leader="none" w:pos="1246" w:val="left"/>
        </w:tabs>
        <w:numPr>
          <w:ilvl w:val="0"/>
          <w:numId w:val="196"/>
        </w:numPr>
        <w:rPr>
          <w:rFonts w:ascii="Arial" w:cs="Arial" w:eastAsia="Arial" w:hAnsi="Arial"/>
          <w:sz w:val="17"/>
          <w:szCs w:val="17"/>
          <w:color w:val="auto"/>
        </w:rPr>
      </w:pPr>
      <w:r>
        <w:rPr>
          <w:rFonts w:ascii="Arial" w:cs="Arial" w:eastAsia="Arial" w:hAnsi="Arial"/>
          <w:sz w:val="17"/>
          <w:szCs w:val="17"/>
          <w:b w:val="1"/>
          <w:bCs w:val="1"/>
          <w:u w:val="single" w:color="auto"/>
          <w:color w:val="auto"/>
        </w:rPr>
        <w:t>Notices</w:t>
      </w:r>
      <w:r>
        <w:rPr>
          <w:rFonts w:ascii="Arial" w:cs="Arial" w:eastAsia="Arial" w:hAnsi="Arial"/>
          <w:sz w:val="17"/>
          <w:szCs w:val="17"/>
          <w:color w:val="auto"/>
        </w:rPr>
        <w:t>. Any notice required or permitted by this Agreement shall be in writing and shall be deemed sufficient when delivered</w:t>
      </w:r>
      <w:r>
        <w:rPr>
          <w:rFonts w:ascii="Arial" w:cs="Arial" w:eastAsia="Arial" w:hAnsi="Arial"/>
          <w:sz w:val="17"/>
          <w:szCs w:val="17"/>
          <w:b w:val="1"/>
          <w:bCs w:val="1"/>
          <w:color w:val="auto"/>
        </w:rPr>
        <w:t xml:space="preserve"> </w:t>
      </w:r>
      <w:r>
        <w:rPr>
          <w:rFonts w:ascii="Arial" w:cs="Arial" w:eastAsia="Arial" w:hAnsi="Arial"/>
          <w:sz w:val="17"/>
          <w:szCs w:val="17"/>
          <w:color w:val="auto"/>
        </w:rPr>
        <w:t>personally or sent by telegram or fax or forty-eight (48) hours after being deposited in the U.S. mail, as certified or registered mail, with postage prepaid, and addressed to the party to be notified at such party’s address as set forth below or as subsequently modified by written notice.</w:t>
      </w:r>
    </w:p>
    <w:p>
      <w:pPr>
        <w:spacing w:after="0" w:line="49" w:lineRule="exact"/>
        <w:rPr>
          <w:rFonts w:ascii="Arial" w:cs="Arial" w:eastAsia="Arial" w:hAnsi="Arial"/>
          <w:sz w:val="17"/>
          <w:szCs w:val="17"/>
          <w:color w:val="auto"/>
        </w:rPr>
      </w:pPr>
    </w:p>
    <w:p>
      <w:pPr>
        <w:ind w:right="140" w:firstLine="987"/>
        <w:spacing w:after="0" w:line="282" w:lineRule="auto"/>
        <w:tabs>
          <w:tab w:leader="none" w:pos="1236" w:val="left"/>
        </w:tabs>
        <w:numPr>
          <w:ilvl w:val="0"/>
          <w:numId w:val="196"/>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Option may be executed in two or more counterparts, each of which shall be deemed an original and all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shall constitute one instrument.</w:t>
      </w:r>
    </w:p>
    <w:p>
      <w:pPr>
        <w:spacing w:after="0" w:line="53" w:lineRule="exact"/>
        <w:rPr>
          <w:rFonts w:ascii="Arial" w:cs="Arial" w:eastAsia="Arial" w:hAnsi="Arial"/>
          <w:sz w:val="18"/>
          <w:szCs w:val="18"/>
          <w:color w:val="auto"/>
        </w:rPr>
      </w:pPr>
    </w:p>
    <w:p>
      <w:pPr>
        <w:ind w:right="120" w:firstLine="987"/>
        <w:spacing w:after="0" w:line="266" w:lineRule="auto"/>
        <w:tabs>
          <w:tab w:leader="none" w:pos="1216" w:val="left"/>
        </w:tabs>
        <w:numPr>
          <w:ilvl w:val="0"/>
          <w:numId w:val="196"/>
        </w:numPr>
        <w:rPr>
          <w:rFonts w:ascii="Arial" w:cs="Arial" w:eastAsia="Arial" w:hAnsi="Arial"/>
          <w:sz w:val="18"/>
          <w:szCs w:val="18"/>
          <w:color w:val="auto"/>
        </w:rPr>
      </w:pPr>
      <w:r>
        <w:rPr>
          <w:rFonts w:ascii="Arial" w:cs="Arial" w:eastAsia="Arial" w:hAnsi="Arial"/>
          <w:sz w:val="18"/>
          <w:szCs w:val="18"/>
          <w:b w:val="1"/>
          <w:bCs w:val="1"/>
          <w:u w:val="single" w:color="auto"/>
          <w:color w:val="auto"/>
        </w:rPr>
        <w:t>Successors and Assigns</w:t>
      </w:r>
      <w:r>
        <w:rPr>
          <w:rFonts w:ascii="Arial" w:cs="Arial" w:eastAsia="Arial" w:hAnsi="Arial"/>
          <w:sz w:val="18"/>
          <w:szCs w:val="18"/>
          <w:color w:val="auto"/>
        </w:rPr>
        <w:t>. The rights and benefits of this Agreement shall inure to the benefit of, and be enforceable by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successors and assigns. The rights and obligations of Optionee under this Agreement may not be assigned without the prior written consent of the Company.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0" w:right="459" w:bottom="1440" w:gutter="0" w:footer="0" w:header="0"/>
        </w:sectPr>
      </w:pPr>
    </w:p>
    <w:bookmarkStart w:id="253" w:name="page254"/>
    <w:bookmarkEnd w:id="253"/>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have executed or caused this Agreement to be executed by their officers thereunto duly authorized, effective as of the Date of Grant set forth in the accompanying Notice of Stock Option Grant.</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THE COMPANY</w:t>
      </w:r>
      <w:r>
        <w:rPr>
          <w:rFonts w:ascii="Arial" w:cs="Arial" w:eastAsia="Arial" w:hAnsi="Arial"/>
          <w:sz w:val="18"/>
          <w:szCs w:val="18"/>
          <w:color w:val="auto"/>
        </w:rPr>
        <w:t>:</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ASANA,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2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OPTIONEE</w:t>
      </w:r>
      <w:r>
        <w:rPr>
          <w:rFonts w:ascii="Arial" w:cs="Arial" w:eastAsia="Arial" w:hAnsi="Arial"/>
          <w:sz w:val="18"/>
          <w:szCs w:val="18"/>
          <w:color w:val="auto"/>
        </w:rPr>
        <w:t>:</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«OPTIONEE»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340"/>
          </w:cols>
          <w:pgMar w:left="440" w:top="274" w:right="1119" w:bottom="1440" w:gutter="0" w:footer="0" w:header="0"/>
        </w:sectPr>
      </w:pPr>
    </w:p>
    <w:bookmarkStart w:id="254" w:name="page255"/>
    <w:bookmarkEnd w:id="254"/>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ASANA,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STOCK PLAN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EXERCISE AGREEMENT</w:t>
      </w:r>
    </w:p>
    <w:p>
      <w:pPr>
        <w:spacing w:after="0" w:line="229" w:lineRule="exact"/>
        <w:rPr>
          <w:sz w:val="20"/>
          <w:szCs w:val="20"/>
          <w:color w:val="auto"/>
        </w:rPr>
      </w:pPr>
    </w:p>
    <w:p>
      <w:pPr>
        <w:ind w:left="440"/>
        <w:spacing w:after="0"/>
        <w:tabs>
          <w:tab w:leader="none" w:pos="5780" w:val="left"/>
        </w:tabs>
        <w:rPr>
          <w:sz w:val="20"/>
          <w:szCs w:val="20"/>
          <w:color w:val="auto"/>
        </w:rPr>
      </w:pPr>
      <w:r>
        <w:rPr>
          <w:rFonts w:ascii="Arial" w:cs="Arial" w:eastAsia="Arial" w:hAnsi="Arial"/>
          <w:sz w:val="18"/>
          <w:szCs w:val="18"/>
          <w:color w:val="auto"/>
        </w:rPr>
        <w:t>This Exercise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as of</w:t>
      </w:r>
      <w:r>
        <w:rPr>
          <w:sz w:val="20"/>
          <w:szCs w:val="20"/>
          <w:color w:val="auto"/>
        </w:rPr>
        <w:tab/>
      </w:r>
      <w:r>
        <w:rPr>
          <w:rFonts w:ascii="Arial" w:cs="Arial" w:eastAsia="Arial" w:hAnsi="Arial"/>
          <w:sz w:val="16"/>
          <w:szCs w:val="16"/>
          <w:color w:val="auto"/>
        </w:rPr>
        <w:t>, by and between Asana,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3002280</wp:posOffset>
            </wp:positionH>
            <wp:positionV relativeFrom="paragraph">
              <wp:posOffset>-10160</wp:posOffset>
            </wp:positionV>
            <wp:extent cx="68580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3"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and «Optionee» (“</w:t>
      </w:r>
      <w:r>
        <w:rPr>
          <w:rFonts w:ascii="Arial" w:cs="Arial" w:eastAsia="Arial" w:hAnsi="Arial"/>
          <w:sz w:val="18"/>
          <w:szCs w:val="18"/>
          <w:u w:val="single" w:color="auto"/>
          <w:color w:val="auto"/>
        </w:rPr>
        <w:t>Purchaser</w:t>
      </w:r>
      <w:r>
        <w:rPr>
          <w:rFonts w:ascii="Arial" w:cs="Arial" w:eastAsia="Arial" w:hAnsi="Arial"/>
          <w:sz w:val="18"/>
          <w:szCs w:val="18"/>
          <w:color w:val="auto"/>
        </w:rPr>
        <w:t>”). To the extent any capitalized terms used in this Agreement are not defined, they shall have the meaning ascribed to them in the Company’s 2009 Stock Plan (the “</w:t>
      </w:r>
      <w:r>
        <w:rPr>
          <w:rFonts w:ascii="Arial" w:cs="Arial" w:eastAsia="Arial" w:hAnsi="Arial"/>
          <w:sz w:val="18"/>
          <w:szCs w:val="18"/>
          <w:u w:val="single" w:color="auto"/>
          <w:color w:val="auto"/>
        </w:rPr>
        <w:t>Plan</w:t>
      </w:r>
      <w:r>
        <w:rPr>
          <w:rFonts w:ascii="Arial" w:cs="Arial" w:eastAsia="Arial" w:hAnsi="Arial"/>
          <w:sz w:val="18"/>
          <w:szCs w:val="18"/>
          <w:color w:val="auto"/>
        </w:rPr>
        <w:t>”).</w:t>
      </w:r>
    </w:p>
    <w:p>
      <w:pPr>
        <w:spacing w:after="0" w:line="73" w:lineRule="exact"/>
        <w:rPr>
          <w:sz w:val="20"/>
          <w:szCs w:val="20"/>
          <w:color w:val="auto"/>
        </w:rPr>
      </w:pPr>
    </w:p>
    <w:p>
      <w:pPr>
        <w:ind w:right="1120" w:firstLine="436"/>
        <w:spacing w:after="0" w:line="293" w:lineRule="auto"/>
        <w:tabs>
          <w:tab w:leader="none" w:pos="620" w:val="left"/>
        </w:tabs>
        <w:numPr>
          <w:ilvl w:val="0"/>
          <w:numId w:val="197"/>
        </w:numPr>
        <w:rPr>
          <w:rFonts w:ascii="Arial" w:cs="Arial" w:eastAsia="Arial" w:hAnsi="Arial"/>
          <w:sz w:val="16"/>
          <w:szCs w:val="16"/>
          <w:color w:val="auto"/>
        </w:rPr>
      </w:pPr>
      <w:r>
        <w:rPr>
          <w:rFonts w:ascii="Arial" w:cs="Arial" w:eastAsia="Arial" w:hAnsi="Arial"/>
          <w:sz w:val="16"/>
          <w:szCs w:val="16"/>
          <w:b w:val="1"/>
          <w:bCs w:val="1"/>
          <w:u w:val="single" w:color="auto"/>
          <w:color w:val="auto"/>
        </w:rPr>
        <w:t>Exercise of Option</w:t>
      </w:r>
      <w:r>
        <w:rPr>
          <w:rFonts w:ascii="Arial" w:cs="Arial" w:eastAsia="Arial" w:hAnsi="Arial"/>
          <w:sz w:val="16"/>
          <w:szCs w:val="16"/>
          <w:color w:val="auto"/>
        </w:rPr>
        <w:t>. Subject to the terms and conditions hereof, Purchaser hereby elects to exercise his or her option to purchase</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the Common Stock (the “</w:t>
      </w:r>
      <w:r>
        <w:rPr>
          <w:rFonts w:ascii="Arial" w:cs="Arial" w:eastAsia="Arial" w:hAnsi="Arial"/>
          <w:sz w:val="16"/>
          <w:szCs w:val="16"/>
          <w:u w:val="single" w:color="auto"/>
          <w:color w:val="auto"/>
        </w:rPr>
        <w:t>Shares</w:t>
      </w:r>
      <w:r>
        <w:rPr>
          <w:rFonts w:ascii="Arial" w:cs="Arial" w:eastAsia="Arial" w:hAnsi="Arial"/>
          <w:sz w:val="16"/>
          <w:szCs w:val="16"/>
          <w:color w:val="auto"/>
        </w:rPr>
        <w:t>”) of the Company under and pursuant to the Plan and the Stock Option Agreement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6300470</wp:posOffset>
            </wp:positionH>
            <wp:positionV relativeFrom="paragraph">
              <wp:posOffset>-161290</wp:posOffset>
            </wp:positionV>
            <wp:extent cx="68580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6115050</wp:posOffset>
            </wp:positionH>
            <wp:positionV relativeFrom="paragraph">
              <wp:posOffset>-24130</wp:posOffset>
            </wp:positionV>
            <wp:extent cx="68580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tabs>
          <w:tab w:leader="none" w:pos="6220" w:val="left"/>
          <w:tab w:leader="none" w:pos="10140" w:val="left"/>
        </w:tabs>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Option Agreement</w:t>
      </w:r>
      <w:r>
        <w:rPr>
          <w:rFonts w:ascii="Arial" w:cs="Arial" w:eastAsia="Arial" w:hAnsi="Arial"/>
          <w:sz w:val="18"/>
          <w:szCs w:val="18"/>
          <w:color w:val="auto"/>
        </w:rPr>
        <w:t>”). The purchase price for the Shares shall be $</w:t>
      </w:r>
      <w:r>
        <w:rPr>
          <w:sz w:val="20"/>
          <w:szCs w:val="20"/>
          <w:color w:val="auto"/>
        </w:rPr>
        <w:tab/>
      </w:r>
      <w:r>
        <w:rPr>
          <w:rFonts w:ascii="Arial" w:cs="Arial" w:eastAsia="Arial" w:hAnsi="Arial"/>
          <w:sz w:val="18"/>
          <w:szCs w:val="18"/>
          <w:color w:val="auto"/>
        </w:rPr>
        <w:t>per Share for a total purchase price of $</w:t>
      </w:r>
      <w:r>
        <w:rPr>
          <w:sz w:val="20"/>
          <w:szCs w:val="20"/>
          <w:color w:val="auto"/>
        </w:rPr>
        <w:tab/>
      </w:r>
      <w:r>
        <w:rPr>
          <w:rFonts w:ascii="Arial" w:cs="Arial" w:eastAsia="Arial" w:hAnsi="Arial"/>
          <w:sz w:val="16"/>
          <w:szCs w:val="16"/>
          <w:color w:val="auto"/>
        </w:rPr>
        <w:t>. The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3246120</wp:posOffset>
            </wp:positionH>
            <wp:positionV relativeFrom="paragraph">
              <wp:posOffset>-19050</wp:posOffset>
            </wp:positionV>
            <wp:extent cx="68580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-19050</wp:posOffset>
            </wp:positionV>
            <wp:extent cx="68580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ind w:right="22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refers to the purchased Shares and all securities received as stock dividends or splits, all securities received in replacement of the Shares in a recapitalization, merger, reorganization, exchange or the like, and all new, substituted or additional securities or other property to which Purchaser is entitled by reason of Purchaser’s ownership of the Shares.</w:t>
      </w:r>
    </w:p>
    <w:p>
      <w:pPr>
        <w:spacing w:after="0" w:line="78" w:lineRule="exact"/>
        <w:rPr>
          <w:sz w:val="20"/>
          <w:szCs w:val="20"/>
          <w:color w:val="auto"/>
        </w:rPr>
      </w:pPr>
    </w:p>
    <w:p>
      <w:pPr>
        <w:ind w:right="20" w:firstLine="436"/>
        <w:spacing w:after="0" w:line="294" w:lineRule="auto"/>
        <w:tabs>
          <w:tab w:leader="none" w:pos="620" w:val="left"/>
        </w:tabs>
        <w:numPr>
          <w:ilvl w:val="0"/>
          <w:numId w:val="198"/>
        </w:numPr>
        <w:rPr>
          <w:rFonts w:ascii="Arial" w:cs="Arial" w:eastAsia="Arial" w:hAnsi="Arial"/>
          <w:sz w:val="16"/>
          <w:szCs w:val="16"/>
          <w:color w:val="auto"/>
        </w:rPr>
      </w:pPr>
      <w:r>
        <w:rPr>
          <w:rFonts w:ascii="Arial" w:cs="Arial" w:eastAsia="Arial" w:hAnsi="Arial"/>
          <w:sz w:val="16"/>
          <w:szCs w:val="16"/>
          <w:b w:val="1"/>
          <w:bCs w:val="1"/>
          <w:u w:val="single" w:color="auto"/>
          <w:color w:val="auto"/>
        </w:rPr>
        <w:t>Time and Place of Exercise</w:t>
      </w:r>
      <w:r>
        <w:rPr>
          <w:rFonts w:ascii="Arial" w:cs="Arial" w:eastAsia="Arial" w:hAnsi="Arial"/>
          <w:sz w:val="16"/>
          <w:szCs w:val="16"/>
          <w:color w:val="auto"/>
        </w:rPr>
        <w:t>. The purchase and sale of the Shares under this Agreement shall occur at the principal office of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simultaneously with the execution and delivery of this Agreement, the payment of the aggregate exercise price by any method listed in Section 4 of the Option Agreement, and the satisfaction of any applicable tax withholding obligations, all in accordance with the provisions of Section 3(b) of the Option Agreement. The Company shall issue the Shares to Purchaser by entering such Shares in Purchaser’s name as of such date in the books and records of the Company or, if applicable, a duly authorized transfer agent of the Company, against payment of the exercise price therefor by Purchaser. If applicable, the Company will deliver to Purchaser a certificate representing the Shares as soon as practicable following such date.</w:t>
      </w:r>
    </w:p>
    <w:p>
      <w:pPr>
        <w:spacing w:after="0" w:line="51" w:lineRule="exact"/>
        <w:rPr>
          <w:rFonts w:ascii="Arial" w:cs="Arial" w:eastAsia="Arial" w:hAnsi="Arial"/>
          <w:sz w:val="16"/>
          <w:szCs w:val="16"/>
          <w:color w:val="auto"/>
        </w:rPr>
      </w:pPr>
    </w:p>
    <w:p>
      <w:pPr>
        <w:jc w:val="both"/>
        <w:ind w:right="220" w:firstLine="436"/>
        <w:spacing w:after="0" w:line="266" w:lineRule="auto"/>
        <w:tabs>
          <w:tab w:leader="none" w:pos="620" w:val="left"/>
        </w:tabs>
        <w:numPr>
          <w:ilvl w:val="0"/>
          <w:numId w:val="198"/>
        </w:numPr>
        <w:rPr>
          <w:rFonts w:ascii="Arial" w:cs="Arial" w:eastAsia="Arial" w:hAnsi="Arial"/>
          <w:sz w:val="18"/>
          <w:szCs w:val="18"/>
          <w:color w:val="auto"/>
        </w:rPr>
      </w:pPr>
      <w:r>
        <w:rPr>
          <w:rFonts w:ascii="Arial" w:cs="Arial" w:eastAsia="Arial" w:hAnsi="Arial"/>
          <w:sz w:val="18"/>
          <w:szCs w:val="18"/>
          <w:b w:val="1"/>
          <w:bCs w:val="1"/>
          <w:u w:val="single" w:color="auto"/>
          <w:color w:val="auto"/>
        </w:rPr>
        <w:t>Limitations on Transfer</w:t>
      </w:r>
      <w:r>
        <w:rPr>
          <w:rFonts w:ascii="Arial" w:cs="Arial" w:eastAsia="Arial" w:hAnsi="Arial"/>
          <w:sz w:val="18"/>
          <w:szCs w:val="18"/>
          <w:color w:val="auto"/>
        </w:rPr>
        <w:t>. In addition to any other limitation on transfer created by applicable securities laws or the Bylaws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 shall not assign, encumber or dispose of any interest in the Shares except in compliance with the provisions below and applicable securities laws.</w:t>
      </w:r>
    </w:p>
    <w:p>
      <w:pPr>
        <w:spacing w:after="0" w:line="67" w:lineRule="exact"/>
        <w:rPr>
          <w:rFonts w:ascii="Arial" w:cs="Arial" w:eastAsia="Arial" w:hAnsi="Arial"/>
          <w:sz w:val="18"/>
          <w:szCs w:val="18"/>
          <w:color w:val="auto"/>
        </w:rPr>
      </w:pPr>
    </w:p>
    <w:p>
      <w:pPr>
        <w:ind w:right="100" w:firstLine="987"/>
        <w:spacing w:after="0" w:line="289" w:lineRule="auto"/>
        <w:tabs>
          <w:tab w:leader="none" w:pos="1236" w:val="left"/>
        </w:tabs>
        <w:numPr>
          <w:ilvl w:val="1"/>
          <w:numId w:val="198"/>
        </w:numPr>
        <w:rPr>
          <w:rFonts w:ascii="Arial" w:cs="Arial" w:eastAsia="Arial" w:hAnsi="Arial"/>
          <w:sz w:val="17"/>
          <w:szCs w:val="17"/>
          <w:color w:val="auto"/>
        </w:rPr>
      </w:pPr>
      <w:r>
        <w:rPr>
          <w:rFonts w:ascii="Arial" w:cs="Arial" w:eastAsia="Arial" w:hAnsi="Arial"/>
          <w:sz w:val="17"/>
          <w:szCs w:val="17"/>
          <w:b w:val="1"/>
          <w:bCs w:val="1"/>
          <w:u w:val="single" w:color="auto"/>
          <w:color w:val="auto"/>
        </w:rPr>
        <w:t>Right of First Refusal</w:t>
      </w:r>
      <w:r>
        <w:rPr>
          <w:rFonts w:ascii="Arial" w:cs="Arial" w:eastAsia="Arial" w:hAnsi="Arial"/>
          <w:sz w:val="17"/>
          <w:szCs w:val="17"/>
          <w:color w:val="auto"/>
        </w:rPr>
        <w:t>. Before any Shares held by Purchaser or any transferee of Purchaser (either being sometimes referred to herein</w:t>
      </w:r>
      <w:r>
        <w:rPr>
          <w:rFonts w:ascii="Arial" w:cs="Arial" w:eastAsia="Arial" w:hAnsi="Arial"/>
          <w:sz w:val="17"/>
          <w:szCs w:val="17"/>
          <w:b w:val="1"/>
          <w:bCs w:val="1"/>
          <w:color w:val="auto"/>
        </w:rPr>
        <w:t xml:space="preserve"> </w:t>
      </w:r>
      <w:r>
        <w:rPr>
          <w:rFonts w:ascii="Arial" w:cs="Arial" w:eastAsia="Arial" w:hAnsi="Arial"/>
          <w:sz w:val="17"/>
          <w:szCs w:val="17"/>
          <w:color w:val="auto"/>
        </w:rPr>
        <w:t>as the “</w:t>
      </w:r>
      <w:r>
        <w:rPr>
          <w:rFonts w:ascii="Arial" w:cs="Arial" w:eastAsia="Arial" w:hAnsi="Arial"/>
          <w:sz w:val="17"/>
          <w:szCs w:val="17"/>
          <w:u w:val="single" w:color="auto"/>
          <w:color w:val="auto"/>
        </w:rPr>
        <w:t>Holder</w:t>
      </w:r>
      <w:r>
        <w:rPr>
          <w:rFonts w:ascii="Arial" w:cs="Arial" w:eastAsia="Arial" w:hAnsi="Arial"/>
          <w:sz w:val="17"/>
          <w:szCs w:val="17"/>
          <w:color w:val="auto"/>
        </w:rPr>
        <w:t>”) may be sold or otherwise transferred (including transfer by gift or operation of law), the Company or its assignee(s) shall have a right of first refusal to purchase the Shares on the terms and conditions set forth in this Section 3(a) (the “</w:t>
      </w:r>
      <w:r>
        <w:rPr>
          <w:rFonts w:ascii="Arial" w:cs="Arial" w:eastAsia="Arial" w:hAnsi="Arial"/>
          <w:sz w:val="17"/>
          <w:szCs w:val="17"/>
          <w:u w:val="single" w:color="auto"/>
          <w:color w:val="auto"/>
        </w:rPr>
        <w:t>Right of First Refusal</w:t>
      </w:r>
      <w:r>
        <w:rPr>
          <w:rFonts w:ascii="Arial" w:cs="Arial" w:eastAsia="Arial" w:hAnsi="Arial"/>
          <w:sz w:val="17"/>
          <w:szCs w:val="17"/>
          <w:color w:val="auto"/>
        </w:rPr>
        <w:t>”).</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440" w:top="270" w:right="459" w:bottom="1440" w:gutter="0" w:footer="0" w:header="0"/>
        </w:sectPr>
      </w:pPr>
    </w:p>
    <w:bookmarkStart w:id="255" w:name="page256"/>
    <w:bookmarkEnd w:id="255"/>
    <w:p>
      <w:pPr>
        <w:ind w:left="1644" w:hanging="212"/>
        <w:spacing w:after="0"/>
        <w:tabs>
          <w:tab w:leader="none" w:pos="1644" w:val="left"/>
        </w:tabs>
        <w:numPr>
          <w:ilvl w:val="2"/>
          <w:numId w:val="199"/>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Notice of Proposed Transfer</w:t>
      </w:r>
      <w:r>
        <w:rPr>
          <w:rFonts w:ascii="Arial" w:cs="Arial" w:eastAsia="Arial" w:hAnsi="Arial"/>
          <w:sz w:val="17"/>
          <w:szCs w:val="17"/>
          <w:color w:val="auto"/>
        </w:rPr>
        <w:t>. The Holder of the Shares shall deliver to the Company a written notice (the “</w:t>
      </w:r>
      <w:r>
        <w:rPr>
          <w:rFonts w:ascii="Arial" w:cs="Arial" w:eastAsia="Arial" w:hAnsi="Arial"/>
          <w:sz w:val="17"/>
          <w:szCs w:val="17"/>
          <w:u w:val="single" w:color="auto"/>
          <w:color w:val="auto"/>
        </w:rPr>
        <w:t>Notice</w:t>
      </w:r>
      <w:r>
        <w:rPr>
          <w:rFonts w:ascii="Arial" w:cs="Arial" w:eastAsia="Arial" w:hAnsi="Arial"/>
          <w:sz w:val="17"/>
          <w:szCs w:val="17"/>
          <w:color w:val="auto"/>
        </w:rPr>
        <w:t>”) stating:</w:t>
      </w:r>
    </w:p>
    <w:p>
      <w:pPr>
        <w:spacing w:after="0" w:line="38" w:lineRule="exact"/>
        <w:rPr>
          <w:rFonts w:ascii="Arial" w:cs="Arial" w:eastAsia="Arial" w:hAnsi="Arial"/>
          <w:sz w:val="17"/>
          <w:szCs w:val="17"/>
          <w:color w:val="auto"/>
        </w:rPr>
      </w:pPr>
    </w:p>
    <w:p>
      <w:pPr>
        <w:ind w:left="4" w:right="80" w:hanging="4"/>
        <w:spacing w:after="0" w:line="253" w:lineRule="auto"/>
        <w:tabs>
          <w:tab w:leader="none" w:pos="219"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Holder’s bona fide intention to sell or otherwise transfer such Shares; (ii) the name of each proposed purchaser or other transferee (“</w:t>
      </w:r>
      <w:r>
        <w:rPr>
          <w:rFonts w:ascii="Arial" w:cs="Arial" w:eastAsia="Arial" w:hAnsi="Arial"/>
          <w:sz w:val="18"/>
          <w:szCs w:val="18"/>
          <w:u w:val="single" w:color="auto"/>
          <w:color w:val="auto"/>
        </w:rPr>
        <w:t>Proposed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Transferee</w:t>
      </w:r>
      <w:r>
        <w:rPr>
          <w:rFonts w:ascii="Arial" w:cs="Arial" w:eastAsia="Arial" w:hAnsi="Arial"/>
          <w:sz w:val="18"/>
          <w:szCs w:val="18"/>
          <w:color w:val="auto"/>
        </w:rPr>
        <w:t>”); (iii) the number of Shares to be transferred to each Proposed Transferee; and (iv) the terms and conditions of each proposed sale or transfer. The Holder shall offer the Shares at the same price (the “</w:t>
      </w:r>
      <w:r>
        <w:rPr>
          <w:rFonts w:ascii="Arial" w:cs="Arial" w:eastAsia="Arial" w:hAnsi="Arial"/>
          <w:sz w:val="18"/>
          <w:szCs w:val="18"/>
          <w:u w:val="single" w:color="auto"/>
          <w:color w:val="auto"/>
        </w:rPr>
        <w:t>Purchase Price</w:t>
      </w:r>
      <w:r>
        <w:rPr>
          <w:rFonts w:ascii="Arial" w:cs="Arial" w:eastAsia="Arial" w:hAnsi="Arial"/>
          <w:sz w:val="18"/>
          <w:szCs w:val="18"/>
          <w:color w:val="auto"/>
        </w:rPr>
        <w:t>”) and upon the same terms (or terms as similar as reasonably possible) to the Company or its assignee(s).</w:t>
      </w:r>
    </w:p>
    <w:p>
      <w:pPr>
        <w:spacing w:after="0" w:line="80" w:lineRule="exact"/>
        <w:rPr>
          <w:rFonts w:ascii="Arial" w:cs="Arial" w:eastAsia="Arial" w:hAnsi="Arial"/>
          <w:sz w:val="18"/>
          <w:szCs w:val="18"/>
          <w:color w:val="auto"/>
        </w:rPr>
      </w:pPr>
    </w:p>
    <w:p>
      <w:pPr>
        <w:ind w:left="4" w:right="100" w:firstLine="1428"/>
        <w:spacing w:after="0" w:line="261" w:lineRule="auto"/>
        <w:tabs>
          <w:tab w:leader="none" w:pos="1701" w:val="left"/>
        </w:tabs>
        <w:numPr>
          <w:ilvl w:val="2"/>
          <w:numId w:val="200"/>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 of Right of First Refusal</w:t>
      </w:r>
      <w:r>
        <w:rPr>
          <w:rFonts w:ascii="Arial" w:cs="Arial" w:eastAsia="Arial" w:hAnsi="Arial"/>
          <w:sz w:val="18"/>
          <w:szCs w:val="18"/>
          <w:color w:val="auto"/>
        </w:rPr>
        <w:t>. At any time within thirty (30) days after receipt of the Notice, the Company and/or its</w:t>
      </w:r>
      <w:r>
        <w:rPr>
          <w:rFonts w:ascii="Arial" w:cs="Arial" w:eastAsia="Arial" w:hAnsi="Arial"/>
          <w:sz w:val="18"/>
          <w:szCs w:val="18"/>
          <w:b w:val="1"/>
          <w:bCs w:val="1"/>
          <w:color w:val="auto"/>
        </w:rPr>
        <w:t xml:space="preserve"> </w:t>
      </w:r>
      <w:r>
        <w:rPr>
          <w:rFonts w:ascii="Arial" w:cs="Arial" w:eastAsia="Arial" w:hAnsi="Arial"/>
          <w:sz w:val="18"/>
          <w:szCs w:val="18"/>
          <w:color w:val="auto"/>
        </w:rPr>
        <w:t>assignee(s) may, by giving written notice to the Holder, elect to purchase all, but not less than all, of the Shares proposed to be transferred to any one or more of the Proposed Transferees, at the Purchase Price. If the Purchase Price includes consideration other than cash, the cash equivalent value of the non-cash consideration shall be determined by the Board in good faith.</w:t>
      </w:r>
    </w:p>
    <w:p>
      <w:pPr>
        <w:spacing w:after="0" w:line="71" w:lineRule="exact"/>
        <w:rPr>
          <w:rFonts w:ascii="Arial" w:cs="Arial" w:eastAsia="Arial" w:hAnsi="Arial"/>
          <w:sz w:val="18"/>
          <w:szCs w:val="18"/>
          <w:color w:val="auto"/>
        </w:rPr>
      </w:pPr>
    </w:p>
    <w:p>
      <w:pPr>
        <w:jc w:val="both"/>
        <w:ind w:left="4" w:right="20" w:firstLine="1428"/>
        <w:spacing w:after="0" w:line="266" w:lineRule="auto"/>
        <w:tabs>
          <w:tab w:leader="none" w:pos="1751" w:val="left"/>
        </w:tabs>
        <w:numPr>
          <w:ilvl w:val="2"/>
          <w:numId w:val="200"/>
        </w:numPr>
        <w:rPr>
          <w:rFonts w:ascii="Arial" w:cs="Arial" w:eastAsia="Arial" w:hAnsi="Arial"/>
          <w:sz w:val="18"/>
          <w:szCs w:val="18"/>
          <w:color w:val="auto"/>
        </w:rPr>
      </w:pPr>
      <w:r>
        <w:rPr>
          <w:rFonts w:ascii="Arial" w:cs="Arial" w:eastAsia="Arial" w:hAnsi="Arial"/>
          <w:sz w:val="18"/>
          <w:szCs w:val="18"/>
          <w:b w:val="1"/>
          <w:bCs w:val="1"/>
          <w:u w:val="single" w:color="auto"/>
          <w:color w:val="auto"/>
        </w:rPr>
        <w:t>Payment</w:t>
      </w:r>
      <w:r>
        <w:rPr>
          <w:rFonts w:ascii="Arial" w:cs="Arial" w:eastAsia="Arial" w:hAnsi="Arial"/>
          <w:sz w:val="18"/>
          <w:szCs w:val="18"/>
          <w:color w:val="auto"/>
        </w:rPr>
        <w:t>. Payment of the Purchase Price shall be made, at the election of the Company or its assignee(s), in cash (by check), by</w:t>
      </w:r>
      <w:r>
        <w:rPr>
          <w:rFonts w:ascii="Arial" w:cs="Arial" w:eastAsia="Arial" w:hAnsi="Arial"/>
          <w:sz w:val="18"/>
          <w:szCs w:val="18"/>
          <w:b w:val="1"/>
          <w:bCs w:val="1"/>
          <w:color w:val="auto"/>
        </w:rPr>
        <w:t xml:space="preserve"> </w:t>
      </w:r>
      <w:r>
        <w:rPr>
          <w:rFonts w:ascii="Arial" w:cs="Arial" w:eastAsia="Arial" w:hAnsi="Arial"/>
          <w:sz w:val="18"/>
          <w:szCs w:val="18"/>
          <w:color w:val="auto"/>
        </w:rPr>
        <w:t>cancellation of all or a portion of any outstanding indebtedness, or by any combination thereof within sixty (60) days after receipt of the Notice or in the manner and at the times set forth in the Notice.</w:t>
      </w:r>
    </w:p>
    <w:p>
      <w:pPr>
        <w:spacing w:after="0" w:line="67" w:lineRule="exact"/>
        <w:rPr>
          <w:rFonts w:ascii="Arial" w:cs="Arial" w:eastAsia="Arial" w:hAnsi="Arial"/>
          <w:sz w:val="18"/>
          <w:szCs w:val="18"/>
          <w:color w:val="auto"/>
        </w:rPr>
      </w:pPr>
    </w:p>
    <w:p>
      <w:pPr>
        <w:ind w:left="4" w:right="80" w:firstLine="1428"/>
        <w:spacing w:after="0" w:line="289" w:lineRule="auto"/>
        <w:tabs>
          <w:tab w:leader="none" w:pos="1741" w:val="left"/>
        </w:tabs>
        <w:numPr>
          <w:ilvl w:val="2"/>
          <w:numId w:val="200"/>
        </w:numPr>
        <w:rPr>
          <w:rFonts w:ascii="Arial" w:cs="Arial" w:eastAsia="Arial" w:hAnsi="Arial"/>
          <w:sz w:val="16"/>
          <w:szCs w:val="16"/>
          <w:color w:val="auto"/>
        </w:rPr>
      </w:pPr>
      <w:r>
        <w:rPr>
          <w:rFonts w:ascii="Arial" w:cs="Arial" w:eastAsia="Arial" w:hAnsi="Arial"/>
          <w:sz w:val="16"/>
          <w:szCs w:val="16"/>
          <w:b w:val="1"/>
          <w:bCs w:val="1"/>
          <w:u w:val="single" w:color="auto"/>
          <w:color w:val="auto"/>
        </w:rPr>
        <w:t>Holder’s Right to Transfer</w:t>
      </w:r>
      <w:r>
        <w:rPr>
          <w:rFonts w:ascii="Arial" w:cs="Arial" w:eastAsia="Arial" w:hAnsi="Arial"/>
          <w:sz w:val="16"/>
          <w:szCs w:val="16"/>
          <w:color w:val="auto"/>
        </w:rPr>
        <w:t>. If all of the Shares proposed in the Notice to be transferred to a given Proposed Transferee are not</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purchased by the Company and/or its assignee(s) as provided in this Section 3(a), then the Holder may sell or otherwise transfer such Shares to that Proposed Transferee at the Purchase Price or at a higher price, provided that such sale or other transfer is consummated within one hundred twenty</w:t>
      </w:r>
    </w:p>
    <w:p>
      <w:pPr>
        <w:spacing w:after="0" w:line="1" w:lineRule="exact"/>
        <w:rPr>
          <w:rFonts w:ascii="Arial" w:cs="Arial" w:eastAsia="Arial" w:hAnsi="Arial"/>
          <w:sz w:val="16"/>
          <w:szCs w:val="16"/>
          <w:color w:val="auto"/>
        </w:rPr>
      </w:pPr>
    </w:p>
    <w:p>
      <w:pPr>
        <w:ind w:left="4"/>
        <w:spacing w:after="0" w:line="292" w:lineRule="auto"/>
        <w:rPr>
          <w:rFonts w:ascii="Arial" w:cs="Arial" w:eastAsia="Arial" w:hAnsi="Arial"/>
          <w:sz w:val="16"/>
          <w:szCs w:val="16"/>
          <w:color w:val="auto"/>
        </w:rPr>
      </w:pPr>
      <w:r>
        <w:rPr>
          <w:rFonts w:ascii="Arial" w:cs="Arial" w:eastAsia="Arial" w:hAnsi="Arial"/>
          <w:sz w:val="16"/>
          <w:szCs w:val="16"/>
          <w:color w:val="auto"/>
        </w:rPr>
        <w:t>(120) days after the date of the Notice and provided further that any such sale or other transfer is effected in accordance with any applicable securities laws and the Proposed Transferee agrees in writing that the provisions of this Section 3 shall continue to apply to the Shares in the hands of such Proposed Transferee. If the Shares described in the Notice are not transferred to the Proposed Transferee within such period, or if the Holder proposes to change the price or other terms to make them more favorable to the Proposed Transferee, a new Notice shall be given to the Company, and the Company and/or its assignees shall again be offered the Right of First Refusal before any Shares held by the Holder may be sold or otherwise transferred.</w:t>
      </w:r>
    </w:p>
    <w:p>
      <w:pPr>
        <w:spacing w:after="0" w:line="50" w:lineRule="exact"/>
        <w:rPr>
          <w:rFonts w:ascii="Arial" w:cs="Arial" w:eastAsia="Arial" w:hAnsi="Arial"/>
          <w:sz w:val="16"/>
          <w:szCs w:val="16"/>
          <w:color w:val="auto"/>
        </w:rPr>
      </w:pPr>
    </w:p>
    <w:p>
      <w:pPr>
        <w:ind w:left="4" w:right="20" w:firstLine="1428"/>
        <w:spacing w:after="0" w:line="274" w:lineRule="auto"/>
        <w:tabs>
          <w:tab w:leader="none" w:pos="1691" w:val="left"/>
        </w:tabs>
        <w:numPr>
          <w:ilvl w:val="2"/>
          <w:numId w:val="200"/>
        </w:numPr>
        <w:rPr>
          <w:rFonts w:ascii="Arial" w:cs="Arial" w:eastAsia="Arial" w:hAnsi="Arial"/>
          <w:sz w:val="17"/>
          <w:szCs w:val="17"/>
          <w:color w:val="auto"/>
        </w:rPr>
      </w:pPr>
      <w:r>
        <w:rPr>
          <w:rFonts w:ascii="Arial" w:cs="Arial" w:eastAsia="Arial" w:hAnsi="Arial"/>
          <w:sz w:val="17"/>
          <w:szCs w:val="17"/>
          <w:b w:val="1"/>
          <w:bCs w:val="1"/>
          <w:u w:val="single" w:color="auto"/>
          <w:color w:val="auto"/>
        </w:rPr>
        <w:t>Exception for Certain Family Transfers</w:t>
      </w:r>
      <w:r>
        <w:rPr>
          <w:rFonts w:ascii="Arial" w:cs="Arial" w:eastAsia="Arial" w:hAnsi="Arial"/>
          <w:sz w:val="17"/>
          <w:szCs w:val="17"/>
          <w:color w:val="auto"/>
        </w:rPr>
        <w:t>. Anything to the contrary contained in this Section 3(a) notwithstanding, and provided</w:t>
      </w:r>
      <w:r>
        <w:rPr>
          <w:rFonts w:ascii="Arial" w:cs="Arial" w:eastAsia="Arial" w:hAnsi="Arial"/>
          <w:sz w:val="17"/>
          <w:szCs w:val="17"/>
          <w:b w:val="1"/>
          <w:bCs w:val="1"/>
          <w:color w:val="auto"/>
        </w:rPr>
        <w:t xml:space="preserve"> </w:t>
      </w:r>
      <w:r>
        <w:rPr>
          <w:rFonts w:ascii="Arial" w:cs="Arial" w:eastAsia="Arial" w:hAnsi="Arial"/>
          <w:sz w:val="17"/>
          <w:szCs w:val="17"/>
          <w:color w:val="auto"/>
        </w:rPr>
        <w:t>that such transfer complies with applicable securities laws, the transfer of any or all of the Shares during Purchaser’s lifetime or on Purchaser’s death by will or intestacy to Purchaser’s Immediate Family or a trust for the benefit of Purchaser’s Immediate Family shall be exempt from the provisions of this Section 3(a). “</w:t>
      </w:r>
      <w:r>
        <w:rPr>
          <w:rFonts w:ascii="Arial" w:cs="Arial" w:eastAsia="Arial" w:hAnsi="Arial"/>
          <w:sz w:val="17"/>
          <w:szCs w:val="17"/>
          <w:u w:val="single" w:color="auto"/>
          <w:color w:val="auto"/>
        </w:rPr>
        <w:t>Immediate Family</w:t>
      </w:r>
      <w:r>
        <w:rPr>
          <w:rFonts w:ascii="Arial" w:cs="Arial" w:eastAsia="Arial" w:hAnsi="Arial"/>
          <w:sz w:val="17"/>
          <w:szCs w:val="17"/>
          <w:color w:val="auto"/>
        </w:rPr>
        <w:t>” as used herein shall mean spouse, lineal descendant or antecedent, father, mother, brother or sister. In such case, the transferee or other recipient shall receive and hold the Shares so transferred subject to the provisions of this Section 3, and there shall be no further transfer of such Shares except in accordance with the terms of this Section 3.</w:t>
      </w:r>
    </w:p>
    <w:p>
      <w:pPr>
        <w:spacing w:after="0" w:line="65" w:lineRule="exact"/>
        <w:rPr>
          <w:rFonts w:ascii="Arial" w:cs="Arial" w:eastAsia="Arial" w:hAnsi="Arial"/>
          <w:sz w:val="17"/>
          <w:szCs w:val="17"/>
          <w:color w:val="auto"/>
        </w:rPr>
      </w:pPr>
    </w:p>
    <w:p>
      <w:pPr>
        <w:ind w:left="4" w:right="20" w:firstLine="987"/>
        <w:spacing w:after="0" w:line="294" w:lineRule="auto"/>
        <w:tabs>
          <w:tab w:leader="none" w:pos="1250" w:val="left"/>
        </w:tabs>
        <w:numPr>
          <w:ilvl w:val="1"/>
          <w:numId w:val="200"/>
        </w:numPr>
        <w:rPr>
          <w:rFonts w:ascii="Arial" w:cs="Arial" w:eastAsia="Arial" w:hAnsi="Arial"/>
          <w:sz w:val="16"/>
          <w:szCs w:val="16"/>
          <w:color w:val="auto"/>
        </w:rPr>
      </w:pPr>
      <w:r>
        <w:rPr>
          <w:rFonts w:ascii="Arial" w:cs="Arial" w:eastAsia="Arial" w:hAnsi="Arial"/>
          <w:sz w:val="16"/>
          <w:szCs w:val="16"/>
          <w:b w:val="1"/>
          <w:bCs w:val="1"/>
          <w:u w:val="single" w:color="auto"/>
          <w:color w:val="auto"/>
        </w:rPr>
        <w:t>Company’s Right to Purchase upon Involuntary Transfer</w:t>
      </w:r>
      <w:r>
        <w:rPr>
          <w:rFonts w:ascii="Arial" w:cs="Arial" w:eastAsia="Arial" w:hAnsi="Arial"/>
          <w:sz w:val="16"/>
          <w:szCs w:val="16"/>
          <w:color w:val="auto"/>
        </w:rPr>
        <w:t>. In the event of any transfer by operation of law or other involuntary</w:t>
      </w:r>
      <w:r>
        <w:rPr>
          <w:rFonts w:ascii="Arial" w:cs="Arial" w:eastAsia="Arial" w:hAnsi="Arial"/>
          <w:sz w:val="16"/>
          <w:szCs w:val="16"/>
          <w:b w:val="1"/>
          <w:bCs w:val="1"/>
          <w:color w:val="auto"/>
        </w:rPr>
        <w:t xml:space="preserve"> </w:t>
      </w:r>
      <w:r>
        <w:rPr>
          <w:rFonts w:ascii="Arial" w:cs="Arial" w:eastAsia="Arial" w:hAnsi="Arial"/>
          <w:sz w:val="16"/>
          <w:szCs w:val="16"/>
          <w:color w:val="auto"/>
        </w:rPr>
        <w:t>transfer (including death or divorce, but excluding a transfer to Immediate Family as set forth in Section 3(a)(v) above) of all or a portion of the Shares by the record holder thereof, the Company shall have an option to purchase all of the Shares transferred at the greater of the purchase price paid by Purchaser pursuant to this Agreement or the Fair Market Value of the Shares on the date of transfer (as determined by the Board). Upon such a transfer, the person acquiring the Shares shall promptly notify the Secretary of the Company of such transfer. The right to purchase such Shares shall be provided to the Company for a period of thirty (30) days following receipt by the Company of written notice by the person acquiring the Shares.</w:t>
      </w:r>
    </w:p>
    <w:p>
      <w:pPr>
        <w:spacing w:after="0" w:line="9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0" w:right="459" w:bottom="1440" w:gutter="0" w:footer="0" w:header="0"/>
        </w:sectPr>
      </w:pPr>
    </w:p>
    <w:bookmarkStart w:id="256" w:name="page257"/>
    <w:bookmarkEnd w:id="256"/>
    <w:p>
      <w:pPr>
        <w:ind w:right="80" w:firstLine="987"/>
        <w:spacing w:after="0" w:line="282" w:lineRule="auto"/>
        <w:tabs>
          <w:tab w:leader="none" w:pos="1236" w:val="left"/>
        </w:tabs>
        <w:numPr>
          <w:ilvl w:val="1"/>
          <w:numId w:val="201"/>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Assignment</w:t>
      </w:r>
      <w:r>
        <w:rPr>
          <w:rFonts w:ascii="Arial" w:cs="Arial" w:eastAsia="Arial" w:hAnsi="Arial"/>
          <w:sz w:val="18"/>
          <w:szCs w:val="18"/>
          <w:color w:val="auto"/>
        </w:rPr>
        <w:t>. The right of the Company to purchase any part of the Shares may be assigned in whole or in part to any holder or holders</w:t>
      </w:r>
      <w:r>
        <w:rPr>
          <w:rFonts w:ascii="Arial" w:cs="Arial" w:eastAsia="Arial" w:hAnsi="Arial"/>
          <w:sz w:val="18"/>
          <w:szCs w:val="18"/>
          <w:b w:val="1"/>
          <w:bCs w:val="1"/>
          <w:color w:val="auto"/>
        </w:rPr>
        <w:t xml:space="preserve"> </w:t>
      </w:r>
      <w:r>
        <w:rPr>
          <w:rFonts w:ascii="Arial" w:cs="Arial" w:eastAsia="Arial" w:hAnsi="Arial"/>
          <w:sz w:val="18"/>
          <w:szCs w:val="18"/>
          <w:color w:val="auto"/>
        </w:rPr>
        <w:t>of capital stock of the Company or other persons or organizations.</w:t>
      </w:r>
    </w:p>
    <w:p>
      <w:pPr>
        <w:spacing w:after="0" w:line="53" w:lineRule="exact"/>
        <w:rPr>
          <w:rFonts w:ascii="Arial" w:cs="Arial" w:eastAsia="Arial" w:hAnsi="Arial"/>
          <w:sz w:val="18"/>
          <w:szCs w:val="18"/>
          <w:color w:val="auto"/>
        </w:rPr>
      </w:pPr>
    </w:p>
    <w:p>
      <w:pPr>
        <w:ind w:right="320" w:firstLine="987"/>
        <w:spacing w:after="0" w:line="266" w:lineRule="auto"/>
        <w:tabs>
          <w:tab w:leader="none" w:pos="1246" w:val="left"/>
        </w:tabs>
        <w:numPr>
          <w:ilvl w:val="1"/>
          <w:numId w:val="201"/>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Restrictions Binding on Transferees</w:t>
      </w:r>
      <w:r>
        <w:rPr>
          <w:rFonts w:ascii="Arial" w:cs="Arial" w:eastAsia="Arial" w:hAnsi="Arial"/>
          <w:sz w:val="18"/>
          <w:szCs w:val="18"/>
          <w:color w:val="auto"/>
        </w:rPr>
        <w:t>. All transferees of Shares or any interest therein will receive and hold such Shares or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provisions of this Agreement. Any sale or transfer of the Company’s Shares shall be void unless the provisions of this Agreement are satisfied.</w:t>
      </w:r>
    </w:p>
    <w:p>
      <w:pPr>
        <w:spacing w:after="0" w:line="67" w:lineRule="exact"/>
        <w:rPr>
          <w:rFonts w:ascii="Arial" w:cs="Arial" w:eastAsia="Arial" w:hAnsi="Arial"/>
          <w:sz w:val="18"/>
          <w:szCs w:val="18"/>
          <w:color w:val="auto"/>
        </w:rPr>
      </w:pPr>
    </w:p>
    <w:p>
      <w:pPr>
        <w:ind w:right="60" w:firstLine="987"/>
        <w:spacing w:after="0" w:line="255" w:lineRule="auto"/>
        <w:tabs>
          <w:tab w:leader="none" w:pos="1236" w:val="left"/>
        </w:tabs>
        <w:numPr>
          <w:ilvl w:val="1"/>
          <w:numId w:val="201"/>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Rights</w:t>
      </w:r>
      <w:r>
        <w:rPr>
          <w:rFonts w:ascii="Arial" w:cs="Arial" w:eastAsia="Arial" w:hAnsi="Arial"/>
          <w:sz w:val="18"/>
          <w:szCs w:val="18"/>
          <w:color w:val="auto"/>
        </w:rPr>
        <w:t>. The right of first refusal granted the Company by Section 3(a) above and the option to repurchase the Shares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of an involuntary transfer granted the Company by Section 3(b) above shall terminate upon the first sale of Common Stock of the Company to the general public pursuant to a registration statement filed with and declared effective by the Securities and Exchange Commission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Upon termination of the right of first refusal described in Section 3(a) above the Company will remove any stop-transfer notices referred to in Section 5(b) below and related to the restrictions in this Section 3 and, if certificates are issued, a new certificate or certificates representing the Shares not repurchased shall be issued, on request, without the legend referred to in Section 5(a)(ii) below and delivered to Purchaser.</w:t>
      </w:r>
    </w:p>
    <w:p>
      <w:pPr>
        <w:spacing w:after="0" w:line="80" w:lineRule="exact"/>
        <w:rPr>
          <w:rFonts w:ascii="Arial" w:cs="Arial" w:eastAsia="Arial" w:hAnsi="Arial"/>
          <w:sz w:val="18"/>
          <w:szCs w:val="18"/>
          <w:color w:val="auto"/>
        </w:rPr>
      </w:pPr>
    </w:p>
    <w:p>
      <w:pPr>
        <w:ind w:left="620" w:hanging="184"/>
        <w:spacing w:after="0"/>
        <w:tabs>
          <w:tab w:leader="none" w:pos="620" w:val="left"/>
        </w:tabs>
        <w:numPr>
          <w:ilvl w:val="0"/>
          <w:numId w:val="202"/>
        </w:numPr>
        <w:rPr>
          <w:rFonts w:ascii="Arial" w:cs="Arial" w:eastAsia="Arial" w:hAnsi="Arial"/>
          <w:sz w:val="16"/>
          <w:szCs w:val="16"/>
          <w:color w:val="auto"/>
        </w:rPr>
      </w:pPr>
      <w:r>
        <w:rPr>
          <w:rFonts w:ascii="Arial" w:cs="Arial" w:eastAsia="Arial" w:hAnsi="Arial"/>
          <w:sz w:val="16"/>
          <w:szCs w:val="16"/>
          <w:b w:val="1"/>
          <w:bCs w:val="1"/>
          <w:u w:val="single" w:color="auto"/>
          <w:color w:val="auto"/>
        </w:rPr>
        <w:t>Investment and Taxation Representations</w:t>
      </w:r>
      <w:r>
        <w:rPr>
          <w:rFonts w:ascii="Arial" w:cs="Arial" w:eastAsia="Arial" w:hAnsi="Arial"/>
          <w:sz w:val="16"/>
          <w:szCs w:val="16"/>
          <w:color w:val="auto"/>
        </w:rPr>
        <w:t>. In connection with the purchase of the Shares, Purchaser represents to the Company the following:</w:t>
      </w:r>
    </w:p>
    <w:p>
      <w:pPr>
        <w:spacing w:after="0" w:line="144" w:lineRule="exact"/>
        <w:rPr>
          <w:rFonts w:ascii="Arial" w:cs="Arial" w:eastAsia="Arial" w:hAnsi="Arial"/>
          <w:sz w:val="16"/>
          <w:szCs w:val="16"/>
          <w:color w:val="auto"/>
        </w:rPr>
      </w:pPr>
    </w:p>
    <w:p>
      <w:pPr>
        <w:ind w:right="140" w:firstLine="987"/>
        <w:spacing w:after="0" w:line="279" w:lineRule="auto"/>
        <w:tabs>
          <w:tab w:leader="none" w:pos="1236" w:val="left"/>
        </w:tabs>
        <w:numPr>
          <w:ilvl w:val="1"/>
          <w:numId w:val="202"/>
        </w:numPr>
        <w:rPr>
          <w:rFonts w:ascii="Arial" w:cs="Arial" w:eastAsia="Arial" w:hAnsi="Arial"/>
          <w:sz w:val="17"/>
          <w:szCs w:val="17"/>
          <w:color w:val="auto"/>
        </w:rPr>
      </w:pPr>
      <w:r>
        <w:rPr>
          <w:rFonts w:ascii="Arial" w:cs="Arial" w:eastAsia="Arial" w:hAnsi="Arial"/>
          <w:sz w:val="17"/>
          <w:szCs w:val="17"/>
          <w:color w:val="auto"/>
        </w:rPr>
        <w:t>Purchaser is aware of the Company’s business affairs and financial condition and has acquired sufficient information about the Company to reach an informed and knowledgeable decision to acquire the Shares. Purchaser is purchasing these securities for investment for his or her own account only and not with a view to, or for resale in connection with, any “distribution” thereof within the meaning of the Securities Act or under any applicable provision of state law. Purchaser does not have any present intention to transfer the Shares to any person or entity.</w:t>
      </w:r>
    </w:p>
    <w:p>
      <w:pPr>
        <w:spacing w:after="0" w:line="63" w:lineRule="exact"/>
        <w:rPr>
          <w:rFonts w:ascii="Arial" w:cs="Arial" w:eastAsia="Arial" w:hAnsi="Arial"/>
          <w:sz w:val="17"/>
          <w:szCs w:val="17"/>
          <w:color w:val="auto"/>
        </w:rPr>
      </w:pPr>
    </w:p>
    <w:p>
      <w:pPr>
        <w:ind w:right="220" w:firstLine="987"/>
        <w:spacing w:after="0" w:line="308" w:lineRule="auto"/>
        <w:tabs>
          <w:tab w:leader="none" w:pos="1246" w:val="left"/>
        </w:tabs>
        <w:numPr>
          <w:ilvl w:val="1"/>
          <w:numId w:val="202"/>
        </w:numPr>
        <w:rPr>
          <w:rFonts w:ascii="Arial" w:cs="Arial" w:eastAsia="Arial" w:hAnsi="Arial"/>
          <w:sz w:val="17"/>
          <w:szCs w:val="17"/>
          <w:color w:val="auto"/>
        </w:rPr>
      </w:pPr>
      <w:r>
        <w:rPr>
          <w:rFonts w:ascii="Arial" w:cs="Arial" w:eastAsia="Arial" w:hAnsi="Arial"/>
          <w:sz w:val="17"/>
          <w:szCs w:val="17"/>
          <w:color w:val="auto"/>
        </w:rPr>
        <w:t>Purchaser understands that the Shares have not been registered under the Securities Act by reason of a specific exemption therefrom, which exemption depends upon, among other things, the bona fide nature of Purchaser’s investment intent as expressed herein.</w:t>
      </w:r>
    </w:p>
    <w:p>
      <w:pPr>
        <w:spacing w:after="0" w:line="38" w:lineRule="exact"/>
        <w:rPr>
          <w:rFonts w:ascii="Arial" w:cs="Arial" w:eastAsia="Arial" w:hAnsi="Arial"/>
          <w:sz w:val="17"/>
          <w:szCs w:val="17"/>
          <w:color w:val="auto"/>
        </w:rPr>
      </w:pPr>
    </w:p>
    <w:p>
      <w:pPr>
        <w:ind w:right="40" w:firstLine="987"/>
        <w:spacing w:after="0" w:line="301" w:lineRule="auto"/>
        <w:tabs>
          <w:tab w:leader="none" w:pos="1236" w:val="left"/>
        </w:tabs>
        <w:numPr>
          <w:ilvl w:val="1"/>
          <w:numId w:val="202"/>
        </w:numPr>
        <w:rPr>
          <w:rFonts w:ascii="Arial" w:cs="Arial" w:eastAsia="Arial" w:hAnsi="Arial"/>
          <w:sz w:val="16"/>
          <w:szCs w:val="16"/>
          <w:color w:val="auto"/>
        </w:rPr>
      </w:pPr>
      <w:r>
        <w:rPr>
          <w:rFonts w:ascii="Arial" w:cs="Arial" w:eastAsia="Arial" w:hAnsi="Arial"/>
          <w:sz w:val="16"/>
          <w:szCs w:val="16"/>
          <w:color w:val="auto"/>
        </w:rPr>
        <w:t>Purchaser further acknowledges and understands that the securities must be held indefinitely unless they are subsequently registered under the Securities Act or an exemption from such registration is available. Purchaser further acknowledges and understands that the Company is under no obligation to register the securities. Purchaser understands that the certificate(s) evidencing the securities will be imprinted with a legend which prohibits the transfer of the securities unless they are registered or such registration is not required in the opinion of counsel for the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0" w:right="439" w:bottom="1440" w:gutter="0" w:footer="0" w:header="0"/>
        </w:sectPr>
      </w:pPr>
    </w:p>
    <w:bookmarkStart w:id="257" w:name="page258"/>
    <w:bookmarkEnd w:id="257"/>
    <w:p>
      <w:pPr>
        <w:ind w:firstLine="987"/>
        <w:spacing w:after="0" w:line="254" w:lineRule="auto"/>
        <w:tabs>
          <w:tab w:leader="none" w:pos="1246" w:val="left"/>
        </w:tabs>
        <w:numPr>
          <w:ilvl w:val="1"/>
          <w:numId w:val="2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Purchaser is familiar with the provisions of Rules 144 and 701, each promulgated under the Securities Act, which, in substance, permit limited public resale of “restricted securities” acquired, directly or indirectly, from the issuer of the securities (or from an affiliate of such issuer), in a non-public offering subject to the satisfaction of certain conditions. Purchaser understands that the Company provides no assurances as to whether he or she will be able to resell any or all of the Shares pursuant to Rule 144 or Rule 701, which rules require, among other things, that the Company be subject to the reporting requirements of the Securities Exchange Act of 1934, as amended, that resales of securities take place only after the holder of the Shares has held the Shares for certain specified time periods, and under certain circumstances, that resales of securities be limited in volume and take place only pursuant to brokered transactions. Notwithstanding this paragraph (d), Purchaser acknowledges and agrees to the restrictions set forth in paragraph (e) below.</w:t>
      </w:r>
    </w:p>
    <w:p>
      <w:pPr>
        <w:spacing w:after="0" w:line="83" w:lineRule="exact"/>
        <w:rPr>
          <w:rFonts w:ascii="Arial" w:cs="Arial" w:eastAsia="Arial" w:hAnsi="Arial"/>
          <w:sz w:val="18"/>
          <w:szCs w:val="18"/>
          <w:color w:val="auto"/>
        </w:rPr>
      </w:pPr>
    </w:p>
    <w:p>
      <w:pPr>
        <w:ind w:right="20" w:firstLine="987"/>
        <w:spacing w:after="0" w:line="291" w:lineRule="auto"/>
        <w:tabs>
          <w:tab w:leader="none" w:pos="1236" w:val="left"/>
        </w:tabs>
        <w:numPr>
          <w:ilvl w:val="1"/>
          <w:numId w:val="203"/>
        </w:numPr>
        <w:rPr>
          <w:rFonts w:ascii="Arial" w:cs="Arial" w:eastAsia="Arial" w:hAnsi="Arial"/>
          <w:sz w:val="16"/>
          <w:szCs w:val="16"/>
          <w:color w:val="auto"/>
        </w:rPr>
      </w:pPr>
      <w:r>
        <w:rPr>
          <w:rFonts w:ascii="Arial" w:cs="Arial" w:eastAsia="Arial" w:hAnsi="Arial"/>
          <w:sz w:val="16"/>
          <w:szCs w:val="16"/>
          <w:color w:val="auto"/>
        </w:rPr>
        <w:t>Purchaser further understands that in the event all of the applicable requirements of Rule 144 or 701 are not satisfied, registration under the Securities Act, compliance with Regulation A, or some other registration exemption will be required; and that, notwithstanding the fact that</w:t>
      </w:r>
    </w:p>
    <w:p>
      <w:pPr>
        <w:spacing w:after="0" w:line="253" w:lineRule="auto"/>
        <w:rPr>
          <w:rFonts w:ascii="Arial" w:cs="Arial" w:eastAsia="Arial" w:hAnsi="Arial"/>
          <w:sz w:val="16"/>
          <w:szCs w:val="16"/>
          <w:color w:val="auto"/>
        </w:rPr>
      </w:pPr>
      <w:r>
        <w:rPr>
          <w:rFonts w:ascii="Arial" w:cs="Arial" w:eastAsia="Arial" w:hAnsi="Arial"/>
          <w:sz w:val="18"/>
          <w:szCs w:val="18"/>
          <w:color w:val="auto"/>
        </w:rPr>
        <w:t>Rules 144 and 701 are not exclusive, the Staff of the Securities and Exchange Commission has expressed its opinion that persons proposing to sell private placement securities other than in a registered offering and otherwise than pursuant to Rule 144 or 701 will have a substantial burden of proof in establishing that an exemption from registration is available for such offers or sales, and that such persons and their respective brokers who participate in such transactions do so at their own risk.</w:t>
      </w:r>
    </w:p>
    <w:p>
      <w:pPr>
        <w:spacing w:after="0" w:line="84" w:lineRule="exact"/>
        <w:rPr>
          <w:rFonts w:ascii="Arial" w:cs="Arial" w:eastAsia="Arial" w:hAnsi="Arial"/>
          <w:sz w:val="16"/>
          <w:szCs w:val="16"/>
          <w:color w:val="auto"/>
        </w:rPr>
      </w:pPr>
    </w:p>
    <w:p>
      <w:pPr>
        <w:ind w:right="100" w:firstLine="987"/>
        <w:spacing w:after="0" w:line="263" w:lineRule="auto"/>
        <w:tabs>
          <w:tab w:leader="none" w:pos="1216" w:val="left"/>
        </w:tabs>
        <w:numPr>
          <w:ilvl w:val="1"/>
          <w:numId w:val="203"/>
        </w:numPr>
        <w:rPr>
          <w:rFonts w:ascii="Arial" w:cs="Arial" w:eastAsia="Arial" w:hAnsi="Arial"/>
          <w:sz w:val="18"/>
          <w:szCs w:val="18"/>
          <w:color w:val="auto"/>
        </w:rPr>
      </w:pPr>
      <w:r>
        <w:rPr>
          <w:rFonts w:ascii="Arial" w:cs="Arial" w:eastAsia="Arial" w:hAnsi="Arial"/>
          <w:sz w:val="18"/>
          <w:szCs w:val="18"/>
          <w:color w:val="auto"/>
        </w:rPr>
        <w:t>Purchaser understands that Purchaser may suffer adverse tax consequences as a result of Purchaser’s purchase or disposition of the Shares. Purchaser represents that Purchaser has consulted any tax consultants Purchaser deems advisable in connection with the purchase or disposition of the Shares and that Purchaser is not relying on the Company for any tax advice.</w:t>
      </w:r>
    </w:p>
    <w:p>
      <w:pPr>
        <w:spacing w:after="0" w:line="71" w:lineRule="exact"/>
        <w:rPr>
          <w:rFonts w:ascii="Arial" w:cs="Arial" w:eastAsia="Arial" w:hAnsi="Arial"/>
          <w:sz w:val="18"/>
          <w:szCs w:val="18"/>
          <w:color w:val="auto"/>
        </w:rPr>
      </w:pPr>
    </w:p>
    <w:p>
      <w:pPr>
        <w:ind w:left="620" w:hanging="184"/>
        <w:spacing w:after="0"/>
        <w:tabs>
          <w:tab w:leader="none" w:pos="620" w:val="left"/>
        </w:tabs>
        <w:numPr>
          <w:ilvl w:val="0"/>
          <w:numId w:val="204"/>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Restrictive Legends and Stop-Transfer Orders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320" w:firstLine="987"/>
        <w:spacing w:after="0" w:line="282" w:lineRule="auto"/>
        <w:tabs>
          <w:tab w:leader="none" w:pos="1236" w:val="left"/>
        </w:tabs>
        <w:numPr>
          <w:ilvl w:val="1"/>
          <w:numId w:val="204"/>
        </w:numPr>
        <w:rPr>
          <w:rFonts w:ascii="Arial" w:cs="Arial" w:eastAsia="Arial" w:hAnsi="Arial"/>
          <w:sz w:val="18"/>
          <w:szCs w:val="18"/>
          <w:color w:val="auto"/>
        </w:rPr>
      </w:pPr>
      <w:r>
        <w:rPr>
          <w:rFonts w:ascii="Arial" w:cs="Arial" w:eastAsia="Arial" w:hAnsi="Arial"/>
          <w:sz w:val="18"/>
          <w:szCs w:val="18"/>
          <w:b w:val="1"/>
          <w:bCs w:val="1"/>
          <w:u w:val="single" w:color="auto"/>
          <w:color w:val="auto"/>
        </w:rPr>
        <w:t>Legends</w:t>
      </w:r>
      <w:r>
        <w:rPr>
          <w:rFonts w:ascii="Arial" w:cs="Arial" w:eastAsia="Arial" w:hAnsi="Arial"/>
          <w:sz w:val="18"/>
          <w:szCs w:val="18"/>
          <w:color w:val="auto"/>
        </w:rPr>
        <w:t>. The certificate or certificates representing the Shares shall bear the following legends (as well as any legends required by</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state and federal corporate and securities laws):</w:t>
      </w:r>
    </w:p>
    <w:p>
      <w:pPr>
        <w:spacing w:after="0" w:line="71" w:lineRule="exact"/>
        <w:rPr>
          <w:rFonts w:ascii="Arial" w:cs="Arial" w:eastAsia="Arial" w:hAnsi="Arial"/>
          <w:sz w:val="18"/>
          <w:szCs w:val="18"/>
          <w:color w:val="auto"/>
        </w:rPr>
      </w:pPr>
    </w:p>
    <w:p>
      <w:pPr>
        <w:ind w:left="1960" w:right="20" w:hanging="533"/>
        <w:spacing w:after="0" w:line="255" w:lineRule="auto"/>
        <w:tabs>
          <w:tab w:leader="none" w:pos="1960" w:val="left"/>
        </w:tabs>
        <w:numPr>
          <w:ilvl w:val="2"/>
          <w:numId w:val="204"/>
        </w:numPr>
        <w:rPr>
          <w:rFonts w:ascii="Arial" w:cs="Arial" w:eastAsia="Arial" w:hAnsi="Arial"/>
          <w:sz w:val="18"/>
          <w:szCs w:val="18"/>
          <w:color w:val="auto"/>
        </w:rPr>
      </w:pPr>
      <w:r>
        <w:rPr>
          <w:rFonts w:ascii="Arial" w:cs="Arial" w:eastAsia="Arial" w:hAnsi="Arial"/>
          <w:sz w:val="18"/>
          <w:szCs w:val="18"/>
          <w:color w:val="auto"/>
        </w:rPr>
        <w:t>THE SHARES REPRESENTED BY THIS CERTIFICATE HAVE NOT BEEN REGISTERED UNDER THE SECURITIES ACT OF 1933, AND HAVE BEEN ACQUIRED FOR INVESTMENT AND NOT WITH A VIEW TO, OR IN CONNECTION WITH, THE SALE OR DISTRIBUTION THEREOF. NO SUCH SALE OR DISTRIBUTION MAY BE EFFECTED WITHOUT AN EFFECTIVE REGISTRATION STATEMENT RELATED THERETO OR AN OPINION OF COUNSEL FOR THE COMPANY THAT SUCH REGISTRATION IS NOT REQUIRED UNDER THE SECURITIES ACT OF 1933.</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258" w:name="page259"/>
    <w:bookmarkEnd w:id="258"/>
    <w:p>
      <w:pPr>
        <w:ind w:left="1960" w:right="80" w:hanging="533"/>
        <w:spacing w:after="0" w:line="263" w:lineRule="auto"/>
        <w:tabs>
          <w:tab w:leader="none" w:pos="1960" w:val="left"/>
        </w:tabs>
        <w:numPr>
          <w:ilvl w:val="2"/>
          <w:numId w:val="2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SHARES REPRESENTED BY THIS CERTIFICATE MAY BE TRANSFERRED ONLY IN ACCORDANCE WITH THE TERMS OF AN AGREEMENT BETWEEN THE COMPANY AND THE HOLDER, A COPY OF WHICH IS ON FILE WITH THE SECRETARY OF THE COMPANY.</w:t>
      </w:r>
    </w:p>
    <w:p>
      <w:pPr>
        <w:spacing w:after="0" w:line="89" w:lineRule="exact"/>
        <w:rPr>
          <w:rFonts w:ascii="Arial" w:cs="Arial" w:eastAsia="Arial" w:hAnsi="Arial"/>
          <w:sz w:val="18"/>
          <w:szCs w:val="18"/>
          <w:color w:val="auto"/>
        </w:rPr>
      </w:pPr>
    </w:p>
    <w:p>
      <w:pPr>
        <w:ind w:left="1960" w:right="160" w:hanging="533"/>
        <w:spacing w:after="0" w:line="273" w:lineRule="auto"/>
        <w:tabs>
          <w:tab w:leader="none" w:pos="1960" w:val="left"/>
        </w:tabs>
        <w:numPr>
          <w:ilvl w:val="2"/>
          <w:numId w:val="205"/>
        </w:numPr>
        <w:rPr>
          <w:rFonts w:ascii="Arial" w:cs="Arial" w:eastAsia="Arial" w:hAnsi="Arial"/>
          <w:sz w:val="17"/>
          <w:szCs w:val="17"/>
          <w:color w:val="auto"/>
        </w:rPr>
      </w:pPr>
      <w:r>
        <w:rPr>
          <w:rFonts w:ascii="Arial" w:cs="Arial" w:eastAsia="Arial" w:hAnsi="Arial"/>
          <w:sz w:val="17"/>
          <w:szCs w:val="17"/>
          <w:color w:val="auto"/>
        </w:rPr>
        <w:t>THE TRANSFER OF THE SHARES REPRESENTED BY THIS CERTIFICATE IS SUBJECT TO RESTRICTIONS REQUIRING APPROVAL OF THE BOARD OF DIRECTORS PURSUANT TO AND IN ACCORDANCE WITH ARTICLE X OF THE BYLAWS OF THE COMPANY, COPIES OF WHICH MAY BE OBTAINED UPON WRITTEN REQUEST TO THE COMPANY AT ITS PRINCIPAL PLACE OF BUSINESS. THE COMPANY SHALL NOT REGISTER OR OTHERWISE RECOGNIZE OR GIVE EFFECT TO ANY PURPORTED TRANSFER OF SHARES OF STOCK THAT DOES NOT COMPLY WITH ARTICLE X OF THE BYLAWS OF THE COMPANY.</w:t>
      </w:r>
    </w:p>
    <w:p>
      <w:pPr>
        <w:spacing w:after="0" w:line="65" w:lineRule="exact"/>
        <w:rPr>
          <w:rFonts w:ascii="Arial" w:cs="Arial" w:eastAsia="Arial" w:hAnsi="Arial"/>
          <w:sz w:val="17"/>
          <w:szCs w:val="17"/>
          <w:color w:val="auto"/>
        </w:rPr>
      </w:pPr>
    </w:p>
    <w:p>
      <w:pPr>
        <w:ind w:firstLine="987"/>
        <w:spacing w:after="0" w:line="266" w:lineRule="auto"/>
        <w:tabs>
          <w:tab w:leader="none" w:pos="1246" w:val="left"/>
        </w:tabs>
        <w:numPr>
          <w:ilvl w:val="1"/>
          <w:numId w:val="206"/>
        </w:numPr>
        <w:rPr>
          <w:rFonts w:ascii="Arial" w:cs="Arial" w:eastAsia="Arial" w:hAnsi="Arial"/>
          <w:sz w:val="18"/>
          <w:szCs w:val="18"/>
          <w:color w:val="auto"/>
        </w:rPr>
      </w:pPr>
      <w:r>
        <w:rPr>
          <w:rFonts w:ascii="Arial" w:cs="Arial" w:eastAsia="Arial" w:hAnsi="Arial"/>
          <w:sz w:val="18"/>
          <w:szCs w:val="18"/>
          <w:b w:val="1"/>
          <w:bCs w:val="1"/>
          <w:u w:val="single" w:color="auto"/>
          <w:color w:val="auto"/>
        </w:rPr>
        <w:t>Stop-Transfer Notices</w:t>
      </w:r>
      <w:r>
        <w:rPr>
          <w:rFonts w:ascii="Arial" w:cs="Arial" w:eastAsia="Arial" w:hAnsi="Arial"/>
          <w:sz w:val="18"/>
          <w:szCs w:val="18"/>
          <w:color w:val="auto"/>
        </w:rPr>
        <w:t>. Purchaser agrees that, in order to ensure compliance with the restrictions referred to herein, the Company may</w:t>
      </w:r>
      <w:r>
        <w:rPr>
          <w:rFonts w:ascii="Arial" w:cs="Arial" w:eastAsia="Arial" w:hAnsi="Arial"/>
          <w:sz w:val="18"/>
          <w:szCs w:val="18"/>
          <w:b w:val="1"/>
          <w:bCs w:val="1"/>
          <w:color w:val="auto"/>
        </w:rPr>
        <w:t xml:space="preserve"> </w:t>
      </w:r>
      <w:r>
        <w:rPr>
          <w:rFonts w:ascii="Arial" w:cs="Arial" w:eastAsia="Arial" w:hAnsi="Arial"/>
          <w:sz w:val="18"/>
          <w:szCs w:val="18"/>
          <w:color w:val="auto"/>
        </w:rPr>
        <w:t>issue appropriate “stop transfer” instructions to its transfer agent, if any, and that, if the Company transfers its own securities, it may make appropriate notations to the same effect in its own records.</w:t>
      </w:r>
    </w:p>
    <w:p>
      <w:pPr>
        <w:spacing w:after="0" w:line="67" w:lineRule="exact"/>
        <w:rPr>
          <w:rFonts w:ascii="Arial" w:cs="Arial" w:eastAsia="Arial" w:hAnsi="Arial"/>
          <w:sz w:val="18"/>
          <w:szCs w:val="18"/>
          <w:color w:val="auto"/>
        </w:rPr>
      </w:pPr>
    </w:p>
    <w:p>
      <w:pPr>
        <w:ind w:right="60" w:firstLine="987"/>
        <w:spacing w:after="0" w:line="266" w:lineRule="auto"/>
        <w:tabs>
          <w:tab w:leader="none" w:pos="1236" w:val="left"/>
        </w:tabs>
        <w:numPr>
          <w:ilvl w:val="1"/>
          <w:numId w:val="206"/>
        </w:numPr>
        <w:rPr>
          <w:rFonts w:ascii="Arial" w:cs="Arial" w:eastAsia="Arial" w:hAnsi="Arial"/>
          <w:sz w:val="18"/>
          <w:szCs w:val="18"/>
          <w:color w:val="auto"/>
        </w:rPr>
      </w:pPr>
      <w:r>
        <w:rPr>
          <w:rFonts w:ascii="Arial" w:cs="Arial" w:eastAsia="Arial" w:hAnsi="Arial"/>
          <w:sz w:val="18"/>
          <w:szCs w:val="18"/>
          <w:b w:val="1"/>
          <w:bCs w:val="1"/>
          <w:u w:val="single" w:color="auto"/>
          <w:color w:val="auto"/>
        </w:rPr>
        <w:t>Refusal to Transfer</w:t>
      </w:r>
      <w:r>
        <w:rPr>
          <w:rFonts w:ascii="Arial" w:cs="Arial" w:eastAsia="Arial" w:hAnsi="Arial"/>
          <w:sz w:val="18"/>
          <w:szCs w:val="18"/>
          <w:color w:val="auto"/>
        </w:rPr>
        <w:t>. The Company shall not be required (i) to transfer on its books any Shares that have been sold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transferred in violation of any of the provisions of this Agreement or (ii) to treat as owner of such Shares or to accord the right to vote or pay dividends to any purchaser or other transferee to whom such Shares shall have been so transferred.</w:t>
      </w:r>
    </w:p>
    <w:p>
      <w:pPr>
        <w:spacing w:after="0" w:line="67" w:lineRule="exact"/>
        <w:rPr>
          <w:rFonts w:ascii="Arial" w:cs="Arial" w:eastAsia="Arial" w:hAnsi="Arial"/>
          <w:sz w:val="18"/>
          <w:szCs w:val="18"/>
          <w:color w:val="auto"/>
        </w:rPr>
      </w:pPr>
    </w:p>
    <w:p>
      <w:pPr>
        <w:ind w:right="140" w:firstLine="436"/>
        <w:spacing w:after="0" w:line="312" w:lineRule="auto"/>
        <w:tabs>
          <w:tab w:leader="none" w:pos="620" w:val="left"/>
        </w:tabs>
        <w:numPr>
          <w:ilvl w:val="0"/>
          <w:numId w:val="207"/>
        </w:numPr>
        <w:rPr>
          <w:rFonts w:ascii="Arial" w:cs="Arial" w:eastAsia="Arial" w:hAnsi="Arial"/>
          <w:sz w:val="17"/>
          <w:szCs w:val="17"/>
          <w:color w:val="auto"/>
        </w:rPr>
      </w:pPr>
      <w:r>
        <w:rPr>
          <w:rFonts w:ascii="Arial" w:cs="Arial" w:eastAsia="Arial" w:hAnsi="Arial"/>
          <w:sz w:val="17"/>
          <w:szCs w:val="17"/>
          <w:b w:val="1"/>
          <w:bCs w:val="1"/>
          <w:u w:val="single" w:color="auto"/>
          <w:color w:val="auto"/>
        </w:rPr>
        <w:t>No Employment Rights</w:t>
      </w:r>
      <w:r>
        <w:rPr>
          <w:rFonts w:ascii="Arial" w:cs="Arial" w:eastAsia="Arial" w:hAnsi="Arial"/>
          <w:sz w:val="17"/>
          <w:szCs w:val="17"/>
          <w:color w:val="auto"/>
        </w:rPr>
        <w:t>. Nothing in this Agreement shall affect in any manner whatsoever the right or power of the Company, or a parent or</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subsidiary of the Company, to terminate Purchaser’s employment or consulting relationship, for any reason, with or without cause.</w:t>
      </w:r>
    </w:p>
    <w:p>
      <w:pPr>
        <w:spacing w:after="0" w:line="31" w:lineRule="exact"/>
        <w:rPr>
          <w:rFonts w:ascii="Arial" w:cs="Arial" w:eastAsia="Arial" w:hAnsi="Arial"/>
          <w:sz w:val="17"/>
          <w:szCs w:val="17"/>
          <w:color w:val="auto"/>
        </w:rPr>
      </w:pPr>
    </w:p>
    <w:p>
      <w:pPr>
        <w:ind w:right="40" w:firstLine="436"/>
        <w:spacing w:after="0" w:line="283" w:lineRule="auto"/>
        <w:tabs>
          <w:tab w:leader="none" w:pos="620" w:val="left"/>
        </w:tabs>
        <w:numPr>
          <w:ilvl w:val="0"/>
          <w:numId w:val="207"/>
        </w:numPr>
        <w:rPr>
          <w:rFonts w:ascii="Arial" w:cs="Arial" w:eastAsia="Arial" w:hAnsi="Arial"/>
          <w:sz w:val="16"/>
          <w:szCs w:val="16"/>
          <w:color w:val="auto"/>
        </w:rPr>
      </w:pPr>
      <w:r>
        <w:rPr>
          <w:rFonts w:ascii="Arial" w:cs="Arial" w:eastAsia="Arial" w:hAnsi="Arial"/>
          <w:sz w:val="16"/>
          <w:szCs w:val="16"/>
          <w:b w:val="1"/>
          <w:bCs w:val="1"/>
          <w:u w:val="single" w:color="auto"/>
          <w:color w:val="auto"/>
        </w:rPr>
        <w:t>Lock-Up Agreement</w:t>
      </w:r>
      <w:r>
        <w:rPr>
          <w:rFonts w:ascii="Arial" w:cs="Arial" w:eastAsia="Arial" w:hAnsi="Arial"/>
          <w:sz w:val="16"/>
          <w:szCs w:val="16"/>
          <w:color w:val="auto"/>
        </w:rPr>
        <w:t>. In connection with the initial public offering of the Company’s securities and upon request of the Company or the</w:t>
      </w:r>
      <w:r>
        <w:rPr>
          <w:rFonts w:ascii="Arial" w:cs="Arial" w:eastAsia="Arial" w:hAnsi="Arial"/>
          <w:sz w:val="16"/>
          <w:szCs w:val="16"/>
          <w:b w:val="1"/>
          <w:bCs w:val="1"/>
          <w:color w:val="auto"/>
        </w:rPr>
        <w:t xml:space="preserve"> </w:t>
      </w:r>
      <w:r>
        <w:rPr>
          <w:rFonts w:ascii="Arial" w:cs="Arial" w:eastAsia="Arial" w:hAnsi="Arial"/>
          <w:sz w:val="16"/>
          <w:szCs w:val="16"/>
          <w:color w:val="auto"/>
        </w:rPr>
        <w:t>underwriters managing any underwritten offering of the Company’s securities, Purchaser agrees not to sell, make any short sale of, loan, grant any option for the purchase of, or otherwise dispose of any securities of the Company however or whenever acquired (other than those included in the registration) without the prior written consent of the Company or such underwriters, as the case may be, for such period of time (not to exceed one hundred eighty (180) days) from the effective date of such registration as may be requested by the Company or such managing underwriters and to execute an agreement reflecting the foregoing as may be requested by the underwriters at the time of the public offering; provided however that, if during the last 17 days of the restricted period the Company issues an earnings release or material news or a material event relating to the Company occurs, or prior to the expiration of the restricted period the Company announces that it will release earnings results during the 16-day period beginning on the last day of the restricted period, then, upon the request of the managing underwriter, to the extent required by any FINRA rules, the restrictions imposed by this subsection (a) shall continue to apply until the end of the third trading day following the expiration of the 15-day period beginning on the issuance of the earnings release or the occurrence of the material news or material event. In no event will the restricted period extend beyond</w:t>
      </w:r>
    </w:p>
    <w:p>
      <w:pPr>
        <w:spacing w:after="0" w:line="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216 days after the effective date of the registration statement.</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440" w:top="274" w:right="519" w:bottom="1440" w:gutter="0" w:footer="0" w:header="0"/>
        </w:sectPr>
      </w:pPr>
    </w:p>
    <w:bookmarkStart w:id="259" w:name="page260"/>
    <w:bookmarkEnd w:id="259"/>
    <w:p>
      <w:pPr>
        <w:ind w:left="620" w:hanging="184"/>
        <w:spacing w:after="0"/>
        <w:tabs>
          <w:tab w:leader="none" w:pos="620" w:val="left"/>
        </w:tabs>
        <w:numPr>
          <w:ilvl w:val="0"/>
          <w:numId w:val="208"/>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Miscellaneous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40" w:firstLine="987"/>
        <w:spacing w:after="0" w:line="347" w:lineRule="auto"/>
        <w:tabs>
          <w:tab w:leader="none" w:pos="1236" w:val="left"/>
        </w:tabs>
        <w:numPr>
          <w:ilvl w:val="1"/>
          <w:numId w:val="208"/>
        </w:numPr>
        <w:rPr>
          <w:rFonts w:ascii="Arial" w:cs="Arial" w:eastAsia="Arial" w:hAnsi="Arial"/>
          <w:sz w:val="16"/>
          <w:szCs w:val="16"/>
          <w:color w:val="auto"/>
        </w:rPr>
      </w:pPr>
      <w:r>
        <w:rPr>
          <w:rFonts w:ascii="Arial" w:cs="Arial" w:eastAsia="Arial" w:hAnsi="Arial"/>
          <w:sz w:val="16"/>
          <w:szCs w:val="16"/>
          <w:b w:val="1"/>
          <w:bCs w:val="1"/>
          <w:u w:val="single" w:color="auto"/>
          <w:color w:val="auto"/>
        </w:rPr>
        <w:t>Governing Law</w:t>
      </w:r>
      <w:r>
        <w:rPr>
          <w:rFonts w:ascii="Arial" w:cs="Arial" w:eastAsia="Arial" w:hAnsi="Arial"/>
          <w:sz w:val="16"/>
          <w:szCs w:val="16"/>
          <w:color w:val="auto"/>
        </w:rPr>
        <w:t>. This Agreement and all acts and transactions pursuant hereto and the rights and obligations of the parties hereto shall</w:t>
      </w:r>
      <w:r>
        <w:rPr>
          <w:rFonts w:ascii="Arial" w:cs="Arial" w:eastAsia="Arial" w:hAnsi="Arial"/>
          <w:sz w:val="16"/>
          <w:szCs w:val="16"/>
          <w:b w:val="1"/>
          <w:bCs w:val="1"/>
          <w:color w:val="auto"/>
        </w:rPr>
        <w:t xml:space="preserve"> </w:t>
      </w:r>
      <w:r>
        <w:rPr>
          <w:rFonts w:ascii="Arial" w:cs="Arial" w:eastAsia="Arial" w:hAnsi="Arial"/>
          <w:sz w:val="16"/>
          <w:szCs w:val="16"/>
          <w:color w:val="auto"/>
        </w:rPr>
        <w:t>be governed, construed and interpreted in accordance with the laws of the State of California, without giving effect to principles of conflicts of law.</w:t>
      </w:r>
    </w:p>
    <w:p>
      <w:pPr>
        <w:spacing w:after="0" w:line="7" w:lineRule="exact"/>
        <w:rPr>
          <w:rFonts w:ascii="Arial" w:cs="Arial" w:eastAsia="Arial" w:hAnsi="Arial"/>
          <w:sz w:val="16"/>
          <w:szCs w:val="16"/>
          <w:color w:val="auto"/>
        </w:rPr>
      </w:pPr>
    </w:p>
    <w:p>
      <w:pPr>
        <w:jc w:val="both"/>
        <w:ind w:right="60" w:firstLine="987"/>
        <w:spacing w:after="0" w:line="281" w:lineRule="auto"/>
        <w:tabs>
          <w:tab w:leader="none" w:pos="1246" w:val="left"/>
        </w:tabs>
        <w:numPr>
          <w:ilvl w:val="1"/>
          <w:numId w:val="208"/>
        </w:numPr>
        <w:rPr>
          <w:rFonts w:ascii="Arial" w:cs="Arial" w:eastAsia="Arial" w:hAnsi="Arial"/>
          <w:sz w:val="17"/>
          <w:szCs w:val="17"/>
          <w:color w:val="auto"/>
        </w:rPr>
      </w:pPr>
      <w:r>
        <w:rPr>
          <w:rFonts w:ascii="Arial" w:cs="Arial" w:eastAsia="Arial" w:hAnsi="Arial"/>
          <w:sz w:val="17"/>
          <w:szCs w:val="17"/>
          <w:b w:val="1"/>
          <w:bCs w:val="1"/>
          <w:u w:val="single" w:color="auto"/>
          <w:color w:val="auto"/>
        </w:rPr>
        <w:t>Entire Agreement; Enforcement of Rights</w:t>
      </w:r>
      <w:r>
        <w:rPr>
          <w:rFonts w:ascii="Arial" w:cs="Arial" w:eastAsia="Arial" w:hAnsi="Arial"/>
          <w:sz w:val="17"/>
          <w:szCs w:val="17"/>
          <w:color w:val="auto"/>
        </w:rPr>
        <w:t>. This Agreement sets forth the entire agreement and understanding of the parties relating</w:t>
      </w:r>
      <w:r>
        <w:rPr>
          <w:rFonts w:ascii="Arial" w:cs="Arial" w:eastAsia="Arial" w:hAnsi="Arial"/>
          <w:sz w:val="17"/>
          <w:szCs w:val="17"/>
          <w:b w:val="1"/>
          <w:bCs w:val="1"/>
          <w:color w:val="auto"/>
        </w:rPr>
        <w:t xml:space="preserve"> </w:t>
      </w:r>
      <w:r>
        <w:rPr>
          <w:rFonts w:ascii="Arial" w:cs="Arial" w:eastAsia="Arial" w:hAnsi="Arial"/>
          <w:sz w:val="17"/>
          <w:szCs w:val="17"/>
          <w:color w:val="auto"/>
        </w:rPr>
        <w:t>to the subject matter herein and merges all prior discussions between them. No modification of or amendment to this Agreement, nor any waiver of any rights under this Agreement, shall be effective unless in writing signed by the parties to this Agreement. The failure by either party to enforce any rights under this Agreement shall not be construed as a waiver of any rights of such party.</w:t>
      </w:r>
    </w:p>
    <w:p>
      <w:pPr>
        <w:spacing w:after="0" w:line="56" w:lineRule="exact"/>
        <w:rPr>
          <w:rFonts w:ascii="Arial" w:cs="Arial" w:eastAsia="Arial" w:hAnsi="Arial"/>
          <w:sz w:val="17"/>
          <w:szCs w:val="17"/>
          <w:color w:val="auto"/>
        </w:rPr>
      </w:pPr>
    </w:p>
    <w:p>
      <w:pPr>
        <w:ind w:right="80" w:firstLine="987"/>
        <w:spacing w:after="0" w:line="281" w:lineRule="auto"/>
        <w:tabs>
          <w:tab w:leader="none" w:pos="1236" w:val="left"/>
        </w:tabs>
        <w:numPr>
          <w:ilvl w:val="1"/>
          <w:numId w:val="208"/>
        </w:numPr>
        <w:rPr>
          <w:rFonts w:ascii="Arial" w:cs="Arial" w:eastAsia="Arial" w:hAnsi="Arial"/>
          <w:sz w:val="17"/>
          <w:szCs w:val="17"/>
          <w:color w:val="auto"/>
        </w:rPr>
      </w:pPr>
      <w:r>
        <w:rPr>
          <w:rFonts w:ascii="Arial" w:cs="Arial" w:eastAsia="Arial" w:hAnsi="Arial"/>
          <w:sz w:val="17"/>
          <w:szCs w:val="17"/>
          <w:b w:val="1"/>
          <w:bCs w:val="1"/>
          <w:u w:val="single" w:color="auto"/>
          <w:color w:val="auto"/>
        </w:rPr>
        <w:t>Severability</w:t>
      </w:r>
      <w:r>
        <w:rPr>
          <w:rFonts w:ascii="Arial" w:cs="Arial" w:eastAsia="Arial" w:hAnsi="Arial"/>
          <w:sz w:val="17"/>
          <w:szCs w:val="17"/>
          <w:color w:val="auto"/>
        </w:rPr>
        <w:t>. If one or more provisions of this Agreement are held to be unenforceable under Applicable Laws, the parties agree to</w:t>
      </w:r>
      <w:r>
        <w:rPr>
          <w:rFonts w:ascii="Arial" w:cs="Arial" w:eastAsia="Arial" w:hAnsi="Arial"/>
          <w:sz w:val="17"/>
          <w:szCs w:val="17"/>
          <w:b w:val="1"/>
          <w:bCs w:val="1"/>
          <w:color w:val="auto"/>
        </w:rPr>
        <w:t xml:space="preserve"> </w:t>
      </w:r>
      <w:r>
        <w:rPr>
          <w:rFonts w:ascii="Arial" w:cs="Arial" w:eastAsia="Arial" w:hAnsi="Arial"/>
          <w:sz w:val="17"/>
          <w:szCs w:val="17"/>
          <w:color w:val="auto"/>
        </w:rPr>
        <w:t>renegotiate such provision in good faith. In the event that the parties cannot reach a mutually agreeable and enforceable replacement for such provision, then (i) such provision shall be excluded from this Agreement, (ii) the balance of the Agreement shall be interpreted as if such provision were so excluded and (iii) the balance of the Agreement shall be enforceable in accordance with its terms.</w:t>
      </w:r>
    </w:p>
    <w:p>
      <w:pPr>
        <w:spacing w:after="0" w:line="56" w:lineRule="exact"/>
        <w:rPr>
          <w:rFonts w:ascii="Arial" w:cs="Arial" w:eastAsia="Arial" w:hAnsi="Arial"/>
          <w:sz w:val="17"/>
          <w:szCs w:val="17"/>
          <w:color w:val="auto"/>
        </w:rPr>
      </w:pPr>
    </w:p>
    <w:p>
      <w:pPr>
        <w:ind w:firstLine="987"/>
        <w:spacing w:after="0" w:line="289" w:lineRule="auto"/>
        <w:tabs>
          <w:tab w:leader="none" w:pos="1246" w:val="left"/>
        </w:tabs>
        <w:numPr>
          <w:ilvl w:val="1"/>
          <w:numId w:val="208"/>
        </w:numPr>
        <w:rPr>
          <w:rFonts w:ascii="Arial" w:cs="Arial" w:eastAsia="Arial" w:hAnsi="Arial"/>
          <w:sz w:val="17"/>
          <w:szCs w:val="17"/>
          <w:color w:val="auto"/>
        </w:rPr>
      </w:pPr>
      <w:r>
        <w:rPr>
          <w:rFonts w:ascii="Arial" w:cs="Arial" w:eastAsia="Arial" w:hAnsi="Arial"/>
          <w:sz w:val="17"/>
          <w:szCs w:val="17"/>
          <w:b w:val="1"/>
          <w:bCs w:val="1"/>
          <w:u w:val="single" w:color="auto"/>
          <w:color w:val="auto"/>
        </w:rPr>
        <w:t>Notices</w:t>
      </w:r>
      <w:r>
        <w:rPr>
          <w:rFonts w:ascii="Arial" w:cs="Arial" w:eastAsia="Arial" w:hAnsi="Arial"/>
          <w:sz w:val="17"/>
          <w:szCs w:val="17"/>
          <w:color w:val="auto"/>
        </w:rPr>
        <w:t>. Any notice required or permitted by this Agreement shall be in writing and shall be deemed sufficient when delivered</w:t>
      </w:r>
      <w:r>
        <w:rPr>
          <w:rFonts w:ascii="Arial" w:cs="Arial" w:eastAsia="Arial" w:hAnsi="Arial"/>
          <w:sz w:val="17"/>
          <w:szCs w:val="17"/>
          <w:b w:val="1"/>
          <w:bCs w:val="1"/>
          <w:color w:val="auto"/>
        </w:rPr>
        <w:t xml:space="preserve"> </w:t>
      </w:r>
      <w:r>
        <w:rPr>
          <w:rFonts w:ascii="Arial" w:cs="Arial" w:eastAsia="Arial" w:hAnsi="Arial"/>
          <w:sz w:val="17"/>
          <w:szCs w:val="17"/>
          <w:color w:val="auto"/>
        </w:rPr>
        <w:t>personally or sent by telegram or fax or forty-eight (48) hours after being deposited in the U.S. mail, as certified or registered mail, with postage prepaid, and addressed to the party to be notified at such party’s address as set forth below or as subsequently modified by written notice.</w:t>
      </w:r>
    </w:p>
    <w:p>
      <w:pPr>
        <w:spacing w:after="0" w:line="49" w:lineRule="exact"/>
        <w:rPr>
          <w:rFonts w:ascii="Arial" w:cs="Arial" w:eastAsia="Arial" w:hAnsi="Arial"/>
          <w:sz w:val="17"/>
          <w:szCs w:val="17"/>
          <w:color w:val="auto"/>
        </w:rPr>
      </w:pPr>
    </w:p>
    <w:p>
      <w:pPr>
        <w:ind w:right="320" w:firstLine="987"/>
        <w:spacing w:after="0" w:line="282" w:lineRule="auto"/>
        <w:tabs>
          <w:tab w:leader="none" w:pos="1236" w:val="left"/>
        </w:tabs>
        <w:numPr>
          <w:ilvl w:val="1"/>
          <w:numId w:val="208"/>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two or more counterparts, each of which shall be deemed an original and all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together shall constitute one instrument.</w:t>
      </w:r>
    </w:p>
    <w:p>
      <w:pPr>
        <w:spacing w:after="0" w:line="53" w:lineRule="exact"/>
        <w:rPr>
          <w:rFonts w:ascii="Arial" w:cs="Arial" w:eastAsia="Arial" w:hAnsi="Arial"/>
          <w:sz w:val="18"/>
          <w:szCs w:val="18"/>
          <w:color w:val="auto"/>
        </w:rPr>
      </w:pPr>
    </w:p>
    <w:p>
      <w:pPr>
        <w:ind w:right="120" w:firstLine="987"/>
        <w:spacing w:after="0" w:line="266" w:lineRule="auto"/>
        <w:tabs>
          <w:tab w:leader="none" w:pos="1216" w:val="left"/>
        </w:tabs>
        <w:numPr>
          <w:ilvl w:val="1"/>
          <w:numId w:val="208"/>
        </w:numPr>
        <w:rPr>
          <w:rFonts w:ascii="Arial" w:cs="Arial" w:eastAsia="Arial" w:hAnsi="Arial"/>
          <w:sz w:val="18"/>
          <w:szCs w:val="18"/>
          <w:color w:val="auto"/>
        </w:rPr>
      </w:pPr>
      <w:r>
        <w:rPr>
          <w:rFonts w:ascii="Arial" w:cs="Arial" w:eastAsia="Arial" w:hAnsi="Arial"/>
          <w:sz w:val="18"/>
          <w:szCs w:val="18"/>
          <w:b w:val="1"/>
          <w:bCs w:val="1"/>
          <w:u w:val="single" w:color="auto"/>
          <w:color w:val="auto"/>
        </w:rPr>
        <w:t>Successors and Assigns</w:t>
      </w:r>
      <w:r>
        <w:rPr>
          <w:rFonts w:ascii="Arial" w:cs="Arial" w:eastAsia="Arial" w:hAnsi="Arial"/>
          <w:sz w:val="18"/>
          <w:szCs w:val="18"/>
          <w:color w:val="auto"/>
        </w:rPr>
        <w:t>. The rights and benefits of this Agreement shall inure to the benefit of, and be enforceable by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successors and assigns. The rights and obligations of Purchaser under this Agreement may only be assigned with the prior written consent of the Company.</w:t>
      </w:r>
    </w:p>
    <w:p>
      <w:pPr>
        <w:spacing w:after="0" w:line="67" w:lineRule="exact"/>
        <w:rPr>
          <w:rFonts w:ascii="Arial" w:cs="Arial" w:eastAsia="Arial" w:hAnsi="Arial"/>
          <w:sz w:val="18"/>
          <w:szCs w:val="18"/>
          <w:color w:val="auto"/>
        </w:rPr>
      </w:pPr>
    </w:p>
    <w:p>
      <w:pPr>
        <w:ind w:firstLine="987"/>
        <w:spacing w:after="0" w:line="258" w:lineRule="auto"/>
        <w:tabs>
          <w:tab w:leader="none" w:pos="1246" w:val="left"/>
        </w:tabs>
        <w:numPr>
          <w:ilvl w:val="1"/>
          <w:numId w:val="208"/>
        </w:numPr>
        <w:rPr>
          <w:rFonts w:ascii="Arial" w:cs="Arial" w:eastAsia="Arial" w:hAnsi="Arial"/>
          <w:sz w:val="18"/>
          <w:szCs w:val="18"/>
          <w:color w:val="auto"/>
        </w:rPr>
      </w:pPr>
      <w:r>
        <w:rPr>
          <w:rFonts w:ascii="Arial" w:cs="Arial" w:eastAsia="Arial" w:hAnsi="Arial"/>
          <w:sz w:val="18"/>
          <w:szCs w:val="18"/>
          <w:b w:val="1"/>
          <w:bCs w:val="1"/>
          <w:u w:val="single" w:color="auto"/>
          <w:color w:val="auto"/>
        </w:rPr>
        <w:t>California Corporate Securities Law</w:t>
      </w:r>
      <w:r>
        <w:rPr>
          <w:rFonts w:ascii="Arial" w:cs="Arial" w:eastAsia="Arial" w:hAnsi="Arial"/>
          <w:sz w:val="18"/>
          <w:szCs w:val="18"/>
          <w:color w:val="auto"/>
        </w:rPr>
        <w:t>. THE SALE OF THE SECURITIES WHICH ARE THE SUBJECT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HAS NOT BEEN QUALIFIED WITH THE COMMISSIONER OF CORPORATIONS OF THE STATE OF CALIFORNIA AND THE ISSUANCE OF THE SECURITIES OR THE PAYMENT OR RECEIPT OF ANY PART OF THE CONSIDERATION THEREFOR PRIOR TO THE QUALIFICATION IS UNLAWFUL, UNLESS THE SALE OF SECURITIES IS EXEMPT FROM QUALIFICATION BY SECTION 25100, 25102 OR 25105 OF THE CALIFORNIA CORPORATIONS CODE.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0" w:right="459" w:bottom="1440" w:gutter="0" w:footer="0" w:header="0"/>
        </w:sectPr>
      </w:pPr>
    </w:p>
    <w:bookmarkStart w:id="260" w:name="page261"/>
    <w:bookmarkEnd w:id="260"/>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RIGHTS OF ALL PARTIES TO THIS AGREEMENT ARE EXPRESSLY CONDITIONED UPON THE QUALIFICATION BEING OBTAINED, UNLESS THE SALE IS SO EXEMPT.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261" w:name="page262"/>
    <w:bookmarkEnd w:id="26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parties have executed this Exercise Agreement as of the date first set forth above.</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THE COMPANY</w:t>
      </w:r>
      <w:r>
        <w:rPr>
          <w:rFonts w:ascii="Arial" w:cs="Arial" w:eastAsia="Arial" w:hAnsi="Arial"/>
          <w:sz w:val="18"/>
          <w:szCs w:val="18"/>
          <w:color w:val="auto"/>
        </w:rPr>
        <w:t>:</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ASANA, INC.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jc w:val="right"/>
        <w:ind w:right="51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288925</wp:posOffset>
            </wp:positionV>
            <wp:extent cx="279463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580390</wp:posOffset>
            </wp:positionV>
            <wp:extent cx="279463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PURCHASER</w:t>
      </w:r>
      <w:r>
        <w:rPr>
          <w:rFonts w:ascii="Arial" w:cs="Arial" w:eastAsia="Arial" w:hAnsi="Arial"/>
          <w:sz w:val="18"/>
          <w:szCs w:val="18"/>
          <w:color w:val="auto"/>
        </w:rPr>
        <w:t>:</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«OPTIONEE»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jc w:val="right"/>
        <w:ind w:right="51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288925</wp:posOffset>
            </wp:positionV>
            <wp:extent cx="279463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580390</wp:posOffset>
            </wp:positionV>
            <wp:extent cx="279463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9579"/>
          </w:cols>
          <w:pgMar w:left="880" w:top="274" w:right="1440" w:bottom="1440" w:gutter="0" w:footer="0" w:header="0"/>
        </w:sectPr>
      </w:pPr>
    </w:p>
    <w:bookmarkStart w:id="262" w:name="page263"/>
    <w:bookmarkEnd w:id="262"/>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 ______________________, spouse of «Optionee», have read and hereby approve the foregoing Agreement. In consideration of the Company’s</w:t>
      </w:r>
    </w:p>
    <w:p>
      <w:pPr>
        <w:spacing w:after="0" w:line="4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granting my spouse the right to purchase the Shares as set forth in the Agreement, I hereby agree to be irrevocably bound by the Agreement and further agree that any community property or other such interest shall hereby by similarly bound by the Agreement. I hereby appoint my spouse as my attorney-in-fact with respect to any amendment or exercise of any rights under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283845</wp:posOffset>
            </wp:positionV>
            <wp:extent cx="2794635"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Spouse of «Optionee» (if applicable)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00"/>
          </w:cols>
          <w:pgMar w:left="440" w:top="274" w:right="559" w:bottom="1440" w:gutter="0" w:footer="0" w:header="0"/>
        </w:sectPr>
      </w:pPr>
    </w:p>
    <w:bookmarkStart w:id="263" w:name="page264"/>
    <w:bookmarkEnd w:id="26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ASANA,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2009 STOCK PLAN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RESTRICTED STOCK PURCHASE AGREEMENT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Restricted Stock Purchase Agreement (the “</w:t>
      </w:r>
      <w:r>
        <w:rPr>
          <w:rFonts w:ascii="Arial" w:cs="Arial" w:eastAsia="Arial" w:hAnsi="Arial"/>
          <w:sz w:val="16"/>
          <w:szCs w:val="16"/>
          <w:u w:val="single" w:color="auto"/>
          <w:color w:val="auto"/>
        </w:rPr>
        <w:t>Agreement</w:t>
      </w:r>
      <w:r>
        <w:rPr>
          <w:rFonts w:ascii="Arial" w:cs="Arial" w:eastAsia="Arial" w:hAnsi="Arial"/>
          <w:sz w:val="16"/>
          <w:szCs w:val="16"/>
          <w:color w:val="auto"/>
        </w:rPr>
        <w:t>”) is made as of «Date», by and between Asana, Inc., a Delaware corporation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and «PurchaserName» (“</w:t>
      </w:r>
      <w:r>
        <w:rPr>
          <w:rFonts w:ascii="Arial" w:cs="Arial" w:eastAsia="Arial" w:hAnsi="Arial"/>
          <w:sz w:val="16"/>
          <w:szCs w:val="16"/>
          <w:u w:val="single" w:color="auto"/>
          <w:color w:val="auto"/>
        </w:rPr>
        <w:t>Purchaser</w:t>
      </w:r>
      <w:r>
        <w:rPr>
          <w:rFonts w:ascii="Arial" w:cs="Arial" w:eastAsia="Arial" w:hAnsi="Arial"/>
          <w:sz w:val="16"/>
          <w:szCs w:val="16"/>
          <w:color w:val="auto"/>
        </w:rPr>
        <w:t>”) pursuant to the Company’s 2009 Stock Plan (the “</w:t>
      </w:r>
      <w:r>
        <w:rPr>
          <w:rFonts w:ascii="Arial" w:cs="Arial" w:eastAsia="Arial" w:hAnsi="Arial"/>
          <w:sz w:val="16"/>
          <w:szCs w:val="16"/>
          <w:u w:val="single" w:color="auto"/>
          <w:color w:val="auto"/>
        </w:rPr>
        <w:t>Plan</w:t>
      </w:r>
      <w:r>
        <w:rPr>
          <w:rFonts w:ascii="Arial" w:cs="Arial" w:eastAsia="Arial" w:hAnsi="Arial"/>
          <w:sz w:val="16"/>
          <w:szCs w:val="16"/>
          <w:color w:val="auto"/>
        </w:rPr>
        <w:t>”). To the extent any capitalized terms used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are not defined, they shall have the meaning ascribed to them in the Plan.</w:t>
      </w:r>
    </w:p>
    <w:p>
      <w:pPr>
        <w:spacing w:after="0" w:line="99" w:lineRule="exact"/>
        <w:rPr>
          <w:sz w:val="20"/>
          <w:szCs w:val="20"/>
          <w:color w:val="auto"/>
        </w:rPr>
      </w:pPr>
    </w:p>
    <w:p>
      <w:pPr>
        <w:ind w:right="60" w:firstLine="436"/>
        <w:spacing w:after="0" w:line="256" w:lineRule="auto"/>
        <w:tabs>
          <w:tab w:leader="none" w:pos="620" w:val="left"/>
        </w:tabs>
        <w:numPr>
          <w:ilvl w:val="0"/>
          <w:numId w:val="209"/>
        </w:numPr>
        <w:rPr>
          <w:rFonts w:ascii="Arial" w:cs="Arial" w:eastAsia="Arial" w:hAnsi="Arial"/>
          <w:sz w:val="18"/>
          <w:szCs w:val="18"/>
          <w:color w:val="auto"/>
        </w:rPr>
      </w:pPr>
      <w:r>
        <w:rPr>
          <w:rFonts w:ascii="Arial" w:cs="Arial" w:eastAsia="Arial" w:hAnsi="Arial"/>
          <w:sz w:val="18"/>
          <w:szCs w:val="18"/>
          <w:b w:val="1"/>
          <w:bCs w:val="1"/>
          <w:u w:val="single" w:color="auto"/>
          <w:color w:val="auto"/>
        </w:rPr>
        <w:t>Sale of Stock</w:t>
      </w:r>
      <w:r>
        <w:rPr>
          <w:rFonts w:ascii="Arial" w:cs="Arial" w:eastAsia="Arial" w:hAnsi="Arial"/>
          <w:sz w:val="18"/>
          <w:szCs w:val="18"/>
          <w:color w:val="auto"/>
        </w:rPr>
        <w:t>. Subject to the terms and conditions of this Agreement, on the Purchase Date (as defined below) the Company will issue and sell</w:t>
      </w:r>
      <w:r>
        <w:rPr>
          <w:rFonts w:ascii="Arial" w:cs="Arial" w:eastAsia="Arial" w:hAnsi="Arial"/>
          <w:sz w:val="18"/>
          <w:szCs w:val="18"/>
          <w:b w:val="1"/>
          <w:bCs w:val="1"/>
          <w:color w:val="auto"/>
        </w:rPr>
        <w:t xml:space="preserve"> </w:t>
      </w:r>
      <w:r>
        <w:rPr>
          <w:rFonts w:ascii="Arial" w:cs="Arial" w:eastAsia="Arial" w:hAnsi="Arial"/>
          <w:sz w:val="18"/>
          <w:szCs w:val="18"/>
          <w:color w:val="auto"/>
        </w:rPr>
        <w:t>to Purchaser, and Purchaser agrees to purchase from the Company, «NoofShares» shares of the Company’s Common Stock (the “</w:t>
      </w:r>
      <w:r>
        <w:rPr>
          <w:rFonts w:ascii="Arial" w:cs="Arial" w:eastAsia="Arial" w:hAnsi="Arial"/>
          <w:sz w:val="18"/>
          <w:szCs w:val="18"/>
          <w:u w:val="single" w:color="auto"/>
          <w:color w:val="auto"/>
        </w:rPr>
        <w:t>Shares</w:t>
      </w:r>
      <w:r>
        <w:rPr>
          <w:rFonts w:ascii="Arial" w:cs="Arial" w:eastAsia="Arial" w:hAnsi="Arial"/>
          <w:sz w:val="18"/>
          <w:szCs w:val="18"/>
          <w:color w:val="auto"/>
        </w:rPr>
        <w:t>”) at a purchase price of $«PriceperShare» per Share for a total purchase price of $«TotalPrice». The term “</w:t>
      </w:r>
      <w:r>
        <w:rPr>
          <w:rFonts w:ascii="Arial" w:cs="Arial" w:eastAsia="Arial" w:hAnsi="Arial"/>
          <w:sz w:val="18"/>
          <w:szCs w:val="18"/>
          <w:u w:val="single" w:color="auto"/>
          <w:color w:val="auto"/>
        </w:rPr>
        <w:t>Shares</w:t>
      </w:r>
      <w:r>
        <w:rPr>
          <w:rFonts w:ascii="Arial" w:cs="Arial" w:eastAsia="Arial" w:hAnsi="Arial"/>
          <w:sz w:val="18"/>
          <w:szCs w:val="18"/>
          <w:color w:val="auto"/>
        </w:rPr>
        <w:t>” refers to the purchased Shares and all securities received in connection with the Shares pursuant to stock dividends or splits, all securities received in replacement of the Shares in a recapitalization, merger, reorganization, exchange or the like, and all new, substituted or additional securities or other properties to which Purchaser is entitled by reason of Purchaser’s ownership of the Shares.</w:t>
      </w:r>
    </w:p>
    <w:p>
      <w:pPr>
        <w:spacing w:after="0" w:line="79" w:lineRule="exact"/>
        <w:rPr>
          <w:rFonts w:ascii="Arial" w:cs="Arial" w:eastAsia="Arial" w:hAnsi="Arial"/>
          <w:sz w:val="18"/>
          <w:szCs w:val="18"/>
          <w:color w:val="auto"/>
        </w:rPr>
      </w:pPr>
    </w:p>
    <w:p>
      <w:pPr>
        <w:ind w:firstLine="436"/>
        <w:spacing w:after="0" w:line="261" w:lineRule="auto"/>
        <w:tabs>
          <w:tab w:leader="none" w:pos="620" w:val="left"/>
        </w:tabs>
        <w:numPr>
          <w:ilvl w:val="0"/>
          <w:numId w:val="209"/>
        </w:numPr>
        <w:rPr>
          <w:rFonts w:ascii="Arial" w:cs="Arial" w:eastAsia="Arial" w:hAnsi="Arial"/>
          <w:sz w:val="18"/>
          <w:szCs w:val="18"/>
          <w:color w:val="auto"/>
        </w:rPr>
      </w:pPr>
      <w:r>
        <w:rPr>
          <w:rFonts w:ascii="Arial" w:cs="Arial" w:eastAsia="Arial" w:hAnsi="Arial"/>
          <w:sz w:val="18"/>
          <w:szCs w:val="18"/>
          <w:b w:val="1"/>
          <w:bCs w:val="1"/>
          <w:u w:val="single" w:color="auto"/>
          <w:color w:val="auto"/>
        </w:rPr>
        <w:t>Purchase</w:t>
      </w:r>
      <w:r>
        <w:rPr>
          <w:rFonts w:ascii="Arial" w:cs="Arial" w:eastAsia="Arial" w:hAnsi="Arial"/>
          <w:sz w:val="18"/>
          <w:szCs w:val="18"/>
          <w:color w:val="auto"/>
        </w:rPr>
        <w:t>. The purchase and sale of the Shares under this Agreement shall occur at the principal office of the Company simultaneously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execution and delivery of this Agreement by the parties, or on such other date as the Company and Purchaser shall agree (the “</w:t>
      </w:r>
      <w:r>
        <w:rPr>
          <w:rFonts w:ascii="Arial" w:cs="Arial" w:eastAsia="Arial" w:hAnsi="Arial"/>
          <w:sz w:val="18"/>
          <w:szCs w:val="18"/>
          <w:u w:val="single" w:color="auto"/>
          <w:color w:val="auto"/>
        </w:rPr>
        <w:t>Purchase Date</w:t>
      </w:r>
      <w:r>
        <w:rPr>
          <w:rFonts w:ascii="Arial" w:cs="Arial" w:eastAsia="Arial" w:hAnsi="Arial"/>
          <w:sz w:val="18"/>
          <w:szCs w:val="18"/>
          <w:color w:val="auto"/>
        </w:rPr>
        <w:t>”). On the Purchase Date, the Company will deliver to Purchaser a certificate representing the Shares to be purchased by Purchaser (which shall be issued in Purchaser’s name) against payment of the purchase price therefor by Purchaser.</w:t>
      </w:r>
    </w:p>
    <w:p>
      <w:pPr>
        <w:spacing w:after="0" w:line="71" w:lineRule="exact"/>
        <w:rPr>
          <w:rFonts w:ascii="Arial" w:cs="Arial" w:eastAsia="Arial" w:hAnsi="Arial"/>
          <w:sz w:val="18"/>
          <w:szCs w:val="18"/>
          <w:color w:val="auto"/>
        </w:rPr>
      </w:pPr>
    </w:p>
    <w:p>
      <w:pPr>
        <w:jc w:val="both"/>
        <w:ind w:right="500" w:firstLine="436"/>
        <w:spacing w:after="0" w:line="261" w:lineRule="auto"/>
        <w:tabs>
          <w:tab w:leader="none" w:pos="620" w:val="left"/>
        </w:tabs>
        <w:numPr>
          <w:ilvl w:val="0"/>
          <w:numId w:val="209"/>
        </w:numPr>
        <w:rPr>
          <w:rFonts w:ascii="Arial" w:cs="Arial" w:eastAsia="Arial" w:hAnsi="Arial"/>
          <w:sz w:val="18"/>
          <w:szCs w:val="18"/>
          <w:color w:val="auto"/>
        </w:rPr>
      </w:pPr>
      <w:r>
        <w:rPr>
          <w:rFonts w:ascii="Arial" w:cs="Arial" w:eastAsia="Arial" w:hAnsi="Arial"/>
          <w:sz w:val="18"/>
          <w:szCs w:val="18"/>
          <w:b w:val="1"/>
          <w:bCs w:val="1"/>
          <w:u w:val="single" w:color="auto"/>
          <w:color w:val="auto"/>
        </w:rPr>
        <w:t>Limitations on Transfer</w:t>
      </w:r>
      <w:r>
        <w:rPr>
          <w:rFonts w:ascii="Arial" w:cs="Arial" w:eastAsia="Arial" w:hAnsi="Arial"/>
          <w:sz w:val="18"/>
          <w:szCs w:val="18"/>
          <w:color w:val="auto"/>
        </w:rPr>
        <w:t>. In addition to any other limitation on transfer created by applicable securities laws, Purchaser shall not assign,</w:t>
      </w:r>
      <w:r>
        <w:rPr>
          <w:rFonts w:ascii="Arial" w:cs="Arial" w:eastAsia="Arial" w:hAnsi="Arial"/>
          <w:sz w:val="18"/>
          <w:szCs w:val="18"/>
          <w:b w:val="1"/>
          <w:bCs w:val="1"/>
          <w:color w:val="auto"/>
        </w:rPr>
        <w:t xml:space="preserve"> </w:t>
      </w:r>
      <w:r>
        <w:rPr>
          <w:rFonts w:ascii="Arial" w:cs="Arial" w:eastAsia="Arial" w:hAnsi="Arial"/>
          <w:sz w:val="18"/>
          <w:szCs w:val="18"/>
          <w:color w:val="auto"/>
        </w:rPr>
        <w:t>encumber or dispose of any interest in the Shares while the Shares are subject to the Company’s Repurchase Option (as defined below). After any Shares have been released from such Repurchase Option, Purchaser shall not assign, encumber or dispose of any interest in such Shares except in compliance with the provisions below and applicable securities laws.</w:t>
      </w:r>
    </w:p>
    <w:p>
      <w:pPr>
        <w:spacing w:after="0" w:line="71" w:lineRule="exact"/>
        <w:rPr>
          <w:rFonts w:ascii="Arial" w:cs="Arial" w:eastAsia="Arial" w:hAnsi="Arial"/>
          <w:sz w:val="18"/>
          <w:szCs w:val="18"/>
          <w:color w:val="auto"/>
        </w:rPr>
      </w:pPr>
    </w:p>
    <w:p>
      <w:pPr>
        <w:ind w:left="1240" w:hanging="253"/>
        <w:spacing w:after="0"/>
        <w:tabs>
          <w:tab w:leader="none" w:pos="1240" w:val="left"/>
        </w:tabs>
        <w:numPr>
          <w:ilvl w:val="1"/>
          <w:numId w:val="209"/>
        </w:numPr>
        <w:rPr>
          <w:rFonts w:ascii="Arial" w:cs="Arial" w:eastAsia="Arial" w:hAnsi="Arial"/>
          <w:sz w:val="18"/>
          <w:szCs w:val="18"/>
          <w:color w:val="auto"/>
        </w:rPr>
      </w:pPr>
      <w:r>
        <w:rPr>
          <w:rFonts w:ascii="Arial" w:cs="Arial" w:eastAsia="Arial" w:hAnsi="Arial"/>
          <w:sz w:val="18"/>
          <w:szCs w:val="18"/>
          <w:b w:val="1"/>
          <w:bCs w:val="1"/>
          <w:u w:val="single" w:color="auto"/>
          <w:color w:val="auto"/>
        </w:rPr>
        <w:t>Repurchase Option</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right="40" w:firstLine="1428"/>
        <w:spacing w:after="0" w:line="257" w:lineRule="auto"/>
        <w:tabs>
          <w:tab w:leader="none" w:pos="1647" w:val="left"/>
        </w:tabs>
        <w:numPr>
          <w:ilvl w:val="2"/>
          <w:numId w:val="209"/>
        </w:numPr>
        <w:rPr>
          <w:rFonts w:ascii="Arial" w:cs="Arial" w:eastAsia="Arial" w:hAnsi="Arial"/>
          <w:sz w:val="18"/>
          <w:szCs w:val="18"/>
          <w:color w:val="auto"/>
        </w:rPr>
      </w:pPr>
      <w:r>
        <w:rPr>
          <w:rFonts w:ascii="Arial" w:cs="Arial" w:eastAsia="Arial" w:hAnsi="Arial"/>
          <w:sz w:val="18"/>
          <w:szCs w:val="18"/>
          <w:color w:val="auto"/>
        </w:rPr>
        <w:t>In the event of the voluntary or involuntary termination of Purchaser’s Continuous Service Status for any reason (including death or Disability), with or without cause, the Company shall upon the date of such termination (the “</w:t>
      </w:r>
      <w:r>
        <w:rPr>
          <w:rFonts w:ascii="Arial" w:cs="Arial" w:eastAsia="Arial" w:hAnsi="Arial"/>
          <w:sz w:val="18"/>
          <w:szCs w:val="18"/>
          <w:u w:val="single" w:color="auto"/>
          <w:color w:val="auto"/>
        </w:rPr>
        <w:t>Termination Date</w:t>
      </w:r>
      <w:r>
        <w:rPr>
          <w:rFonts w:ascii="Arial" w:cs="Arial" w:eastAsia="Arial" w:hAnsi="Arial"/>
          <w:sz w:val="18"/>
          <w:szCs w:val="18"/>
          <w:color w:val="auto"/>
        </w:rPr>
        <w:t>”) have an irrevocable, exclusive option (the “</w:t>
      </w:r>
      <w:r>
        <w:rPr>
          <w:rFonts w:ascii="Arial" w:cs="Arial" w:eastAsia="Arial" w:hAnsi="Arial"/>
          <w:sz w:val="18"/>
          <w:szCs w:val="18"/>
          <w:u w:val="single" w:color="auto"/>
          <w:color w:val="auto"/>
        </w:rPr>
        <w:t>Repurchase Option</w:t>
      </w:r>
      <w:r>
        <w:rPr>
          <w:rFonts w:ascii="Arial" w:cs="Arial" w:eastAsia="Arial" w:hAnsi="Arial"/>
          <w:sz w:val="18"/>
          <w:szCs w:val="18"/>
          <w:color w:val="auto"/>
        </w:rPr>
        <w:t>”) for a period of ninety (90) days from such date to repurchase all or any portion of the Shares held by Purchaser as of the Termination Date which have not yet been released from the Company’s Repurchase Option at the original purchase price per Share specified in Section 1 (adjusted for any stock splits, stock dividends and the like).</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0"/>
          </w:cols>
          <w:pgMar w:left="440" w:top="270" w:right="479" w:bottom="1440" w:gutter="0" w:footer="0" w:header="0"/>
        </w:sectPr>
      </w:pPr>
    </w:p>
    <w:bookmarkStart w:id="264" w:name="page265"/>
    <w:bookmarkEnd w:id="264"/>
    <w:p>
      <w:pPr>
        <w:ind w:left="4" w:right="60" w:firstLine="1428"/>
        <w:spacing w:after="0" w:line="285" w:lineRule="auto"/>
        <w:tabs>
          <w:tab w:leader="none" w:pos="1701" w:val="left"/>
        </w:tabs>
        <w:numPr>
          <w:ilvl w:val="2"/>
          <w:numId w:val="21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Unless the Company notifies Purchaser within ninety (90)-days from the Termination Date that it does not intend to exercise its Repurchase Option with respect to some or all of the Shares, the Repurchase Option shall be deemed automatically exercised by the Company as of the end of such ninety (90)-day period following such Termination Date, provided that the Company may notify Purchaser that it is exercising its Repurchase Option as of a date prior to the end of such ninety (90)-day period. Unless Purchaser is otherwise notified by the Company pursuant to the preceding sentence that the Company does not intend to exercise its Repurchase Option as to some or all of the Shares to which it applies at the time of termination, execution of this Agreement by Purchaser constitutes written notice to Purchaser of the Company’s intention to exercise its Repurchase Option with respect to all Shares to which such Repurchase Option applies. The Company, at its choice, may satisfy its payment obligation to Purchaser with respect to exercise of the Repurchase Option by either (A) delivering a check to Purchaser in the amount of the purchase price for the Shares being repurchased, or (B) in the event Purchaser is indebted to the Company, canceling an amount of such indebtedness equal to the purchase price for the Shares being repurchased, or (C) by a combination of (A) and (B) so that the combined payment and cancellation of indebtedness equals such purchase price. In the event of any deemed automatic exercise of the Repurchase Option pursuant to this Section 3(a)(ii) in which Purchaser is indebted to the Company, such indebtedness equal to the purchase price of the Shares being repurchased shall be deemed automatically canceled as of the end of the ninety (90)-day period following the Termination Date unless the Company otherwise satisfies its payment obligations. As a result of any repurchase of Shares pursuant to this Section 3(a), the Company shall become the legal and beneficial owner of the Shares being repurchased and shall have all rights and interest therein or related thereto, and the Company shall have the right to transfer to its own name the number of Shares being repurchased by the Company, without further action by Purchaser.</w:t>
      </w:r>
    </w:p>
    <w:p>
      <w:pPr>
        <w:spacing w:after="0" w:line="68" w:lineRule="exact"/>
        <w:rPr>
          <w:rFonts w:ascii="Arial" w:cs="Arial" w:eastAsia="Arial" w:hAnsi="Arial"/>
          <w:sz w:val="16"/>
          <w:szCs w:val="16"/>
          <w:color w:val="auto"/>
        </w:rPr>
      </w:pPr>
    </w:p>
    <w:p>
      <w:pPr>
        <w:ind w:left="4" w:right="120" w:firstLine="1428"/>
        <w:spacing w:after="0" w:line="257" w:lineRule="auto"/>
        <w:tabs>
          <w:tab w:leader="none" w:pos="1751" w:val="left"/>
        </w:tabs>
        <w:numPr>
          <w:ilvl w:val="2"/>
          <w:numId w:val="210"/>
        </w:numPr>
        <w:rPr>
          <w:rFonts w:ascii="Arial" w:cs="Arial" w:eastAsia="Arial" w:hAnsi="Arial"/>
          <w:sz w:val="18"/>
          <w:szCs w:val="18"/>
          <w:color w:val="auto"/>
        </w:rPr>
      </w:pPr>
      <w:r>
        <w:rPr>
          <w:rFonts w:ascii="Arial" w:cs="Arial" w:eastAsia="Arial" w:hAnsi="Arial"/>
          <w:sz w:val="18"/>
          <w:szCs w:val="18"/>
          <w:color w:val="auto"/>
        </w:rPr>
        <w:t>«PercentUnvested»% of the Shares shall initially be subject to the Repurchase Option. «FirstVestAmount» of the total number of Shares shall be released from the Repurchase Option on «FirstVestDate», and an additional «MonthlyVestingFraction» of the total number of Shares shall be released from the Repurchase Option on the «MonthlyVestingDay» day of each month thereafter, until all Shares are released from the Repurchase Option; provided, however, that such scheduled releases from the Repurchase Option shall immediately cease as of the Termination Date. Fractional shares shall be rounded to the nearest whole share.</w:t>
      </w:r>
    </w:p>
    <w:p>
      <w:pPr>
        <w:spacing w:after="0" w:line="75" w:lineRule="exact"/>
        <w:rPr>
          <w:rFonts w:ascii="Arial" w:cs="Arial" w:eastAsia="Arial" w:hAnsi="Arial"/>
          <w:sz w:val="18"/>
          <w:szCs w:val="18"/>
          <w:color w:val="auto"/>
        </w:rPr>
      </w:pPr>
    </w:p>
    <w:p>
      <w:pPr>
        <w:ind w:left="4" w:right="80" w:firstLine="987"/>
        <w:spacing w:after="0" w:line="289" w:lineRule="auto"/>
        <w:tabs>
          <w:tab w:leader="none" w:pos="1250" w:val="left"/>
        </w:tabs>
        <w:numPr>
          <w:ilvl w:val="1"/>
          <w:numId w:val="211"/>
        </w:numPr>
        <w:rPr>
          <w:rFonts w:ascii="Arial" w:cs="Arial" w:eastAsia="Arial" w:hAnsi="Arial"/>
          <w:sz w:val="17"/>
          <w:szCs w:val="17"/>
          <w:color w:val="auto"/>
        </w:rPr>
      </w:pPr>
      <w:r>
        <w:rPr>
          <w:rFonts w:ascii="Arial" w:cs="Arial" w:eastAsia="Arial" w:hAnsi="Arial"/>
          <w:sz w:val="17"/>
          <w:szCs w:val="17"/>
          <w:b w:val="1"/>
          <w:bCs w:val="1"/>
          <w:u w:val="single" w:color="auto"/>
          <w:color w:val="auto"/>
        </w:rPr>
        <w:t>Right of First Refusal</w:t>
      </w:r>
      <w:r>
        <w:rPr>
          <w:rFonts w:ascii="Arial" w:cs="Arial" w:eastAsia="Arial" w:hAnsi="Arial"/>
          <w:sz w:val="17"/>
          <w:szCs w:val="17"/>
          <w:color w:val="auto"/>
        </w:rPr>
        <w:t>. Before any Shares held by Purchaser or any transferee of Purchaser (either being sometimes referred to herein</w:t>
      </w:r>
      <w:r>
        <w:rPr>
          <w:rFonts w:ascii="Arial" w:cs="Arial" w:eastAsia="Arial" w:hAnsi="Arial"/>
          <w:sz w:val="17"/>
          <w:szCs w:val="17"/>
          <w:b w:val="1"/>
          <w:bCs w:val="1"/>
          <w:color w:val="auto"/>
        </w:rPr>
        <w:t xml:space="preserve"> </w:t>
      </w:r>
      <w:r>
        <w:rPr>
          <w:rFonts w:ascii="Arial" w:cs="Arial" w:eastAsia="Arial" w:hAnsi="Arial"/>
          <w:sz w:val="17"/>
          <w:szCs w:val="17"/>
          <w:color w:val="auto"/>
        </w:rPr>
        <w:t>as the “</w:t>
      </w:r>
      <w:r>
        <w:rPr>
          <w:rFonts w:ascii="Arial" w:cs="Arial" w:eastAsia="Arial" w:hAnsi="Arial"/>
          <w:sz w:val="17"/>
          <w:szCs w:val="17"/>
          <w:u w:val="single" w:color="auto"/>
          <w:color w:val="auto"/>
        </w:rPr>
        <w:t>Holder</w:t>
      </w:r>
      <w:r>
        <w:rPr>
          <w:rFonts w:ascii="Arial" w:cs="Arial" w:eastAsia="Arial" w:hAnsi="Arial"/>
          <w:sz w:val="17"/>
          <w:szCs w:val="17"/>
          <w:color w:val="auto"/>
        </w:rPr>
        <w:t>”) may be sold or otherwise transferred (including transfer by gift or operation of law), the Company or its assignee(s) shall have a right of first refusal to purchase the Shares on the terms and conditions set forth in this Section 3(b) (the “</w:t>
      </w:r>
      <w:r>
        <w:rPr>
          <w:rFonts w:ascii="Arial" w:cs="Arial" w:eastAsia="Arial" w:hAnsi="Arial"/>
          <w:sz w:val="17"/>
          <w:szCs w:val="17"/>
          <w:u w:val="single" w:color="auto"/>
          <w:color w:val="auto"/>
        </w:rPr>
        <w:t>Right of First Refusal</w:t>
      </w:r>
      <w:r>
        <w:rPr>
          <w:rFonts w:ascii="Arial" w:cs="Arial" w:eastAsia="Arial" w:hAnsi="Arial"/>
          <w:sz w:val="17"/>
          <w:szCs w:val="17"/>
          <w:color w:val="auto"/>
        </w:rPr>
        <w:t>”).</w:t>
      </w:r>
    </w:p>
    <w:p>
      <w:pPr>
        <w:spacing w:after="0" w:line="49" w:lineRule="exact"/>
        <w:rPr>
          <w:rFonts w:ascii="Arial" w:cs="Arial" w:eastAsia="Arial" w:hAnsi="Arial"/>
          <w:sz w:val="17"/>
          <w:szCs w:val="17"/>
          <w:color w:val="auto"/>
        </w:rPr>
      </w:pPr>
    </w:p>
    <w:p>
      <w:pPr>
        <w:ind w:left="1644" w:hanging="212"/>
        <w:spacing w:after="0"/>
        <w:tabs>
          <w:tab w:leader="none" w:pos="1644" w:val="left"/>
        </w:tabs>
        <w:numPr>
          <w:ilvl w:val="2"/>
          <w:numId w:val="211"/>
        </w:numPr>
        <w:rPr>
          <w:rFonts w:ascii="Arial" w:cs="Arial" w:eastAsia="Arial" w:hAnsi="Arial"/>
          <w:sz w:val="17"/>
          <w:szCs w:val="17"/>
          <w:color w:val="auto"/>
        </w:rPr>
      </w:pPr>
      <w:r>
        <w:rPr>
          <w:rFonts w:ascii="Arial" w:cs="Arial" w:eastAsia="Arial" w:hAnsi="Arial"/>
          <w:sz w:val="17"/>
          <w:szCs w:val="17"/>
          <w:b w:val="1"/>
          <w:bCs w:val="1"/>
          <w:u w:val="single" w:color="auto"/>
          <w:color w:val="auto"/>
        </w:rPr>
        <w:t>Notice of Proposed Transfer</w:t>
      </w:r>
      <w:r>
        <w:rPr>
          <w:rFonts w:ascii="Arial" w:cs="Arial" w:eastAsia="Arial" w:hAnsi="Arial"/>
          <w:sz w:val="17"/>
          <w:szCs w:val="17"/>
          <w:color w:val="auto"/>
        </w:rPr>
        <w:t>. The Holder of the Shares shall deliver to the Company a written notice (the “</w:t>
      </w:r>
      <w:r>
        <w:rPr>
          <w:rFonts w:ascii="Arial" w:cs="Arial" w:eastAsia="Arial" w:hAnsi="Arial"/>
          <w:sz w:val="17"/>
          <w:szCs w:val="17"/>
          <w:u w:val="single" w:color="auto"/>
          <w:color w:val="auto"/>
        </w:rPr>
        <w:t>Notice</w:t>
      </w:r>
      <w:r>
        <w:rPr>
          <w:rFonts w:ascii="Arial" w:cs="Arial" w:eastAsia="Arial" w:hAnsi="Arial"/>
          <w:sz w:val="17"/>
          <w:szCs w:val="17"/>
          <w:color w:val="auto"/>
        </w:rPr>
        <w:t>”) stating:</w:t>
      </w:r>
    </w:p>
    <w:p>
      <w:pPr>
        <w:spacing w:after="0" w:line="38" w:lineRule="exact"/>
        <w:rPr>
          <w:rFonts w:ascii="Arial" w:cs="Arial" w:eastAsia="Arial" w:hAnsi="Arial"/>
          <w:sz w:val="17"/>
          <w:szCs w:val="17"/>
          <w:color w:val="auto"/>
        </w:rPr>
      </w:pPr>
    </w:p>
    <w:p>
      <w:pPr>
        <w:ind w:left="4" w:hanging="4"/>
        <w:spacing w:after="0" w:line="253" w:lineRule="auto"/>
        <w:tabs>
          <w:tab w:leader="none" w:pos="299"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Holder’s bona fide intention to sell or otherwise transfer such Shares; (B) the name of each proposed purchaser or other transferee (“</w:t>
      </w:r>
      <w:r>
        <w:rPr>
          <w:rFonts w:ascii="Arial" w:cs="Arial" w:eastAsia="Arial" w:hAnsi="Arial"/>
          <w:sz w:val="18"/>
          <w:szCs w:val="18"/>
          <w:u w:val="single" w:color="auto"/>
          <w:color w:val="auto"/>
        </w:rPr>
        <w:t>Proposed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Transferee</w:t>
      </w:r>
      <w:r>
        <w:rPr>
          <w:rFonts w:ascii="Arial" w:cs="Arial" w:eastAsia="Arial" w:hAnsi="Arial"/>
          <w:sz w:val="18"/>
          <w:szCs w:val="18"/>
          <w:color w:val="auto"/>
        </w:rPr>
        <w:t>”); (C) the number of Shares to be transferred to each Proposed Transferee; and (D) the terms and conditions of each proposed sale or transfer. The Holder shall offer the Shares at the same price (the “</w:t>
      </w:r>
      <w:r>
        <w:rPr>
          <w:rFonts w:ascii="Arial" w:cs="Arial" w:eastAsia="Arial" w:hAnsi="Arial"/>
          <w:sz w:val="18"/>
          <w:szCs w:val="18"/>
          <w:u w:val="single" w:color="auto"/>
          <w:color w:val="auto"/>
        </w:rPr>
        <w:t>Purchase Price</w:t>
      </w:r>
      <w:r>
        <w:rPr>
          <w:rFonts w:ascii="Arial" w:cs="Arial" w:eastAsia="Arial" w:hAnsi="Arial"/>
          <w:sz w:val="18"/>
          <w:szCs w:val="18"/>
          <w:color w:val="auto"/>
        </w:rPr>
        <w:t>”) and upon the same terms (or terms as similar as reasonably possible) to the Company or its assignee(s).</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265" w:name="page266"/>
    <w:bookmarkEnd w:id="265"/>
    <w:p>
      <w:pPr>
        <w:ind w:left="4" w:right="100" w:firstLine="1428"/>
        <w:spacing w:after="0" w:line="281" w:lineRule="auto"/>
        <w:tabs>
          <w:tab w:leader="none" w:pos="1701" w:val="left"/>
        </w:tabs>
        <w:numPr>
          <w:ilvl w:val="2"/>
          <w:numId w:val="213"/>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Exercise of Right of First Refusal</w:t>
      </w:r>
      <w:r>
        <w:rPr>
          <w:rFonts w:ascii="Arial" w:cs="Arial" w:eastAsia="Arial" w:hAnsi="Arial"/>
          <w:sz w:val="17"/>
          <w:szCs w:val="17"/>
          <w:color w:val="auto"/>
        </w:rPr>
        <w:t>. At any time within thirty (30) days after receipt of the Notice, the Company and/or its</w:t>
      </w:r>
      <w:r>
        <w:rPr>
          <w:rFonts w:ascii="Arial" w:cs="Arial" w:eastAsia="Arial" w:hAnsi="Arial"/>
          <w:sz w:val="17"/>
          <w:szCs w:val="17"/>
          <w:b w:val="1"/>
          <w:bCs w:val="1"/>
          <w:color w:val="auto"/>
        </w:rPr>
        <w:t xml:space="preserve"> </w:t>
      </w:r>
      <w:r>
        <w:rPr>
          <w:rFonts w:ascii="Arial" w:cs="Arial" w:eastAsia="Arial" w:hAnsi="Arial"/>
          <w:sz w:val="17"/>
          <w:szCs w:val="17"/>
          <w:color w:val="auto"/>
        </w:rPr>
        <w:t>assignee(s) may, by giving written notice to the Holder, elect to purchase all, but not less than all, of the Shares proposed to be transferred to any one or more of the Proposed Transferees, at the Purchase Price. If the terms of the proposed transfer in the Notice include consideration other than cash, the cash equivalent value of the non-cash consideration shall be determined by the Board in good faith.</w:t>
      </w:r>
    </w:p>
    <w:p>
      <w:pPr>
        <w:spacing w:after="0" w:line="56" w:lineRule="exact"/>
        <w:rPr>
          <w:rFonts w:ascii="Arial" w:cs="Arial" w:eastAsia="Arial" w:hAnsi="Arial"/>
          <w:sz w:val="17"/>
          <w:szCs w:val="17"/>
          <w:color w:val="auto"/>
        </w:rPr>
      </w:pPr>
    </w:p>
    <w:p>
      <w:pPr>
        <w:ind w:left="4" w:right="20" w:firstLine="1428"/>
        <w:spacing w:after="0" w:line="266" w:lineRule="auto"/>
        <w:tabs>
          <w:tab w:leader="none" w:pos="1751" w:val="left"/>
        </w:tabs>
        <w:numPr>
          <w:ilvl w:val="2"/>
          <w:numId w:val="213"/>
        </w:numPr>
        <w:rPr>
          <w:rFonts w:ascii="Arial" w:cs="Arial" w:eastAsia="Arial" w:hAnsi="Arial"/>
          <w:sz w:val="18"/>
          <w:szCs w:val="18"/>
          <w:color w:val="auto"/>
        </w:rPr>
      </w:pPr>
      <w:r>
        <w:rPr>
          <w:rFonts w:ascii="Arial" w:cs="Arial" w:eastAsia="Arial" w:hAnsi="Arial"/>
          <w:sz w:val="18"/>
          <w:szCs w:val="18"/>
          <w:b w:val="1"/>
          <w:bCs w:val="1"/>
          <w:u w:val="single" w:color="auto"/>
          <w:color w:val="auto"/>
        </w:rPr>
        <w:t>Payment</w:t>
      </w:r>
      <w:r>
        <w:rPr>
          <w:rFonts w:ascii="Arial" w:cs="Arial" w:eastAsia="Arial" w:hAnsi="Arial"/>
          <w:sz w:val="18"/>
          <w:szCs w:val="18"/>
          <w:color w:val="auto"/>
        </w:rPr>
        <w:t>. Payment of the Purchase Price shall be made, at the election of the Company or its assignee(s), in cash (by check), by</w:t>
      </w:r>
      <w:r>
        <w:rPr>
          <w:rFonts w:ascii="Arial" w:cs="Arial" w:eastAsia="Arial" w:hAnsi="Arial"/>
          <w:sz w:val="18"/>
          <w:szCs w:val="18"/>
          <w:b w:val="1"/>
          <w:bCs w:val="1"/>
          <w:color w:val="auto"/>
        </w:rPr>
        <w:t xml:space="preserve"> </w:t>
      </w:r>
      <w:r>
        <w:rPr>
          <w:rFonts w:ascii="Arial" w:cs="Arial" w:eastAsia="Arial" w:hAnsi="Arial"/>
          <w:sz w:val="18"/>
          <w:szCs w:val="18"/>
          <w:color w:val="auto"/>
        </w:rPr>
        <w:t>cancellation of all or a portion of any outstanding indebtedness or by any combination thereof within sixty (60) days after receipt of the Notice or in the manner and at the times set forth in the Notice.</w:t>
      </w:r>
    </w:p>
    <w:p>
      <w:pPr>
        <w:spacing w:after="0" w:line="67" w:lineRule="exact"/>
        <w:rPr>
          <w:rFonts w:ascii="Arial" w:cs="Arial" w:eastAsia="Arial" w:hAnsi="Arial"/>
          <w:sz w:val="18"/>
          <w:szCs w:val="18"/>
          <w:color w:val="auto"/>
        </w:rPr>
      </w:pPr>
    </w:p>
    <w:p>
      <w:pPr>
        <w:ind w:left="4" w:right="80" w:firstLine="1428"/>
        <w:spacing w:after="0" w:line="289" w:lineRule="auto"/>
        <w:tabs>
          <w:tab w:leader="none" w:pos="1741" w:val="left"/>
        </w:tabs>
        <w:numPr>
          <w:ilvl w:val="2"/>
          <w:numId w:val="213"/>
        </w:numPr>
        <w:rPr>
          <w:rFonts w:ascii="Arial" w:cs="Arial" w:eastAsia="Arial" w:hAnsi="Arial"/>
          <w:sz w:val="16"/>
          <w:szCs w:val="16"/>
          <w:color w:val="auto"/>
        </w:rPr>
      </w:pPr>
      <w:r>
        <w:rPr>
          <w:rFonts w:ascii="Arial" w:cs="Arial" w:eastAsia="Arial" w:hAnsi="Arial"/>
          <w:sz w:val="16"/>
          <w:szCs w:val="16"/>
          <w:b w:val="1"/>
          <w:bCs w:val="1"/>
          <w:u w:val="single" w:color="auto"/>
          <w:color w:val="auto"/>
        </w:rPr>
        <w:t>Holder’s Right to Transfer</w:t>
      </w:r>
      <w:r>
        <w:rPr>
          <w:rFonts w:ascii="Arial" w:cs="Arial" w:eastAsia="Arial" w:hAnsi="Arial"/>
          <w:sz w:val="16"/>
          <w:szCs w:val="16"/>
          <w:color w:val="auto"/>
        </w:rPr>
        <w:t>. If all of the Shares proposed in the Notice to be transferred to a given Proposed Transferee are not</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purchased by the Company and/or its assignee(s) as provided in this Section 3(b), then the Holder may sell or otherwise transfer such Shares to that Proposed Transferee at the Purchase Price or at a higher price, provided that such sale or other transfer is consummated within one hundred twenty</w:t>
      </w:r>
    </w:p>
    <w:p>
      <w:pPr>
        <w:spacing w:after="0" w:line="1" w:lineRule="exact"/>
        <w:rPr>
          <w:rFonts w:ascii="Arial" w:cs="Arial" w:eastAsia="Arial" w:hAnsi="Arial"/>
          <w:sz w:val="16"/>
          <w:szCs w:val="16"/>
          <w:color w:val="auto"/>
        </w:rPr>
      </w:pPr>
    </w:p>
    <w:p>
      <w:pPr>
        <w:ind w:left="4" w:hanging="4"/>
        <w:spacing w:after="0" w:line="292" w:lineRule="auto"/>
        <w:tabs>
          <w:tab w:leader="none" w:pos="439" w:val="left"/>
        </w:tabs>
        <w:numPr>
          <w:ilvl w:val="0"/>
          <w:numId w:val="214"/>
        </w:numPr>
        <w:rPr>
          <w:rFonts w:ascii="Arial" w:cs="Arial" w:eastAsia="Arial" w:hAnsi="Arial"/>
          <w:sz w:val="16"/>
          <w:szCs w:val="16"/>
          <w:color w:val="auto"/>
        </w:rPr>
      </w:pPr>
      <w:r>
        <w:rPr>
          <w:rFonts w:ascii="Arial" w:cs="Arial" w:eastAsia="Arial" w:hAnsi="Arial"/>
          <w:sz w:val="16"/>
          <w:szCs w:val="16"/>
          <w:color w:val="auto"/>
        </w:rPr>
        <w:t>days after the date of the Notice and provided further that any such sale or other transfer is effected in accordance with any applicable securities laws and the Proposed Transferee agrees in writing that the provisions of this Section 3 shall continue to apply to the Shares in the hands of such Proposed Transferee. If the Shares described in the Notice are not transferred to the Proposed Transferee within such period, or if the Holder proposes to change the price or other terms to make them more favorable to the Proposed Transferee, a new Notice shall be given to the Company, and the Company and/or its assignees shall again be offered the Right of First Refusal before any Shares held by the Holder may be sold or otherwise transferred.</w:t>
      </w:r>
    </w:p>
    <w:p>
      <w:pPr>
        <w:spacing w:after="0" w:line="50" w:lineRule="exact"/>
        <w:rPr>
          <w:rFonts w:ascii="Arial" w:cs="Arial" w:eastAsia="Arial" w:hAnsi="Arial"/>
          <w:sz w:val="16"/>
          <w:szCs w:val="16"/>
          <w:color w:val="auto"/>
        </w:rPr>
      </w:pPr>
    </w:p>
    <w:p>
      <w:pPr>
        <w:ind w:left="4" w:right="80" w:firstLine="1428"/>
        <w:spacing w:after="0" w:line="256" w:lineRule="auto"/>
        <w:tabs>
          <w:tab w:leader="none" w:pos="1691" w:val="left"/>
        </w:tabs>
        <w:numPr>
          <w:ilvl w:val="2"/>
          <w:numId w:val="214"/>
        </w:numPr>
        <w:rPr>
          <w:rFonts w:ascii="Arial" w:cs="Arial" w:eastAsia="Arial" w:hAnsi="Arial"/>
          <w:sz w:val="18"/>
          <w:szCs w:val="18"/>
          <w:color w:val="auto"/>
        </w:rPr>
      </w:pPr>
      <w:r>
        <w:rPr>
          <w:rFonts w:ascii="Arial" w:cs="Arial" w:eastAsia="Arial" w:hAnsi="Arial"/>
          <w:sz w:val="18"/>
          <w:szCs w:val="18"/>
          <w:b w:val="1"/>
          <w:bCs w:val="1"/>
          <w:u w:val="single" w:color="auto"/>
          <w:color w:val="auto"/>
        </w:rPr>
        <w:t>Exception for Certain Family Transfers</w:t>
      </w:r>
      <w:r>
        <w:rPr>
          <w:rFonts w:ascii="Arial" w:cs="Arial" w:eastAsia="Arial" w:hAnsi="Arial"/>
          <w:sz w:val="18"/>
          <w:szCs w:val="18"/>
          <w:color w:val="auto"/>
        </w:rPr>
        <w:t>. Anything to the contrary contained in this Section 3(b) notwithstanding, the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of any or all of the Shares during Purchaser’s lifetime or on Purchaser’s death by will or intestacy to Purchaser’s Immediate Family or to a trust for the benefit of Purchaser’s Immediate Family shall be exempt from the provisions of this Section 3(b). “Immediate Family” as used herein shall mean spouse, lineal descendant or antecedent, father, mother, brother or sister. In such case, the transferee or other recipient shall receive and hold the Shares so transferred subject to the provisions of this Section 3, and there shall be no further transfer of such Shares except in accordance with the terms of this Section 3.</w:t>
      </w:r>
    </w:p>
    <w:p>
      <w:pPr>
        <w:spacing w:after="0" w:line="79" w:lineRule="exact"/>
        <w:rPr>
          <w:rFonts w:ascii="Arial" w:cs="Arial" w:eastAsia="Arial" w:hAnsi="Arial"/>
          <w:sz w:val="18"/>
          <w:szCs w:val="18"/>
          <w:color w:val="auto"/>
        </w:rPr>
      </w:pPr>
    </w:p>
    <w:p>
      <w:pPr>
        <w:ind w:left="4" w:right="20" w:firstLine="987"/>
        <w:spacing w:after="0" w:line="255" w:lineRule="auto"/>
        <w:tabs>
          <w:tab w:leader="none" w:pos="1240" w:val="left"/>
        </w:tabs>
        <w:numPr>
          <w:ilvl w:val="1"/>
          <w:numId w:val="214"/>
        </w:numPr>
        <w:rPr>
          <w:rFonts w:ascii="Arial" w:cs="Arial" w:eastAsia="Arial" w:hAnsi="Arial"/>
          <w:sz w:val="18"/>
          <w:szCs w:val="18"/>
          <w:color w:val="auto"/>
        </w:rPr>
      </w:pPr>
      <w:r>
        <w:rPr>
          <w:rFonts w:ascii="Arial" w:cs="Arial" w:eastAsia="Arial" w:hAnsi="Arial"/>
          <w:sz w:val="18"/>
          <w:szCs w:val="18"/>
          <w:b w:val="1"/>
          <w:bCs w:val="1"/>
          <w:u w:val="single" w:color="auto"/>
          <w:color w:val="auto"/>
        </w:rPr>
        <w:t>Company’s Right to Purchase upon Involuntary Transfer</w:t>
      </w:r>
      <w:r>
        <w:rPr>
          <w:rFonts w:ascii="Arial" w:cs="Arial" w:eastAsia="Arial" w:hAnsi="Arial"/>
          <w:sz w:val="18"/>
          <w:szCs w:val="18"/>
          <w:color w:val="auto"/>
        </w:rPr>
        <w:t>. In the event of any transfer by operation of law or other involuntary</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(including death or divorce, but excluding in the event of death a transfer to Immediate Family as set forth in Section 3(b)(v) above) of all or a portion of the Shares by the record holder thereof, the Company shall have an option to purchase all of the Shares transferred at the greater of the purchase price paid by Purchaser pursuant to this Agreement or the Fair Market Value of the Shares on the date of transfer (as determined by the Board). Upon such a transfer, the person acquiring the Shares shall promptly notify the Secretary of the Company of such transfer. The right to purchase such Shares shall be provided to the Company for a period of thirty (30) days following receipt by the Company of written notice by the person acquiring the Shares.</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0" w:right="459" w:bottom="1440" w:gutter="0" w:footer="0" w:header="0"/>
        </w:sectPr>
      </w:pPr>
    </w:p>
    <w:bookmarkStart w:id="266" w:name="page267"/>
    <w:bookmarkEnd w:id="266"/>
    <w:p>
      <w:pPr>
        <w:ind w:right="40" w:firstLine="987"/>
        <w:spacing w:after="0" w:line="282" w:lineRule="auto"/>
        <w:tabs>
          <w:tab w:leader="none" w:pos="1246" w:val="left"/>
        </w:tabs>
        <w:numPr>
          <w:ilvl w:val="1"/>
          <w:numId w:val="215"/>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Assignment</w:t>
      </w:r>
      <w:r>
        <w:rPr>
          <w:rFonts w:ascii="Arial" w:cs="Arial" w:eastAsia="Arial" w:hAnsi="Arial"/>
          <w:sz w:val="18"/>
          <w:szCs w:val="18"/>
          <w:color w:val="auto"/>
        </w:rPr>
        <w:t>. The right of the Company to purchase any part of the Shares may be assigned in whole or in part to any holder or holders</w:t>
      </w:r>
      <w:r>
        <w:rPr>
          <w:rFonts w:ascii="Arial" w:cs="Arial" w:eastAsia="Arial" w:hAnsi="Arial"/>
          <w:sz w:val="18"/>
          <w:szCs w:val="18"/>
          <w:b w:val="1"/>
          <w:bCs w:val="1"/>
          <w:color w:val="auto"/>
        </w:rPr>
        <w:t xml:space="preserve"> </w:t>
      </w:r>
      <w:r>
        <w:rPr>
          <w:rFonts w:ascii="Arial" w:cs="Arial" w:eastAsia="Arial" w:hAnsi="Arial"/>
          <w:sz w:val="18"/>
          <w:szCs w:val="18"/>
          <w:color w:val="auto"/>
        </w:rPr>
        <w:t>of capital stock of the Company or other persons or organizations.</w:t>
      </w:r>
    </w:p>
    <w:p>
      <w:pPr>
        <w:spacing w:after="0" w:line="53" w:lineRule="exact"/>
        <w:rPr>
          <w:rFonts w:ascii="Arial" w:cs="Arial" w:eastAsia="Arial" w:hAnsi="Arial"/>
          <w:sz w:val="18"/>
          <w:szCs w:val="18"/>
          <w:color w:val="auto"/>
        </w:rPr>
      </w:pPr>
    </w:p>
    <w:p>
      <w:pPr>
        <w:ind w:right="200" w:firstLine="987"/>
        <w:spacing w:after="0" w:line="273" w:lineRule="auto"/>
        <w:tabs>
          <w:tab w:leader="none" w:pos="1236" w:val="left"/>
        </w:tabs>
        <w:numPr>
          <w:ilvl w:val="1"/>
          <w:numId w:val="215"/>
        </w:numPr>
        <w:rPr>
          <w:rFonts w:ascii="Arial" w:cs="Arial" w:eastAsia="Arial" w:hAnsi="Arial"/>
          <w:sz w:val="17"/>
          <w:szCs w:val="17"/>
          <w:color w:val="auto"/>
        </w:rPr>
      </w:pPr>
      <w:r>
        <w:rPr>
          <w:rFonts w:ascii="Arial" w:cs="Arial" w:eastAsia="Arial" w:hAnsi="Arial"/>
          <w:sz w:val="17"/>
          <w:szCs w:val="17"/>
          <w:b w:val="1"/>
          <w:bCs w:val="1"/>
          <w:u w:val="single" w:color="auto"/>
          <w:color w:val="auto"/>
        </w:rPr>
        <w:t>Restrictions Binding on Transferees</w:t>
      </w:r>
      <w:r>
        <w:rPr>
          <w:rFonts w:ascii="Arial" w:cs="Arial" w:eastAsia="Arial" w:hAnsi="Arial"/>
          <w:sz w:val="17"/>
          <w:szCs w:val="17"/>
          <w:color w:val="auto"/>
        </w:rPr>
        <w:t>. All transferees of Shares or any interest therein will receive and hold such Shares or interest</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provisions of this Agreement, including, insofar as applicable, the Repurchase Option. In the event of any purchase by the Company hereunder where the Shares or interest are held by a transferee (including any deemed purchase pursuant to Section 3(a)(ii)), the transferee shall be obligated, if requested by the Company, to transfer the Shares or interest to the Purchaser for consideration equal to the amount to be paid by the Company hereunder. Payment of the purchase price by the Company to such transferee shall be deemed to satisfy Purchaser’s obligation to pay such transferee for such Shares or interest, and also to satisfy the Company’s obligation to pay Purchaser for such Shares or interest. Any sale or transfer of the Shares shall be void unless the provisions of this Agreement are satisfied.</w:t>
      </w:r>
    </w:p>
    <w:p>
      <w:pPr>
        <w:spacing w:after="0" w:line="63" w:lineRule="exact"/>
        <w:rPr>
          <w:rFonts w:ascii="Arial" w:cs="Arial" w:eastAsia="Arial" w:hAnsi="Arial"/>
          <w:sz w:val="17"/>
          <w:szCs w:val="17"/>
          <w:color w:val="auto"/>
        </w:rPr>
      </w:pPr>
    </w:p>
    <w:p>
      <w:pPr>
        <w:ind w:firstLine="987"/>
        <w:spacing w:after="0" w:line="274" w:lineRule="auto"/>
        <w:tabs>
          <w:tab w:leader="none" w:pos="1216" w:val="left"/>
        </w:tabs>
        <w:numPr>
          <w:ilvl w:val="1"/>
          <w:numId w:val="215"/>
        </w:numPr>
        <w:rPr>
          <w:rFonts w:ascii="Arial" w:cs="Arial" w:eastAsia="Arial" w:hAnsi="Arial"/>
          <w:sz w:val="17"/>
          <w:szCs w:val="17"/>
          <w:color w:val="auto"/>
        </w:rPr>
      </w:pPr>
      <w:r>
        <w:rPr>
          <w:rFonts w:ascii="Arial" w:cs="Arial" w:eastAsia="Arial" w:hAnsi="Arial"/>
          <w:sz w:val="17"/>
          <w:szCs w:val="17"/>
          <w:b w:val="1"/>
          <w:bCs w:val="1"/>
          <w:u w:val="single" w:color="auto"/>
          <w:color w:val="auto"/>
        </w:rPr>
        <w:t>Termination of Rights</w:t>
      </w:r>
      <w:r>
        <w:rPr>
          <w:rFonts w:ascii="Arial" w:cs="Arial" w:eastAsia="Arial" w:hAnsi="Arial"/>
          <w:sz w:val="17"/>
          <w:szCs w:val="17"/>
          <w:color w:val="auto"/>
        </w:rPr>
        <w:t>. The right of first refusal granted the Company by Section 3(b) above and the option to repurchase the Shares in</w:t>
      </w:r>
      <w:r>
        <w:rPr>
          <w:rFonts w:ascii="Arial" w:cs="Arial" w:eastAsia="Arial" w:hAnsi="Arial"/>
          <w:sz w:val="17"/>
          <w:szCs w:val="17"/>
          <w:b w:val="1"/>
          <w:bCs w:val="1"/>
          <w:color w:val="auto"/>
        </w:rPr>
        <w:t xml:space="preserve"> </w:t>
      </w:r>
      <w:r>
        <w:rPr>
          <w:rFonts w:ascii="Arial" w:cs="Arial" w:eastAsia="Arial" w:hAnsi="Arial"/>
          <w:sz w:val="17"/>
          <w:szCs w:val="17"/>
          <w:color w:val="auto"/>
        </w:rPr>
        <w:t>the event of an involuntary transfer granted the Company by Section 3(c) above shall terminate upon the first sale of Common Stock of the Company to the general public pursuant to a registration statement filed with and declared effective by the Securities and Exchange Commission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Upon termination of such transfer restrictions, the Company will remove any stop-transfer notices referred to in Section 6(b) below and related to the restriction in Sections 3(b) and (c) and a new certificate or certificates representing the Shares not repurchased shall be issued, on request, without the legend referred to in Section 6(a)(ii) below.</w:t>
      </w:r>
    </w:p>
    <w:p>
      <w:pPr>
        <w:spacing w:after="0" w:line="65" w:lineRule="exact"/>
        <w:rPr>
          <w:rFonts w:ascii="Arial" w:cs="Arial" w:eastAsia="Arial" w:hAnsi="Arial"/>
          <w:sz w:val="17"/>
          <w:szCs w:val="17"/>
          <w:color w:val="auto"/>
        </w:rPr>
      </w:pPr>
    </w:p>
    <w:p>
      <w:pPr>
        <w:ind w:firstLine="436"/>
        <w:spacing w:after="0" w:line="269" w:lineRule="auto"/>
        <w:tabs>
          <w:tab w:leader="none" w:pos="620" w:val="left"/>
        </w:tabs>
        <w:numPr>
          <w:ilvl w:val="0"/>
          <w:numId w:val="216"/>
        </w:numPr>
        <w:rPr>
          <w:rFonts w:ascii="Arial" w:cs="Arial" w:eastAsia="Arial" w:hAnsi="Arial"/>
          <w:sz w:val="17"/>
          <w:szCs w:val="17"/>
          <w:color w:val="auto"/>
        </w:rPr>
      </w:pPr>
      <w:r>
        <w:rPr>
          <w:rFonts w:ascii="Arial" w:cs="Arial" w:eastAsia="Arial" w:hAnsi="Arial"/>
          <w:sz w:val="17"/>
          <w:szCs w:val="17"/>
          <w:b w:val="1"/>
          <w:bCs w:val="1"/>
          <w:u w:val="single" w:color="auto"/>
          <w:color w:val="auto"/>
        </w:rPr>
        <w:t>Escrow of Unvested Shares</w:t>
      </w:r>
      <w:r>
        <w:rPr>
          <w:rFonts w:ascii="Arial" w:cs="Arial" w:eastAsia="Arial" w:hAnsi="Arial"/>
          <w:sz w:val="17"/>
          <w:szCs w:val="17"/>
          <w:color w:val="auto"/>
        </w:rPr>
        <w:t>. For purposes of facilitating the enforcement of the provisions of Section 3 above, Purchaser agrees, immediately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upon receipt of any certificate(s) for the Shares subject to the Repurchase Option, to deliver such certificate(s), together with an Assignment Separate from Certificate in the form attached to this Agreement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executed by Purchaser and by Purchaser’s spouse (if required for transfer), in blank, to the Secretary of the Company, or the Secretary’s designee, to hold such certificate(s) and Assignment Separate from Certificate in escrow and to take all such actions and to effectuate all such transfers and/or releases as are in accordance with the terms of this Agreement. Purchaser hereby acknowledges that the Secretary of the Company, or the Secretary’s designee, is so appointed as the escrow holder with the foregoing authorities as a material inducement to make this Agreement and that said appointment is coupled with an interest and is accordingly irrevocable. Purchaser agrees that said escrow holder shall not be liable to any party hereof (or to any other party). The escrow holder may rely upon any letter, notice or other document executed by any signature purported to be genuine and may resign at any time. Purchaser agrees that if the Secretary of the Company, or the Secretary’s designee, resigns as escrow holder for any or no reason, the Board shall have the power to appoint a successor to serve as escrow holder pursuant to the terms of this Agreement.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0" w:right="459" w:bottom="1440" w:gutter="0" w:footer="0" w:header="0"/>
        </w:sectPr>
      </w:pPr>
    </w:p>
    <w:bookmarkStart w:id="267" w:name="page268"/>
    <w:bookmarkEnd w:id="267"/>
    <w:p>
      <w:pPr>
        <w:ind w:left="620" w:hanging="184"/>
        <w:spacing w:after="0"/>
        <w:tabs>
          <w:tab w:leader="none" w:pos="620" w:val="left"/>
        </w:tabs>
        <w:numPr>
          <w:ilvl w:val="0"/>
          <w:numId w:val="217"/>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Investment and Taxation Representations</w:t>
      </w:r>
      <w:r>
        <w:rPr>
          <w:rFonts w:ascii="Arial" w:cs="Arial" w:eastAsia="Arial" w:hAnsi="Arial"/>
          <w:sz w:val="16"/>
          <w:szCs w:val="16"/>
          <w:color w:val="auto"/>
        </w:rPr>
        <w:t>. In connection with the purchase of the Shares, Purchaser represents to the Company the following:</w:t>
      </w:r>
    </w:p>
    <w:p>
      <w:pPr>
        <w:spacing w:after="0" w:line="144" w:lineRule="exact"/>
        <w:rPr>
          <w:rFonts w:ascii="Arial" w:cs="Arial" w:eastAsia="Arial" w:hAnsi="Arial"/>
          <w:sz w:val="16"/>
          <w:szCs w:val="16"/>
          <w:color w:val="auto"/>
        </w:rPr>
      </w:pPr>
    </w:p>
    <w:p>
      <w:pPr>
        <w:ind w:right="220" w:firstLine="987"/>
        <w:spacing w:after="0" w:line="301" w:lineRule="auto"/>
        <w:tabs>
          <w:tab w:leader="none" w:pos="1236" w:val="left"/>
        </w:tabs>
        <w:numPr>
          <w:ilvl w:val="1"/>
          <w:numId w:val="217"/>
        </w:numPr>
        <w:rPr>
          <w:rFonts w:ascii="Arial" w:cs="Arial" w:eastAsia="Arial" w:hAnsi="Arial"/>
          <w:sz w:val="16"/>
          <w:szCs w:val="16"/>
          <w:color w:val="auto"/>
        </w:rPr>
      </w:pPr>
      <w:r>
        <w:rPr>
          <w:rFonts w:ascii="Arial" w:cs="Arial" w:eastAsia="Arial" w:hAnsi="Arial"/>
          <w:sz w:val="16"/>
          <w:szCs w:val="16"/>
          <w:color w:val="auto"/>
        </w:rPr>
        <w:t>Purchaser is aware of the Company’s business affairs and financial condition and has acquired sufficient information about the Company to reach an informed and knowledgeable decision to acquire the Shares. Purchaser is purchasing the Shares for investment for Purchaser’s own account only and not with a view to, or for resale in connection with, any “distribution” thereof within the meaning of the Securities Act or under any applicable provision of state law. Purchaser does not have any present intention to transfer the Shares to any other person or entity.</w:t>
      </w:r>
    </w:p>
    <w:p>
      <w:pPr>
        <w:spacing w:after="0" w:line="49" w:lineRule="exact"/>
        <w:rPr>
          <w:rFonts w:ascii="Arial" w:cs="Arial" w:eastAsia="Arial" w:hAnsi="Arial"/>
          <w:sz w:val="16"/>
          <w:szCs w:val="16"/>
          <w:color w:val="auto"/>
        </w:rPr>
      </w:pPr>
    </w:p>
    <w:p>
      <w:pPr>
        <w:ind w:right="220" w:firstLine="987"/>
        <w:spacing w:after="0" w:line="308" w:lineRule="auto"/>
        <w:tabs>
          <w:tab w:leader="none" w:pos="1246" w:val="left"/>
        </w:tabs>
        <w:numPr>
          <w:ilvl w:val="1"/>
          <w:numId w:val="217"/>
        </w:numPr>
        <w:rPr>
          <w:rFonts w:ascii="Arial" w:cs="Arial" w:eastAsia="Arial" w:hAnsi="Arial"/>
          <w:sz w:val="17"/>
          <w:szCs w:val="17"/>
          <w:color w:val="auto"/>
        </w:rPr>
      </w:pPr>
      <w:r>
        <w:rPr>
          <w:rFonts w:ascii="Arial" w:cs="Arial" w:eastAsia="Arial" w:hAnsi="Arial"/>
          <w:sz w:val="17"/>
          <w:szCs w:val="17"/>
          <w:color w:val="auto"/>
        </w:rPr>
        <w:t>Purchaser understands that the Shares have not been registered under the Securities Act by reason of a specific exemption therefrom, which exemption depends upon, among other things, the bona fide nature of Purchaser’s investment intent as expressed herein.</w:t>
      </w:r>
    </w:p>
    <w:p>
      <w:pPr>
        <w:spacing w:after="0" w:line="38" w:lineRule="exact"/>
        <w:rPr>
          <w:rFonts w:ascii="Arial" w:cs="Arial" w:eastAsia="Arial" w:hAnsi="Arial"/>
          <w:sz w:val="17"/>
          <w:szCs w:val="17"/>
          <w:color w:val="auto"/>
        </w:rPr>
      </w:pPr>
    </w:p>
    <w:p>
      <w:pPr>
        <w:ind w:right="40" w:firstLine="987"/>
        <w:spacing w:after="0" w:line="263" w:lineRule="auto"/>
        <w:tabs>
          <w:tab w:leader="none" w:pos="1236" w:val="left"/>
        </w:tabs>
        <w:numPr>
          <w:ilvl w:val="1"/>
          <w:numId w:val="217"/>
        </w:numPr>
        <w:rPr>
          <w:rFonts w:ascii="Arial" w:cs="Arial" w:eastAsia="Arial" w:hAnsi="Arial"/>
          <w:sz w:val="18"/>
          <w:szCs w:val="18"/>
          <w:color w:val="auto"/>
        </w:rPr>
      </w:pPr>
      <w:r>
        <w:rPr>
          <w:rFonts w:ascii="Arial" w:cs="Arial" w:eastAsia="Arial" w:hAnsi="Arial"/>
          <w:sz w:val="18"/>
          <w:szCs w:val="18"/>
          <w:color w:val="auto"/>
        </w:rPr>
        <w:t>Purchaser further acknowledges and understands that the securities must be held indefinitely unless they are subsequently registered under the Securities Act or an exemption from such registration is available. Purchaser further acknowledges and understands that the Company is under no obligation to register the securities.</w:t>
      </w:r>
    </w:p>
    <w:p>
      <w:pPr>
        <w:spacing w:after="0" w:line="75" w:lineRule="exact"/>
        <w:rPr>
          <w:rFonts w:ascii="Arial" w:cs="Arial" w:eastAsia="Arial" w:hAnsi="Arial"/>
          <w:sz w:val="18"/>
          <w:szCs w:val="18"/>
          <w:color w:val="auto"/>
        </w:rPr>
      </w:pPr>
    </w:p>
    <w:p>
      <w:pPr>
        <w:ind w:right="20" w:firstLine="987"/>
        <w:spacing w:after="0" w:line="291" w:lineRule="auto"/>
        <w:tabs>
          <w:tab w:leader="none" w:pos="1246" w:val="left"/>
        </w:tabs>
        <w:numPr>
          <w:ilvl w:val="1"/>
          <w:numId w:val="217"/>
        </w:numPr>
        <w:rPr>
          <w:rFonts w:ascii="Arial" w:cs="Arial" w:eastAsia="Arial" w:hAnsi="Arial"/>
          <w:sz w:val="16"/>
          <w:szCs w:val="16"/>
          <w:color w:val="auto"/>
        </w:rPr>
      </w:pPr>
      <w:r>
        <w:rPr>
          <w:rFonts w:ascii="Arial" w:cs="Arial" w:eastAsia="Arial" w:hAnsi="Arial"/>
          <w:sz w:val="16"/>
          <w:szCs w:val="16"/>
          <w:color w:val="auto"/>
        </w:rPr>
        <w:t>Purchaser is familiar with the provisions of Rules 144 and 701, each promulgated under the Securities Act, which, in substance, permit limited public resale of “restricted securities” acquired, directly or indirectly, from the issuer of the securities (or from an affiliate of such issuer), in a non-public offering subject to the satisfaction of certain conditions. Purchaser understands that the Company provides no assurances as to whether he or she will be able to resell any or all of the Shares pursuant to Rule 144 or Rule 701, which rules require, among other things, that resales of securities take place only after the holder of the Shares has held the Shares for certain specified time periods, and under certain circumstances, that certain information about the Company be current and publicly available, and that resales of securities be limited in volume and take place only pursuant to brokered transactions. Notwithstanding this paragraph (d), Purchaser acknowledges and agrees to the restrictions set forth in paragraph (e) below.</w:t>
      </w:r>
    </w:p>
    <w:p>
      <w:pPr>
        <w:spacing w:after="0" w:line="58" w:lineRule="exact"/>
        <w:rPr>
          <w:rFonts w:ascii="Arial" w:cs="Arial" w:eastAsia="Arial" w:hAnsi="Arial"/>
          <w:sz w:val="16"/>
          <w:szCs w:val="16"/>
          <w:color w:val="auto"/>
        </w:rPr>
      </w:pPr>
    </w:p>
    <w:p>
      <w:pPr>
        <w:ind w:right="40" w:firstLine="987"/>
        <w:spacing w:after="0" w:line="291" w:lineRule="auto"/>
        <w:tabs>
          <w:tab w:leader="none" w:pos="1236" w:val="left"/>
        </w:tabs>
        <w:numPr>
          <w:ilvl w:val="1"/>
          <w:numId w:val="217"/>
        </w:numPr>
        <w:rPr>
          <w:rFonts w:ascii="Arial" w:cs="Arial" w:eastAsia="Arial" w:hAnsi="Arial"/>
          <w:sz w:val="16"/>
          <w:szCs w:val="16"/>
          <w:color w:val="auto"/>
        </w:rPr>
      </w:pPr>
      <w:r>
        <w:rPr>
          <w:rFonts w:ascii="Arial" w:cs="Arial" w:eastAsia="Arial" w:hAnsi="Arial"/>
          <w:sz w:val="16"/>
          <w:szCs w:val="16"/>
          <w:color w:val="auto"/>
        </w:rPr>
        <w:t>Purchaser further understands that in the event all of the applicable requirements of Rule 144 or 701 are not satisfied, registration under the Securities Act, compliance with Regulation A, or some other registration exemption will be required; and that, notwithstanding the fact that</w:t>
      </w:r>
    </w:p>
    <w:p>
      <w:pPr>
        <w:ind w:right="20"/>
        <w:spacing w:after="0" w:line="253" w:lineRule="auto"/>
        <w:rPr>
          <w:rFonts w:ascii="Arial" w:cs="Arial" w:eastAsia="Arial" w:hAnsi="Arial"/>
          <w:sz w:val="16"/>
          <w:szCs w:val="16"/>
          <w:color w:val="auto"/>
        </w:rPr>
      </w:pPr>
      <w:r>
        <w:rPr>
          <w:rFonts w:ascii="Arial" w:cs="Arial" w:eastAsia="Arial" w:hAnsi="Arial"/>
          <w:sz w:val="18"/>
          <w:szCs w:val="18"/>
          <w:color w:val="auto"/>
        </w:rPr>
        <w:t>Rules 144 and 701 are not exclusive, the Staff of the Securities and Exchange Commission has expressed its opinion that persons proposing to sell private placement securities other than in a registered offering and otherwise than pursuant to Rule 144 or 701 will have a substantial burden of proof in establishing that an exemption from registration is available for such offers or sales, and that such persons and their respective brokers who participate in such transactions do so at their own risk.</w:t>
      </w:r>
    </w:p>
    <w:p>
      <w:pPr>
        <w:spacing w:after="0" w:line="84" w:lineRule="exact"/>
        <w:rPr>
          <w:rFonts w:ascii="Arial" w:cs="Arial" w:eastAsia="Arial" w:hAnsi="Arial"/>
          <w:sz w:val="16"/>
          <w:szCs w:val="16"/>
          <w:color w:val="auto"/>
        </w:rPr>
      </w:pPr>
    </w:p>
    <w:p>
      <w:pPr>
        <w:ind w:right="120" w:firstLine="987"/>
        <w:spacing w:after="0" w:line="263" w:lineRule="auto"/>
        <w:tabs>
          <w:tab w:leader="none" w:pos="1216" w:val="left"/>
        </w:tabs>
        <w:numPr>
          <w:ilvl w:val="1"/>
          <w:numId w:val="217"/>
        </w:numPr>
        <w:rPr>
          <w:rFonts w:ascii="Arial" w:cs="Arial" w:eastAsia="Arial" w:hAnsi="Arial"/>
          <w:sz w:val="18"/>
          <w:szCs w:val="18"/>
          <w:color w:val="auto"/>
        </w:rPr>
      </w:pPr>
      <w:r>
        <w:rPr>
          <w:rFonts w:ascii="Arial" w:cs="Arial" w:eastAsia="Arial" w:hAnsi="Arial"/>
          <w:sz w:val="18"/>
          <w:szCs w:val="18"/>
          <w:color w:val="auto"/>
        </w:rPr>
        <w:t>Purchaser understands that Purchaser may suffer adverse tax consequences as a result of Purchaser’s purchase or disposition of the Shares. Purchaser represents that Purchaser has consulted any tax consultants Purchaser deems advisable in connection with the purchase or disposition of the Shares and that Purchaser is not relying on the Company for any tax advice.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0" w:right="439" w:bottom="1440" w:gutter="0" w:footer="0" w:header="0"/>
        </w:sectPr>
      </w:pPr>
    </w:p>
    <w:bookmarkStart w:id="268" w:name="page269"/>
    <w:bookmarkEnd w:id="268"/>
    <w:p>
      <w:pPr>
        <w:ind w:left="600" w:hanging="184"/>
        <w:spacing w:after="0"/>
        <w:tabs>
          <w:tab w:leader="none" w:pos="600" w:val="left"/>
        </w:tabs>
        <w:numPr>
          <w:ilvl w:val="0"/>
          <w:numId w:val="218"/>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Restrictive Legends and Stop-Transfer Orders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320" w:firstLine="987"/>
        <w:spacing w:after="0" w:line="282" w:lineRule="auto"/>
        <w:tabs>
          <w:tab w:leader="none" w:pos="1216" w:val="left"/>
        </w:tabs>
        <w:numPr>
          <w:ilvl w:val="1"/>
          <w:numId w:val="218"/>
        </w:numPr>
        <w:rPr>
          <w:rFonts w:ascii="Arial" w:cs="Arial" w:eastAsia="Arial" w:hAnsi="Arial"/>
          <w:sz w:val="18"/>
          <w:szCs w:val="18"/>
          <w:color w:val="auto"/>
        </w:rPr>
      </w:pPr>
      <w:r>
        <w:rPr>
          <w:rFonts w:ascii="Arial" w:cs="Arial" w:eastAsia="Arial" w:hAnsi="Arial"/>
          <w:sz w:val="18"/>
          <w:szCs w:val="18"/>
          <w:b w:val="1"/>
          <w:bCs w:val="1"/>
          <w:u w:val="single" w:color="auto"/>
          <w:color w:val="auto"/>
        </w:rPr>
        <w:t>Legends</w:t>
      </w:r>
      <w:r>
        <w:rPr>
          <w:rFonts w:ascii="Arial" w:cs="Arial" w:eastAsia="Arial" w:hAnsi="Arial"/>
          <w:sz w:val="18"/>
          <w:szCs w:val="18"/>
          <w:color w:val="auto"/>
        </w:rPr>
        <w:t>. The certificate or certificates representing the Shares shall bear the following legends (as well as any legends required by</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state and federal corporate and securities laws):</w:t>
      </w:r>
    </w:p>
    <w:p>
      <w:pPr>
        <w:spacing w:after="0" w:line="71" w:lineRule="exact"/>
        <w:rPr>
          <w:rFonts w:ascii="Arial" w:cs="Arial" w:eastAsia="Arial" w:hAnsi="Arial"/>
          <w:sz w:val="18"/>
          <w:szCs w:val="18"/>
          <w:color w:val="auto"/>
        </w:rPr>
      </w:pPr>
    </w:p>
    <w:p>
      <w:pPr>
        <w:ind w:left="1940" w:right="20" w:hanging="533"/>
        <w:spacing w:after="0" w:line="255" w:lineRule="auto"/>
        <w:tabs>
          <w:tab w:leader="none" w:pos="1940" w:val="left"/>
        </w:tabs>
        <w:numPr>
          <w:ilvl w:val="2"/>
          <w:numId w:val="218"/>
        </w:numPr>
        <w:rPr>
          <w:rFonts w:ascii="Arial" w:cs="Arial" w:eastAsia="Arial" w:hAnsi="Arial"/>
          <w:sz w:val="18"/>
          <w:szCs w:val="18"/>
          <w:color w:val="auto"/>
        </w:rPr>
      </w:pPr>
      <w:r>
        <w:rPr>
          <w:rFonts w:ascii="Arial" w:cs="Arial" w:eastAsia="Arial" w:hAnsi="Arial"/>
          <w:sz w:val="18"/>
          <w:szCs w:val="18"/>
          <w:color w:val="auto"/>
        </w:rPr>
        <w:t>THE SHARES REPRESENTED BY THIS CERTIFICATE HAVE NOT BEEN REGISTERED UNDER THE SECURITIES ACT OF 1933, AND HAVE BEEN ACQUIRED FOR INVESTMENT AND NOT WITH A VIEW TO, OR IN CONNECTION WITH, THE SALE OR DISTRIBUTION THEREOF. NO SUCH SALE OR DISTRIBUTION MAY BE EFFECTED WITHOUT AN EFFECTIVE REGISTRATION STATEMENT RELATED THERETO OR AN OPINION OF COUNSEL FOR THE COMPANY THAT SUCH REGISTRATION IS NOT REQUIRED UNDER THE SECURITIES ACT OF 1933.</w:t>
      </w:r>
    </w:p>
    <w:p>
      <w:pPr>
        <w:spacing w:after="0" w:line="97" w:lineRule="exact"/>
        <w:rPr>
          <w:rFonts w:ascii="Arial" w:cs="Arial" w:eastAsia="Arial" w:hAnsi="Arial"/>
          <w:sz w:val="18"/>
          <w:szCs w:val="18"/>
          <w:color w:val="auto"/>
        </w:rPr>
      </w:pPr>
    </w:p>
    <w:p>
      <w:pPr>
        <w:ind w:left="1940" w:right="140" w:hanging="533"/>
        <w:spacing w:after="0" w:line="263" w:lineRule="auto"/>
        <w:tabs>
          <w:tab w:leader="none" w:pos="1940" w:val="left"/>
        </w:tabs>
        <w:numPr>
          <w:ilvl w:val="2"/>
          <w:numId w:val="218"/>
        </w:numPr>
        <w:rPr>
          <w:rFonts w:ascii="Arial" w:cs="Arial" w:eastAsia="Arial" w:hAnsi="Arial"/>
          <w:sz w:val="18"/>
          <w:szCs w:val="18"/>
          <w:color w:val="auto"/>
        </w:rPr>
      </w:pPr>
      <w:r>
        <w:rPr>
          <w:rFonts w:ascii="Arial" w:cs="Arial" w:eastAsia="Arial" w:hAnsi="Arial"/>
          <w:sz w:val="18"/>
          <w:szCs w:val="18"/>
          <w:color w:val="auto"/>
        </w:rPr>
        <w:t>THE SHARES REPRESENTED BY THIS CERTIFICATE MAY BE TRANSFERRED ONLY IN ACCORDANCE WITH THE TERMS OF AN AGREEMENT BETWEEN THE COMPANY AND THE HOLDER, A COPY OF WHICH IS ON FILE WITH THE SECRETARY OF THE COMPANY.</w:t>
      </w:r>
    </w:p>
    <w:p>
      <w:pPr>
        <w:spacing w:after="0" w:line="71" w:lineRule="exact"/>
        <w:rPr>
          <w:rFonts w:ascii="Arial" w:cs="Arial" w:eastAsia="Arial" w:hAnsi="Arial"/>
          <w:sz w:val="18"/>
          <w:szCs w:val="18"/>
          <w:color w:val="auto"/>
        </w:rPr>
      </w:pPr>
    </w:p>
    <w:p>
      <w:pPr>
        <w:ind w:left="-20" w:right="60" w:firstLine="987"/>
        <w:spacing w:after="0" w:line="266" w:lineRule="auto"/>
        <w:tabs>
          <w:tab w:leader="none" w:pos="1226" w:val="left"/>
        </w:tabs>
        <w:numPr>
          <w:ilvl w:val="1"/>
          <w:numId w:val="218"/>
        </w:numPr>
        <w:rPr>
          <w:rFonts w:ascii="Arial" w:cs="Arial" w:eastAsia="Arial" w:hAnsi="Arial"/>
          <w:sz w:val="18"/>
          <w:szCs w:val="18"/>
          <w:color w:val="auto"/>
        </w:rPr>
      </w:pPr>
      <w:r>
        <w:rPr>
          <w:rFonts w:ascii="Arial" w:cs="Arial" w:eastAsia="Arial" w:hAnsi="Arial"/>
          <w:sz w:val="18"/>
          <w:szCs w:val="18"/>
          <w:b w:val="1"/>
          <w:bCs w:val="1"/>
          <w:u w:val="single" w:color="auto"/>
          <w:color w:val="auto"/>
        </w:rPr>
        <w:t>Stop-Transfer Notices</w:t>
      </w:r>
      <w:r>
        <w:rPr>
          <w:rFonts w:ascii="Arial" w:cs="Arial" w:eastAsia="Arial" w:hAnsi="Arial"/>
          <w:sz w:val="18"/>
          <w:szCs w:val="18"/>
          <w:color w:val="auto"/>
        </w:rPr>
        <w:t>. Purchaser agrees that, in order to ensure compliance with the restrictions referred to herein, the Company may</w:t>
      </w:r>
      <w:r>
        <w:rPr>
          <w:rFonts w:ascii="Arial" w:cs="Arial" w:eastAsia="Arial" w:hAnsi="Arial"/>
          <w:sz w:val="18"/>
          <w:szCs w:val="18"/>
          <w:b w:val="1"/>
          <w:bCs w:val="1"/>
          <w:color w:val="auto"/>
        </w:rPr>
        <w:t xml:space="preserve"> </w:t>
      </w:r>
      <w:r>
        <w:rPr>
          <w:rFonts w:ascii="Arial" w:cs="Arial" w:eastAsia="Arial" w:hAnsi="Arial"/>
          <w:sz w:val="18"/>
          <w:szCs w:val="18"/>
          <w:color w:val="auto"/>
        </w:rPr>
        <w:t>issue appropriate “stop transfer” instructions to its transfer agent, if any, and that, if the Company transfers its own securities, it may make appropriate notations to the same effect in its own records.</w:t>
      </w:r>
    </w:p>
    <w:p>
      <w:pPr>
        <w:spacing w:after="0" w:line="67" w:lineRule="exact"/>
        <w:rPr>
          <w:rFonts w:ascii="Arial" w:cs="Arial" w:eastAsia="Arial" w:hAnsi="Arial"/>
          <w:sz w:val="18"/>
          <w:szCs w:val="18"/>
          <w:color w:val="auto"/>
        </w:rPr>
      </w:pPr>
    </w:p>
    <w:p>
      <w:pPr>
        <w:ind w:left="-20" w:right="120" w:firstLine="987"/>
        <w:spacing w:after="0" w:line="266" w:lineRule="auto"/>
        <w:tabs>
          <w:tab w:leader="none" w:pos="1216" w:val="left"/>
        </w:tabs>
        <w:numPr>
          <w:ilvl w:val="1"/>
          <w:numId w:val="218"/>
        </w:numPr>
        <w:rPr>
          <w:rFonts w:ascii="Arial" w:cs="Arial" w:eastAsia="Arial" w:hAnsi="Arial"/>
          <w:sz w:val="18"/>
          <w:szCs w:val="18"/>
          <w:color w:val="auto"/>
        </w:rPr>
      </w:pPr>
      <w:r>
        <w:rPr>
          <w:rFonts w:ascii="Arial" w:cs="Arial" w:eastAsia="Arial" w:hAnsi="Arial"/>
          <w:sz w:val="18"/>
          <w:szCs w:val="18"/>
          <w:b w:val="1"/>
          <w:bCs w:val="1"/>
          <w:u w:val="single" w:color="auto"/>
          <w:color w:val="auto"/>
        </w:rPr>
        <w:t>Refusal to Transfer</w:t>
      </w:r>
      <w:r>
        <w:rPr>
          <w:rFonts w:ascii="Arial" w:cs="Arial" w:eastAsia="Arial" w:hAnsi="Arial"/>
          <w:sz w:val="18"/>
          <w:szCs w:val="18"/>
          <w:color w:val="auto"/>
        </w:rPr>
        <w:t>. The Company shall not be required (i) to transfer on its books any Shares that have been sold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transferred in violation of any of the provisions of this Agreement or (ii) to treat as owner of such Shares or to accord the right to vote or pay dividends to any purchaser or other transferee to whom such Shares shall have been so transferred.</w:t>
      </w:r>
    </w:p>
    <w:p>
      <w:pPr>
        <w:spacing w:after="0" w:line="67" w:lineRule="exact"/>
        <w:rPr>
          <w:rFonts w:ascii="Arial" w:cs="Arial" w:eastAsia="Arial" w:hAnsi="Arial"/>
          <w:sz w:val="18"/>
          <w:szCs w:val="18"/>
          <w:color w:val="auto"/>
        </w:rPr>
      </w:pPr>
    </w:p>
    <w:p>
      <w:pPr>
        <w:ind w:left="-20" w:right="200" w:firstLine="436"/>
        <w:spacing w:after="0" w:line="312" w:lineRule="auto"/>
        <w:tabs>
          <w:tab w:leader="none" w:pos="600" w:val="left"/>
        </w:tabs>
        <w:numPr>
          <w:ilvl w:val="0"/>
          <w:numId w:val="218"/>
        </w:numPr>
        <w:rPr>
          <w:rFonts w:ascii="Arial" w:cs="Arial" w:eastAsia="Arial" w:hAnsi="Arial"/>
          <w:sz w:val="17"/>
          <w:szCs w:val="17"/>
          <w:color w:val="auto"/>
        </w:rPr>
      </w:pPr>
      <w:r>
        <w:rPr>
          <w:rFonts w:ascii="Arial" w:cs="Arial" w:eastAsia="Arial" w:hAnsi="Arial"/>
          <w:sz w:val="17"/>
          <w:szCs w:val="17"/>
          <w:b w:val="1"/>
          <w:bCs w:val="1"/>
          <w:u w:val="single" w:color="auto"/>
          <w:color w:val="auto"/>
        </w:rPr>
        <w:t>No Employment Rights</w:t>
      </w:r>
      <w:r>
        <w:rPr>
          <w:rFonts w:ascii="Arial" w:cs="Arial" w:eastAsia="Arial" w:hAnsi="Arial"/>
          <w:sz w:val="17"/>
          <w:szCs w:val="17"/>
          <w:color w:val="auto"/>
        </w:rPr>
        <w:t>. Nothing in this Agreement shall affect in any manner whatsoever the right or power of the Company, or a Parent or</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Subsidiary of the Company, to terminate Purchaser’s employment or consulting relationship, for any reason, with or without cause.</w:t>
      </w:r>
    </w:p>
    <w:p>
      <w:pPr>
        <w:spacing w:after="0" w:line="31" w:lineRule="exact"/>
        <w:rPr>
          <w:rFonts w:ascii="Arial" w:cs="Arial" w:eastAsia="Arial" w:hAnsi="Arial"/>
          <w:sz w:val="17"/>
          <w:szCs w:val="17"/>
          <w:color w:val="auto"/>
        </w:rPr>
      </w:pPr>
    </w:p>
    <w:p>
      <w:pPr>
        <w:ind w:left="-20" w:firstLine="436"/>
        <w:spacing w:after="0" w:line="287" w:lineRule="auto"/>
        <w:tabs>
          <w:tab w:leader="none" w:pos="600" w:val="left"/>
        </w:tabs>
        <w:numPr>
          <w:ilvl w:val="0"/>
          <w:numId w:val="218"/>
        </w:numPr>
        <w:rPr>
          <w:rFonts w:ascii="Arial" w:cs="Arial" w:eastAsia="Arial" w:hAnsi="Arial"/>
          <w:sz w:val="16"/>
          <w:szCs w:val="16"/>
          <w:color w:val="auto"/>
        </w:rPr>
      </w:pPr>
      <w:r>
        <w:rPr>
          <w:rFonts w:ascii="Arial" w:cs="Arial" w:eastAsia="Arial" w:hAnsi="Arial"/>
          <w:sz w:val="16"/>
          <w:szCs w:val="16"/>
          <w:b w:val="1"/>
          <w:bCs w:val="1"/>
          <w:u w:val="single" w:color="auto"/>
          <w:color w:val="auto"/>
        </w:rPr>
        <w:t>Section 83(b) Election</w:t>
      </w:r>
      <w:r>
        <w:rPr>
          <w:rFonts w:ascii="Arial" w:cs="Arial" w:eastAsia="Arial" w:hAnsi="Arial"/>
          <w:sz w:val="16"/>
          <w:szCs w:val="16"/>
          <w:color w:val="auto"/>
        </w:rPr>
        <w:t>. Purchaser understands that Section 83(a)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taxes as</w:t>
      </w:r>
      <w:r>
        <w:rPr>
          <w:rFonts w:ascii="Arial" w:cs="Arial" w:eastAsia="Arial" w:hAnsi="Arial"/>
          <w:sz w:val="16"/>
          <w:szCs w:val="16"/>
          <w:b w:val="1"/>
          <w:bCs w:val="1"/>
          <w:color w:val="auto"/>
        </w:rPr>
        <w:t xml:space="preserve"> </w:t>
      </w:r>
      <w:r>
        <w:rPr>
          <w:rFonts w:ascii="Arial" w:cs="Arial" w:eastAsia="Arial" w:hAnsi="Arial"/>
          <w:sz w:val="16"/>
          <w:szCs w:val="16"/>
          <w:color w:val="auto"/>
        </w:rPr>
        <w:t>ordinary income the difference between the amount paid for the Shares and the Fair Market Value of the Shares as of the date any restrictions on the Shares lapse. In this context, “</w:t>
      </w:r>
      <w:r>
        <w:rPr>
          <w:rFonts w:ascii="Arial" w:cs="Arial" w:eastAsia="Arial" w:hAnsi="Arial"/>
          <w:sz w:val="16"/>
          <w:szCs w:val="16"/>
          <w:u w:val="single" w:color="auto"/>
          <w:color w:val="auto"/>
        </w:rPr>
        <w:t>restriction</w:t>
      </w:r>
      <w:r>
        <w:rPr>
          <w:rFonts w:ascii="Arial" w:cs="Arial" w:eastAsia="Arial" w:hAnsi="Arial"/>
          <w:sz w:val="16"/>
          <w:szCs w:val="16"/>
          <w:color w:val="auto"/>
        </w:rPr>
        <w:t>” means the right of the Company to buy back the Shares pursuant to the Repurchase Option set forth in Section 3(a) of this Agreement. Purchaser understands that Purchaser may elect to be taxed at the time the Shares are purchased, rather than when and as the Repurchase Option expires, by filing an election under Section 83(b) (an “</w:t>
      </w:r>
      <w:r>
        <w:rPr>
          <w:rFonts w:ascii="Arial" w:cs="Arial" w:eastAsia="Arial" w:hAnsi="Arial"/>
          <w:sz w:val="16"/>
          <w:szCs w:val="16"/>
          <w:u w:val="single" w:color="auto"/>
          <w:color w:val="auto"/>
        </w:rPr>
        <w:t>83(b) Election</w:t>
      </w:r>
      <w:r>
        <w:rPr>
          <w:rFonts w:ascii="Arial" w:cs="Arial" w:eastAsia="Arial" w:hAnsi="Arial"/>
          <w:sz w:val="16"/>
          <w:szCs w:val="16"/>
          <w:color w:val="auto"/>
        </w:rPr>
        <w:t>”) of the Code with the Internal Revenue Service within thirty (30) days from the date of purchase. Even if the Fair Market Value of the Shares at the time of the execution of this Agreement equals the amount paid for the Shares, the election must be made to avoid income under Section 83(a) in the future. Purchaser understands that failure to file such an election in a timely manner may result in adverse tax consequences for Purchaser. Purchaser further understands that an additional copy of such election form should be filed with Purchaser’s federal income tax return for the calendar year in which the date of this Agreement falls. Purchaser acknowledges that the foregoing is only a summary of the effect of United States federal income taxation with respect to purchase of the Shares hereunder, does not purport to be complete, and is not intended or written to be used, and cannot be used, for the purposes of avoiding taxpayer penalties. Purchaser further acknowledges that the Company has directed Purchaser to seek independent advice regarding the applicable provisions of the Code, the income tax laws of any municipality, state or foreign country in which Purchaser may reside, and the tax consequences of Purchaser’s death.</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60" w:top="270" w:right="459" w:bottom="1440" w:gutter="0" w:footer="0" w:header="0"/>
        </w:sectPr>
      </w:pPr>
    </w:p>
    <w:bookmarkStart w:id="269" w:name="page270"/>
    <w:bookmarkEnd w:id="269"/>
    <w:p>
      <w:pPr>
        <w:ind w:right="26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Purchaser agrees that he will execute and deliver to the Company with this executed Agreement a copy of the Acknowledgment and Statement of Decision Regarding Section 83(b) Election (the “</w:t>
      </w:r>
      <w:r>
        <w:rPr>
          <w:rFonts w:ascii="Arial" w:cs="Arial" w:eastAsia="Arial" w:hAnsi="Arial"/>
          <w:sz w:val="18"/>
          <w:szCs w:val="18"/>
          <w:u w:val="single" w:color="auto"/>
          <w:color w:val="auto"/>
        </w:rPr>
        <w:t>Acknowledgment</w:t>
      </w:r>
      <w:r>
        <w:rPr>
          <w:rFonts w:ascii="Arial" w:cs="Arial" w:eastAsia="Arial" w:hAnsi="Arial"/>
          <w:sz w:val="18"/>
          <w:szCs w:val="18"/>
          <w:color w:val="auto"/>
        </w:rPr>
        <w:t xml:space="preserve">”),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and, if Purchaser decides to make an 83(b) Election, a copy of the 83(b) Election,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72" w:lineRule="exact"/>
        <w:rPr>
          <w:sz w:val="20"/>
          <w:szCs w:val="20"/>
          <w:color w:val="auto"/>
        </w:rPr>
      </w:pPr>
    </w:p>
    <w:p>
      <w:pPr>
        <w:ind w:firstLine="436"/>
        <w:spacing w:after="0" w:line="269" w:lineRule="auto"/>
        <w:tabs>
          <w:tab w:leader="none" w:pos="620" w:val="left"/>
        </w:tabs>
        <w:numPr>
          <w:ilvl w:val="0"/>
          <w:numId w:val="219"/>
        </w:numPr>
        <w:rPr>
          <w:rFonts w:ascii="Arial" w:cs="Arial" w:eastAsia="Arial" w:hAnsi="Arial"/>
          <w:sz w:val="17"/>
          <w:szCs w:val="17"/>
          <w:color w:val="auto"/>
        </w:rPr>
      </w:pPr>
      <w:r>
        <w:rPr>
          <w:rFonts w:ascii="Arial" w:cs="Arial" w:eastAsia="Arial" w:hAnsi="Arial"/>
          <w:sz w:val="17"/>
          <w:szCs w:val="17"/>
          <w:b w:val="1"/>
          <w:bCs w:val="1"/>
          <w:u w:val="single" w:color="auto"/>
          <w:color w:val="auto"/>
        </w:rPr>
        <w:t>Lock-Up Agreement</w:t>
      </w:r>
      <w:r>
        <w:rPr>
          <w:rFonts w:ascii="Arial" w:cs="Arial" w:eastAsia="Arial" w:hAnsi="Arial"/>
          <w:sz w:val="17"/>
          <w:szCs w:val="17"/>
          <w:color w:val="auto"/>
        </w:rPr>
        <w:t>. In connection with the initial public offering of the Company’s securities and upon request of the Company or the</w:t>
      </w:r>
      <w:r>
        <w:rPr>
          <w:rFonts w:ascii="Arial" w:cs="Arial" w:eastAsia="Arial" w:hAnsi="Arial"/>
          <w:sz w:val="17"/>
          <w:szCs w:val="17"/>
          <w:b w:val="1"/>
          <w:bCs w:val="1"/>
          <w:color w:val="auto"/>
        </w:rPr>
        <w:t xml:space="preserve"> </w:t>
      </w:r>
      <w:r>
        <w:rPr>
          <w:rFonts w:ascii="Arial" w:cs="Arial" w:eastAsia="Arial" w:hAnsi="Arial"/>
          <w:sz w:val="17"/>
          <w:szCs w:val="17"/>
          <w:color w:val="auto"/>
        </w:rPr>
        <w:t>underwriters managing any underwritten offering of the Company’s securities, Purchaser agrees not to sell, make any short sale of, loan, grant any option for the purchase of, or otherwise dispose of any securities of the Company however or whenever acquired (other than those included in the registration) without the prior written consent of the Company or such underwriters, as the case may be, for such period of time (not to exceed 180 days) from the effective date of such registration as may be requested by the Company or such managing underwriters and to execute an agreement reflecting the foregoing as may be requested by the underwriters at the time of the public offering; provided however that, if during the last 17 days of the restricted period the Company issues an earnings release or material news or a material event relating to the Company occurs, or prior to the expiration of the restricted period the Company announces that it will release earnings results during the 16-day period beginning on the last day of the restricted period, then, upon the request of the managing underwriter, to the extent required by any FINRA rules, the restrictions imposed by this Section 9 shall continue to apply until the end of the third trading day following the expiration of the 15-day period beginning on the issuance of the earnings release or the occurrence of the material news or material event. In no event will the restricted period extend beyond 216 days after the effective date of the registration statement.</w:t>
      </w:r>
    </w:p>
    <w:p>
      <w:pPr>
        <w:spacing w:after="0" w:line="70" w:lineRule="exact"/>
        <w:rPr>
          <w:rFonts w:ascii="Arial" w:cs="Arial" w:eastAsia="Arial" w:hAnsi="Arial"/>
          <w:sz w:val="17"/>
          <w:szCs w:val="17"/>
          <w:color w:val="auto"/>
        </w:rPr>
      </w:pPr>
    </w:p>
    <w:p>
      <w:pPr>
        <w:ind w:left="700" w:hanging="264"/>
        <w:spacing w:after="0"/>
        <w:tabs>
          <w:tab w:leader="none" w:pos="700" w:val="left"/>
        </w:tabs>
        <w:numPr>
          <w:ilvl w:val="0"/>
          <w:numId w:val="219"/>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0" w:firstLine="987"/>
        <w:spacing w:after="0" w:line="347" w:lineRule="auto"/>
        <w:tabs>
          <w:tab w:leader="none" w:pos="1236" w:val="left"/>
        </w:tabs>
        <w:numPr>
          <w:ilvl w:val="1"/>
          <w:numId w:val="219"/>
        </w:numPr>
        <w:rPr>
          <w:rFonts w:ascii="Arial" w:cs="Arial" w:eastAsia="Arial" w:hAnsi="Arial"/>
          <w:sz w:val="16"/>
          <w:szCs w:val="16"/>
          <w:color w:val="auto"/>
        </w:rPr>
      </w:pPr>
      <w:r>
        <w:rPr>
          <w:rFonts w:ascii="Arial" w:cs="Arial" w:eastAsia="Arial" w:hAnsi="Arial"/>
          <w:sz w:val="16"/>
          <w:szCs w:val="16"/>
          <w:b w:val="1"/>
          <w:bCs w:val="1"/>
          <w:u w:val="single" w:color="auto"/>
          <w:color w:val="auto"/>
        </w:rPr>
        <w:t>Governing Law</w:t>
      </w:r>
      <w:r>
        <w:rPr>
          <w:rFonts w:ascii="Arial" w:cs="Arial" w:eastAsia="Arial" w:hAnsi="Arial"/>
          <w:sz w:val="16"/>
          <w:szCs w:val="16"/>
          <w:color w:val="auto"/>
        </w:rPr>
        <w:t>. This Agreement and all acts and transactions pursuant hereto and the rights and obligations of the parties hereto shall</w:t>
      </w:r>
      <w:r>
        <w:rPr>
          <w:rFonts w:ascii="Arial" w:cs="Arial" w:eastAsia="Arial" w:hAnsi="Arial"/>
          <w:sz w:val="16"/>
          <w:szCs w:val="16"/>
          <w:b w:val="1"/>
          <w:bCs w:val="1"/>
          <w:color w:val="auto"/>
        </w:rPr>
        <w:t xml:space="preserve"> </w:t>
      </w:r>
      <w:r>
        <w:rPr>
          <w:rFonts w:ascii="Arial" w:cs="Arial" w:eastAsia="Arial" w:hAnsi="Arial"/>
          <w:sz w:val="16"/>
          <w:szCs w:val="16"/>
          <w:color w:val="auto"/>
        </w:rPr>
        <w:t>be governed, construed and interpreted in accordance with the laws of the State of California, without giving effect to principles of conflicts of law.</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270" w:name="page271"/>
    <w:bookmarkEnd w:id="270"/>
    <w:p>
      <w:pPr>
        <w:jc w:val="both"/>
        <w:ind w:left="-20" w:right="60" w:firstLine="987"/>
        <w:spacing w:after="0" w:line="281" w:lineRule="auto"/>
        <w:tabs>
          <w:tab w:leader="none" w:pos="1226" w:val="left"/>
        </w:tabs>
        <w:numPr>
          <w:ilvl w:val="0"/>
          <w:numId w:val="220"/>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Entire Agreement; Enforcement of Rights</w:t>
      </w:r>
      <w:r>
        <w:rPr>
          <w:rFonts w:ascii="Arial" w:cs="Arial" w:eastAsia="Arial" w:hAnsi="Arial"/>
          <w:sz w:val="17"/>
          <w:szCs w:val="17"/>
          <w:color w:val="auto"/>
        </w:rPr>
        <w:t>. This Agreement sets forth the entire agreement and understanding of the parties relating</w:t>
      </w:r>
      <w:r>
        <w:rPr>
          <w:rFonts w:ascii="Arial" w:cs="Arial" w:eastAsia="Arial" w:hAnsi="Arial"/>
          <w:sz w:val="17"/>
          <w:szCs w:val="17"/>
          <w:b w:val="1"/>
          <w:bCs w:val="1"/>
          <w:color w:val="auto"/>
        </w:rPr>
        <w:t xml:space="preserve"> </w:t>
      </w:r>
      <w:r>
        <w:rPr>
          <w:rFonts w:ascii="Arial" w:cs="Arial" w:eastAsia="Arial" w:hAnsi="Arial"/>
          <w:sz w:val="17"/>
          <w:szCs w:val="17"/>
          <w:color w:val="auto"/>
        </w:rPr>
        <w:t>to the subject matter herein and merges all prior discussions between them. No modification of or amendment to this Agreement, nor any waiver of any rights under this Agreement, shall be effective unless in writing signed by the parties to this Agreement. The failure by either party to enforce any rights under this Agreement shall not be construed as a waiver of any rights of such party.</w:t>
      </w:r>
    </w:p>
    <w:p>
      <w:pPr>
        <w:spacing w:after="0" w:line="56" w:lineRule="exact"/>
        <w:rPr>
          <w:rFonts w:ascii="Arial" w:cs="Arial" w:eastAsia="Arial" w:hAnsi="Arial"/>
          <w:sz w:val="17"/>
          <w:szCs w:val="17"/>
          <w:color w:val="auto"/>
        </w:rPr>
      </w:pPr>
    </w:p>
    <w:p>
      <w:pPr>
        <w:ind w:left="-20" w:right="80" w:firstLine="987"/>
        <w:spacing w:after="0" w:line="281" w:lineRule="auto"/>
        <w:tabs>
          <w:tab w:leader="none" w:pos="1216" w:val="left"/>
        </w:tabs>
        <w:numPr>
          <w:ilvl w:val="0"/>
          <w:numId w:val="220"/>
        </w:numPr>
        <w:rPr>
          <w:rFonts w:ascii="Arial" w:cs="Arial" w:eastAsia="Arial" w:hAnsi="Arial"/>
          <w:sz w:val="17"/>
          <w:szCs w:val="17"/>
          <w:color w:val="auto"/>
        </w:rPr>
      </w:pPr>
      <w:r>
        <w:rPr>
          <w:rFonts w:ascii="Arial" w:cs="Arial" w:eastAsia="Arial" w:hAnsi="Arial"/>
          <w:sz w:val="17"/>
          <w:szCs w:val="17"/>
          <w:b w:val="1"/>
          <w:bCs w:val="1"/>
          <w:u w:val="single" w:color="auto"/>
          <w:color w:val="auto"/>
        </w:rPr>
        <w:t>Severability</w:t>
      </w:r>
      <w:r>
        <w:rPr>
          <w:rFonts w:ascii="Arial" w:cs="Arial" w:eastAsia="Arial" w:hAnsi="Arial"/>
          <w:sz w:val="17"/>
          <w:szCs w:val="17"/>
          <w:color w:val="auto"/>
        </w:rPr>
        <w:t>. If one or more provisions of this Agreement are held to be unenforceable under applicable law, the parties agree to</w:t>
      </w:r>
      <w:r>
        <w:rPr>
          <w:rFonts w:ascii="Arial" w:cs="Arial" w:eastAsia="Arial" w:hAnsi="Arial"/>
          <w:sz w:val="17"/>
          <w:szCs w:val="17"/>
          <w:b w:val="1"/>
          <w:bCs w:val="1"/>
          <w:color w:val="auto"/>
        </w:rPr>
        <w:t xml:space="preserve"> </w:t>
      </w:r>
      <w:r>
        <w:rPr>
          <w:rFonts w:ascii="Arial" w:cs="Arial" w:eastAsia="Arial" w:hAnsi="Arial"/>
          <w:sz w:val="17"/>
          <w:szCs w:val="17"/>
          <w:color w:val="auto"/>
        </w:rPr>
        <w:t>renegotiate such provision in good faith. In the event that the parties cannot reach a mutually agreeable and enforceable replacement for such provision, then (i) such provision shall be excluded from this Agreement, (ii) the balance of the Agreement shall be interpreted as if such provision were so excluded and (iii) the balance of the Agreement shall be enforceable in accordance with its terms.</w:t>
      </w:r>
    </w:p>
    <w:p>
      <w:pPr>
        <w:spacing w:after="0" w:line="56" w:lineRule="exact"/>
        <w:rPr>
          <w:rFonts w:ascii="Arial" w:cs="Arial" w:eastAsia="Arial" w:hAnsi="Arial"/>
          <w:sz w:val="17"/>
          <w:szCs w:val="17"/>
          <w:color w:val="auto"/>
        </w:rPr>
      </w:pPr>
    </w:p>
    <w:p>
      <w:pPr>
        <w:ind w:left="-20" w:right="280" w:firstLine="987"/>
        <w:spacing w:after="0" w:line="289" w:lineRule="auto"/>
        <w:tabs>
          <w:tab w:leader="none" w:pos="1226" w:val="left"/>
        </w:tabs>
        <w:numPr>
          <w:ilvl w:val="0"/>
          <w:numId w:val="220"/>
        </w:numPr>
        <w:rPr>
          <w:rFonts w:ascii="Arial" w:cs="Arial" w:eastAsia="Arial" w:hAnsi="Arial"/>
          <w:sz w:val="17"/>
          <w:szCs w:val="17"/>
          <w:color w:val="auto"/>
        </w:rPr>
      </w:pPr>
      <w:r>
        <w:rPr>
          <w:rFonts w:ascii="Arial" w:cs="Arial" w:eastAsia="Arial" w:hAnsi="Arial"/>
          <w:sz w:val="17"/>
          <w:szCs w:val="17"/>
          <w:b w:val="1"/>
          <w:bCs w:val="1"/>
          <w:u w:val="single" w:color="auto"/>
          <w:color w:val="auto"/>
        </w:rPr>
        <w:t>Notices</w:t>
      </w:r>
      <w:r>
        <w:rPr>
          <w:rFonts w:ascii="Arial" w:cs="Arial" w:eastAsia="Arial" w:hAnsi="Arial"/>
          <w:sz w:val="17"/>
          <w:szCs w:val="17"/>
          <w:color w:val="auto"/>
        </w:rPr>
        <w:t>. Any notice required or permitted by this Agreement shall be in writing and shall be deemed sufficient when delivered</w:t>
      </w:r>
      <w:r>
        <w:rPr>
          <w:rFonts w:ascii="Arial" w:cs="Arial" w:eastAsia="Arial" w:hAnsi="Arial"/>
          <w:sz w:val="17"/>
          <w:szCs w:val="17"/>
          <w:b w:val="1"/>
          <w:bCs w:val="1"/>
          <w:color w:val="auto"/>
        </w:rPr>
        <w:t xml:space="preserve"> </w:t>
      </w:r>
      <w:r>
        <w:rPr>
          <w:rFonts w:ascii="Arial" w:cs="Arial" w:eastAsia="Arial" w:hAnsi="Arial"/>
          <w:sz w:val="17"/>
          <w:szCs w:val="17"/>
          <w:color w:val="auto"/>
        </w:rPr>
        <w:t>personally or sent by fax or 48 hours after being deposited in the U.S. mail, as certified or registered mail, with postage prepaid, and addressed to the party to be notified at such party’s address or fax number as set forth below or as subsequently modified by written notice.</w:t>
      </w:r>
    </w:p>
    <w:p>
      <w:pPr>
        <w:spacing w:after="0" w:line="49" w:lineRule="exact"/>
        <w:rPr>
          <w:rFonts w:ascii="Arial" w:cs="Arial" w:eastAsia="Arial" w:hAnsi="Arial"/>
          <w:sz w:val="17"/>
          <w:szCs w:val="17"/>
          <w:color w:val="auto"/>
        </w:rPr>
      </w:pPr>
    </w:p>
    <w:p>
      <w:pPr>
        <w:ind w:left="-20" w:right="320" w:firstLine="987"/>
        <w:spacing w:after="0" w:line="282" w:lineRule="auto"/>
        <w:tabs>
          <w:tab w:leader="none" w:pos="1216" w:val="left"/>
        </w:tabs>
        <w:numPr>
          <w:ilvl w:val="0"/>
          <w:numId w:val="220"/>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two or more counterparts, each of which shall be deemed an original and all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together shall constitute one instrument.</w:t>
      </w:r>
    </w:p>
    <w:p>
      <w:pPr>
        <w:spacing w:after="0" w:line="53" w:lineRule="exact"/>
        <w:rPr>
          <w:rFonts w:ascii="Arial" w:cs="Arial" w:eastAsia="Arial" w:hAnsi="Arial"/>
          <w:sz w:val="18"/>
          <w:szCs w:val="18"/>
          <w:color w:val="auto"/>
        </w:rPr>
      </w:pPr>
    </w:p>
    <w:p>
      <w:pPr>
        <w:ind w:left="-20" w:right="140" w:firstLine="987"/>
        <w:spacing w:after="0" w:line="266" w:lineRule="auto"/>
        <w:tabs>
          <w:tab w:leader="none" w:pos="1196" w:val="left"/>
        </w:tabs>
        <w:numPr>
          <w:ilvl w:val="0"/>
          <w:numId w:val="220"/>
        </w:numPr>
        <w:rPr>
          <w:rFonts w:ascii="Arial" w:cs="Arial" w:eastAsia="Arial" w:hAnsi="Arial"/>
          <w:sz w:val="18"/>
          <w:szCs w:val="18"/>
          <w:color w:val="auto"/>
        </w:rPr>
      </w:pPr>
      <w:r>
        <w:rPr>
          <w:rFonts w:ascii="Arial" w:cs="Arial" w:eastAsia="Arial" w:hAnsi="Arial"/>
          <w:sz w:val="18"/>
          <w:szCs w:val="18"/>
          <w:b w:val="1"/>
          <w:bCs w:val="1"/>
          <w:u w:val="single" w:color="auto"/>
          <w:color w:val="auto"/>
        </w:rPr>
        <w:t>Successors and Assigns</w:t>
      </w:r>
      <w:r>
        <w:rPr>
          <w:rFonts w:ascii="Arial" w:cs="Arial" w:eastAsia="Arial" w:hAnsi="Arial"/>
          <w:sz w:val="18"/>
          <w:szCs w:val="18"/>
          <w:color w:val="auto"/>
        </w:rPr>
        <w:t>. The rights and benefits of this Agreement shall inure to the benefit of, and be enforceable by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successors and assigns. The rights and obligations of Purchaser under this Agreement may only be assigned with the prior written consent of the Company.</w:t>
      </w:r>
    </w:p>
    <w:p>
      <w:pPr>
        <w:spacing w:after="0" w:line="67" w:lineRule="exact"/>
        <w:rPr>
          <w:rFonts w:ascii="Arial" w:cs="Arial" w:eastAsia="Arial" w:hAnsi="Arial"/>
          <w:sz w:val="18"/>
          <w:szCs w:val="18"/>
          <w:color w:val="auto"/>
        </w:rPr>
      </w:pPr>
    </w:p>
    <w:p>
      <w:pPr>
        <w:ind w:left="-20" w:firstLine="987"/>
        <w:spacing w:after="0" w:line="274" w:lineRule="auto"/>
        <w:tabs>
          <w:tab w:leader="none" w:pos="1226" w:val="left"/>
        </w:tabs>
        <w:numPr>
          <w:ilvl w:val="0"/>
          <w:numId w:val="220"/>
        </w:numPr>
        <w:rPr>
          <w:rFonts w:ascii="Arial" w:cs="Arial" w:eastAsia="Arial" w:hAnsi="Arial"/>
          <w:sz w:val="17"/>
          <w:szCs w:val="17"/>
          <w:color w:val="auto"/>
        </w:rPr>
      </w:pPr>
      <w:r>
        <w:rPr>
          <w:rFonts w:ascii="Arial" w:cs="Arial" w:eastAsia="Arial" w:hAnsi="Arial"/>
          <w:sz w:val="17"/>
          <w:szCs w:val="17"/>
          <w:b w:val="1"/>
          <w:bCs w:val="1"/>
          <w:u w:val="single" w:color="auto"/>
          <w:color w:val="auto"/>
        </w:rPr>
        <w:t>California Corporate Securities Law</w:t>
      </w:r>
      <w:r>
        <w:rPr>
          <w:rFonts w:ascii="Arial" w:cs="Arial" w:eastAsia="Arial" w:hAnsi="Arial"/>
          <w:sz w:val="17"/>
          <w:szCs w:val="17"/>
          <w:color w:val="auto"/>
        </w:rPr>
        <w:t>. THE SALE OF THE SECURITIES WHICH ARE THE SUBJECT OF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HAS NOT BEEN QUALIFIED WITH THE COMMISSIONER OF CORPORATIONS OF THE STATE OF CALIFORNIA AND THE ISSUANCE OF THE SECURITIES OR THE PAYMENT OR RECEIPT OF ANY PART OF THE CONSIDERATION THEREFOR PRIOR TO THE QUALIFICATION IS UNLAWFUL, UNLESS THE SALE OF SECURITIES IS EXEMPT FROM QUALIFICATION BY SECTION 25100, 25102 OR 25105 OF THE CALIFORNIA CORPORATIONS CODE. THE RIGHTS OF ALL PARTIES TO THIS AGREEMENT ARE EXPRESSLY CONDITIONED UPON THE QUALIFICATION BEING OBTAINED, UNLESS THE SALE IS SO EXEMPT.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60" w:top="270" w:right="459" w:bottom="1440" w:gutter="0" w:footer="0" w:header="0"/>
        </w:sectPr>
      </w:pPr>
    </w:p>
    <w:bookmarkStart w:id="271" w:name="page272"/>
    <w:bookmarkEnd w:id="27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parties have executed this Agreement as of the date first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ASANA,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14605</wp:posOffset>
            </wp:positionV>
            <wp:extent cx="242570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jc w:val="right"/>
        <w:ind w:right="51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14605</wp:posOffset>
            </wp:positionV>
            <wp:extent cx="242570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14605</wp:posOffset>
            </wp:positionV>
            <wp:extent cx="242570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2569 Park Blvd., Apt. T109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Palo Alto, CA 94306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PURCHASER</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«PURCHASERNAME»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279463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«PurchaserAddress1»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«PurchaserAddress2»</w:t>
      </w:r>
    </w:p>
    <w:p>
      <w:pPr>
        <w:sectPr>
          <w:pgSz w:w="11900" w:h="16838" w:orient="portrait"/>
          <w:cols w:equalWidth="0" w:num="2">
            <w:col w:w="5520" w:space="660"/>
            <w:col w:w="3399"/>
          </w:cols>
          <w:pgMar w:left="880" w:top="274" w:right="1440" w:bottom="1440" w:gutter="0" w:footer="0" w:header="0"/>
        </w:sectPr>
      </w:pPr>
    </w:p>
    <w:bookmarkStart w:id="272" w:name="page273"/>
    <w:bookmarkEnd w:id="272"/>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 «SpouseName», spouse of «PurchaserName», have read and hereby approve the foregoing Agreement. In consideration of the Company’s granting my spouse the right to purchase the Shares as set forth in the Agreement, I hereby agree to be bound irrevocably by the Agreement and further agree that any community property or other such interest that I may have in the Shares shall hereby be similarly bound by the Agreement. I hereby appoint my spouse as my attorney-in-fact with respect to any amendment or exercise of any rights under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271780</wp:posOffset>
            </wp:positionV>
            <wp:extent cx="279463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Spouse of «PurchaserName»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273" w:name="page274"/>
    <w:bookmarkEnd w:id="273"/>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ASSIGNMENT SEPARATE FROM CERTIFICATE</w:t>
      </w:r>
    </w:p>
    <w:p>
      <w:pPr>
        <w:spacing w:after="0" w:line="229"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FOR VALUE RECEIVED and pursuant to that certain Restricted Stock Purchase Agreement between the undersigned (“</w:t>
      </w:r>
      <w:r>
        <w:rPr>
          <w:rFonts w:ascii="Arial" w:cs="Arial" w:eastAsia="Arial" w:hAnsi="Arial"/>
          <w:sz w:val="16"/>
          <w:szCs w:val="16"/>
          <w:u w:val="single" w:color="auto"/>
          <w:color w:val="auto"/>
        </w:rPr>
        <w:t>Purchaser</w:t>
      </w:r>
      <w:r>
        <w:rPr>
          <w:rFonts w:ascii="Arial" w:cs="Arial" w:eastAsia="Arial" w:hAnsi="Arial"/>
          <w:sz w:val="16"/>
          <w:szCs w:val="16"/>
          <w:color w:val="auto"/>
        </w:rPr>
        <w:t>”) and Asana,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dated «Date» (the “Agreement”), Purchaser hereby sells, assigns and transfers unto the Company</w:t>
      </w:r>
    </w:p>
    <w:p>
      <w:pPr>
        <w:spacing w:after="0"/>
        <w:rPr>
          <w:sz w:val="20"/>
          <w:szCs w:val="20"/>
          <w:color w:val="auto"/>
        </w:rPr>
      </w:pPr>
      <w:r>
        <w:rPr>
          <w:rFonts w:ascii="Arial" w:cs="Arial" w:eastAsia="Arial" w:hAnsi="Arial"/>
          <w:sz w:val="16"/>
          <w:szCs w:val="16"/>
          <w:color w:val="auto"/>
        </w:rPr>
        <w:t>_________________________________ (________) shares of the Common Stock of the Company, standing in Purchaser’s name on the books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 and represented by Certificate No. _____, and hereby irrevocably constitutes and appoints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 to transfer said stock on the books of the Company with full power of substitution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premises. THIS ASSIGNMENT MAY ONLY BE USED AS AUTHORIZED BY THE AGREEMENT AND THE EXHIBITS THERETO.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-10160</wp:posOffset>
            </wp:positionV>
            <wp:extent cx="185674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856740" cy="8255"/>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«PURCHASERNAME»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«PurchaserSignatureBlock»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288925</wp:posOffset>
            </wp:positionV>
            <wp:extent cx="279463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Spouse of «PurchaserName» (if applicable)</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Instruction: Please do not fill in any blanks other than the signature line. The purpose of this assignment is to enable the Company to exercise its repurchase option set forth in the Agreement without requiring additional signatures on the part of Purchaser.</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820"/>
          </w:cols>
          <w:pgMar w:left="440" w:top="270" w:right="639" w:bottom="1440" w:gutter="0" w:footer="0" w:header="0"/>
        </w:sectPr>
      </w:pPr>
    </w:p>
    <w:bookmarkStart w:id="274" w:name="page275"/>
    <w:bookmarkEnd w:id="27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ACKNOWLEDGMENT AND STATEMENT OF DECISION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REGARDING SECTION 83(B) ELECTION</w:t>
      </w:r>
    </w:p>
    <w:p>
      <w:pPr>
        <w:spacing w:after="0" w:line="21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The undersigned (which term includes the undersigned’s spouse), a purchaser of «NoofShares» shares of Common Stock of Asana,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pursuant to the Company’s 2009 Stock Plan (the “</w:t>
      </w:r>
      <w:r>
        <w:rPr>
          <w:rFonts w:ascii="Arial" w:cs="Arial" w:eastAsia="Arial" w:hAnsi="Arial"/>
          <w:sz w:val="18"/>
          <w:szCs w:val="18"/>
          <w:u w:val="single" w:color="auto"/>
          <w:color w:val="auto"/>
        </w:rPr>
        <w:t>Plan</w:t>
      </w:r>
      <w:r>
        <w:rPr>
          <w:rFonts w:ascii="Arial" w:cs="Arial" w:eastAsia="Arial" w:hAnsi="Arial"/>
          <w:sz w:val="18"/>
          <w:szCs w:val="18"/>
          <w:color w:val="auto"/>
        </w:rPr>
        <w:t>”) and the Restricted Stock Purchase Agreement between the Company and the undersigned, hereby states as follows:</w:t>
      </w:r>
    </w:p>
    <w:p>
      <w:pPr>
        <w:spacing w:after="0" w:line="76" w:lineRule="exact"/>
        <w:rPr>
          <w:sz w:val="20"/>
          <w:szCs w:val="20"/>
          <w:color w:val="auto"/>
        </w:rPr>
      </w:pPr>
    </w:p>
    <w:p>
      <w:pPr>
        <w:ind w:right="60" w:firstLine="436"/>
        <w:spacing w:after="0" w:line="277" w:lineRule="auto"/>
        <w:tabs>
          <w:tab w:leader="none" w:pos="62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undersigned acknowledges receipt of a copy of the Plan relating to the offering of such shares. The undersigned has carefully reviewed the Plan and the Restricted Stock Purchase Agreement pursuant to which the Shares are being purchased.</w:t>
      </w:r>
    </w:p>
    <w:p>
      <w:pPr>
        <w:spacing w:after="0" w:line="62" w:lineRule="exact"/>
        <w:rPr>
          <w:rFonts w:ascii="Arial" w:cs="Arial" w:eastAsia="Arial" w:hAnsi="Arial"/>
          <w:sz w:val="18"/>
          <w:szCs w:val="18"/>
          <w:color w:val="auto"/>
        </w:rPr>
      </w:pPr>
    </w:p>
    <w:p>
      <w:pPr>
        <w:ind w:left="620" w:hanging="184"/>
        <w:spacing w:after="0"/>
        <w:tabs>
          <w:tab w:leader="none" w:pos="62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undersigned either:</w:t>
      </w:r>
    </w:p>
    <w:p>
      <w:pPr>
        <w:spacing w:after="0" w:line="130" w:lineRule="exact"/>
        <w:rPr>
          <w:rFonts w:ascii="Arial" w:cs="Arial" w:eastAsia="Arial" w:hAnsi="Arial"/>
          <w:sz w:val="18"/>
          <w:szCs w:val="18"/>
          <w:color w:val="auto"/>
        </w:rPr>
      </w:pPr>
    </w:p>
    <w:p>
      <w:pPr>
        <w:jc w:val="both"/>
        <w:ind w:left="1540" w:right="40" w:hanging="659"/>
        <w:spacing w:after="0" w:line="301" w:lineRule="auto"/>
        <w:tabs>
          <w:tab w:leader="none" w:pos="1540" w:val="left"/>
        </w:tabs>
        <w:numPr>
          <w:ilvl w:val="1"/>
          <w:numId w:val="221"/>
        </w:numPr>
        <w:rPr>
          <w:rFonts w:ascii="Arial" w:cs="Arial" w:eastAsia="Arial" w:hAnsi="Arial"/>
          <w:sz w:val="16"/>
          <w:szCs w:val="16"/>
          <w:color w:val="auto"/>
        </w:rPr>
      </w:pPr>
      <w:r>
        <w:rPr>
          <w:rFonts w:ascii="Arial" w:cs="Arial" w:eastAsia="Arial" w:hAnsi="Arial"/>
          <w:sz w:val="16"/>
          <w:szCs w:val="16"/>
          <w:color w:val="auto"/>
        </w:rPr>
        <w:t>has consulted, and has been fully advised by, the undersigned’s own tax advisor, __________________________, whose business address is _____________________________, regarding the federal, state and local tax consequences of purchasing shares under the Plan, and particularly regarding the advisability of making elections pursuant to Section 83(b)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and pursuant to the corresponding provisions, if any, of applicable state law; or</w:t>
      </w:r>
    </w:p>
    <w:p>
      <w:pPr>
        <w:spacing w:after="0" w:line="49" w:lineRule="exact"/>
        <w:rPr>
          <w:rFonts w:ascii="Arial" w:cs="Arial" w:eastAsia="Arial" w:hAnsi="Arial"/>
          <w:sz w:val="16"/>
          <w:szCs w:val="16"/>
          <w:color w:val="auto"/>
        </w:rPr>
      </w:pPr>
    </w:p>
    <w:p>
      <w:pPr>
        <w:ind w:left="1540" w:hanging="669"/>
        <w:spacing w:after="0"/>
        <w:tabs>
          <w:tab w:leader="none" w:pos="154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has knowingly chosen not to consult such a tax advisor.</w:t>
      </w:r>
    </w:p>
    <w:p>
      <w:pPr>
        <w:spacing w:after="0" w:line="117" w:lineRule="exact"/>
        <w:rPr>
          <w:rFonts w:ascii="Arial" w:cs="Arial" w:eastAsia="Arial" w:hAnsi="Arial"/>
          <w:sz w:val="18"/>
          <w:szCs w:val="18"/>
          <w:color w:val="auto"/>
        </w:rPr>
      </w:pPr>
    </w:p>
    <w:p>
      <w:pPr>
        <w:ind w:left="620" w:hanging="184"/>
        <w:spacing w:after="0"/>
        <w:tabs>
          <w:tab w:leader="none" w:pos="62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undersigned hereby states that the undersigned has decided:</w:t>
      </w:r>
    </w:p>
    <w:p>
      <w:pPr>
        <w:spacing w:after="0" w:line="130" w:lineRule="exact"/>
        <w:rPr>
          <w:rFonts w:ascii="Arial" w:cs="Arial" w:eastAsia="Arial" w:hAnsi="Arial"/>
          <w:sz w:val="18"/>
          <w:szCs w:val="18"/>
          <w:color w:val="auto"/>
        </w:rPr>
      </w:pPr>
    </w:p>
    <w:p>
      <w:pPr>
        <w:ind w:left="1540" w:right="120" w:hanging="659"/>
        <w:spacing w:after="0" w:line="263" w:lineRule="auto"/>
        <w:tabs>
          <w:tab w:leader="none" w:pos="154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to make an election pursuant to Section 83(b) of the Code, and is submitting to the Company, together with the undersigned’s executed Restricted Stock Purchase Agreement, an executed form entitled “Election Under Section 83(b) of the Internal Revenue Code of 1986;” or</w:t>
      </w:r>
    </w:p>
    <w:p>
      <w:pPr>
        <w:spacing w:after="0" w:line="75" w:lineRule="exact"/>
        <w:rPr>
          <w:rFonts w:ascii="Arial" w:cs="Arial" w:eastAsia="Arial" w:hAnsi="Arial"/>
          <w:sz w:val="18"/>
          <w:szCs w:val="18"/>
          <w:color w:val="auto"/>
        </w:rPr>
      </w:pPr>
    </w:p>
    <w:p>
      <w:pPr>
        <w:ind w:left="1540" w:hanging="669"/>
        <w:spacing w:after="0"/>
        <w:tabs>
          <w:tab w:leader="none" w:pos="154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not to make an election pursuant to Section 83(b) of the Code.</w:t>
      </w:r>
    </w:p>
    <w:p>
      <w:pPr>
        <w:spacing w:after="0" w:line="117" w:lineRule="exact"/>
        <w:rPr>
          <w:rFonts w:ascii="Arial" w:cs="Arial" w:eastAsia="Arial" w:hAnsi="Arial"/>
          <w:sz w:val="18"/>
          <w:szCs w:val="18"/>
          <w:color w:val="auto"/>
        </w:rPr>
      </w:pPr>
    </w:p>
    <w:p>
      <w:pPr>
        <w:ind w:right="280" w:firstLine="436"/>
        <w:spacing w:after="0" w:line="263" w:lineRule="auto"/>
        <w:tabs>
          <w:tab w:leader="none" w:pos="62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Neither the Company nor any subsidiary or representative of the Company has made any warranty or representation to the undersigned with respect to the tax consequences of the undersigned’s purchase of shares under the Plan or of the making or failure to make an election pursuant to Section 83(b) of the Code or the corresponding provisions, if any, of applicable state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686435</wp:posOffset>
            </wp:positionH>
            <wp:positionV relativeFrom="paragraph">
              <wp:posOffset>-2033905</wp:posOffset>
            </wp:positionV>
            <wp:extent cx="22860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228600" cy="8255"/>
                    </a:xfrm>
                    <a:prstGeom prst="rect">
                      <a:avLst/>
                    </a:prstGeom>
                    <a:noFill/>
                  </pic:spPr>
                </pic:pic>
              </a:graphicData>
            </a:graphic>
          </wp:anchor>
        </w:drawing>
        <w:drawing>
          <wp:anchor simplePos="0" relativeHeight="251657728" behindDoc="1" locked="0" layoutInCell="0" allowOverlap="1">
            <wp:simplePos x="0" y="0"/>
            <wp:positionH relativeFrom="column">
              <wp:posOffset>686435</wp:posOffset>
            </wp:positionH>
            <wp:positionV relativeFrom="paragraph">
              <wp:posOffset>-1416685</wp:posOffset>
            </wp:positionV>
            <wp:extent cx="22860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228600" cy="8255"/>
                    </a:xfrm>
                    <a:prstGeom prst="rect">
                      <a:avLst/>
                    </a:prstGeom>
                    <a:noFill/>
                  </pic:spPr>
                </pic:pic>
              </a:graphicData>
            </a:graphic>
          </wp:anchor>
        </w:drawing>
        <w:drawing>
          <wp:anchor simplePos="0" relativeHeight="251657728" behindDoc="1" locked="0" layoutInCell="0" allowOverlap="1">
            <wp:simplePos x="0" y="0"/>
            <wp:positionH relativeFrom="column">
              <wp:posOffset>686435</wp:posOffset>
            </wp:positionH>
            <wp:positionV relativeFrom="paragraph">
              <wp:posOffset>-996950</wp:posOffset>
            </wp:positionV>
            <wp:extent cx="22860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228600" cy="8255"/>
                    </a:xfrm>
                    <a:prstGeom prst="rect">
                      <a:avLst/>
                    </a:prstGeom>
                    <a:noFill/>
                  </pic:spPr>
                </pic:pic>
              </a:graphicData>
            </a:graphic>
          </wp:anchor>
        </w:drawing>
        <w:drawing>
          <wp:anchor simplePos="0" relativeHeight="251657728" behindDoc="1" locked="0" layoutInCell="0" allowOverlap="1">
            <wp:simplePos x="0" y="0"/>
            <wp:positionH relativeFrom="column">
              <wp:posOffset>686435</wp:posOffset>
            </wp:positionH>
            <wp:positionV relativeFrom="paragraph">
              <wp:posOffset>-516890</wp:posOffset>
            </wp:positionV>
            <wp:extent cx="22860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-10160</wp:posOffset>
            </wp:positionV>
            <wp:extent cx="139954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399540" cy="8255"/>
                    </a:xfrm>
                    <a:prstGeom prst="rect">
                      <a:avLst/>
                    </a:prstGeom>
                    <a:noFill/>
                  </pic:spPr>
                </pic:pic>
              </a:graphicData>
            </a:graphic>
          </wp:anchor>
        </w:drawing>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0"/>
          </w:cols>
          <w:pgMar w:left="440" w:top="270" w:right="479" w:bottom="1440" w:gutter="0" w:footer="0" w:header="0"/>
        </w:sectPr>
      </w:pPr>
    </w:p>
    <w:bookmarkStart w:id="275" w:name="page276"/>
    <w:bookmarkEnd w:id="275"/>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«PURCHASERNAME»</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«PurchaserSignatureBlock»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288925</wp:posOffset>
            </wp:positionV>
            <wp:extent cx="279463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ind w:right="279"/>
        <w:spacing w:after="0"/>
        <w:rPr>
          <w:sz w:val="20"/>
          <w:szCs w:val="20"/>
          <w:color w:val="auto"/>
        </w:rPr>
      </w:pPr>
      <w:r>
        <w:rPr>
          <w:rFonts w:ascii="Arial" w:cs="Arial" w:eastAsia="Arial" w:hAnsi="Arial"/>
          <w:sz w:val="18"/>
          <w:szCs w:val="18"/>
          <w:color w:val="auto"/>
        </w:rPr>
        <w:t>Spouse of «PurchaserName» (if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9019"/>
          </w:cols>
          <w:pgMar w:left="1440" w:top="274" w:right="1440" w:bottom="1440" w:gutter="0" w:footer="0" w:header="0"/>
        </w:sectPr>
      </w:pPr>
    </w:p>
    <w:bookmarkStart w:id="276" w:name="page277"/>
    <w:bookmarkEnd w:id="276"/>
    <w:p>
      <w:pPr>
        <w:jc w:val="center"/>
        <w:ind w:right="-2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C</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ELECTION UNDER SECTION 83(B)</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OF THE INTERNAL REVENUE CODE OF 1986</w:t>
      </w:r>
    </w:p>
    <w:p>
      <w:pPr>
        <w:spacing w:after="0" w:line="211" w:lineRule="exact"/>
        <w:rPr>
          <w:sz w:val="20"/>
          <w:szCs w:val="20"/>
          <w:color w:val="auto"/>
        </w:rPr>
      </w:pPr>
    </w:p>
    <w:p>
      <w:pPr>
        <w:ind w:right="60" w:firstLine="440"/>
        <w:spacing w:after="0" w:line="342" w:lineRule="auto"/>
        <w:rPr>
          <w:sz w:val="20"/>
          <w:szCs w:val="20"/>
          <w:color w:val="auto"/>
        </w:rPr>
      </w:pPr>
      <w:r>
        <w:rPr>
          <w:rFonts w:ascii="Arial" w:cs="Arial" w:eastAsia="Arial" w:hAnsi="Arial"/>
          <w:sz w:val="16"/>
          <w:szCs w:val="16"/>
          <w:color w:val="auto"/>
        </w:rPr>
        <w:t>The undersigned taxpayer hereby elects, pursuant to Section 83(b) of the Internal Revenue Code, to include in taxpayer’s gross income for the current taxable year, the amount of any compensation taxable to taxpayer in connection with taxpayer’s receipt of the property described below:</w:t>
      </w:r>
    </w:p>
    <w:p>
      <w:pPr>
        <w:spacing w:after="0" w:line="29" w:lineRule="exact"/>
        <w:rPr>
          <w:sz w:val="20"/>
          <w:szCs w:val="20"/>
          <w:color w:val="auto"/>
        </w:rPr>
      </w:pPr>
    </w:p>
    <w:p>
      <w:pPr>
        <w:ind w:left="980" w:right="2420" w:hanging="552"/>
        <w:spacing w:after="0" w:line="375" w:lineRule="auto"/>
        <w:tabs>
          <w:tab w:leader="none" w:pos="961"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name, address, taxpayer identification number and taxable year of the undersigned are as follows: NAME OF TAXPAYER: «PurchaserName»</w:t>
      </w:r>
    </w:p>
    <w:p>
      <w:pPr>
        <w:spacing w:after="0" w:line="1"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NAME OF SPOUSE: «SpouseName»</w:t>
      </w:r>
    </w:p>
    <w:p>
      <w:pPr>
        <w:spacing w:after="0" w:line="117" w:lineRule="exact"/>
        <w:rPr>
          <w:rFonts w:ascii="Arial" w:cs="Arial" w:eastAsia="Arial" w:hAnsi="Arial"/>
          <w:sz w:val="18"/>
          <w:szCs w:val="18"/>
          <w:color w:val="auto"/>
        </w:rPr>
      </w:pPr>
    </w:p>
    <w:p>
      <w:pPr>
        <w:ind w:left="980" w:right="7260"/>
        <w:spacing w:after="0" w:line="422" w:lineRule="auto"/>
        <w:rPr>
          <w:rFonts w:ascii="Arial" w:cs="Arial" w:eastAsia="Arial" w:hAnsi="Arial"/>
          <w:sz w:val="18"/>
          <w:szCs w:val="18"/>
          <w:color w:val="auto"/>
        </w:rPr>
      </w:pPr>
      <w:r>
        <w:rPr>
          <w:rFonts w:ascii="Arial" w:cs="Arial" w:eastAsia="Arial" w:hAnsi="Arial"/>
          <w:sz w:val="16"/>
          <w:szCs w:val="16"/>
          <w:color w:val="auto"/>
        </w:rPr>
        <w:t>ADDRESS: «PurchaserAddress1» «PurchaserAddress2»</w:t>
      </w:r>
    </w:p>
    <w:p>
      <w:pPr>
        <w:ind w:left="980"/>
        <w:spacing w:after="0"/>
        <w:rPr>
          <w:rFonts w:ascii="Arial" w:cs="Arial" w:eastAsia="Arial" w:hAnsi="Arial"/>
          <w:sz w:val="18"/>
          <w:szCs w:val="18"/>
          <w:color w:val="auto"/>
        </w:rPr>
      </w:pPr>
      <w:r>
        <w:rPr>
          <w:rFonts w:ascii="Arial" w:cs="Arial" w:eastAsia="Arial" w:hAnsi="Arial"/>
          <w:sz w:val="18"/>
          <w:szCs w:val="18"/>
          <w:color w:val="auto"/>
        </w:rPr>
        <w:t>IDENTIFICATION NO. OF TAXPAYER: «TaxPayerID»</w:t>
      </w:r>
    </w:p>
    <w:p>
      <w:pPr>
        <w:spacing w:after="0" w:line="117"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IDENTIFICATION NO. OF SPOUSE: «SpouseID»</w:t>
      </w:r>
    </w:p>
    <w:p>
      <w:pPr>
        <w:spacing w:after="0" w:line="117"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TAXABLE YEAR: «TaxYearFor83B»</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property with respect to which the election is made is described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«NoOfShares» shares of the Common Stock of Asana,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131" w:lineRule="exact"/>
        <w:rPr>
          <w:sz w:val="20"/>
          <w:szCs w:val="20"/>
          <w:color w:val="auto"/>
        </w:rPr>
      </w:pPr>
    </w:p>
    <w:p>
      <w:pPr>
        <w:ind w:left="960" w:hanging="532"/>
        <w:spacing w:after="0"/>
        <w:tabs>
          <w:tab w:leader="none" w:pos="9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date on which the property was transferred is: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property is subject to the following restrictions:</w:t>
      </w:r>
    </w:p>
    <w:p>
      <w:pPr>
        <w:spacing w:after="0" w:line="117"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Repurchase option at cost in favor of the Company upon termination of taxpayer’s employment or consulting relationship.</w:t>
      </w:r>
    </w:p>
    <w:p>
      <w:pPr>
        <w:spacing w:after="0" w:line="130" w:lineRule="exact"/>
        <w:rPr>
          <w:rFonts w:ascii="Arial" w:cs="Arial" w:eastAsia="Arial" w:hAnsi="Arial"/>
          <w:sz w:val="18"/>
          <w:szCs w:val="18"/>
          <w:color w:val="auto"/>
        </w:rPr>
      </w:pPr>
    </w:p>
    <w:p>
      <w:pPr>
        <w:ind w:left="960" w:hanging="532"/>
        <w:spacing w:after="0" w:line="277" w:lineRule="auto"/>
        <w:tabs>
          <w:tab w:leader="none" w:pos="9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fair market value at the time of transfer, determined without regard to any restriction other than a restriction which by its terms will never lapse, of such property is: $«TotalPrice».</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amount (if any) paid for such property: $«TotalPrice»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2940050</wp:posOffset>
            </wp:positionH>
            <wp:positionV relativeFrom="paragraph">
              <wp:posOffset>-996315</wp:posOffset>
            </wp:positionV>
            <wp:extent cx="80010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13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740"/>
          </w:cols>
          <w:pgMar w:left="440" w:top="270" w:right="719" w:bottom="1440" w:gutter="0" w:footer="0" w:header="0"/>
        </w:sectPr>
      </w:pPr>
    </w:p>
    <w:bookmarkStart w:id="277" w:name="page278"/>
    <w:bookmarkEnd w:id="277"/>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undersigned has submitted a copy of this statement to the person for whom the services were performed in connection with the undersigned’s receipt of the above-described property. The transferee of such property is the person performing the services in connection with the transfer of said property.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undersigned understands that the foregoing election may not be revoked except with the consent of the Commissioner</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-10160</wp:posOffset>
            </wp:positionV>
            <wp:extent cx="57150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«PURCHASERNAME»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«PurchaserSignatureBlock»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297815</wp:posOffset>
            </wp:positionV>
            <wp:extent cx="2794635"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Spouse of «PurchaserName» (if applicable)</w:t>
      </w:r>
    </w:p>
    <w:p>
      <w:pPr>
        <w:spacing w:after="0" w:line="17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640"/>
          </w:cols>
          <w:pgMar w:left="440" w:top="274" w:right="819" w:bottom="1440" w:gutter="0" w:footer="0" w:header="0"/>
        </w:sectPr>
      </w:pPr>
    </w:p>
    <w:bookmarkStart w:id="278" w:name="page279"/>
    <w:bookmarkEnd w:id="278"/>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ASANA,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2012 STOCK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through September 18, 2019)</w:t>
      </w:r>
    </w:p>
    <w:p>
      <w:pPr>
        <w:spacing w:after="0" w:line="99" w:lineRule="exact"/>
        <w:rPr>
          <w:sz w:val="20"/>
          <w:szCs w:val="20"/>
          <w:color w:val="auto"/>
        </w:rPr>
      </w:pPr>
    </w:p>
    <w:p>
      <w:pPr>
        <w:ind w:right="40" w:firstLine="436"/>
        <w:spacing w:after="0" w:line="294" w:lineRule="auto"/>
        <w:tabs>
          <w:tab w:leader="none" w:pos="620" w:val="left"/>
        </w:tabs>
        <w:numPr>
          <w:ilvl w:val="0"/>
          <w:numId w:val="224"/>
        </w:numPr>
        <w:rPr>
          <w:rFonts w:ascii="Arial" w:cs="Arial" w:eastAsia="Arial" w:hAnsi="Arial"/>
          <w:sz w:val="16"/>
          <w:szCs w:val="16"/>
          <w:color w:val="auto"/>
        </w:rPr>
      </w:pPr>
      <w:r>
        <w:rPr>
          <w:rFonts w:ascii="Arial" w:cs="Arial" w:eastAsia="Arial" w:hAnsi="Arial"/>
          <w:sz w:val="16"/>
          <w:szCs w:val="16"/>
          <w:b w:val="1"/>
          <w:bCs w:val="1"/>
          <w:u w:val="single" w:color="auto"/>
          <w:color w:val="auto"/>
        </w:rPr>
        <w:t>Purposes of the Plan</w:t>
      </w:r>
      <w:r>
        <w:rPr>
          <w:rFonts w:ascii="Arial" w:cs="Arial" w:eastAsia="Arial" w:hAnsi="Arial"/>
          <w:sz w:val="16"/>
          <w:szCs w:val="16"/>
          <w:color w:val="auto"/>
        </w:rPr>
        <w:t>. The purposes of this Amended and Restated 2012 Stock Plan are to attract and retain the best available personnel for</w:t>
      </w:r>
      <w:r>
        <w:rPr>
          <w:rFonts w:ascii="Arial" w:cs="Arial" w:eastAsia="Arial" w:hAnsi="Arial"/>
          <w:sz w:val="16"/>
          <w:szCs w:val="16"/>
          <w:b w:val="1"/>
          <w:bCs w:val="1"/>
          <w:color w:val="auto"/>
        </w:rPr>
        <w:t xml:space="preserve"> </w:t>
      </w:r>
      <w:r>
        <w:rPr>
          <w:rFonts w:ascii="Arial" w:cs="Arial" w:eastAsia="Arial" w:hAnsi="Arial"/>
          <w:sz w:val="16"/>
          <w:szCs w:val="16"/>
          <w:color w:val="auto"/>
        </w:rPr>
        <w:t>positions of substantial responsibility, to provide additional incentive to Employees and Consultants, and to promote the success of the Company’s business. Options granted under the Plan may be Incentive Stock Options or Nonstatutory Stock Options, as determined by the Administrator at the time of grant of an Option and subject to the applicable provisions of Section 422 of the Code and the regulations promulgated thereunder. Restricted Stock and Restricted Stock Units may also be granted under the Plan. For purposes of clarity, this Amended and Restated 2012 Stock Plan will apply only to Awards granted under the Plan on or after the date this Amended and Restated 2012 Stock Plan is adopted by the Board.</w:t>
      </w:r>
    </w:p>
    <w:p>
      <w:pPr>
        <w:spacing w:after="0" w:line="51" w:lineRule="exact"/>
        <w:rPr>
          <w:rFonts w:ascii="Arial" w:cs="Arial" w:eastAsia="Arial" w:hAnsi="Arial"/>
          <w:sz w:val="16"/>
          <w:szCs w:val="16"/>
          <w:color w:val="auto"/>
        </w:rPr>
      </w:pPr>
    </w:p>
    <w:p>
      <w:pPr>
        <w:ind w:left="620" w:hanging="184"/>
        <w:spacing w:after="0"/>
        <w:tabs>
          <w:tab w:leader="none" w:pos="620" w:val="left"/>
        </w:tabs>
        <w:numPr>
          <w:ilvl w:val="0"/>
          <w:numId w:val="224"/>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As used herein, the following definitions shall apply:</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Administrator</w:t>
      </w:r>
      <w:r>
        <w:rPr>
          <w:rFonts w:ascii="Arial" w:cs="Arial" w:eastAsia="Arial" w:hAnsi="Arial"/>
          <w:sz w:val="18"/>
          <w:szCs w:val="18"/>
          <w:color w:val="auto"/>
        </w:rPr>
        <w:t>” means the Board or a Committee.</w:t>
      </w:r>
    </w:p>
    <w:p>
      <w:pPr>
        <w:spacing w:after="0" w:line="117" w:lineRule="exact"/>
        <w:rPr>
          <w:rFonts w:ascii="Arial" w:cs="Arial" w:eastAsia="Arial" w:hAnsi="Arial"/>
          <w:sz w:val="18"/>
          <w:szCs w:val="18"/>
          <w:color w:val="auto"/>
        </w:rPr>
      </w:pPr>
    </w:p>
    <w:p>
      <w:pPr>
        <w:ind w:right="40" w:firstLine="987"/>
        <w:spacing w:after="0" w:line="312" w:lineRule="auto"/>
        <w:tabs>
          <w:tab w:leader="none" w:pos="1246" w:val="left"/>
        </w:tabs>
        <w:numPr>
          <w:ilvl w:val="1"/>
          <w:numId w:val="22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Affiliate</w:t>
      </w:r>
      <w:r>
        <w:rPr>
          <w:rFonts w:ascii="Arial" w:cs="Arial" w:eastAsia="Arial" w:hAnsi="Arial"/>
          <w:sz w:val="17"/>
          <w:szCs w:val="17"/>
          <w:color w:val="auto"/>
        </w:rPr>
        <w:t>” means (i) an entity other than a Subsidiary which, together with the Company, is under common control of a third person or entity and (ii) an entity other than a Subsidiary in which the Company and /or one or more Subsidiaries own a controlling interest.</w:t>
      </w:r>
    </w:p>
    <w:p>
      <w:pPr>
        <w:spacing w:after="0" w:line="31" w:lineRule="exact"/>
        <w:rPr>
          <w:rFonts w:ascii="Arial" w:cs="Arial" w:eastAsia="Arial" w:hAnsi="Arial"/>
          <w:sz w:val="17"/>
          <w:szCs w:val="17"/>
          <w:color w:val="auto"/>
        </w:rPr>
      </w:pPr>
    </w:p>
    <w:p>
      <w:pPr>
        <w:jc w:val="both"/>
        <w:ind w:right="280" w:firstLine="987"/>
        <w:spacing w:after="0" w:line="261" w:lineRule="auto"/>
        <w:tabs>
          <w:tab w:leader="none" w:pos="1236" w:val="left"/>
        </w:tabs>
        <w:numPr>
          <w:ilvl w:val="1"/>
          <w:numId w:val="2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Applicable Laws</w:t>
      </w:r>
      <w:r>
        <w:rPr>
          <w:rFonts w:ascii="Arial" w:cs="Arial" w:eastAsia="Arial" w:hAnsi="Arial"/>
          <w:sz w:val="18"/>
          <w:szCs w:val="18"/>
          <w:color w:val="auto"/>
        </w:rPr>
        <w:t>” means all applicable laws, rules, regulations and requirements, including, but not limited to, all applicable U.S. federal or state laws, any Stock Exchange rules or regulations, and the applicable laws, rules or regulations of any other country or jurisdiction where Options, Restricted Stock or Restricted Stock Units are granted under the Plan or Participants reside or provide services, as such laws, rules, and regulations shall be in effect from time to time.</w:t>
      </w:r>
    </w:p>
    <w:p>
      <w:pPr>
        <w:spacing w:after="0" w:line="71" w:lineRule="exact"/>
        <w:rPr>
          <w:rFonts w:ascii="Arial" w:cs="Arial" w:eastAsia="Arial" w:hAnsi="Arial"/>
          <w:sz w:val="18"/>
          <w:szCs w:val="18"/>
          <w:color w:val="auto"/>
        </w:rPr>
      </w:pPr>
    </w:p>
    <w:p>
      <w:pPr>
        <w:ind w:left="1240" w:hanging="253"/>
        <w:spacing w:after="0"/>
        <w:tabs>
          <w:tab w:leader="none" w:pos="124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Award</w:t>
      </w:r>
      <w:r>
        <w:rPr>
          <w:rFonts w:ascii="Arial" w:cs="Arial" w:eastAsia="Arial" w:hAnsi="Arial"/>
          <w:sz w:val="18"/>
          <w:szCs w:val="18"/>
          <w:color w:val="auto"/>
        </w:rPr>
        <w:t>” means any award of an Option, Restricted Stock or Restricted Stock Unit under the Plan.</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Board</w:t>
      </w:r>
      <w:r>
        <w:rPr>
          <w:rFonts w:ascii="Arial" w:cs="Arial" w:eastAsia="Arial" w:hAnsi="Arial"/>
          <w:sz w:val="18"/>
          <w:szCs w:val="18"/>
          <w:color w:val="auto"/>
        </w:rPr>
        <w:t>” means the Board of Directors of the Company.</w:t>
      </w:r>
    </w:p>
    <w:p>
      <w:pPr>
        <w:spacing w:after="0" w:line="117" w:lineRule="exact"/>
        <w:rPr>
          <w:rFonts w:ascii="Arial" w:cs="Arial" w:eastAsia="Arial" w:hAnsi="Arial"/>
          <w:sz w:val="18"/>
          <w:szCs w:val="18"/>
          <w:color w:val="auto"/>
        </w:rPr>
      </w:pPr>
    </w:p>
    <w:p>
      <w:pPr>
        <w:ind w:left="1220" w:hanging="233"/>
        <w:spacing w:after="0"/>
        <w:tabs>
          <w:tab w:leader="none" w:pos="1220" w:val="left"/>
        </w:tabs>
        <w:numPr>
          <w:ilvl w:val="1"/>
          <w:numId w:val="22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California Participant</w:t>
      </w:r>
      <w:r>
        <w:rPr>
          <w:rFonts w:ascii="Arial" w:cs="Arial" w:eastAsia="Arial" w:hAnsi="Arial"/>
          <w:sz w:val="16"/>
          <w:szCs w:val="16"/>
          <w:color w:val="auto"/>
        </w:rPr>
        <w:t>” means a Participant whose Award is issued in reliance on Section 25102(o) of the California Corporations</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Code.</w:t>
      </w:r>
    </w:p>
    <w:p>
      <w:pPr>
        <w:spacing w:after="0" w:line="98" w:lineRule="exact"/>
        <w:rPr>
          <w:rFonts w:ascii="Arial" w:cs="Arial" w:eastAsia="Arial" w:hAnsi="Arial"/>
          <w:sz w:val="16"/>
          <w:szCs w:val="16"/>
          <w:color w:val="auto"/>
        </w:rPr>
      </w:pPr>
    </w:p>
    <w:p>
      <w:pPr>
        <w:ind w:right="120" w:firstLine="987"/>
        <w:spacing w:after="0" w:line="261" w:lineRule="auto"/>
        <w:tabs>
          <w:tab w:leader="none" w:pos="1246" w:val="left"/>
        </w:tabs>
        <w:numPr>
          <w:ilvl w:val="1"/>
          <w:numId w:val="2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Cashless Transaction</w:t>
      </w:r>
      <w:r>
        <w:rPr>
          <w:rFonts w:ascii="Arial" w:cs="Arial" w:eastAsia="Arial" w:hAnsi="Arial"/>
          <w:sz w:val="18"/>
          <w:szCs w:val="18"/>
          <w:color w:val="auto"/>
        </w:rPr>
        <w:t>” means a program approved by the Administrator in which payment of the Option exercise price or tax withholding obligations or other required deductions applicable to an Award may be satisfied, in whole or in part, with Shares subject to the Award, including by delivery of an irrevocable direction to a securities broker (on a form prescribed by the Company) to sell Shares and to deliver all or part of the sale proceeds to the Company in payment of such amount.</w:t>
      </w:r>
    </w:p>
    <w:p>
      <w:pPr>
        <w:sectPr>
          <w:pgSz w:w="11900" w:h="16838" w:orient="portrait"/>
          <w:cols w:equalWidth="0" w:num="1">
            <w:col w:w="11020"/>
          </w:cols>
          <w:pgMar w:left="440" w:top="121" w:right="439" w:bottom="1440" w:gutter="0" w:footer="0" w:header="0"/>
        </w:sectPr>
      </w:pPr>
    </w:p>
    <w:bookmarkStart w:id="279" w:name="page280"/>
    <w:bookmarkEnd w:id="279"/>
    <w:p>
      <w:pPr>
        <w:ind w:left="4" w:right="40" w:firstLine="987"/>
        <w:spacing w:after="0" w:line="286" w:lineRule="auto"/>
        <w:tabs>
          <w:tab w:leader="none" w:pos="1250" w:val="left"/>
        </w:tabs>
        <w:numPr>
          <w:ilvl w:val="1"/>
          <w:numId w:val="22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b w:val="1"/>
          <w:bCs w:val="1"/>
          <w:u w:val="single" w:color="auto"/>
          <w:color w:val="auto"/>
        </w:rPr>
        <w:t>Cause</w:t>
      </w:r>
      <w:r>
        <w:rPr>
          <w:rFonts w:ascii="Arial" w:cs="Arial" w:eastAsia="Arial" w:hAnsi="Arial"/>
          <w:sz w:val="16"/>
          <w:szCs w:val="16"/>
          <w:color w:val="auto"/>
        </w:rPr>
        <w:t>” for termination of a Participant’s Continuous Service Status will exist (unless another definition is provided in an applicable Option Agreement, Restricted Stock Purchase Agreement, Restricted Stock Unit Agreement, employment agreement or other applicable written agreement) if the Participant’s Continuous Service Status is terminated for any of the following reasons: (i) Participant’s willful failure to perform his or her duties and responsibilities to the Company or Participant’s violation of any written Company policy; (ii) Participant’s commission of any act of fraud, embezzlement, dishonesty or any other willful misconduct that has caused or is reasonably expected to result in injury to the Company;</w:t>
      </w:r>
    </w:p>
    <w:p>
      <w:pPr>
        <w:spacing w:after="0" w:line="2" w:lineRule="exact"/>
        <w:rPr>
          <w:rFonts w:ascii="Arial" w:cs="Arial" w:eastAsia="Arial" w:hAnsi="Arial"/>
          <w:sz w:val="16"/>
          <w:szCs w:val="16"/>
          <w:color w:val="auto"/>
        </w:rPr>
      </w:pPr>
    </w:p>
    <w:p>
      <w:pPr>
        <w:ind w:left="4" w:hanging="4"/>
        <w:spacing w:after="0" w:line="269" w:lineRule="auto"/>
        <w:tabs>
          <w:tab w:leader="none" w:pos="319" w:val="left"/>
        </w:tabs>
        <w:numPr>
          <w:ilvl w:val="0"/>
          <w:numId w:val="226"/>
        </w:numPr>
        <w:rPr>
          <w:rFonts w:ascii="Arial" w:cs="Arial" w:eastAsia="Arial" w:hAnsi="Arial"/>
          <w:sz w:val="17"/>
          <w:szCs w:val="17"/>
          <w:color w:val="auto"/>
        </w:rPr>
      </w:pPr>
      <w:r>
        <w:rPr>
          <w:rFonts w:ascii="Arial" w:cs="Arial" w:eastAsia="Arial" w:hAnsi="Arial"/>
          <w:sz w:val="17"/>
          <w:szCs w:val="17"/>
          <w:color w:val="auto"/>
        </w:rPr>
        <w:t>Participant’s unauthorized use or disclosure of any proprietary information or trade secrets of the Company or any other party to whom the Participant owes an obligation of nondisclosure as a result of his or her relationship with the Company; or (iv) Participant’s material breach of any of his or her obligations under any written agreement or covenant with the Company. For purposes of clarity, a termination without “Cause” does not include any termination that occurs as a result of Participant’s death or disability. The determination as to whether a Participant’s Continuous Service Status has been terminated for Cause shall be made in good faith by the Company and shall be final and binding on the Participant. The foregoing definition does not in any way limit the Company’s ability to terminate a Participant’s employment or consulting relationship at any time, and the term “Company” will be interpreted to include any Subsidiary, Parent, Affiliate, or any successor thereto, if appropriate.</w:t>
      </w:r>
    </w:p>
    <w:p>
      <w:pPr>
        <w:spacing w:after="0" w:line="68" w:lineRule="exact"/>
        <w:rPr>
          <w:rFonts w:ascii="Arial" w:cs="Arial" w:eastAsia="Arial" w:hAnsi="Arial"/>
          <w:sz w:val="17"/>
          <w:szCs w:val="17"/>
          <w:color w:val="auto"/>
        </w:rPr>
      </w:pPr>
    </w:p>
    <w:p>
      <w:pPr>
        <w:ind w:left="1204" w:hanging="213"/>
        <w:spacing w:after="0"/>
        <w:tabs>
          <w:tab w:leader="none" w:pos="1204" w:val="left"/>
        </w:tabs>
        <w:numPr>
          <w:ilvl w:val="1"/>
          <w:numId w:val="2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Code</w:t>
      </w:r>
      <w:r>
        <w:rPr>
          <w:rFonts w:ascii="Arial" w:cs="Arial" w:eastAsia="Arial" w:hAnsi="Arial"/>
          <w:sz w:val="18"/>
          <w:szCs w:val="18"/>
          <w:color w:val="auto"/>
        </w:rPr>
        <w:t>” means the Internal Revenue Code of 1986, as amended.</w:t>
      </w:r>
    </w:p>
    <w:p>
      <w:pPr>
        <w:spacing w:after="0" w:line="117" w:lineRule="exact"/>
        <w:rPr>
          <w:rFonts w:ascii="Arial" w:cs="Arial" w:eastAsia="Arial" w:hAnsi="Arial"/>
          <w:sz w:val="18"/>
          <w:szCs w:val="18"/>
          <w:color w:val="auto"/>
        </w:rPr>
      </w:pPr>
    </w:p>
    <w:p>
      <w:pPr>
        <w:ind w:left="4" w:right="60" w:firstLine="987"/>
        <w:spacing w:after="0" w:line="266" w:lineRule="auto"/>
        <w:tabs>
          <w:tab w:leader="none" w:pos="121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Committee</w:t>
      </w:r>
      <w:r>
        <w:rPr>
          <w:rFonts w:ascii="Arial" w:cs="Arial" w:eastAsia="Arial" w:hAnsi="Arial"/>
          <w:sz w:val="18"/>
          <w:szCs w:val="18"/>
          <w:color w:val="auto"/>
        </w:rPr>
        <w:t>” means one or more committees or subcommittees of the Board consisting of two (2) or more Directors (or such lesser or greater number of Directors as shall constitute the minimum number permitted by Applicable Laws to establish a committee or sub-committee of the Board) appointed by the Board to administer the Plan in accordance with Section 4 below.</w:t>
      </w:r>
    </w:p>
    <w:p>
      <w:pPr>
        <w:spacing w:after="0" w:line="67" w:lineRule="exact"/>
        <w:rPr>
          <w:rFonts w:ascii="Arial" w:cs="Arial" w:eastAsia="Arial" w:hAnsi="Arial"/>
          <w:sz w:val="18"/>
          <w:szCs w:val="18"/>
          <w:color w:val="auto"/>
        </w:rPr>
      </w:pPr>
    </w:p>
    <w:p>
      <w:pPr>
        <w:ind w:left="4" w:right="600" w:firstLine="987"/>
        <w:spacing w:after="0" w:line="282" w:lineRule="auto"/>
        <w:tabs>
          <w:tab w:leader="none" w:pos="125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Common Stock</w:t>
      </w:r>
      <w:r>
        <w:rPr>
          <w:rFonts w:ascii="Arial" w:cs="Arial" w:eastAsia="Arial" w:hAnsi="Arial"/>
          <w:sz w:val="18"/>
          <w:szCs w:val="18"/>
          <w:color w:val="auto"/>
        </w:rPr>
        <w:t>” means the Company’s Class B common stock, par value $0.00001 per share, as adjusted in accordance with Section 11 below.</w:t>
      </w:r>
    </w:p>
    <w:p>
      <w:pPr>
        <w:spacing w:after="0" w:line="53" w:lineRule="exact"/>
        <w:rPr>
          <w:rFonts w:ascii="Arial" w:cs="Arial" w:eastAsia="Arial" w:hAnsi="Arial"/>
          <w:sz w:val="18"/>
          <w:szCs w:val="18"/>
          <w:color w:val="auto"/>
        </w:rPr>
      </w:pPr>
    </w:p>
    <w:p>
      <w:pPr>
        <w:ind w:left="1204" w:hanging="213"/>
        <w:spacing w:after="0"/>
        <w:tabs>
          <w:tab w:leader="none" w:pos="1204" w:val="left"/>
        </w:tabs>
        <w:numPr>
          <w:ilvl w:val="1"/>
          <w:numId w:val="2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means Asana, Inc., a Delaware corporation.</w:t>
      </w:r>
    </w:p>
    <w:p>
      <w:pPr>
        <w:spacing w:after="0" w:line="117" w:lineRule="exact"/>
        <w:rPr>
          <w:rFonts w:ascii="Arial" w:cs="Arial" w:eastAsia="Arial" w:hAnsi="Arial"/>
          <w:sz w:val="18"/>
          <w:szCs w:val="18"/>
          <w:color w:val="auto"/>
        </w:rPr>
      </w:pPr>
    </w:p>
    <w:p>
      <w:pPr>
        <w:ind w:left="4" w:right="160" w:firstLine="987"/>
        <w:spacing w:after="0" w:line="347" w:lineRule="auto"/>
        <w:tabs>
          <w:tab w:leader="none" w:pos="1300" w:val="left"/>
        </w:tabs>
        <w:numPr>
          <w:ilvl w:val="1"/>
          <w:numId w:val="22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Consultant</w:t>
      </w:r>
      <w:r>
        <w:rPr>
          <w:rFonts w:ascii="Arial" w:cs="Arial" w:eastAsia="Arial" w:hAnsi="Arial"/>
          <w:sz w:val="16"/>
          <w:szCs w:val="16"/>
          <w:color w:val="auto"/>
        </w:rPr>
        <w:t>” means any person or entity, including an advisor but not an Employee, that renders, or has rendered, services to the Company, or any Parent, Subsidiary or Affiliate and is compensated for such services, and any Director whether compensated for such services or not.</w:t>
      </w:r>
    </w:p>
    <w:p>
      <w:pPr>
        <w:spacing w:after="0" w:line="7" w:lineRule="exact"/>
        <w:rPr>
          <w:rFonts w:ascii="Arial" w:cs="Arial" w:eastAsia="Arial" w:hAnsi="Arial"/>
          <w:sz w:val="16"/>
          <w:szCs w:val="16"/>
          <w:color w:val="auto"/>
        </w:rPr>
      </w:pPr>
    </w:p>
    <w:p>
      <w:pPr>
        <w:ind w:left="4" w:right="100" w:firstLine="987"/>
        <w:spacing w:after="0" w:line="289" w:lineRule="auto"/>
        <w:tabs>
          <w:tab w:leader="none" w:pos="1250" w:val="left"/>
        </w:tabs>
        <w:numPr>
          <w:ilvl w:val="1"/>
          <w:numId w:val="22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Continuous Service Status</w:t>
      </w:r>
      <w:r>
        <w:rPr>
          <w:rFonts w:ascii="Arial" w:cs="Arial" w:eastAsia="Arial" w:hAnsi="Arial"/>
          <w:sz w:val="16"/>
          <w:szCs w:val="16"/>
          <w:color w:val="auto"/>
        </w:rPr>
        <w:t>” means the absence of any interruption or termination of service as an Employee or Consultant. Continuous Service Status as an Employee or Consultant shall not be considered interrupted or terminated in the case of: (i) Company approved sick leave; (ii) military leave; (iii) any other bona fide leave of absence approved by the Company, provided that, if an Employee is holding an Incentive Stock Option and such leave exceeds 3 months then, for purposes of Incentive Stock Option status only, such Employee’s service as an Employee shall be deemed terminated on the 1st day following such 3-month period and the Incentive Stock Option shall thereafter automatically become a Nonstatutory Stock Option in accordance with Applicable Laws, unless reemployment upon the expiration of such leave is guaranteed by contract or statute, or unless provided otherwise pursuant to a written Company policy. Also, Continuous Service Status as an Employee or Consultant shall not be considered interrupted or terminated in the case of a transfer between locations of the Company or between the Company, its Parents, Subsidiaries or Affiliates, or their respective successors, or a change in status from an Employee to a Consultant or from a Consultant to an Employee.</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4"/>
          </w:cols>
          <w:pgMar w:left="436" w:top="270" w:right="479" w:bottom="1440" w:gutter="0" w:footer="0" w:header="0"/>
        </w:sectPr>
      </w:pPr>
    </w:p>
    <w:bookmarkStart w:id="280" w:name="page281"/>
    <w:bookmarkEnd w:id="280"/>
    <w:p>
      <w:pPr>
        <w:ind w:left="1240" w:hanging="253"/>
        <w:spacing w:after="0"/>
        <w:tabs>
          <w:tab w:leader="none" w:pos="1240" w:val="left"/>
        </w:tabs>
        <w:numPr>
          <w:ilvl w:val="0"/>
          <w:numId w:val="2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u w:val="single" w:color="auto"/>
          <w:color w:val="auto"/>
        </w:rPr>
        <w:t>Director</w:t>
      </w:r>
      <w:r>
        <w:rPr>
          <w:rFonts w:ascii="Arial" w:cs="Arial" w:eastAsia="Arial" w:hAnsi="Arial"/>
          <w:sz w:val="18"/>
          <w:szCs w:val="18"/>
          <w:color w:val="auto"/>
        </w:rPr>
        <w:t>” means a member of the Board.</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Disability</w:t>
      </w:r>
      <w:r>
        <w:rPr>
          <w:rFonts w:ascii="Arial" w:cs="Arial" w:eastAsia="Arial" w:hAnsi="Arial"/>
          <w:sz w:val="18"/>
          <w:szCs w:val="18"/>
          <w:color w:val="auto"/>
        </w:rPr>
        <w:t>” means “disability” within the meaning of Section 22(e)(3) of the Code.</w:t>
      </w:r>
    </w:p>
    <w:p>
      <w:pPr>
        <w:spacing w:after="0" w:line="117" w:lineRule="exact"/>
        <w:rPr>
          <w:rFonts w:ascii="Arial" w:cs="Arial" w:eastAsia="Arial" w:hAnsi="Arial"/>
          <w:sz w:val="18"/>
          <w:szCs w:val="18"/>
          <w:color w:val="auto"/>
        </w:rPr>
      </w:pPr>
    </w:p>
    <w:p>
      <w:pPr>
        <w:ind w:right="20" w:firstLine="987"/>
        <w:spacing w:after="0" w:line="261" w:lineRule="auto"/>
        <w:tabs>
          <w:tab w:leader="none" w:pos="1246" w:val="left"/>
        </w:tabs>
        <w:numPr>
          <w:ilvl w:val="0"/>
          <w:numId w:val="2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Employee</w:t>
      </w:r>
      <w:r>
        <w:rPr>
          <w:rFonts w:ascii="Arial" w:cs="Arial" w:eastAsia="Arial" w:hAnsi="Arial"/>
          <w:sz w:val="18"/>
          <w:szCs w:val="18"/>
          <w:color w:val="auto"/>
        </w:rPr>
        <w:t>” means any person employed by the Company, or any Parent, Subsidiary or Affiliate, with the status of employment determined pursuant to such factors as are deemed appropriate by the Company in its sole discretion, subject to any requirements of Applicable Laws, including the Code. The payment by the Company of a director’s fee shall not be sufficient to constitute “employment” of such director by the Company or any Parent, Subsidiary or Affiliate.</w:t>
      </w:r>
    </w:p>
    <w:p>
      <w:pPr>
        <w:spacing w:after="0" w:line="71" w:lineRule="exact"/>
        <w:rPr>
          <w:rFonts w:ascii="Arial" w:cs="Arial" w:eastAsia="Arial" w:hAnsi="Arial"/>
          <w:sz w:val="18"/>
          <w:szCs w:val="18"/>
          <w:color w:val="auto"/>
        </w:rPr>
      </w:pPr>
    </w:p>
    <w:p>
      <w:pPr>
        <w:ind w:left="1220" w:hanging="233"/>
        <w:spacing w:after="0"/>
        <w:tabs>
          <w:tab w:leader="none" w:pos="122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Exchange Act</w:t>
      </w:r>
      <w:r>
        <w:rPr>
          <w:rFonts w:ascii="Arial" w:cs="Arial" w:eastAsia="Arial" w:hAnsi="Arial"/>
          <w:sz w:val="18"/>
          <w:szCs w:val="18"/>
          <w:color w:val="auto"/>
        </w:rPr>
        <w:t>” means the Securities Exchange Act of 1934, as amended.</w:t>
      </w:r>
    </w:p>
    <w:p>
      <w:pPr>
        <w:spacing w:after="0" w:line="117" w:lineRule="exact"/>
        <w:rPr>
          <w:rFonts w:ascii="Arial" w:cs="Arial" w:eastAsia="Arial" w:hAnsi="Arial"/>
          <w:sz w:val="18"/>
          <w:szCs w:val="18"/>
          <w:color w:val="auto"/>
        </w:rPr>
      </w:pPr>
    </w:p>
    <w:p>
      <w:pPr>
        <w:ind w:right="40" w:firstLine="987"/>
        <w:spacing w:after="0" w:line="314" w:lineRule="auto"/>
        <w:tabs>
          <w:tab w:leader="none" w:pos="1226" w:val="left"/>
        </w:tabs>
        <w:numPr>
          <w:ilvl w:val="0"/>
          <w:numId w:val="22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Fair Market Value</w:t>
      </w:r>
      <w:r>
        <w:rPr>
          <w:rFonts w:ascii="Arial" w:cs="Arial" w:eastAsia="Arial" w:hAnsi="Arial"/>
          <w:sz w:val="16"/>
          <w:szCs w:val="16"/>
          <w:color w:val="auto"/>
        </w:rPr>
        <w:t xml:space="preserve">” means, as of any date, the per share fair market value of the Common Stock, as determined by the Administrator in good faith on such basis as it deems appropriate and applied consistently with respect to Participants. Whenever possible, the determination of Fair Market Value shall be based upon the per share closing price for the Shares as reported in </w:t>
      </w:r>
      <w:r>
        <w:rPr>
          <w:rFonts w:ascii="Arial" w:cs="Arial" w:eastAsia="Arial" w:hAnsi="Arial"/>
          <w:sz w:val="16"/>
          <w:szCs w:val="16"/>
          <w:u w:val="single" w:color="auto"/>
          <w:color w:val="auto"/>
        </w:rPr>
        <w:t>The Wall Street Journal</w:t>
      </w:r>
      <w:r>
        <w:rPr>
          <w:rFonts w:ascii="Arial" w:cs="Arial" w:eastAsia="Arial" w:hAnsi="Arial"/>
          <w:sz w:val="16"/>
          <w:szCs w:val="16"/>
          <w:color w:val="auto"/>
        </w:rPr>
        <w:t xml:space="preserve"> for the applicable date.</w:t>
      </w:r>
    </w:p>
    <w:p>
      <w:pPr>
        <w:spacing w:after="0" w:line="33" w:lineRule="exact"/>
        <w:rPr>
          <w:rFonts w:ascii="Arial" w:cs="Arial" w:eastAsia="Arial" w:hAnsi="Arial"/>
          <w:sz w:val="16"/>
          <w:szCs w:val="16"/>
          <w:color w:val="auto"/>
        </w:rPr>
      </w:pPr>
    </w:p>
    <w:p>
      <w:pPr>
        <w:ind w:right="60" w:firstLine="987"/>
        <w:spacing w:after="0" w:line="258" w:lineRule="auto"/>
        <w:tabs>
          <w:tab w:leader="none" w:pos="1206" w:val="left"/>
        </w:tabs>
        <w:numPr>
          <w:ilvl w:val="0"/>
          <w:numId w:val="2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Family Members</w:t>
      </w:r>
      <w:r>
        <w:rPr>
          <w:rFonts w:ascii="Arial" w:cs="Arial" w:eastAsia="Arial" w:hAnsi="Arial"/>
          <w:sz w:val="18"/>
          <w:szCs w:val="18"/>
          <w:color w:val="auto"/>
        </w:rPr>
        <w:t>” means any child, stepchild, grandchild, parent, stepparent, grandparent, spouse, former spouse, sibling, niece, nephew, mother-in-law, father-in- law, son-in-law, daughter-in-law, brother-in-law, or sister-in-law (including adoptive relationships) of the Participant, any person sharing the Participant’s household (other than a tenant or employee), a trust in which these persons (or the Participant) have more than 50% of the beneficial interest, a foundation in which these persons (or the Participant) control the management of assets, and any other entity in which these persons (or the Participant) own more than 50% of the voting interests.</w:t>
      </w:r>
    </w:p>
    <w:p>
      <w:pPr>
        <w:spacing w:after="0" w:line="75" w:lineRule="exact"/>
        <w:rPr>
          <w:rFonts w:ascii="Arial" w:cs="Arial" w:eastAsia="Arial" w:hAnsi="Arial"/>
          <w:sz w:val="18"/>
          <w:szCs w:val="18"/>
          <w:color w:val="auto"/>
        </w:rPr>
      </w:pPr>
    </w:p>
    <w:p>
      <w:pPr>
        <w:ind w:right="540" w:firstLine="987"/>
        <w:spacing w:after="0" w:line="282" w:lineRule="auto"/>
        <w:tabs>
          <w:tab w:leader="none" w:pos="1246" w:val="left"/>
        </w:tabs>
        <w:numPr>
          <w:ilvl w:val="0"/>
          <w:numId w:val="2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Incentive Stock Option</w:t>
      </w:r>
      <w:r>
        <w:rPr>
          <w:rFonts w:ascii="Arial" w:cs="Arial" w:eastAsia="Arial" w:hAnsi="Arial"/>
          <w:sz w:val="18"/>
          <w:szCs w:val="18"/>
          <w:color w:val="auto"/>
        </w:rPr>
        <w:t>” means an Option intended to, and which does, in fact, qualify as an incentive stock option within the meaning of Section 422 of the Code.</w:t>
      </w:r>
    </w:p>
    <w:p>
      <w:pPr>
        <w:spacing w:after="0" w:line="53" w:lineRule="exact"/>
        <w:rPr>
          <w:rFonts w:ascii="Arial" w:cs="Arial" w:eastAsia="Arial" w:hAnsi="Arial"/>
          <w:sz w:val="18"/>
          <w:szCs w:val="18"/>
          <w:color w:val="auto"/>
        </w:rPr>
      </w:pPr>
    </w:p>
    <w:p>
      <w:pPr>
        <w:ind w:firstLine="987"/>
        <w:spacing w:after="0" w:line="261" w:lineRule="auto"/>
        <w:tabs>
          <w:tab w:leader="none" w:pos="1246" w:val="left"/>
        </w:tabs>
        <w:numPr>
          <w:ilvl w:val="0"/>
          <w:numId w:val="2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Involuntary Termination</w:t>
      </w:r>
      <w:r>
        <w:rPr>
          <w:rFonts w:ascii="Arial" w:cs="Arial" w:eastAsia="Arial" w:hAnsi="Arial"/>
          <w:sz w:val="18"/>
          <w:szCs w:val="18"/>
          <w:color w:val="auto"/>
        </w:rPr>
        <w:t>” means (unless another definition is provided in the applicable Option Agreement, Restricted Stock Purchase Agreement, Restricted Stock Unit Agreement, employment agreement or other applicable written agreement) the termination of a Participant’s Continuous Service Status other than for (i) death, (ii) Disability or (iii) for Cause by the Company or a Parent, Subsidiary, Affiliate or successor thereto, as appropriate.</w:t>
      </w:r>
    </w:p>
    <w:p>
      <w:pPr>
        <w:spacing w:after="0" w:line="71" w:lineRule="exact"/>
        <w:rPr>
          <w:rFonts w:ascii="Arial" w:cs="Arial" w:eastAsia="Arial" w:hAnsi="Arial"/>
          <w:sz w:val="18"/>
          <w:szCs w:val="18"/>
          <w:color w:val="auto"/>
        </w:rPr>
      </w:pPr>
    </w:p>
    <w:p>
      <w:pPr>
        <w:ind w:right="340" w:firstLine="987"/>
        <w:spacing w:after="0" w:line="266" w:lineRule="auto"/>
        <w:tabs>
          <w:tab w:leader="none" w:pos="1286" w:val="left"/>
        </w:tabs>
        <w:numPr>
          <w:ilvl w:val="0"/>
          <w:numId w:val="2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Listed Security</w:t>
      </w:r>
      <w:r>
        <w:rPr>
          <w:rFonts w:ascii="Arial" w:cs="Arial" w:eastAsia="Arial" w:hAnsi="Arial"/>
          <w:sz w:val="18"/>
          <w:szCs w:val="18"/>
          <w:color w:val="auto"/>
        </w:rPr>
        <w:t>” means any security of the Company that is listed or approved for listing on a national securities exchange or designated or approved for designation as a national market system security on an interdealer quotation system by the Financial Industry Regulatory Authority (or any successor thereto).</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281" w:name="page282"/>
    <w:bookmarkEnd w:id="281"/>
    <w:p>
      <w:pPr>
        <w:ind w:left="1240" w:hanging="253"/>
        <w:spacing w:after="0"/>
        <w:tabs>
          <w:tab w:leader="none" w:pos="1240" w:val="left"/>
        </w:tabs>
        <w:numPr>
          <w:ilvl w:val="0"/>
          <w:numId w:val="22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b w:val="1"/>
          <w:bCs w:val="1"/>
          <w:u w:val="single" w:color="auto"/>
          <w:color w:val="auto"/>
        </w:rPr>
        <w:t>Nonstatutory Stock Option</w:t>
      </w:r>
      <w:r>
        <w:rPr>
          <w:rFonts w:ascii="Arial" w:cs="Arial" w:eastAsia="Arial" w:hAnsi="Arial"/>
          <w:sz w:val="17"/>
          <w:szCs w:val="17"/>
          <w:color w:val="auto"/>
        </w:rPr>
        <w:t>” means an Option that is not intended to, or does not, in fact, qualify as an Incentive Stock Option.</w:t>
      </w:r>
    </w:p>
    <w:p>
      <w:pPr>
        <w:spacing w:after="0" w:line="128" w:lineRule="exact"/>
        <w:rPr>
          <w:rFonts w:ascii="Arial" w:cs="Arial" w:eastAsia="Arial" w:hAnsi="Arial"/>
          <w:sz w:val="17"/>
          <w:szCs w:val="17"/>
          <w:color w:val="auto"/>
        </w:rPr>
      </w:pPr>
    </w:p>
    <w:p>
      <w:pPr>
        <w:ind w:left="1240" w:hanging="253"/>
        <w:spacing w:after="0"/>
        <w:tabs>
          <w:tab w:leader="none" w:pos="124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Option</w:t>
      </w:r>
      <w:r>
        <w:rPr>
          <w:rFonts w:ascii="Arial" w:cs="Arial" w:eastAsia="Arial" w:hAnsi="Arial"/>
          <w:sz w:val="18"/>
          <w:szCs w:val="18"/>
          <w:color w:val="auto"/>
        </w:rPr>
        <w:t>” means a stock option granted pursuant to the Plan.</w:t>
      </w:r>
    </w:p>
    <w:p>
      <w:pPr>
        <w:spacing w:after="0" w:line="117" w:lineRule="exact"/>
        <w:rPr>
          <w:rFonts w:ascii="Arial" w:cs="Arial" w:eastAsia="Arial" w:hAnsi="Arial"/>
          <w:sz w:val="18"/>
          <w:szCs w:val="18"/>
          <w:color w:val="auto"/>
        </w:rPr>
      </w:pPr>
    </w:p>
    <w:p>
      <w:pPr>
        <w:ind w:firstLine="987"/>
        <w:spacing w:after="0" w:line="266" w:lineRule="auto"/>
        <w:tabs>
          <w:tab w:leader="none" w:pos="1236" w:val="left"/>
        </w:tabs>
        <w:numPr>
          <w:ilvl w:val="0"/>
          <w:numId w:val="2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Option Agreement</w:t>
      </w:r>
      <w:r>
        <w:rPr>
          <w:rFonts w:ascii="Arial" w:cs="Arial" w:eastAsia="Arial" w:hAnsi="Arial"/>
          <w:sz w:val="18"/>
          <w:szCs w:val="18"/>
          <w:color w:val="auto"/>
        </w:rPr>
        <w:t>” means a written document, the form(s) of which shall be approved from time to time by the Administrator, reflecting the terms of an Option granted under the Plan and includes any documents attached to or incorporated into such Option Agreement, including, but not limited to, a notice of stock option grant and a form of exercise notice.</w:t>
      </w:r>
    </w:p>
    <w:p>
      <w:pPr>
        <w:spacing w:after="0" w:line="68" w:lineRule="exact"/>
        <w:rPr>
          <w:sz w:val="20"/>
          <w:szCs w:val="20"/>
          <w:color w:val="auto"/>
        </w:rPr>
      </w:pPr>
    </w:p>
    <w:p>
      <w:pPr>
        <w:ind w:firstLine="987"/>
        <w:spacing w:after="0" w:line="266" w:lineRule="auto"/>
        <w:tabs>
          <w:tab w:leader="none" w:pos="1316" w:val="left"/>
        </w:tabs>
        <w:numPr>
          <w:ilvl w:val="0"/>
          <w:numId w:val="2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Option Exchange Program</w:t>
      </w:r>
      <w:r>
        <w:rPr>
          <w:rFonts w:ascii="Arial" w:cs="Arial" w:eastAsia="Arial" w:hAnsi="Arial"/>
          <w:sz w:val="18"/>
          <w:szCs w:val="18"/>
          <w:color w:val="auto"/>
        </w:rPr>
        <w:t>” means a program approved by the Administrator whereby outstanding Options (i) are exchanged for Options with a lower exercise price, Restricted Stock, Restricted Stock Units, cash or other property or (ii) are amended to decrease the exercise price as a result of a decline in the Fair Market Value.</w:t>
      </w:r>
    </w:p>
    <w:p>
      <w:pPr>
        <w:spacing w:after="0" w:line="67" w:lineRule="exact"/>
        <w:rPr>
          <w:rFonts w:ascii="Arial" w:cs="Arial" w:eastAsia="Arial" w:hAnsi="Arial"/>
          <w:sz w:val="18"/>
          <w:szCs w:val="18"/>
          <w:color w:val="auto"/>
        </w:rPr>
      </w:pPr>
    </w:p>
    <w:p>
      <w:pPr>
        <w:ind w:left="1340" w:hanging="353"/>
        <w:spacing w:after="0"/>
        <w:tabs>
          <w:tab w:leader="none" w:pos="134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Optioned Stock</w:t>
      </w:r>
      <w:r>
        <w:rPr>
          <w:rFonts w:ascii="Arial" w:cs="Arial" w:eastAsia="Arial" w:hAnsi="Arial"/>
          <w:sz w:val="18"/>
          <w:szCs w:val="18"/>
          <w:color w:val="auto"/>
        </w:rPr>
        <w:t>” means Shares that are subject to an Option or that were issued pursuant to the exercise of an Option.</w:t>
      </w:r>
    </w:p>
    <w:p>
      <w:pPr>
        <w:spacing w:after="0" w:line="117" w:lineRule="exact"/>
        <w:rPr>
          <w:rFonts w:ascii="Arial" w:cs="Arial" w:eastAsia="Arial" w:hAnsi="Arial"/>
          <w:sz w:val="18"/>
          <w:szCs w:val="18"/>
          <w:color w:val="auto"/>
        </w:rPr>
      </w:pPr>
    </w:p>
    <w:p>
      <w:pPr>
        <w:ind w:left="1320" w:hanging="333"/>
        <w:spacing w:after="0"/>
        <w:tabs>
          <w:tab w:leader="none" w:pos="132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Optionee</w:t>
      </w:r>
      <w:r>
        <w:rPr>
          <w:rFonts w:ascii="Arial" w:cs="Arial" w:eastAsia="Arial" w:hAnsi="Arial"/>
          <w:sz w:val="18"/>
          <w:szCs w:val="18"/>
          <w:color w:val="auto"/>
        </w:rPr>
        <w:t>” means an Employee or Consultant who receives an Option.</w:t>
      </w:r>
    </w:p>
    <w:p>
      <w:pPr>
        <w:spacing w:after="0" w:line="117" w:lineRule="exact"/>
        <w:rPr>
          <w:rFonts w:ascii="Arial" w:cs="Arial" w:eastAsia="Arial" w:hAnsi="Arial"/>
          <w:sz w:val="18"/>
          <w:szCs w:val="18"/>
          <w:color w:val="auto"/>
        </w:rPr>
      </w:pPr>
    </w:p>
    <w:p>
      <w:pPr>
        <w:ind w:right="40" w:firstLine="987"/>
        <w:spacing w:after="0" w:line="261" w:lineRule="auto"/>
        <w:tabs>
          <w:tab w:leader="none" w:pos="1336" w:val="left"/>
        </w:tabs>
        <w:numPr>
          <w:ilvl w:val="0"/>
          <w:numId w:val="2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Parent</w:t>
      </w:r>
      <w:r>
        <w:rPr>
          <w:rFonts w:ascii="Arial" w:cs="Arial" w:eastAsia="Arial" w:hAnsi="Arial"/>
          <w:sz w:val="18"/>
          <w:szCs w:val="18"/>
          <w:color w:val="auto"/>
        </w:rPr>
        <w:t>” means any corporation (other than the Company) in an unbroken chain of corporations ending with the Company if, at the time of grant of the Award, each of the corporations other than the Company owns stock possessing 50% or more of the total combined voting power of all classes of stock in one of the other corporations in such chain. A corporation that attains the status of a Parent on a date after the adoption of the Plan shall be considered a Parent commencing as of such date.</w:t>
      </w:r>
    </w:p>
    <w:p>
      <w:pPr>
        <w:spacing w:after="0" w:line="71" w:lineRule="exact"/>
        <w:rPr>
          <w:rFonts w:ascii="Arial" w:cs="Arial" w:eastAsia="Arial" w:hAnsi="Arial"/>
          <w:sz w:val="18"/>
          <w:szCs w:val="18"/>
          <w:color w:val="auto"/>
        </w:rPr>
      </w:pPr>
    </w:p>
    <w:p>
      <w:pPr>
        <w:ind w:left="1320" w:hanging="333"/>
        <w:spacing w:after="0"/>
        <w:tabs>
          <w:tab w:leader="none" w:pos="132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Participant</w:t>
      </w:r>
      <w:r>
        <w:rPr>
          <w:rFonts w:ascii="Arial" w:cs="Arial" w:eastAsia="Arial" w:hAnsi="Arial"/>
          <w:sz w:val="18"/>
          <w:szCs w:val="18"/>
          <w:color w:val="auto"/>
        </w:rPr>
        <w:t>” means any holder of one or more Awards or Shares issued pursuant to an Award.</w:t>
      </w:r>
    </w:p>
    <w:p>
      <w:pPr>
        <w:spacing w:after="0" w:line="117" w:lineRule="exact"/>
        <w:rPr>
          <w:rFonts w:ascii="Arial" w:cs="Arial" w:eastAsia="Arial" w:hAnsi="Arial"/>
          <w:sz w:val="18"/>
          <w:szCs w:val="18"/>
          <w:color w:val="auto"/>
        </w:rPr>
      </w:pPr>
    </w:p>
    <w:p>
      <w:pPr>
        <w:ind w:left="1260" w:hanging="273"/>
        <w:spacing w:after="0"/>
        <w:tabs>
          <w:tab w:leader="none" w:pos="12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Plan</w:t>
      </w:r>
      <w:r>
        <w:rPr>
          <w:rFonts w:ascii="Arial" w:cs="Arial" w:eastAsia="Arial" w:hAnsi="Arial"/>
          <w:sz w:val="18"/>
          <w:szCs w:val="18"/>
          <w:color w:val="auto"/>
        </w:rPr>
        <w:t>” means this Amended and Restated 2012 Stock Plan.</w:t>
      </w:r>
    </w:p>
    <w:p>
      <w:pPr>
        <w:spacing w:after="0" w:line="117" w:lineRule="exact"/>
        <w:rPr>
          <w:rFonts w:ascii="Arial" w:cs="Arial" w:eastAsia="Arial" w:hAnsi="Arial"/>
          <w:sz w:val="18"/>
          <w:szCs w:val="18"/>
          <w:color w:val="auto"/>
        </w:rPr>
      </w:pPr>
    </w:p>
    <w:p>
      <w:pPr>
        <w:ind w:left="1340" w:hanging="353"/>
        <w:spacing w:after="0"/>
        <w:tabs>
          <w:tab w:leader="none" w:pos="134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Restricted Stock</w:t>
      </w:r>
      <w:r>
        <w:rPr>
          <w:rFonts w:ascii="Arial" w:cs="Arial" w:eastAsia="Arial" w:hAnsi="Arial"/>
          <w:sz w:val="16"/>
          <w:szCs w:val="16"/>
          <w:color w:val="auto"/>
        </w:rPr>
        <w:t>” means Shares acquired pursuant to a right to purchase or receive Common Stock granted pursuant to Section 8</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below.</w:t>
      </w:r>
    </w:p>
    <w:p>
      <w:pPr>
        <w:spacing w:after="0" w:line="98" w:lineRule="exact"/>
        <w:rPr>
          <w:rFonts w:ascii="Arial" w:cs="Arial" w:eastAsia="Arial" w:hAnsi="Arial"/>
          <w:sz w:val="16"/>
          <w:szCs w:val="16"/>
          <w:color w:val="auto"/>
        </w:rPr>
      </w:pPr>
    </w:p>
    <w:p>
      <w:pPr>
        <w:ind w:right="220" w:firstLine="987"/>
        <w:spacing w:after="0" w:line="347" w:lineRule="auto"/>
        <w:tabs>
          <w:tab w:leader="none" w:pos="1336" w:val="left"/>
        </w:tabs>
        <w:numPr>
          <w:ilvl w:val="0"/>
          <w:numId w:val="22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Restricted Stock Purchase Agreement</w:t>
      </w:r>
      <w:r>
        <w:rPr>
          <w:rFonts w:ascii="Arial" w:cs="Arial" w:eastAsia="Arial" w:hAnsi="Arial"/>
          <w:sz w:val="16"/>
          <w:szCs w:val="16"/>
          <w:color w:val="auto"/>
        </w:rPr>
        <w:t>” means a written document, the form(s) of which shall be approved from time to time by the Administrator, reflecting the terms of Restricted Stock granted under the Plan and includes any documents attached to such agreement.</w:t>
      </w:r>
    </w:p>
    <w:p>
      <w:pPr>
        <w:spacing w:after="0" w:line="7" w:lineRule="exact"/>
        <w:rPr>
          <w:rFonts w:ascii="Arial" w:cs="Arial" w:eastAsia="Arial" w:hAnsi="Arial"/>
          <w:sz w:val="16"/>
          <w:szCs w:val="16"/>
          <w:color w:val="auto"/>
        </w:rPr>
      </w:pPr>
    </w:p>
    <w:p>
      <w:pPr>
        <w:ind w:right="340" w:firstLine="987"/>
        <w:spacing w:after="0" w:line="312" w:lineRule="auto"/>
        <w:tabs>
          <w:tab w:leader="none" w:pos="1256" w:val="left"/>
        </w:tabs>
        <w:numPr>
          <w:ilvl w:val="0"/>
          <w:numId w:val="22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Restricted Stock Unit</w:t>
      </w:r>
      <w:r>
        <w:rPr>
          <w:rFonts w:ascii="Arial" w:cs="Arial" w:eastAsia="Arial" w:hAnsi="Arial"/>
          <w:sz w:val="17"/>
          <w:szCs w:val="17"/>
          <w:color w:val="auto"/>
        </w:rPr>
        <w:t>” means a bookkeeping entry representing an amount equal to the Fair Market Value of one Share, granted pursuant to Section 8 below. Each Restricted Stock Unit represents an unfunded and unsecured obligation of the Company.</w:t>
      </w:r>
    </w:p>
    <w:p>
      <w:pPr>
        <w:spacing w:after="0" w:line="31" w:lineRule="exact"/>
        <w:rPr>
          <w:rFonts w:ascii="Arial" w:cs="Arial" w:eastAsia="Arial" w:hAnsi="Arial"/>
          <w:sz w:val="17"/>
          <w:szCs w:val="17"/>
          <w:color w:val="auto"/>
        </w:rPr>
      </w:pPr>
    </w:p>
    <w:p>
      <w:pPr>
        <w:ind w:right="400" w:firstLine="987"/>
        <w:spacing w:after="0" w:line="347" w:lineRule="auto"/>
        <w:tabs>
          <w:tab w:leader="none" w:pos="1256" w:val="left"/>
        </w:tabs>
        <w:numPr>
          <w:ilvl w:val="0"/>
          <w:numId w:val="22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Restricted Stock Unit Agreement</w:t>
      </w:r>
      <w:r>
        <w:rPr>
          <w:rFonts w:ascii="Arial" w:cs="Arial" w:eastAsia="Arial" w:hAnsi="Arial"/>
          <w:sz w:val="16"/>
          <w:szCs w:val="16"/>
          <w:color w:val="auto"/>
        </w:rPr>
        <w:t>” means a written document, the form(s) of which shall be approved from time to time by the Administrator, reflecting the terms of Restricted Stock Units granted under the Plan and includes any documents attached to such agreement.</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0" w:right="479" w:bottom="1440" w:gutter="0" w:footer="0" w:header="0"/>
        </w:sectPr>
      </w:pPr>
    </w:p>
    <w:bookmarkStart w:id="282" w:name="page283"/>
    <w:bookmarkEnd w:id="282"/>
    <w:p>
      <w:pPr>
        <w:ind w:left="1340" w:hanging="353"/>
        <w:spacing w:after="0"/>
        <w:tabs>
          <w:tab w:leader="none" w:pos="1340" w:val="left"/>
        </w:tabs>
        <w:numPr>
          <w:ilvl w:val="0"/>
          <w:numId w:val="2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b w:val="1"/>
          <w:bCs w:val="1"/>
          <w:u w:val="single" w:color="auto"/>
          <w:color w:val="auto"/>
        </w:rPr>
        <w:t>Rule 16b-3</w:t>
      </w:r>
      <w:r>
        <w:rPr>
          <w:rFonts w:ascii="Arial" w:cs="Arial" w:eastAsia="Arial" w:hAnsi="Arial"/>
          <w:sz w:val="16"/>
          <w:szCs w:val="16"/>
          <w:color w:val="auto"/>
        </w:rPr>
        <w:t>” means Rule 16b-3 promulgated under the Exchange Act, as amended from time to time, or any successor provision.</w:t>
      </w:r>
    </w:p>
    <w:p>
      <w:pPr>
        <w:spacing w:after="0" w:line="140" w:lineRule="exact"/>
        <w:rPr>
          <w:rFonts w:ascii="Arial" w:cs="Arial" w:eastAsia="Arial" w:hAnsi="Arial"/>
          <w:sz w:val="16"/>
          <w:szCs w:val="16"/>
          <w:color w:val="auto"/>
        </w:rPr>
      </w:pPr>
    </w:p>
    <w:p>
      <w:pPr>
        <w:ind w:left="1260" w:hanging="273"/>
        <w:spacing w:after="0"/>
        <w:tabs>
          <w:tab w:leader="none" w:pos="12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Share</w:t>
      </w:r>
      <w:r>
        <w:rPr>
          <w:rFonts w:ascii="Arial" w:cs="Arial" w:eastAsia="Arial" w:hAnsi="Arial"/>
          <w:sz w:val="18"/>
          <w:szCs w:val="18"/>
          <w:color w:val="auto"/>
        </w:rPr>
        <w:t>” means a share of the Company’s Common Stock, as adjusted in accordance with Section 11 below.</w:t>
      </w:r>
    </w:p>
    <w:p>
      <w:pPr>
        <w:spacing w:after="0" w:line="117" w:lineRule="exact"/>
        <w:rPr>
          <w:rFonts w:ascii="Arial" w:cs="Arial" w:eastAsia="Arial" w:hAnsi="Arial"/>
          <w:sz w:val="18"/>
          <w:szCs w:val="18"/>
          <w:color w:val="auto"/>
        </w:rPr>
      </w:pPr>
    </w:p>
    <w:p>
      <w:pPr>
        <w:ind w:right="120" w:firstLine="987"/>
        <w:spacing w:after="0" w:line="282" w:lineRule="auto"/>
        <w:tabs>
          <w:tab w:leader="none" w:pos="1436" w:val="left"/>
        </w:tabs>
        <w:numPr>
          <w:ilvl w:val="0"/>
          <w:numId w:val="2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Stock Exchange</w:t>
      </w:r>
      <w:r>
        <w:rPr>
          <w:rFonts w:ascii="Arial" w:cs="Arial" w:eastAsia="Arial" w:hAnsi="Arial"/>
          <w:sz w:val="18"/>
          <w:szCs w:val="18"/>
          <w:color w:val="auto"/>
        </w:rPr>
        <w:t>” means any stock exchange or consolidated stock price reporting system on which prices for the Common Stock are quoted at any given time.</w:t>
      </w:r>
    </w:p>
    <w:p>
      <w:pPr>
        <w:spacing w:after="0" w:line="53" w:lineRule="exact"/>
        <w:rPr>
          <w:rFonts w:ascii="Arial" w:cs="Arial" w:eastAsia="Arial" w:hAnsi="Arial"/>
          <w:sz w:val="18"/>
          <w:szCs w:val="18"/>
          <w:color w:val="auto"/>
        </w:rPr>
      </w:pPr>
    </w:p>
    <w:p>
      <w:pPr>
        <w:ind w:firstLine="987"/>
        <w:spacing w:after="0" w:line="281" w:lineRule="auto"/>
        <w:tabs>
          <w:tab w:leader="none" w:pos="1336" w:val="left"/>
        </w:tabs>
        <w:numPr>
          <w:ilvl w:val="0"/>
          <w:numId w:val="23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Subsidiary</w:t>
      </w:r>
      <w:r>
        <w:rPr>
          <w:rFonts w:ascii="Arial" w:cs="Arial" w:eastAsia="Arial" w:hAnsi="Arial"/>
          <w:sz w:val="17"/>
          <w:szCs w:val="17"/>
          <w:color w:val="auto"/>
        </w:rPr>
        <w:t>” means any corporation (other than the Company) in an unbroken chain of corporations beginning with the Company if, at the time of grant of the Award, each of the corporations other than the last corporation in the unbroken chain owns stock possessing 50% or more of the total combined voting power of all classes of stock in one of the other corporations in such chain. A corporation that attains the status of a Subsidiary on a date after the adoption of the Plan shall be considered a Subsidiary commencing as of such date.</w:t>
      </w:r>
    </w:p>
    <w:p>
      <w:pPr>
        <w:spacing w:after="0" w:line="56" w:lineRule="exact"/>
        <w:rPr>
          <w:rFonts w:ascii="Arial" w:cs="Arial" w:eastAsia="Arial" w:hAnsi="Arial"/>
          <w:sz w:val="17"/>
          <w:szCs w:val="17"/>
          <w:color w:val="auto"/>
        </w:rPr>
      </w:pPr>
    </w:p>
    <w:p>
      <w:pPr>
        <w:ind w:right="60" w:firstLine="987"/>
        <w:spacing w:after="0" w:line="282" w:lineRule="auto"/>
        <w:tabs>
          <w:tab w:leader="none" w:pos="1336" w:val="left"/>
        </w:tabs>
        <w:numPr>
          <w:ilvl w:val="0"/>
          <w:numId w:val="2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Ten Percent Holder</w:t>
      </w:r>
      <w:r>
        <w:rPr>
          <w:rFonts w:ascii="Arial" w:cs="Arial" w:eastAsia="Arial" w:hAnsi="Arial"/>
          <w:sz w:val="18"/>
          <w:szCs w:val="18"/>
          <w:color w:val="auto"/>
        </w:rPr>
        <w:t>” means a person who owns stock representing more than 10% of the voting power of all classes of stock of the Company or any Parent or Subsidiary measured as of an Award’s date of grant.</w:t>
      </w:r>
    </w:p>
    <w:p>
      <w:pPr>
        <w:spacing w:after="0" w:line="53" w:lineRule="exact"/>
        <w:rPr>
          <w:rFonts w:ascii="Arial" w:cs="Arial" w:eastAsia="Arial" w:hAnsi="Arial"/>
          <w:sz w:val="18"/>
          <w:szCs w:val="18"/>
          <w:color w:val="auto"/>
        </w:rPr>
      </w:pPr>
    </w:p>
    <w:p>
      <w:pPr>
        <w:ind w:left="1340" w:hanging="353"/>
        <w:spacing w:after="0"/>
        <w:tabs>
          <w:tab w:leader="none" w:pos="134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Triggering Event</w:t>
      </w:r>
      <w:r>
        <w:rPr>
          <w:rFonts w:ascii="Arial" w:cs="Arial" w:eastAsia="Arial" w:hAnsi="Arial"/>
          <w:sz w:val="18"/>
          <w:szCs w:val="18"/>
          <w:color w:val="auto"/>
        </w:rPr>
        <w:t>” means:</w:t>
      </w:r>
    </w:p>
    <w:p>
      <w:pPr>
        <w:spacing w:after="0" w:line="121" w:lineRule="exact"/>
        <w:rPr>
          <w:rFonts w:ascii="Arial" w:cs="Arial" w:eastAsia="Arial" w:hAnsi="Arial"/>
          <w:sz w:val="18"/>
          <w:szCs w:val="18"/>
          <w:color w:val="auto"/>
        </w:rPr>
      </w:pPr>
    </w:p>
    <w:p>
      <w:pPr>
        <w:ind w:right="120" w:firstLine="1428"/>
        <w:spacing w:after="0" w:line="259" w:lineRule="auto"/>
        <w:tabs>
          <w:tab w:leader="none" w:pos="1647" w:val="left"/>
        </w:tabs>
        <w:numPr>
          <w:ilvl w:val="1"/>
          <w:numId w:val="230"/>
        </w:numPr>
        <w:rPr>
          <w:rFonts w:ascii="Arial" w:cs="Arial" w:eastAsia="Arial" w:hAnsi="Arial"/>
          <w:sz w:val="18"/>
          <w:szCs w:val="18"/>
          <w:color w:val="auto"/>
        </w:rPr>
      </w:pPr>
      <w:r>
        <w:rPr>
          <w:rFonts w:ascii="Arial" w:cs="Arial" w:eastAsia="Arial" w:hAnsi="Arial"/>
          <w:sz w:val="18"/>
          <w:szCs w:val="18"/>
          <w:color w:val="auto"/>
        </w:rPr>
        <w:t>a sale, transfer or disposition of all or substantially all of the Company’s assets other than to (A) a corporation or other entity of which at least a majority of its combined voting power is owned directly or indirectly by the Company, (B) a corporation or other entity owned directly or indirectly by the holders of capital stock of the Company in substantially the same proportions as their ownership of Common Stock, or (C) an Excluded Entity (as defined in subsection (ii) below); or</w:t>
      </w:r>
    </w:p>
    <w:p>
      <w:pPr>
        <w:spacing w:after="0" w:line="78" w:lineRule="exact"/>
        <w:rPr>
          <w:rFonts w:ascii="Arial" w:cs="Arial" w:eastAsia="Arial" w:hAnsi="Arial"/>
          <w:sz w:val="18"/>
          <w:szCs w:val="18"/>
          <w:color w:val="auto"/>
        </w:rPr>
      </w:pPr>
    </w:p>
    <w:p>
      <w:pPr>
        <w:ind w:right="140" w:firstLine="1428"/>
        <w:spacing w:after="0" w:line="296" w:lineRule="auto"/>
        <w:tabs>
          <w:tab w:leader="none" w:pos="1697" w:val="left"/>
        </w:tabs>
        <w:numPr>
          <w:ilvl w:val="1"/>
          <w:numId w:val="230"/>
        </w:numPr>
        <w:rPr>
          <w:rFonts w:ascii="Arial" w:cs="Arial" w:eastAsia="Arial" w:hAnsi="Arial"/>
          <w:sz w:val="16"/>
          <w:szCs w:val="16"/>
          <w:color w:val="auto"/>
        </w:rPr>
      </w:pPr>
      <w:r>
        <w:rPr>
          <w:rFonts w:ascii="Arial" w:cs="Arial" w:eastAsia="Arial" w:hAnsi="Arial"/>
          <w:sz w:val="16"/>
          <w:szCs w:val="16"/>
          <w:color w:val="auto"/>
        </w:rPr>
        <w:t>any merger, consolidation or other business combination transaction of the Company with or into another corporation, entity or person, other than a transaction with or into another corporation, entity or person in which the holders of at least a majority of the shares of voting capital stock of the Company outstanding immediately prior to such transaction continue to hold (either by such shares remaining outstanding in the continuing entity or by their being converted into shares of voting capital stock of the surviving entity) a majority of the total voting power represented by the shares of voting capital stock of the Company (or the surviving entity) outstanding immediately after such transaction (an “</w:t>
      </w:r>
      <w:r>
        <w:rPr>
          <w:rFonts w:ascii="Arial" w:cs="Arial" w:eastAsia="Arial" w:hAnsi="Arial"/>
          <w:sz w:val="16"/>
          <w:szCs w:val="16"/>
          <w:u w:val="single" w:color="auto"/>
          <w:color w:val="auto"/>
        </w:rPr>
        <w:t>Excluded Entity</w:t>
      </w:r>
      <w:r>
        <w:rPr>
          <w:rFonts w:ascii="Arial" w:cs="Arial" w:eastAsia="Arial" w:hAnsi="Arial"/>
          <w:sz w:val="16"/>
          <w:szCs w:val="16"/>
          <w:color w:val="auto"/>
        </w:rPr>
        <w:t>”).</w:t>
      </w:r>
    </w:p>
    <w:p>
      <w:pPr>
        <w:spacing w:after="0" w:line="16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Notwithstanding anything stated herein, a transaction shall not constitute a “Triggering Event” if its sole purpose is to change the state of the Company’s incorporation, or to create a holding company that will be owned in substantially the same proportions by the persons who hold the Company’s securities immediately before such transaction. For clarity, the term “Triggering Event” as defined herein shall not include stock sale transactions whether by the Company or by the holders of capital stock.</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0" w:right="459" w:bottom="1440" w:gutter="0" w:footer="0" w:header="0"/>
        </w:sectPr>
      </w:pPr>
    </w:p>
    <w:bookmarkStart w:id="283" w:name="page284"/>
    <w:bookmarkEnd w:id="283"/>
    <w:p>
      <w:pPr>
        <w:ind w:left="-20" w:firstLine="436"/>
        <w:spacing w:after="0" w:line="270" w:lineRule="auto"/>
        <w:tabs>
          <w:tab w:leader="none" w:pos="600" w:val="left"/>
        </w:tabs>
        <w:numPr>
          <w:ilvl w:val="0"/>
          <w:numId w:val="231"/>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Stock Subject to the Plan</w:t>
      </w:r>
      <w:r>
        <w:rPr>
          <w:rFonts w:ascii="Arial" w:cs="Arial" w:eastAsia="Arial" w:hAnsi="Arial"/>
          <w:sz w:val="17"/>
          <w:szCs w:val="17"/>
          <w:color w:val="auto"/>
        </w:rPr>
        <w:t>. Subject to the provisions of Section 11 below, the maximum aggregate number of Shares that may be issued under</w:t>
      </w:r>
      <w:r>
        <w:rPr>
          <w:rFonts w:ascii="Arial" w:cs="Arial" w:eastAsia="Arial" w:hAnsi="Arial"/>
          <w:sz w:val="17"/>
          <w:szCs w:val="17"/>
          <w:b w:val="1"/>
          <w:bCs w:val="1"/>
          <w:color w:val="auto"/>
        </w:rPr>
        <w:t xml:space="preserve"> </w:t>
      </w:r>
      <w:r>
        <w:rPr>
          <w:rFonts w:ascii="Arial" w:cs="Arial" w:eastAsia="Arial" w:hAnsi="Arial"/>
          <w:sz w:val="17"/>
          <w:szCs w:val="17"/>
          <w:color w:val="auto"/>
        </w:rPr>
        <w:t>the Plan is 52,299,254 Shares, all of which Shares may be issued under the Plan pursuant to Incentive Stock Options. The Shares issued under the Plan may be authorized, but unissued, or reacquired Shares. If an Award should expire or become unexercisable for any reason without having been exercised or settled in full, or is surrendered pursuant to an Option Exchange Program, the unissued Shares that were subject thereto shall, unless the Plan shall have been terminated, become available for future issuance under the Plan. In addition, any Shares which are retained by the Company upon exercise of an Award in order to satisfy the exercise or purchase price for such Award or any withholding taxes due with respect to such Award shall be treated as not issued and shall continue to be available under the Plan and Shares issued under the Plan and later forfeited to the Company due to the failure to vest or repurchased by the Company at the original purchase price paid to the Company for the Shares (including, without limitation, upon forfeiture to or repurchase by the Company in connection with the termination of a Participant’s Continuous Service Status) shall again be available for future grant under the Plan.</w:t>
      </w:r>
    </w:p>
    <w:p>
      <w:pPr>
        <w:spacing w:after="0" w:line="68" w:lineRule="exact"/>
        <w:rPr>
          <w:rFonts w:ascii="Arial" w:cs="Arial" w:eastAsia="Arial" w:hAnsi="Arial"/>
          <w:sz w:val="17"/>
          <w:szCs w:val="17"/>
          <w:color w:val="auto"/>
        </w:rPr>
      </w:pPr>
    </w:p>
    <w:p>
      <w:pPr>
        <w:ind w:left="600" w:hanging="184"/>
        <w:spacing w:after="0"/>
        <w:tabs>
          <w:tab w:leader="none" w:pos="600" w:val="left"/>
        </w:tabs>
        <w:numPr>
          <w:ilvl w:val="0"/>
          <w:numId w:val="231"/>
        </w:numPr>
        <w:rPr>
          <w:rFonts w:ascii="Arial" w:cs="Arial" w:eastAsia="Arial" w:hAnsi="Arial"/>
          <w:sz w:val="18"/>
          <w:szCs w:val="18"/>
          <w:color w:val="auto"/>
        </w:rPr>
      </w:pPr>
      <w:r>
        <w:rPr>
          <w:rFonts w:ascii="Arial" w:cs="Arial" w:eastAsia="Arial" w:hAnsi="Arial"/>
          <w:sz w:val="18"/>
          <w:szCs w:val="18"/>
          <w:b w:val="1"/>
          <w:bCs w:val="1"/>
          <w:u w:val="single" w:color="auto"/>
          <w:color w:val="auto"/>
        </w:rPr>
        <w:t>Administration of the Plan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 w:right="560" w:firstLine="987"/>
        <w:spacing w:after="0" w:line="281" w:lineRule="auto"/>
        <w:tabs>
          <w:tab w:leader="none" w:pos="1216" w:val="left"/>
        </w:tabs>
        <w:numPr>
          <w:ilvl w:val="1"/>
          <w:numId w:val="231"/>
        </w:numPr>
        <w:rPr>
          <w:rFonts w:ascii="Arial" w:cs="Arial" w:eastAsia="Arial" w:hAnsi="Arial"/>
          <w:sz w:val="17"/>
          <w:szCs w:val="17"/>
          <w:color w:val="auto"/>
        </w:rPr>
      </w:pPr>
      <w:r>
        <w:rPr>
          <w:rFonts w:ascii="Arial" w:cs="Arial" w:eastAsia="Arial" w:hAnsi="Arial"/>
          <w:sz w:val="17"/>
          <w:szCs w:val="17"/>
          <w:b w:val="1"/>
          <w:bCs w:val="1"/>
          <w:u w:val="single" w:color="auto"/>
          <w:color w:val="auto"/>
        </w:rPr>
        <w:t>General</w:t>
      </w:r>
      <w:r>
        <w:rPr>
          <w:rFonts w:ascii="Arial" w:cs="Arial" w:eastAsia="Arial" w:hAnsi="Arial"/>
          <w:sz w:val="17"/>
          <w:szCs w:val="17"/>
          <w:color w:val="auto"/>
        </w:rPr>
        <w:t>. The Plan shall be administered by the Board, a Committee appointed by the Board, or any combination thereof, as</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determined by the Board. The Plan may be administered by different administrative bodies with respect to different classes of Participants and, if permitted by Applicable Laws, the Board may authorize one or more officers of the Company to make Awards under the Plan to Employees and Consultants (who are not subject to Section 16 of the Exchange Act) within parameters specified by the Board.</w:t>
      </w:r>
    </w:p>
    <w:p>
      <w:pPr>
        <w:spacing w:after="0" w:line="56" w:lineRule="exact"/>
        <w:rPr>
          <w:rFonts w:ascii="Arial" w:cs="Arial" w:eastAsia="Arial" w:hAnsi="Arial"/>
          <w:sz w:val="17"/>
          <w:szCs w:val="17"/>
          <w:color w:val="auto"/>
        </w:rPr>
      </w:pPr>
    </w:p>
    <w:p>
      <w:pPr>
        <w:ind w:left="-20" w:right="80" w:firstLine="987"/>
        <w:spacing w:after="0" w:line="256" w:lineRule="auto"/>
        <w:tabs>
          <w:tab w:leader="none" w:pos="1226" w:val="left"/>
        </w:tabs>
        <w:numPr>
          <w:ilvl w:val="1"/>
          <w:numId w:val="231"/>
        </w:numPr>
        <w:rPr>
          <w:rFonts w:ascii="Arial" w:cs="Arial" w:eastAsia="Arial" w:hAnsi="Arial"/>
          <w:sz w:val="18"/>
          <w:szCs w:val="18"/>
          <w:color w:val="auto"/>
        </w:rPr>
      </w:pPr>
      <w:r>
        <w:rPr>
          <w:rFonts w:ascii="Arial" w:cs="Arial" w:eastAsia="Arial" w:hAnsi="Arial"/>
          <w:sz w:val="18"/>
          <w:szCs w:val="18"/>
          <w:b w:val="1"/>
          <w:bCs w:val="1"/>
          <w:u w:val="single" w:color="auto"/>
          <w:color w:val="auto"/>
        </w:rPr>
        <w:t>Committee Composition</w:t>
      </w:r>
      <w:r>
        <w:rPr>
          <w:rFonts w:ascii="Arial" w:cs="Arial" w:eastAsia="Arial" w:hAnsi="Arial"/>
          <w:sz w:val="18"/>
          <w:szCs w:val="18"/>
          <w:color w:val="auto"/>
        </w:rPr>
        <w:t>. If a Committee has been appointed pursuant to this Section 4, such Committee shall continue to serve in its</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designated capacity until otherwise directed by the Board. From time to time the Board may increase the size of any Committee and appoint additional members thereof, remove members (with or without cause) and appoint new members in substitution therefor, fill vacancies (however caused) and dissolve a Committee and thereafter directly administer the Plan, all to the extent permitted by Applicable Laws and, in the case of a Committee administering the Plan in accordance with the requirements of Rule 16b-3 or Section 162(m) of the Code, to the extent permitted or required by such provisions.</w:t>
      </w:r>
    </w:p>
    <w:p>
      <w:pPr>
        <w:spacing w:after="0" w:line="79" w:lineRule="exact"/>
        <w:rPr>
          <w:rFonts w:ascii="Arial" w:cs="Arial" w:eastAsia="Arial" w:hAnsi="Arial"/>
          <w:sz w:val="18"/>
          <w:szCs w:val="18"/>
          <w:color w:val="auto"/>
        </w:rPr>
      </w:pPr>
    </w:p>
    <w:p>
      <w:pPr>
        <w:ind w:left="-20" w:right="200" w:firstLine="987"/>
        <w:spacing w:after="0" w:line="282" w:lineRule="auto"/>
        <w:tabs>
          <w:tab w:leader="none" w:pos="1216" w:val="left"/>
        </w:tabs>
        <w:numPr>
          <w:ilvl w:val="1"/>
          <w:numId w:val="231"/>
        </w:numPr>
        <w:rPr>
          <w:rFonts w:ascii="Arial" w:cs="Arial" w:eastAsia="Arial" w:hAnsi="Arial"/>
          <w:sz w:val="18"/>
          <w:szCs w:val="18"/>
          <w:color w:val="auto"/>
        </w:rPr>
      </w:pPr>
      <w:r>
        <w:rPr>
          <w:rFonts w:ascii="Arial" w:cs="Arial" w:eastAsia="Arial" w:hAnsi="Arial"/>
          <w:sz w:val="18"/>
          <w:szCs w:val="18"/>
          <w:b w:val="1"/>
          <w:bCs w:val="1"/>
          <w:u w:val="single" w:color="auto"/>
          <w:color w:val="auto"/>
        </w:rPr>
        <w:t>Powers of the Administrator</w:t>
      </w:r>
      <w:r>
        <w:rPr>
          <w:rFonts w:ascii="Arial" w:cs="Arial" w:eastAsia="Arial" w:hAnsi="Arial"/>
          <w:sz w:val="18"/>
          <w:szCs w:val="18"/>
          <w:color w:val="auto"/>
        </w:rPr>
        <w:t>. Subject to the provisions of the Plan and, in the case of a Committee, the specific duties delegated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to such Committee, the Administrator shall have the authority, in its sole discretion:</w:t>
      </w:r>
    </w:p>
    <w:p>
      <w:pPr>
        <w:spacing w:after="0" w:line="57" w:lineRule="exact"/>
        <w:rPr>
          <w:rFonts w:ascii="Arial" w:cs="Arial" w:eastAsia="Arial" w:hAnsi="Arial"/>
          <w:sz w:val="18"/>
          <w:szCs w:val="18"/>
          <w:color w:val="auto"/>
        </w:rPr>
      </w:pPr>
    </w:p>
    <w:p>
      <w:pPr>
        <w:ind w:left="-20" w:right="400" w:firstLine="1428"/>
        <w:spacing w:after="0" w:line="277" w:lineRule="auto"/>
        <w:tabs>
          <w:tab w:leader="none" w:pos="1627" w:val="left"/>
        </w:tabs>
        <w:numPr>
          <w:ilvl w:val="2"/>
          <w:numId w:val="231"/>
        </w:numPr>
        <w:rPr>
          <w:rFonts w:ascii="Arial" w:cs="Arial" w:eastAsia="Arial" w:hAnsi="Arial"/>
          <w:sz w:val="18"/>
          <w:szCs w:val="18"/>
          <w:color w:val="auto"/>
        </w:rPr>
      </w:pPr>
      <w:r>
        <w:rPr>
          <w:rFonts w:ascii="Arial" w:cs="Arial" w:eastAsia="Arial" w:hAnsi="Arial"/>
          <w:sz w:val="18"/>
          <w:szCs w:val="18"/>
          <w:color w:val="auto"/>
        </w:rPr>
        <w:t>to determine the Fair Market Value in accordance with Section 2(s) above, provided that such determination shall be applied consistently with respect to Participants under the Plan;</w:t>
      </w:r>
    </w:p>
    <w:p>
      <w:pPr>
        <w:spacing w:after="0" w:line="62" w:lineRule="exact"/>
        <w:rPr>
          <w:rFonts w:ascii="Arial" w:cs="Arial" w:eastAsia="Arial" w:hAnsi="Arial"/>
          <w:sz w:val="18"/>
          <w:szCs w:val="18"/>
          <w:color w:val="auto"/>
        </w:rPr>
      </w:pPr>
    </w:p>
    <w:p>
      <w:pPr>
        <w:ind w:left="1680" w:hanging="272"/>
        <w:spacing w:after="0"/>
        <w:tabs>
          <w:tab w:leader="none" w:pos="1680" w:val="left"/>
        </w:tabs>
        <w:numPr>
          <w:ilvl w:val="2"/>
          <w:numId w:val="231"/>
        </w:numPr>
        <w:rPr>
          <w:rFonts w:ascii="Arial" w:cs="Arial" w:eastAsia="Arial" w:hAnsi="Arial"/>
          <w:sz w:val="18"/>
          <w:szCs w:val="18"/>
          <w:color w:val="auto"/>
        </w:rPr>
      </w:pPr>
      <w:r>
        <w:rPr>
          <w:rFonts w:ascii="Arial" w:cs="Arial" w:eastAsia="Arial" w:hAnsi="Arial"/>
          <w:sz w:val="18"/>
          <w:szCs w:val="18"/>
          <w:color w:val="auto"/>
        </w:rPr>
        <w:t>to select the Employees and Consultants to whom Awards may from time to time be granted;</w:t>
      </w:r>
    </w:p>
    <w:p>
      <w:pPr>
        <w:spacing w:after="0" w:line="117" w:lineRule="exact"/>
        <w:rPr>
          <w:rFonts w:ascii="Arial" w:cs="Arial" w:eastAsia="Arial" w:hAnsi="Arial"/>
          <w:sz w:val="18"/>
          <w:szCs w:val="18"/>
          <w:color w:val="auto"/>
        </w:rPr>
      </w:pPr>
    </w:p>
    <w:p>
      <w:pPr>
        <w:ind w:left="1720" w:hanging="312"/>
        <w:spacing w:after="0"/>
        <w:tabs>
          <w:tab w:leader="none" w:pos="1720" w:val="left"/>
        </w:tabs>
        <w:numPr>
          <w:ilvl w:val="2"/>
          <w:numId w:val="231"/>
        </w:numPr>
        <w:rPr>
          <w:rFonts w:ascii="Arial" w:cs="Arial" w:eastAsia="Arial" w:hAnsi="Arial"/>
          <w:sz w:val="18"/>
          <w:szCs w:val="18"/>
          <w:color w:val="auto"/>
        </w:rPr>
      </w:pPr>
      <w:r>
        <w:rPr>
          <w:rFonts w:ascii="Arial" w:cs="Arial" w:eastAsia="Arial" w:hAnsi="Arial"/>
          <w:sz w:val="18"/>
          <w:szCs w:val="18"/>
          <w:color w:val="auto"/>
        </w:rPr>
        <w:t>to determine the number of Shares to be covered by each Award;</w:t>
      </w:r>
    </w:p>
    <w:p>
      <w:pPr>
        <w:spacing w:after="0" w:line="117" w:lineRule="exact"/>
        <w:rPr>
          <w:rFonts w:ascii="Arial" w:cs="Arial" w:eastAsia="Arial" w:hAnsi="Arial"/>
          <w:sz w:val="18"/>
          <w:szCs w:val="18"/>
          <w:color w:val="auto"/>
        </w:rPr>
      </w:pPr>
    </w:p>
    <w:p>
      <w:pPr>
        <w:ind w:left="1720" w:hanging="312"/>
        <w:spacing w:after="0"/>
        <w:tabs>
          <w:tab w:leader="none" w:pos="1720" w:val="left"/>
        </w:tabs>
        <w:numPr>
          <w:ilvl w:val="2"/>
          <w:numId w:val="231"/>
        </w:numPr>
        <w:rPr>
          <w:rFonts w:ascii="Arial" w:cs="Arial" w:eastAsia="Arial" w:hAnsi="Arial"/>
          <w:sz w:val="18"/>
          <w:szCs w:val="18"/>
          <w:color w:val="auto"/>
        </w:rPr>
      </w:pPr>
      <w:r>
        <w:rPr>
          <w:rFonts w:ascii="Arial" w:cs="Arial" w:eastAsia="Arial" w:hAnsi="Arial"/>
          <w:sz w:val="18"/>
          <w:szCs w:val="18"/>
          <w:color w:val="auto"/>
        </w:rPr>
        <w:t>to approve the form(s) of agreement(s) and other related documents used under the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60" w:top="270" w:right="459" w:bottom="1440" w:gutter="0" w:footer="0" w:header="0"/>
        </w:sectPr>
      </w:pPr>
    </w:p>
    <w:bookmarkStart w:id="284" w:name="page285"/>
    <w:bookmarkEnd w:id="284"/>
    <w:p>
      <w:pPr>
        <w:ind w:right="20" w:firstLine="1428"/>
        <w:spacing w:after="0" w:line="279" w:lineRule="auto"/>
        <w:tabs>
          <w:tab w:leader="none" w:pos="1687" w:val="left"/>
        </w:tabs>
        <w:numPr>
          <w:ilvl w:val="1"/>
          <w:numId w:val="23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determine the terms and conditions, not inconsistent with the terms of the Plan, of any Award granted hereunder, which terms and conditions include but are not limited to the exercise or purchase price (if any), the time or times when Awards may vest, be exercised and/or be settled (which may be based on performance criteria), the circumstances (if any) when vesting will be accelerated or forfeiture restrictions will be waived, and any restriction or limitation regarding any Award, Optioned Stock, Restricted Stock or Restricted Stock Unit;</w:t>
      </w:r>
    </w:p>
    <w:p>
      <w:pPr>
        <w:spacing w:after="0" w:line="63" w:lineRule="exact"/>
        <w:rPr>
          <w:rFonts w:ascii="Arial" w:cs="Arial" w:eastAsia="Arial" w:hAnsi="Arial"/>
          <w:sz w:val="17"/>
          <w:szCs w:val="17"/>
          <w:color w:val="auto"/>
        </w:rPr>
      </w:pPr>
    </w:p>
    <w:p>
      <w:pPr>
        <w:ind w:right="60" w:firstLine="1428"/>
        <w:spacing w:after="0" w:line="259" w:lineRule="auto"/>
        <w:tabs>
          <w:tab w:leader="none" w:pos="1737" w:val="left"/>
        </w:tabs>
        <w:numPr>
          <w:ilvl w:val="1"/>
          <w:numId w:val="232"/>
        </w:numPr>
        <w:rPr>
          <w:rFonts w:ascii="Arial" w:cs="Arial" w:eastAsia="Arial" w:hAnsi="Arial"/>
          <w:sz w:val="18"/>
          <w:szCs w:val="18"/>
          <w:color w:val="auto"/>
        </w:rPr>
      </w:pPr>
      <w:r>
        <w:rPr>
          <w:rFonts w:ascii="Arial" w:cs="Arial" w:eastAsia="Arial" w:hAnsi="Arial"/>
          <w:sz w:val="18"/>
          <w:szCs w:val="18"/>
          <w:color w:val="auto"/>
        </w:rPr>
        <w:t>to amend any outstanding Award or agreement related to any Optioned Stock, Restricted Stock or Restricted Stock Unit, including any amendment adjusting vesting (e.g., in connection with a change in the terms or conditions under which such person is providing services to the Company), provided that no amendment shall be made that would materially and adversely affect the rights of any Participant without his or her consent;</w:t>
      </w:r>
    </w:p>
    <w:p>
      <w:pPr>
        <w:spacing w:after="0" w:line="78" w:lineRule="exact"/>
        <w:rPr>
          <w:rFonts w:ascii="Arial" w:cs="Arial" w:eastAsia="Arial" w:hAnsi="Arial"/>
          <w:sz w:val="18"/>
          <w:szCs w:val="18"/>
          <w:color w:val="auto"/>
        </w:rPr>
      </w:pPr>
    </w:p>
    <w:p>
      <w:pPr>
        <w:ind w:left="1780" w:hanging="352"/>
        <w:spacing w:after="0"/>
        <w:tabs>
          <w:tab w:leader="none" w:pos="1780" w:val="left"/>
        </w:tabs>
        <w:numPr>
          <w:ilvl w:val="1"/>
          <w:numId w:val="232"/>
        </w:numPr>
        <w:rPr>
          <w:rFonts w:ascii="Arial" w:cs="Arial" w:eastAsia="Arial" w:hAnsi="Arial"/>
          <w:sz w:val="16"/>
          <w:szCs w:val="16"/>
          <w:color w:val="auto"/>
        </w:rPr>
      </w:pPr>
      <w:r>
        <w:rPr>
          <w:rFonts w:ascii="Arial" w:cs="Arial" w:eastAsia="Arial" w:hAnsi="Arial"/>
          <w:sz w:val="16"/>
          <w:szCs w:val="16"/>
          <w:color w:val="auto"/>
        </w:rPr>
        <w:t>to determine whether and under what circumstances an Option may be settled in cash under Section 7(c)(iii) below instead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Common Stock;</w:t>
      </w:r>
    </w:p>
    <w:p>
      <w:pPr>
        <w:spacing w:after="0" w:line="102" w:lineRule="exact"/>
        <w:rPr>
          <w:rFonts w:ascii="Arial" w:cs="Arial" w:eastAsia="Arial" w:hAnsi="Arial"/>
          <w:sz w:val="16"/>
          <w:szCs w:val="16"/>
          <w:color w:val="auto"/>
        </w:rPr>
      </w:pPr>
    </w:p>
    <w:p>
      <w:pPr>
        <w:jc w:val="both"/>
        <w:ind w:firstLine="1428"/>
        <w:spacing w:after="0" w:line="263" w:lineRule="auto"/>
        <w:tabs>
          <w:tab w:leader="none" w:pos="1837" w:val="left"/>
        </w:tabs>
        <w:numPr>
          <w:ilvl w:val="1"/>
          <w:numId w:val="232"/>
        </w:numPr>
        <w:rPr>
          <w:rFonts w:ascii="Arial" w:cs="Arial" w:eastAsia="Arial" w:hAnsi="Arial"/>
          <w:sz w:val="18"/>
          <w:szCs w:val="18"/>
          <w:color w:val="auto"/>
        </w:rPr>
      </w:pPr>
      <w:r>
        <w:rPr>
          <w:rFonts w:ascii="Arial" w:cs="Arial" w:eastAsia="Arial" w:hAnsi="Arial"/>
          <w:sz w:val="18"/>
          <w:szCs w:val="18"/>
          <w:color w:val="auto"/>
        </w:rPr>
        <w:t>subject to Applicable Laws, to implement an Option Exchange Program and establish the terms and conditions of such Option Exchange Program without consent of the holders of capital stock of the Company, provided that no amendment or adjustment to an Option that would materially and adversely affect the rights of any Participant shall be made without his or her consent;</w:t>
      </w:r>
    </w:p>
    <w:p>
      <w:pPr>
        <w:spacing w:after="0" w:line="75" w:lineRule="exact"/>
        <w:rPr>
          <w:rFonts w:ascii="Arial" w:cs="Arial" w:eastAsia="Arial" w:hAnsi="Arial"/>
          <w:sz w:val="18"/>
          <w:szCs w:val="18"/>
          <w:color w:val="auto"/>
        </w:rPr>
      </w:pPr>
    </w:p>
    <w:p>
      <w:pPr>
        <w:ind w:right="60" w:firstLine="1428"/>
        <w:spacing w:after="0" w:line="275" w:lineRule="auto"/>
        <w:tabs>
          <w:tab w:leader="none" w:pos="1737" w:val="left"/>
        </w:tabs>
        <w:numPr>
          <w:ilvl w:val="1"/>
          <w:numId w:val="232"/>
        </w:numPr>
        <w:rPr>
          <w:rFonts w:ascii="Arial" w:cs="Arial" w:eastAsia="Arial" w:hAnsi="Arial"/>
          <w:sz w:val="17"/>
          <w:szCs w:val="17"/>
          <w:color w:val="auto"/>
        </w:rPr>
      </w:pPr>
      <w:r>
        <w:rPr>
          <w:rFonts w:ascii="Arial" w:cs="Arial" w:eastAsia="Arial" w:hAnsi="Arial"/>
          <w:sz w:val="17"/>
          <w:szCs w:val="17"/>
          <w:color w:val="auto"/>
        </w:rPr>
        <w:t>to approve addenda pursuant to Section 17 below or to grant Awards to, or to modify the terms of, any outstanding Option Agreement, Restricted Stock Purchase Agreement, Restricted Stock Unit Agreement or any agreement related to any Optioned Stock, Restricted Stock or Restricted Stock Unit held by Participants who are foreign nationals or employed outside of the United States with such terms and conditions as the Administrator deems necessary or appropriate to accommodate differences in local law, tax policy or custom which deviate from the terms and conditions set forth in this Plan to the extent necessary or appropriate to accommodate such differences; and</w:t>
      </w:r>
    </w:p>
    <w:p>
      <w:pPr>
        <w:spacing w:after="0" w:line="68" w:lineRule="exact"/>
        <w:rPr>
          <w:rFonts w:ascii="Arial" w:cs="Arial" w:eastAsia="Arial" w:hAnsi="Arial"/>
          <w:sz w:val="17"/>
          <w:szCs w:val="17"/>
          <w:color w:val="auto"/>
        </w:rPr>
      </w:pPr>
    </w:p>
    <w:p>
      <w:pPr>
        <w:jc w:val="both"/>
        <w:ind w:right="80" w:firstLine="1428"/>
        <w:spacing w:after="0" w:line="263" w:lineRule="auto"/>
        <w:tabs>
          <w:tab w:leader="none" w:pos="1687" w:val="left"/>
        </w:tabs>
        <w:numPr>
          <w:ilvl w:val="1"/>
          <w:numId w:val="232"/>
        </w:numPr>
        <w:rPr>
          <w:rFonts w:ascii="Arial" w:cs="Arial" w:eastAsia="Arial" w:hAnsi="Arial"/>
          <w:sz w:val="18"/>
          <w:szCs w:val="18"/>
          <w:color w:val="auto"/>
        </w:rPr>
      </w:pPr>
      <w:r>
        <w:rPr>
          <w:rFonts w:ascii="Arial" w:cs="Arial" w:eastAsia="Arial" w:hAnsi="Arial"/>
          <w:sz w:val="18"/>
          <w:szCs w:val="18"/>
          <w:color w:val="auto"/>
        </w:rPr>
        <w:t>to construe and interpret the terms of the Plan, any Option Agreement, Restricted Stock Purchase Agreement, Restricted Stock Unit Agreement and any agreement related to any Optioned Stock or Restricted Stock, which constructions, interpretations and decisions shall be final and binding on all Participants.</w:t>
      </w:r>
    </w:p>
    <w:p>
      <w:pPr>
        <w:spacing w:after="0" w:line="71" w:lineRule="exact"/>
        <w:rPr>
          <w:rFonts w:ascii="Arial" w:cs="Arial" w:eastAsia="Arial" w:hAnsi="Arial"/>
          <w:sz w:val="18"/>
          <w:szCs w:val="18"/>
          <w:color w:val="auto"/>
        </w:rPr>
      </w:pPr>
    </w:p>
    <w:p>
      <w:pPr>
        <w:ind w:firstLine="987"/>
        <w:spacing w:after="0" w:line="272" w:lineRule="auto"/>
        <w:tabs>
          <w:tab w:leader="none" w:pos="1246" w:val="left"/>
        </w:tabs>
        <w:numPr>
          <w:ilvl w:val="0"/>
          <w:numId w:val="233"/>
        </w:numPr>
        <w:rPr>
          <w:rFonts w:ascii="Arial" w:cs="Arial" w:eastAsia="Arial" w:hAnsi="Arial"/>
          <w:sz w:val="17"/>
          <w:szCs w:val="17"/>
          <w:color w:val="auto"/>
        </w:rPr>
      </w:pPr>
      <w:r>
        <w:rPr>
          <w:rFonts w:ascii="Arial" w:cs="Arial" w:eastAsia="Arial" w:hAnsi="Arial"/>
          <w:sz w:val="17"/>
          <w:szCs w:val="17"/>
          <w:b w:val="1"/>
          <w:bCs w:val="1"/>
          <w:u w:val="single" w:color="auto"/>
          <w:color w:val="auto"/>
        </w:rPr>
        <w:t>Indemnification</w:t>
      </w:r>
      <w:r>
        <w:rPr>
          <w:rFonts w:ascii="Arial" w:cs="Arial" w:eastAsia="Arial" w:hAnsi="Arial"/>
          <w:sz w:val="17"/>
          <w:szCs w:val="17"/>
          <w:color w:val="auto"/>
        </w:rPr>
        <w:t>. To the maximum extent permitted by Applicable Laws, each member of the Committee (including officers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if applicable), or of the Board, as applicable, shall be indemnified and held harmless by the Company against and from (i)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or pursuant to the terms and conditions of any Award except for actions taken in bad faith or failures to act in good faith, and (ii) any and all amounts paid by him or her in settlement thereof, with the Company’s approval, or paid by him or her in satisfaction of any judgment in any such claim, action, suit, or proceeding against him or her, provided that such member shall give the Company an opportunity, at its own expense, to handle and defend any such claim, action, suit or proceeding before he or she undertakes to handle and defend it on his or her own behalf.</w:t>
      </w:r>
    </w:p>
    <w:p>
      <w:pPr>
        <w:spacing w:after="0" w:line="1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440" w:top="274" w:right="539" w:bottom="1440" w:gutter="0" w:footer="0" w:header="0"/>
        </w:sectPr>
      </w:pPr>
    </w:p>
    <w:bookmarkStart w:id="285" w:name="page286"/>
    <w:bookmarkEnd w:id="285"/>
    <w:p>
      <w:pPr>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foregoing right of indemnification shall not be exclusive of any other rights of indemnification to which such persons may be entitled under the Company’s Articles of Incorporation, Certificate of Incorporation or Bylaws, by contract, as a matter of law, or otherwise, or under any other power that the Company may have to indemnify or hold harmless each such person.</w:t>
      </w:r>
    </w:p>
    <w:p>
      <w:pPr>
        <w:spacing w:after="0" w:line="72" w:lineRule="exact"/>
        <w:rPr>
          <w:sz w:val="20"/>
          <w:szCs w:val="20"/>
          <w:color w:val="auto"/>
        </w:rPr>
      </w:pPr>
    </w:p>
    <w:p>
      <w:pPr>
        <w:ind w:left="620" w:hanging="184"/>
        <w:spacing w:after="0"/>
        <w:tabs>
          <w:tab w:leader="none" w:pos="620" w:val="left"/>
        </w:tabs>
        <w:numPr>
          <w:ilvl w:val="0"/>
          <w:numId w:val="234"/>
        </w:numPr>
        <w:rPr>
          <w:rFonts w:ascii="Arial" w:cs="Arial" w:eastAsia="Arial" w:hAnsi="Arial"/>
          <w:sz w:val="18"/>
          <w:szCs w:val="18"/>
          <w:color w:val="auto"/>
        </w:rPr>
      </w:pPr>
      <w:r>
        <w:rPr>
          <w:rFonts w:ascii="Arial" w:cs="Arial" w:eastAsia="Arial" w:hAnsi="Arial"/>
          <w:sz w:val="18"/>
          <w:szCs w:val="18"/>
          <w:b w:val="1"/>
          <w:bCs w:val="1"/>
          <w:u w:val="single" w:color="auto"/>
          <w:color w:val="auto"/>
        </w:rPr>
        <w:t>Eligibility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40" w:firstLine="987"/>
        <w:spacing w:after="0" w:line="266" w:lineRule="auto"/>
        <w:tabs>
          <w:tab w:leader="none" w:pos="1236" w:val="left"/>
        </w:tabs>
        <w:numPr>
          <w:ilvl w:val="1"/>
          <w:numId w:val="234"/>
        </w:numPr>
        <w:rPr>
          <w:rFonts w:ascii="Arial" w:cs="Arial" w:eastAsia="Arial" w:hAnsi="Arial"/>
          <w:sz w:val="18"/>
          <w:szCs w:val="18"/>
          <w:color w:val="auto"/>
        </w:rPr>
      </w:pPr>
      <w:r>
        <w:rPr>
          <w:rFonts w:ascii="Arial" w:cs="Arial" w:eastAsia="Arial" w:hAnsi="Arial"/>
          <w:sz w:val="18"/>
          <w:szCs w:val="18"/>
          <w:b w:val="1"/>
          <w:bCs w:val="1"/>
          <w:u w:val="single" w:color="auto"/>
          <w:color w:val="auto"/>
        </w:rPr>
        <w:t>Recipients of Grants</w:t>
      </w:r>
      <w:r>
        <w:rPr>
          <w:rFonts w:ascii="Arial" w:cs="Arial" w:eastAsia="Arial" w:hAnsi="Arial"/>
          <w:sz w:val="18"/>
          <w:szCs w:val="18"/>
          <w:color w:val="auto"/>
        </w:rPr>
        <w:t>. Nonstatutory Stock Options, Restricted Stock and Restricted Stock Units may be granted to Employees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Consultants. Incentive Stock Options may be granted only to Employees, provided that Employees of Affiliates shall not be eligible to receive Incentive Stock Options.</w:t>
      </w:r>
    </w:p>
    <w:p>
      <w:pPr>
        <w:spacing w:after="0" w:line="67" w:lineRule="exact"/>
        <w:rPr>
          <w:rFonts w:ascii="Arial" w:cs="Arial" w:eastAsia="Arial" w:hAnsi="Arial"/>
          <w:sz w:val="18"/>
          <w:szCs w:val="18"/>
          <w:color w:val="auto"/>
        </w:rPr>
      </w:pPr>
    </w:p>
    <w:p>
      <w:pPr>
        <w:ind w:left="1240" w:hanging="253"/>
        <w:spacing w:after="0"/>
        <w:tabs>
          <w:tab w:leader="none" w:pos="1240" w:val="left"/>
        </w:tabs>
        <w:numPr>
          <w:ilvl w:val="1"/>
          <w:numId w:val="234"/>
        </w:numPr>
        <w:rPr>
          <w:rFonts w:ascii="Arial" w:cs="Arial" w:eastAsia="Arial" w:hAnsi="Arial"/>
          <w:sz w:val="16"/>
          <w:szCs w:val="16"/>
          <w:color w:val="auto"/>
        </w:rPr>
      </w:pPr>
      <w:r>
        <w:rPr>
          <w:rFonts w:ascii="Arial" w:cs="Arial" w:eastAsia="Arial" w:hAnsi="Arial"/>
          <w:sz w:val="16"/>
          <w:szCs w:val="16"/>
          <w:b w:val="1"/>
          <w:bCs w:val="1"/>
          <w:u w:val="single" w:color="auto"/>
          <w:color w:val="auto"/>
        </w:rPr>
        <w:t>Type of Option</w:t>
      </w:r>
      <w:r>
        <w:rPr>
          <w:rFonts w:ascii="Arial" w:cs="Arial" w:eastAsia="Arial" w:hAnsi="Arial"/>
          <w:sz w:val="16"/>
          <w:szCs w:val="16"/>
          <w:color w:val="auto"/>
        </w:rPr>
        <w:t>. Each Option shall be designated in the Option Agreement as either an Incentive Stock Option or a Nonstatutory Stock</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Option.</w:t>
      </w:r>
    </w:p>
    <w:p>
      <w:pPr>
        <w:spacing w:after="0" w:line="98" w:lineRule="exact"/>
        <w:rPr>
          <w:rFonts w:ascii="Arial" w:cs="Arial" w:eastAsia="Arial" w:hAnsi="Arial"/>
          <w:sz w:val="16"/>
          <w:szCs w:val="16"/>
          <w:color w:val="auto"/>
        </w:rPr>
      </w:pPr>
    </w:p>
    <w:p>
      <w:pPr>
        <w:ind w:right="60" w:firstLine="987"/>
        <w:spacing w:after="0" w:line="298" w:lineRule="auto"/>
        <w:tabs>
          <w:tab w:leader="none" w:pos="1236" w:val="left"/>
        </w:tabs>
        <w:numPr>
          <w:ilvl w:val="1"/>
          <w:numId w:val="234"/>
        </w:numPr>
        <w:rPr>
          <w:rFonts w:ascii="Arial" w:cs="Arial" w:eastAsia="Arial" w:hAnsi="Arial"/>
          <w:sz w:val="16"/>
          <w:szCs w:val="16"/>
          <w:color w:val="auto"/>
        </w:rPr>
      </w:pPr>
      <w:r>
        <w:rPr>
          <w:rFonts w:ascii="Arial" w:cs="Arial" w:eastAsia="Arial" w:hAnsi="Arial"/>
          <w:sz w:val="16"/>
          <w:szCs w:val="16"/>
          <w:b w:val="1"/>
          <w:bCs w:val="1"/>
          <w:u w:val="single" w:color="auto"/>
          <w:color w:val="auto"/>
        </w:rPr>
        <w:t>ISO $100,000 Limitation</w:t>
      </w:r>
      <w:r>
        <w:rPr>
          <w:rFonts w:ascii="Arial" w:cs="Arial" w:eastAsia="Arial" w:hAnsi="Arial"/>
          <w:sz w:val="16"/>
          <w:szCs w:val="16"/>
          <w:color w:val="auto"/>
        </w:rPr>
        <w:t>. Notwithstanding any designation under Section 5(b) above, to the extent that the aggregate Fair Market</w:t>
      </w:r>
      <w:r>
        <w:rPr>
          <w:rFonts w:ascii="Arial" w:cs="Arial" w:eastAsia="Arial" w:hAnsi="Arial"/>
          <w:sz w:val="16"/>
          <w:szCs w:val="16"/>
          <w:b w:val="1"/>
          <w:bCs w:val="1"/>
          <w:color w:val="auto"/>
        </w:rPr>
        <w:t xml:space="preserve"> </w:t>
      </w:r>
      <w:r>
        <w:rPr>
          <w:rFonts w:ascii="Arial" w:cs="Arial" w:eastAsia="Arial" w:hAnsi="Arial"/>
          <w:sz w:val="16"/>
          <w:szCs w:val="16"/>
          <w:color w:val="auto"/>
        </w:rPr>
        <w:t>Value of Shares with respect to which options designated as incentive stock options are exercisable for the first time by any Optionee during any calendar year (under all plans of the Company or any Parent or Subsidiary) exceeds $100,000, such excess options shall be treated as nonstatutory stock options. For purposes of this Section 5(c), incentive stock options shall be taken into account in the order in which they were granted, and the Fair Market Value of the Shares subject to an incentive stock option shall be determined as of the date of the grant of such option.</w:t>
      </w:r>
    </w:p>
    <w:p>
      <w:pPr>
        <w:spacing w:after="0" w:line="45" w:lineRule="exact"/>
        <w:rPr>
          <w:rFonts w:ascii="Arial" w:cs="Arial" w:eastAsia="Arial" w:hAnsi="Arial"/>
          <w:sz w:val="16"/>
          <w:szCs w:val="16"/>
          <w:color w:val="auto"/>
        </w:rPr>
      </w:pPr>
    </w:p>
    <w:p>
      <w:pPr>
        <w:ind w:right="140" w:firstLine="987"/>
        <w:spacing w:after="0" w:line="261" w:lineRule="auto"/>
        <w:tabs>
          <w:tab w:leader="none" w:pos="1246" w:val="left"/>
        </w:tabs>
        <w:numPr>
          <w:ilvl w:val="1"/>
          <w:numId w:val="234"/>
        </w:numPr>
        <w:rPr>
          <w:rFonts w:ascii="Arial" w:cs="Arial" w:eastAsia="Arial" w:hAnsi="Arial"/>
          <w:sz w:val="18"/>
          <w:szCs w:val="18"/>
          <w:color w:val="auto"/>
        </w:rPr>
      </w:pPr>
      <w:r>
        <w:rPr>
          <w:rFonts w:ascii="Arial" w:cs="Arial" w:eastAsia="Arial" w:hAnsi="Arial"/>
          <w:sz w:val="18"/>
          <w:szCs w:val="18"/>
          <w:b w:val="1"/>
          <w:bCs w:val="1"/>
          <w:u w:val="single" w:color="auto"/>
          <w:color w:val="auto"/>
        </w:rPr>
        <w:t>No Employment Rights</w:t>
      </w:r>
      <w:r>
        <w:rPr>
          <w:rFonts w:ascii="Arial" w:cs="Arial" w:eastAsia="Arial" w:hAnsi="Arial"/>
          <w:sz w:val="18"/>
          <w:szCs w:val="18"/>
          <w:color w:val="auto"/>
        </w:rPr>
        <w:t>. Neither the Plan nor any Award shall confer upon any Employee or Consultant any right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continuation of an employment or consulting relationship with the Company (any Parent, Subsidiary or Affiliate), nor shall it interfere in any way with such Employee’s or Consultant’s right or the Company’s (Parent’s, Subsidiary’s or Affiliate’s) right to terminate his or her employment or consulting relationship at any time, with or without cause.</w:t>
      </w:r>
    </w:p>
    <w:p>
      <w:pPr>
        <w:spacing w:after="0" w:line="71" w:lineRule="exact"/>
        <w:rPr>
          <w:rFonts w:ascii="Arial" w:cs="Arial" w:eastAsia="Arial" w:hAnsi="Arial"/>
          <w:sz w:val="18"/>
          <w:szCs w:val="18"/>
          <w:color w:val="auto"/>
        </w:rPr>
      </w:pPr>
    </w:p>
    <w:p>
      <w:pPr>
        <w:ind w:right="20" w:firstLine="436"/>
        <w:spacing w:after="0" w:line="282" w:lineRule="auto"/>
        <w:tabs>
          <w:tab w:leader="none" w:pos="620" w:val="left"/>
        </w:tabs>
        <w:numPr>
          <w:ilvl w:val="0"/>
          <w:numId w:val="234"/>
        </w:numPr>
        <w:rPr>
          <w:rFonts w:ascii="Arial" w:cs="Arial" w:eastAsia="Arial" w:hAnsi="Arial"/>
          <w:sz w:val="18"/>
          <w:szCs w:val="18"/>
          <w:color w:val="auto"/>
        </w:rPr>
      </w:pPr>
      <w:r>
        <w:rPr>
          <w:rFonts w:ascii="Arial" w:cs="Arial" w:eastAsia="Arial" w:hAnsi="Arial"/>
          <w:sz w:val="18"/>
          <w:szCs w:val="18"/>
          <w:b w:val="1"/>
          <w:bCs w:val="1"/>
          <w:u w:val="single" w:color="auto"/>
          <w:color w:val="auto"/>
        </w:rPr>
        <w:t>Term of Plan</w:t>
      </w:r>
      <w:r>
        <w:rPr>
          <w:rFonts w:ascii="Arial" w:cs="Arial" w:eastAsia="Arial" w:hAnsi="Arial"/>
          <w:sz w:val="18"/>
          <w:szCs w:val="18"/>
          <w:color w:val="auto"/>
        </w:rPr>
        <w:t>. The amendment and restatement of the Plan shall become effective upon its adoption by the Board and the Plan shall continue in</w:t>
      </w:r>
      <w:r>
        <w:rPr>
          <w:rFonts w:ascii="Arial" w:cs="Arial" w:eastAsia="Arial" w:hAnsi="Arial"/>
          <w:sz w:val="18"/>
          <w:szCs w:val="18"/>
          <w:b w:val="1"/>
          <w:bCs w:val="1"/>
          <w:color w:val="auto"/>
        </w:rPr>
        <w:t xml:space="preserve"> </w:t>
      </w:r>
      <w:r>
        <w:rPr>
          <w:rFonts w:ascii="Arial" w:cs="Arial" w:eastAsia="Arial" w:hAnsi="Arial"/>
          <w:sz w:val="18"/>
          <w:szCs w:val="18"/>
          <w:color w:val="auto"/>
        </w:rPr>
        <w:t>effect through and until July 18, 2022 unless sooner terminated under Section 13 below.</w:t>
      </w:r>
    </w:p>
    <w:p>
      <w:pPr>
        <w:spacing w:after="0" w:line="53" w:lineRule="exact"/>
        <w:rPr>
          <w:rFonts w:ascii="Arial" w:cs="Arial" w:eastAsia="Arial" w:hAnsi="Arial"/>
          <w:sz w:val="18"/>
          <w:szCs w:val="18"/>
          <w:color w:val="auto"/>
        </w:rPr>
      </w:pPr>
    </w:p>
    <w:p>
      <w:pPr>
        <w:ind w:left="620" w:hanging="184"/>
        <w:spacing w:after="0"/>
        <w:tabs>
          <w:tab w:leader="none" w:pos="620" w:val="left"/>
        </w:tabs>
        <w:numPr>
          <w:ilvl w:val="0"/>
          <w:numId w:val="234"/>
        </w:numPr>
        <w:rPr>
          <w:rFonts w:ascii="Arial" w:cs="Arial" w:eastAsia="Arial" w:hAnsi="Arial"/>
          <w:sz w:val="18"/>
          <w:szCs w:val="18"/>
          <w:color w:val="auto"/>
        </w:rPr>
      </w:pPr>
      <w:r>
        <w:rPr>
          <w:rFonts w:ascii="Arial" w:cs="Arial" w:eastAsia="Arial" w:hAnsi="Arial"/>
          <w:sz w:val="18"/>
          <w:szCs w:val="18"/>
          <w:b w:val="1"/>
          <w:bCs w:val="1"/>
          <w:u w:val="single" w:color="auto"/>
          <w:color w:val="auto"/>
        </w:rPr>
        <w:t>Options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987"/>
        <w:spacing w:after="0" w:line="261" w:lineRule="auto"/>
        <w:tabs>
          <w:tab w:leader="none" w:pos="1236" w:val="left"/>
        </w:tabs>
        <w:numPr>
          <w:ilvl w:val="1"/>
          <w:numId w:val="234"/>
        </w:numPr>
        <w:rPr>
          <w:rFonts w:ascii="Arial" w:cs="Arial" w:eastAsia="Arial" w:hAnsi="Arial"/>
          <w:sz w:val="18"/>
          <w:szCs w:val="18"/>
          <w:color w:val="auto"/>
        </w:rPr>
      </w:pPr>
      <w:r>
        <w:rPr>
          <w:rFonts w:ascii="Arial" w:cs="Arial" w:eastAsia="Arial" w:hAnsi="Arial"/>
          <w:sz w:val="18"/>
          <w:szCs w:val="18"/>
          <w:b w:val="1"/>
          <w:bCs w:val="1"/>
          <w:u w:val="single" w:color="auto"/>
          <w:color w:val="auto"/>
        </w:rPr>
        <w:t>Term of Option</w:t>
      </w:r>
      <w:r>
        <w:rPr>
          <w:rFonts w:ascii="Arial" w:cs="Arial" w:eastAsia="Arial" w:hAnsi="Arial"/>
          <w:sz w:val="18"/>
          <w:szCs w:val="18"/>
          <w:color w:val="auto"/>
        </w:rPr>
        <w:t>. The term of each Option shall be the term stated in the Option Agreement; provided that the term shall be no more</w:t>
      </w:r>
      <w:r>
        <w:rPr>
          <w:rFonts w:ascii="Arial" w:cs="Arial" w:eastAsia="Arial" w:hAnsi="Arial"/>
          <w:sz w:val="18"/>
          <w:szCs w:val="18"/>
          <w:b w:val="1"/>
          <w:bCs w:val="1"/>
          <w:color w:val="auto"/>
        </w:rPr>
        <w:t xml:space="preserve"> </w:t>
      </w:r>
      <w:r>
        <w:rPr>
          <w:rFonts w:ascii="Arial" w:cs="Arial" w:eastAsia="Arial" w:hAnsi="Arial"/>
          <w:sz w:val="18"/>
          <w:szCs w:val="18"/>
          <w:color w:val="auto"/>
        </w:rPr>
        <w:t>than 10 years from the date of grant thereof or such shorter term as may be provided in the Option Agreement and provided further that, in the case of an Incentive Stock Option granted to a person who at the time of such grant is a Ten Percent Holder, the term of the Option shall be 5 years from the date of grant thereof or such shorter term as may be provided in the Option Agreement.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286" w:name="page287"/>
    <w:bookmarkEnd w:id="286"/>
    <w:p>
      <w:pPr>
        <w:ind w:left="1240" w:hanging="253"/>
        <w:spacing w:after="0"/>
        <w:tabs>
          <w:tab w:leader="none" w:pos="1240" w:val="left"/>
        </w:tabs>
        <w:numPr>
          <w:ilvl w:val="0"/>
          <w:numId w:val="235"/>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Option Exercise Price and Consideration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00" w:firstLine="1428"/>
        <w:spacing w:after="0" w:line="282" w:lineRule="auto"/>
        <w:tabs>
          <w:tab w:leader="none" w:pos="1647" w:val="left"/>
        </w:tabs>
        <w:numPr>
          <w:ilvl w:val="1"/>
          <w:numId w:val="235"/>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 Price</w:t>
      </w:r>
      <w:r>
        <w:rPr>
          <w:rFonts w:ascii="Arial" w:cs="Arial" w:eastAsia="Arial" w:hAnsi="Arial"/>
          <w:sz w:val="18"/>
          <w:szCs w:val="18"/>
          <w:color w:val="auto"/>
        </w:rPr>
        <w:t>. The per Share exercise price for the Shares to be issued pursuant to the exercise of an Option shall be such price</w:t>
      </w:r>
      <w:r>
        <w:rPr>
          <w:rFonts w:ascii="Arial" w:cs="Arial" w:eastAsia="Arial" w:hAnsi="Arial"/>
          <w:sz w:val="18"/>
          <w:szCs w:val="18"/>
          <w:b w:val="1"/>
          <w:bCs w:val="1"/>
          <w:color w:val="auto"/>
        </w:rPr>
        <w:t xml:space="preserve"> </w:t>
      </w:r>
      <w:r>
        <w:rPr>
          <w:rFonts w:ascii="Arial" w:cs="Arial" w:eastAsia="Arial" w:hAnsi="Arial"/>
          <w:sz w:val="18"/>
          <w:szCs w:val="18"/>
          <w:color w:val="auto"/>
        </w:rPr>
        <w:t>as is determined by the Administrator and set forth in the Option Agreement, but shall be subject to the following:</w:t>
      </w:r>
    </w:p>
    <w:p>
      <w:pPr>
        <w:spacing w:after="0" w:line="57" w:lineRule="exact"/>
        <w:rPr>
          <w:rFonts w:ascii="Arial" w:cs="Arial" w:eastAsia="Arial" w:hAnsi="Arial"/>
          <w:sz w:val="18"/>
          <w:szCs w:val="18"/>
          <w:color w:val="auto"/>
        </w:rPr>
      </w:pPr>
    </w:p>
    <w:p>
      <w:pPr>
        <w:ind w:left="2240" w:hanging="261"/>
        <w:spacing w:after="0"/>
        <w:tabs>
          <w:tab w:leader="none" w:pos="2240" w:val="left"/>
        </w:tabs>
        <w:numPr>
          <w:ilvl w:val="2"/>
          <w:numId w:val="235"/>
        </w:numPr>
        <w:rPr>
          <w:rFonts w:ascii="Arial" w:cs="Arial" w:eastAsia="Arial" w:hAnsi="Arial"/>
          <w:sz w:val="18"/>
          <w:szCs w:val="18"/>
          <w:color w:val="auto"/>
        </w:rPr>
      </w:pPr>
      <w:r>
        <w:rPr>
          <w:rFonts w:ascii="Arial" w:cs="Arial" w:eastAsia="Arial" w:hAnsi="Arial"/>
          <w:sz w:val="18"/>
          <w:szCs w:val="18"/>
          <w:color w:val="auto"/>
        </w:rPr>
        <w:t>In the case of an Incentive Stock Option</w:t>
      </w:r>
    </w:p>
    <w:p>
      <w:pPr>
        <w:spacing w:after="0" w:line="117" w:lineRule="exact"/>
        <w:rPr>
          <w:rFonts w:ascii="Arial" w:cs="Arial" w:eastAsia="Arial" w:hAnsi="Arial"/>
          <w:sz w:val="18"/>
          <w:szCs w:val="18"/>
          <w:color w:val="auto"/>
        </w:rPr>
      </w:pPr>
    </w:p>
    <w:p>
      <w:pPr>
        <w:ind w:right="300" w:firstLine="2419"/>
        <w:spacing w:after="0" w:line="277" w:lineRule="auto"/>
        <w:tabs>
          <w:tab w:leader="none" w:pos="2593" w:val="left"/>
        </w:tabs>
        <w:numPr>
          <w:ilvl w:val="3"/>
          <w:numId w:val="235"/>
        </w:numPr>
        <w:rPr>
          <w:rFonts w:ascii="Arial" w:cs="Arial" w:eastAsia="Arial" w:hAnsi="Arial"/>
          <w:sz w:val="18"/>
          <w:szCs w:val="18"/>
          <w:color w:val="auto"/>
        </w:rPr>
      </w:pPr>
      <w:r>
        <w:rPr>
          <w:rFonts w:ascii="Arial" w:cs="Arial" w:eastAsia="Arial" w:hAnsi="Arial"/>
          <w:sz w:val="18"/>
          <w:szCs w:val="18"/>
          <w:color w:val="auto"/>
        </w:rPr>
        <w:t>granted to an Employee who at the time of grant is a Ten Percent Holder, the per Share exercise price shall be no less than 110% of the Fair Market Value on the date of grant;</w:t>
      </w:r>
    </w:p>
    <w:p>
      <w:pPr>
        <w:spacing w:after="0" w:line="62" w:lineRule="exact"/>
        <w:rPr>
          <w:rFonts w:ascii="Arial" w:cs="Arial" w:eastAsia="Arial" w:hAnsi="Arial"/>
          <w:sz w:val="18"/>
          <w:szCs w:val="18"/>
          <w:color w:val="auto"/>
        </w:rPr>
      </w:pPr>
    </w:p>
    <w:p>
      <w:pPr>
        <w:ind w:left="2600" w:hanging="181"/>
        <w:spacing w:after="0"/>
        <w:tabs>
          <w:tab w:leader="none" w:pos="2600" w:val="left"/>
        </w:tabs>
        <w:numPr>
          <w:ilvl w:val="3"/>
          <w:numId w:val="235"/>
        </w:numPr>
        <w:rPr>
          <w:rFonts w:ascii="Arial" w:cs="Arial" w:eastAsia="Arial" w:hAnsi="Arial"/>
          <w:sz w:val="16"/>
          <w:szCs w:val="16"/>
          <w:color w:val="auto"/>
        </w:rPr>
      </w:pPr>
      <w:r>
        <w:rPr>
          <w:rFonts w:ascii="Arial" w:cs="Arial" w:eastAsia="Arial" w:hAnsi="Arial"/>
          <w:sz w:val="16"/>
          <w:szCs w:val="16"/>
          <w:color w:val="auto"/>
        </w:rPr>
        <w:t>granted to any other Employee, the per Share exercise price shall be no less than 100% of the Fair Market Value 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date of grant;</w:t>
      </w:r>
    </w:p>
    <w:p>
      <w:pPr>
        <w:spacing w:after="0" w:line="102" w:lineRule="exact"/>
        <w:rPr>
          <w:rFonts w:ascii="Arial" w:cs="Arial" w:eastAsia="Arial" w:hAnsi="Arial"/>
          <w:sz w:val="16"/>
          <w:szCs w:val="16"/>
          <w:color w:val="auto"/>
        </w:rPr>
      </w:pPr>
    </w:p>
    <w:p>
      <w:pPr>
        <w:jc w:val="both"/>
        <w:ind w:right="80" w:firstLine="1979"/>
        <w:spacing w:after="0" w:line="263" w:lineRule="auto"/>
        <w:tabs>
          <w:tab w:leader="none" w:pos="2238" w:val="left"/>
        </w:tabs>
        <w:numPr>
          <w:ilvl w:val="2"/>
          <w:numId w:val="235"/>
        </w:numPr>
        <w:rPr>
          <w:rFonts w:ascii="Arial" w:cs="Arial" w:eastAsia="Arial" w:hAnsi="Arial"/>
          <w:sz w:val="18"/>
          <w:szCs w:val="18"/>
          <w:color w:val="auto"/>
        </w:rPr>
      </w:pPr>
      <w:r>
        <w:rPr>
          <w:rFonts w:ascii="Arial" w:cs="Arial" w:eastAsia="Arial" w:hAnsi="Arial"/>
          <w:sz w:val="18"/>
          <w:szCs w:val="18"/>
          <w:color w:val="auto"/>
        </w:rPr>
        <w:t>Except as provided in subsection (3) below, in the case of a Nonstatutory Stock Option the per Share exercise price shall be such price as is determined by the Administrator, provided that, if the per Share exercise price is less than 100% of the Fair Market Value on the date of grant, it shall otherwise comply with all Applicable Laws, including Section 409A of the Code; and</w:t>
      </w:r>
    </w:p>
    <w:p>
      <w:pPr>
        <w:spacing w:after="0" w:line="75" w:lineRule="exact"/>
        <w:rPr>
          <w:rFonts w:ascii="Arial" w:cs="Arial" w:eastAsia="Arial" w:hAnsi="Arial"/>
          <w:sz w:val="18"/>
          <w:szCs w:val="18"/>
          <w:color w:val="auto"/>
        </w:rPr>
      </w:pPr>
    </w:p>
    <w:p>
      <w:pPr>
        <w:ind w:right="400" w:firstLine="1979"/>
        <w:spacing w:after="0" w:line="277" w:lineRule="auto"/>
        <w:tabs>
          <w:tab w:leader="none" w:pos="2238" w:val="left"/>
        </w:tabs>
        <w:numPr>
          <w:ilvl w:val="2"/>
          <w:numId w:val="235"/>
        </w:numPr>
        <w:rPr>
          <w:rFonts w:ascii="Arial" w:cs="Arial" w:eastAsia="Arial" w:hAnsi="Arial"/>
          <w:sz w:val="18"/>
          <w:szCs w:val="18"/>
          <w:color w:val="auto"/>
        </w:rPr>
      </w:pPr>
      <w:r>
        <w:rPr>
          <w:rFonts w:ascii="Arial" w:cs="Arial" w:eastAsia="Arial" w:hAnsi="Arial"/>
          <w:sz w:val="18"/>
          <w:szCs w:val="18"/>
          <w:color w:val="auto"/>
        </w:rPr>
        <w:t>Notwithstanding the foregoing, Options may be granted with a per Share exercise price other than as required above pursuant to a merger or other corporate transaction.</w:t>
      </w:r>
    </w:p>
    <w:p>
      <w:pPr>
        <w:spacing w:after="0" w:line="58" w:lineRule="exact"/>
        <w:rPr>
          <w:rFonts w:ascii="Arial" w:cs="Arial" w:eastAsia="Arial" w:hAnsi="Arial"/>
          <w:sz w:val="18"/>
          <w:szCs w:val="18"/>
          <w:color w:val="auto"/>
        </w:rPr>
      </w:pPr>
    </w:p>
    <w:p>
      <w:pPr>
        <w:ind w:right="40" w:firstLine="1428"/>
        <w:spacing w:after="0" w:line="270" w:lineRule="auto"/>
        <w:tabs>
          <w:tab w:leader="none" w:pos="1697" w:val="left"/>
        </w:tabs>
        <w:numPr>
          <w:ilvl w:val="1"/>
          <w:numId w:val="235"/>
        </w:numPr>
        <w:rPr>
          <w:rFonts w:ascii="Arial" w:cs="Arial" w:eastAsia="Arial" w:hAnsi="Arial"/>
          <w:sz w:val="17"/>
          <w:szCs w:val="17"/>
          <w:color w:val="auto"/>
        </w:rPr>
      </w:pPr>
      <w:r>
        <w:rPr>
          <w:rFonts w:ascii="Arial" w:cs="Arial" w:eastAsia="Arial" w:hAnsi="Arial"/>
          <w:sz w:val="17"/>
          <w:szCs w:val="17"/>
          <w:b w:val="1"/>
          <w:bCs w:val="1"/>
          <w:u w:val="single" w:color="auto"/>
          <w:color w:val="auto"/>
        </w:rPr>
        <w:t>Permissible Consideration</w:t>
      </w:r>
      <w:r>
        <w:rPr>
          <w:rFonts w:ascii="Arial" w:cs="Arial" w:eastAsia="Arial" w:hAnsi="Arial"/>
          <w:sz w:val="17"/>
          <w:szCs w:val="17"/>
          <w:color w:val="auto"/>
        </w:rPr>
        <w:t>. The consideration to be paid for the Shares to be issued upon exercise of an Option, including the</w:t>
      </w:r>
      <w:r>
        <w:rPr>
          <w:rFonts w:ascii="Arial" w:cs="Arial" w:eastAsia="Arial" w:hAnsi="Arial"/>
          <w:sz w:val="17"/>
          <w:szCs w:val="17"/>
          <w:b w:val="1"/>
          <w:bCs w:val="1"/>
          <w:color w:val="auto"/>
        </w:rPr>
        <w:t xml:space="preserve"> </w:t>
      </w:r>
      <w:r>
        <w:rPr>
          <w:rFonts w:ascii="Arial" w:cs="Arial" w:eastAsia="Arial" w:hAnsi="Arial"/>
          <w:sz w:val="17"/>
          <w:szCs w:val="17"/>
          <w:color w:val="auto"/>
        </w:rPr>
        <w:t>method of payment, shall be determined by the Administrator (and, in the case of an Incentive Stock Option and to the extent required by Applicable Laws, shall be determined at the time of grant) and may consist entirely of (1) cash; (2) check; (3) to the extent permitted under, and in accordance with, Applicable Laws, delivery of a promissory note with such recourse, interest, security and redemption provisions as the Administrator determines to be appropriate (subject to the provisions of Section 152 of the Delaware General Corporation Law); (4) cancellation of indebtedness; (5) other previously owned Shares that have a Fair Market Value on the date of surrender equal to the aggregate exercise price of the Shares as to which the Option is exercised; (6) a Cashless Transaction; (7) such other consideration and method of payment permitted under Applicable Laws; or (8) any combination of the foregoing methods of payment. In making its determination as to the type of consideration to accept, the Administrator shall consider if acceptance of such consideration may be reasonably expected to benefit the Company and the Administrator may, in its sole discretion, refuse to accept a particular form of consideration at the time of any Option exercise.</w:t>
      </w:r>
    </w:p>
    <w:p>
      <w:pPr>
        <w:spacing w:after="0" w:line="68" w:lineRule="exact"/>
        <w:rPr>
          <w:rFonts w:ascii="Arial" w:cs="Arial" w:eastAsia="Arial" w:hAnsi="Arial"/>
          <w:sz w:val="17"/>
          <w:szCs w:val="17"/>
          <w:color w:val="auto"/>
        </w:rPr>
      </w:pPr>
    </w:p>
    <w:p>
      <w:pPr>
        <w:ind w:left="1240" w:hanging="253"/>
        <w:spacing w:after="0"/>
        <w:tabs>
          <w:tab w:leader="none" w:pos="1240" w:val="left"/>
        </w:tabs>
        <w:numPr>
          <w:ilvl w:val="0"/>
          <w:numId w:val="235"/>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 of Option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640" w:hanging="212"/>
        <w:spacing w:after="0"/>
        <w:tabs>
          <w:tab w:leader="none" w:pos="1640" w:val="left"/>
        </w:tabs>
        <w:numPr>
          <w:ilvl w:val="1"/>
          <w:numId w:val="235"/>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1979"/>
        <w:spacing w:after="0" w:line="266" w:lineRule="auto"/>
        <w:tabs>
          <w:tab w:leader="none" w:pos="2237" w:val="left"/>
        </w:tabs>
        <w:numPr>
          <w:ilvl w:val="2"/>
          <w:numId w:val="235"/>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Exercisability</w:t>
      </w:r>
      <w:r>
        <w:rPr>
          <w:rFonts w:ascii="Arial" w:cs="Arial" w:eastAsia="Arial" w:hAnsi="Arial"/>
          <w:sz w:val="18"/>
          <w:szCs w:val="18"/>
          <w:color w:val="auto"/>
        </w:rPr>
        <w:t>. Any Option granted hereunder shall be exercisable at such times and under such conditions as determined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Administrator, consistent with the terms of the Plan and reflected in the Option Agreement, including vesting requirements and/or performance criteria with respect to the Company, and Parent, Subsidiary or Affiliate, and/or the Optionee.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0" w:right="459" w:bottom="1440" w:gutter="0" w:footer="0" w:header="0"/>
        </w:sectPr>
      </w:pPr>
    </w:p>
    <w:bookmarkStart w:id="287" w:name="page288"/>
    <w:bookmarkEnd w:id="287"/>
    <w:p>
      <w:pPr>
        <w:ind w:right="80" w:firstLine="1979"/>
        <w:spacing w:after="0" w:line="292" w:lineRule="auto"/>
        <w:tabs>
          <w:tab w:leader="none" w:pos="2237" w:val="left"/>
        </w:tabs>
        <w:numPr>
          <w:ilvl w:val="1"/>
          <w:numId w:val="236"/>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Leave of Absence</w:t>
      </w:r>
      <w:r>
        <w:rPr>
          <w:rFonts w:ascii="Arial" w:cs="Arial" w:eastAsia="Arial" w:hAnsi="Arial"/>
          <w:sz w:val="16"/>
          <w:szCs w:val="16"/>
          <w:color w:val="auto"/>
        </w:rPr>
        <w:t>. The Administrator shall have the discretion to determine at any time whether and to what extent the</w:t>
      </w:r>
      <w:r>
        <w:rPr>
          <w:rFonts w:ascii="Arial" w:cs="Arial" w:eastAsia="Arial" w:hAnsi="Arial"/>
          <w:sz w:val="16"/>
          <w:szCs w:val="16"/>
          <w:b w:val="1"/>
          <w:bCs w:val="1"/>
          <w:color w:val="auto"/>
        </w:rPr>
        <w:t xml:space="preserve"> </w:t>
      </w:r>
      <w:r>
        <w:rPr>
          <w:rFonts w:ascii="Arial" w:cs="Arial" w:eastAsia="Arial" w:hAnsi="Arial"/>
          <w:sz w:val="16"/>
          <w:szCs w:val="16"/>
          <w:color w:val="auto"/>
        </w:rPr>
        <w:t>vesting of Options shall be tolled during any leave of absence; provided, however, that in the absence of such determination, vesting of Options shall be tolled during any unpaid leave (unless otherwise required by Applicable Laws). Notwithstanding the foregoing, in the event of military leave, vesting shall toll during any unpaid portion of such leave, provided that, upon an Optionee’s returning from military leave (under conditions that would entitle him or her to protection upon such return under the Uniform Services Employment and Reemployment Rights Act), he or she shall be given vesting credit with respect to Options to the same extent as would have applied had the Optionee continued to provide services to the Company (or any Parent, Subsidiary or Affiliate, if applicable) throughout the leave on the same terms as he or she was providing services immediately prior to such leave.</w:t>
      </w:r>
    </w:p>
    <w:p>
      <w:pPr>
        <w:spacing w:after="0" w:line="53" w:lineRule="exact"/>
        <w:rPr>
          <w:rFonts w:ascii="Arial" w:cs="Arial" w:eastAsia="Arial" w:hAnsi="Arial"/>
          <w:sz w:val="16"/>
          <w:szCs w:val="16"/>
          <w:color w:val="auto"/>
        </w:rPr>
      </w:pPr>
    </w:p>
    <w:p>
      <w:pPr>
        <w:jc w:val="both"/>
        <w:ind w:right="220" w:firstLine="1979"/>
        <w:spacing w:after="0" w:line="266" w:lineRule="auto"/>
        <w:tabs>
          <w:tab w:leader="none" w:pos="2237" w:val="left"/>
        </w:tabs>
        <w:numPr>
          <w:ilvl w:val="1"/>
          <w:numId w:val="236"/>
        </w:numPr>
        <w:rPr>
          <w:rFonts w:ascii="Arial" w:cs="Arial" w:eastAsia="Arial" w:hAnsi="Arial"/>
          <w:sz w:val="18"/>
          <w:szCs w:val="18"/>
          <w:color w:val="auto"/>
        </w:rPr>
      </w:pPr>
      <w:r>
        <w:rPr>
          <w:rFonts w:ascii="Arial" w:cs="Arial" w:eastAsia="Arial" w:hAnsi="Arial"/>
          <w:sz w:val="18"/>
          <w:szCs w:val="18"/>
          <w:b w:val="1"/>
          <w:bCs w:val="1"/>
          <w:u w:val="single" w:color="auto"/>
          <w:color w:val="auto"/>
        </w:rPr>
        <w:t>Minimum Exercise Requirements</w:t>
      </w:r>
      <w:r>
        <w:rPr>
          <w:rFonts w:ascii="Arial" w:cs="Arial" w:eastAsia="Arial" w:hAnsi="Arial"/>
          <w:sz w:val="18"/>
          <w:szCs w:val="18"/>
          <w:color w:val="auto"/>
        </w:rPr>
        <w:t>. An Option may not be exercised for a fraction of a Share. The Administrator may</w:t>
      </w:r>
      <w:r>
        <w:rPr>
          <w:rFonts w:ascii="Arial" w:cs="Arial" w:eastAsia="Arial" w:hAnsi="Arial"/>
          <w:sz w:val="18"/>
          <w:szCs w:val="18"/>
          <w:b w:val="1"/>
          <w:bCs w:val="1"/>
          <w:color w:val="auto"/>
        </w:rPr>
        <w:t xml:space="preserve"> </w:t>
      </w:r>
      <w:r>
        <w:rPr>
          <w:rFonts w:ascii="Arial" w:cs="Arial" w:eastAsia="Arial" w:hAnsi="Arial"/>
          <w:sz w:val="18"/>
          <w:szCs w:val="18"/>
          <w:color w:val="auto"/>
        </w:rPr>
        <w:t>require that an Option be exercised as to a minimum number of Shares, provided that such requirement shall not prevent an Optionee from exercising the full number of Shares as to which the Option is then exercisable.</w:t>
      </w:r>
    </w:p>
    <w:p>
      <w:pPr>
        <w:spacing w:after="0" w:line="67" w:lineRule="exact"/>
        <w:rPr>
          <w:rFonts w:ascii="Arial" w:cs="Arial" w:eastAsia="Arial" w:hAnsi="Arial"/>
          <w:sz w:val="18"/>
          <w:szCs w:val="18"/>
          <w:color w:val="auto"/>
        </w:rPr>
      </w:pPr>
    </w:p>
    <w:p>
      <w:pPr>
        <w:ind w:right="60" w:firstLine="1979"/>
        <w:spacing w:after="0" w:line="256" w:lineRule="auto"/>
        <w:tabs>
          <w:tab w:leader="none" w:pos="2237" w:val="left"/>
        </w:tabs>
        <w:numPr>
          <w:ilvl w:val="1"/>
          <w:numId w:val="236"/>
        </w:numPr>
        <w:rPr>
          <w:rFonts w:ascii="Arial" w:cs="Arial" w:eastAsia="Arial" w:hAnsi="Arial"/>
          <w:sz w:val="18"/>
          <w:szCs w:val="18"/>
          <w:color w:val="auto"/>
        </w:rPr>
      </w:pPr>
      <w:r>
        <w:rPr>
          <w:rFonts w:ascii="Arial" w:cs="Arial" w:eastAsia="Arial" w:hAnsi="Arial"/>
          <w:sz w:val="18"/>
          <w:szCs w:val="18"/>
          <w:b w:val="1"/>
          <w:bCs w:val="1"/>
          <w:u w:val="single" w:color="auto"/>
          <w:color w:val="auto"/>
        </w:rPr>
        <w:t>Procedures for and Results of Exercise</w:t>
      </w:r>
      <w:r>
        <w:rPr>
          <w:rFonts w:ascii="Arial" w:cs="Arial" w:eastAsia="Arial" w:hAnsi="Arial"/>
          <w:sz w:val="18"/>
          <w:szCs w:val="18"/>
          <w:color w:val="auto"/>
        </w:rPr>
        <w:t>. An Option shall be deemed exercised when written notice of such exercise has</w:t>
      </w:r>
      <w:r>
        <w:rPr>
          <w:rFonts w:ascii="Arial" w:cs="Arial" w:eastAsia="Arial" w:hAnsi="Arial"/>
          <w:sz w:val="18"/>
          <w:szCs w:val="18"/>
          <w:b w:val="1"/>
          <w:bCs w:val="1"/>
          <w:color w:val="auto"/>
        </w:rPr>
        <w:t xml:space="preserve"> </w:t>
      </w:r>
      <w:r>
        <w:rPr>
          <w:rFonts w:ascii="Arial" w:cs="Arial" w:eastAsia="Arial" w:hAnsi="Arial"/>
          <w:sz w:val="18"/>
          <w:szCs w:val="18"/>
          <w:color w:val="auto"/>
        </w:rPr>
        <w:t>been received by the Company in accordance with the terms of the Option Agreement by the person entitled to exercise the Option and the Company has received full payment for the Shares with respect to which the Option is exercised and has paid, or made arrangements to satisfy, any applicable taxes, withholding, required deductions or other required payments in accordance with Section (b) below. The exercise of an Option shall result in a decrease in the number of Shares that thereafter may be available, both for purposes of the Plan and for sale under the Option, by the number of Shares as to which the Option is exercised.</w:t>
      </w:r>
    </w:p>
    <w:p>
      <w:pPr>
        <w:spacing w:after="0" w:line="79" w:lineRule="exact"/>
        <w:rPr>
          <w:rFonts w:ascii="Arial" w:cs="Arial" w:eastAsia="Arial" w:hAnsi="Arial"/>
          <w:sz w:val="18"/>
          <w:szCs w:val="18"/>
          <w:color w:val="auto"/>
        </w:rPr>
      </w:pPr>
    </w:p>
    <w:p>
      <w:pPr>
        <w:ind w:firstLine="1979"/>
        <w:spacing w:after="0" w:line="281" w:lineRule="auto"/>
        <w:tabs>
          <w:tab w:leader="none" w:pos="2237" w:val="left"/>
        </w:tabs>
        <w:numPr>
          <w:ilvl w:val="1"/>
          <w:numId w:val="236"/>
        </w:numPr>
        <w:rPr>
          <w:rFonts w:ascii="Arial" w:cs="Arial" w:eastAsia="Arial" w:hAnsi="Arial"/>
          <w:sz w:val="17"/>
          <w:szCs w:val="17"/>
          <w:color w:val="auto"/>
        </w:rPr>
      </w:pPr>
      <w:r>
        <w:rPr>
          <w:rFonts w:ascii="Arial" w:cs="Arial" w:eastAsia="Arial" w:hAnsi="Arial"/>
          <w:sz w:val="17"/>
          <w:szCs w:val="17"/>
          <w:b w:val="1"/>
          <w:bCs w:val="1"/>
          <w:u w:val="single" w:color="auto"/>
          <w:color w:val="auto"/>
        </w:rPr>
        <w:t>Rights as Holder of Capital Stock</w:t>
      </w:r>
      <w:r>
        <w:rPr>
          <w:rFonts w:ascii="Arial" w:cs="Arial" w:eastAsia="Arial" w:hAnsi="Arial"/>
          <w:sz w:val="17"/>
          <w:szCs w:val="17"/>
          <w:color w:val="auto"/>
        </w:rPr>
        <w:t>. Until the issuance of the Shares (as evidenced by the appropriate entry on the books</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Company or of a duly authorized transfer agent of the Company), no right to vote or receive dividends or any other rights as a holder of capital stock shall exist with respect to the Optioned Stock, notwithstanding the exercise of the Option. No adjustment will be made for a dividend or other right for which the record date is prior to the date the stock is issued, except as provided in Section 11 below.</w:t>
      </w:r>
    </w:p>
    <w:p>
      <w:pPr>
        <w:spacing w:after="0" w:line="56" w:lineRule="exact"/>
        <w:rPr>
          <w:rFonts w:ascii="Arial" w:cs="Arial" w:eastAsia="Arial" w:hAnsi="Arial"/>
          <w:sz w:val="17"/>
          <w:szCs w:val="17"/>
          <w:color w:val="auto"/>
        </w:rPr>
      </w:pPr>
    </w:p>
    <w:p>
      <w:pPr>
        <w:ind w:right="40" w:firstLine="1428"/>
        <w:spacing w:after="0" w:line="303" w:lineRule="auto"/>
        <w:tabs>
          <w:tab w:leader="none" w:pos="1697" w:val="left"/>
        </w:tabs>
        <w:numPr>
          <w:ilvl w:val="0"/>
          <w:numId w:val="237"/>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of Continuous Service Status</w:t>
      </w:r>
      <w:r>
        <w:rPr>
          <w:rFonts w:ascii="Arial" w:cs="Arial" w:eastAsia="Arial" w:hAnsi="Arial"/>
          <w:sz w:val="16"/>
          <w:szCs w:val="16"/>
          <w:color w:val="auto"/>
        </w:rPr>
        <w:t>. The Administrator shall establish and set forth in the applicable Option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the terms and conditions upon which an Option shall remain exercisable, if at all, following termination of an Optionee’s Continuous Service Status, which provisions may be waived or modified by the Administrator at any time. To the extent that an Option Agreement does not specify the terms and conditions upon which an Option shall terminate upon termination of an Optionee’s Continuous Service Status, the following provisions shall apply:</w:t>
      </w:r>
    </w:p>
    <w:p>
      <w:pPr>
        <w:spacing w:after="0" w:line="42" w:lineRule="exact"/>
        <w:rPr>
          <w:rFonts w:ascii="Arial" w:cs="Arial" w:eastAsia="Arial" w:hAnsi="Arial"/>
          <w:sz w:val="16"/>
          <w:szCs w:val="16"/>
          <w:color w:val="auto"/>
        </w:rPr>
      </w:pPr>
    </w:p>
    <w:p>
      <w:pPr>
        <w:ind w:right="120" w:firstLine="1979"/>
        <w:spacing w:after="0" w:line="261" w:lineRule="auto"/>
        <w:tabs>
          <w:tab w:leader="none" w:pos="2237" w:val="left"/>
        </w:tabs>
        <w:numPr>
          <w:ilvl w:val="1"/>
          <w:numId w:val="237"/>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 Provisions</w:t>
      </w:r>
      <w:r>
        <w:rPr>
          <w:rFonts w:ascii="Arial" w:cs="Arial" w:eastAsia="Arial" w:hAnsi="Arial"/>
          <w:sz w:val="18"/>
          <w:szCs w:val="18"/>
          <w:color w:val="auto"/>
        </w:rPr>
        <w:t>. If the Optionee (or other person entitled to exercise the Option) does not exercise the Option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extent so entitled within the time specified below, the Option shall terminate and the Optioned Stock underlying the unexercised portion of the Option shall revert to the Plan. In no event may any Option be exercised after the expiration of the Option term as set forth in the Option Agreement (and subject to this Section 7).</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0" w:right="459" w:bottom="1440" w:gutter="0" w:footer="0" w:header="0"/>
        </w:sectPr>
      </w:pPr>
    </w:p>
    <w:bookmarkStart w:id="288" w:name="page289"/>
    <w:bookmarkEnd w:id="288"/>
    <w:p>
      <w:pPr>
        <w:ind w:left="-40" w:right="560" w:firstLine="1979"/>
        <w:spacing w:after="0" w:line="314" w:lineRule="auto"/>
        <w:tabs>
          <w:tab w:leader="none" w:pos="2197" w:val="left"/>
        </w:tabs>
        <w:numPr>
          <w:ilvl w:val="3"/>
          <w:numId w:val="238"/>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Termination other than Upon Disability or Death or for Cause</w:t>
      </w:r>
      <w:r>
        <w:rPr>
          <w:rFonts w:ascii="Arial" w:cs="Arial" w:eastAsia="Arial" w:hAnsi="Arial"/>
          <w:sz w:val="16"/>
          <w:szCs w:val="16"/>
          <w:color w:val="auto"/>
        </w:rPr>
        <w:t>. In the event of termination of an Optionee’s</w:t>
      </w:r>
      <w:r>
        <w:rPr>
          <w:rFonts w:ascii="Arial" w:cs="Arial" w:eastAsia="Arial" w:hAnsi="Arial"/>
          <w:sz w:val="16"/>
          <w:szCs w:val="16"/>
          <w:b w:val="1"/>
          <w:bCs w:val="1"/>
          <w:color w:val="auto"/>
        </w:rPr>
        <w:t xml:space="preserve"> </w:t>
      </w:r>
      <w:r>
        <w:rPr>
          <w:rFonts w:ascii="Arial" w:cs="Arial" w:eastAsia="Arial" w:hAnsi="Arial"/>
          <w:sz w:val="16"/>
          <w:szCs w:val="16"/>
          <w:color w:val="auto"/>
        </w:rPr>
        <w:t>Continuous Service Status other than under the circumstances set forth in the subsections (3) through (5) below, such Optionee may exercise any outstanding Option at any time within 3 months following such termination to the extent the Optionee is vested in the Optioned Stock.</w:t>
      </w:r>
    </w:p>
    <w:p>
      <w:pPr>
        <w:spacing w:after="0" w:line="33" w:lineRule="exact"/>
        <w:rPr>
          <w:rFonts w:ascii="Arial" w:cs="Arial" w:eastAsia="Arial" w:hAnsi="Arial"/>
          <w:sz w:val="16"/>
          <w:szCs w:val="16"/>
          <w:color w:val="auto"/>
        </w:rPr>
      </w:pPr>
    </w:p>
    <w:p>
      <w:pPr>
        <w:jc w:val="both"/>
        <w:ind w:left="-40" w:right="200" w:firstLine="1979"/>
        <w:spacing w:after="0" w:line="266" w:lineRule="auto"/>
        <w:tabs>
          <w:tab w:leader="none" w:pos="2197" w:val="left"/>
        </w:tabs>
        <w:numPr>
          <w:ilvl w:val="3"/>
          <w:numId w:val="238"/>
        </w:numPr>
        <w:rPr>
          <w:rFonts w:ascii="Arial" w:cs="Arial" w:eastAsia="Arial" w:hAnsi="Arial"/>
          <w:sz w:val="18"/>
          <w:szCs w:val="18"/>
          <w:color w:val="auto"/>
        </w:rPr>
      </w:pPr>
      <w:r>
        <w:rPr>
          <w:rFonts w:ascii="Arial" w:cs="Arial" w:eastAsia="Arial" w:hAnsi="Arial"/>
          <w:sz w:val="18"/>
          <w:szCs w:val="18"/>
          <w:b w:val="1"/>
          <w:bCs w:val="1"/>
          <w:u w:val="single" w:color="auto"/>
          <w:color w:val="auto"/>
        </w:rPr>
        <w:t>Disability of Optionee</w:t>
      </w:r>
      <w:r>
        <w:rPr>
          <w:rFonts w:ascii="Arial" w:cs="Arial" w:eastAsia="Arial" w:hAnsi="Arial"/>
          <w:sz w:val="18"/>
          <w:szCs w:val="18"/>
          <w:color w:val="auto"/>
        </w:rPr>
        <w:t>. In the event of termination of an Optionee’s Continuous Service Status as a result of his or her</w:t>
      </w:r>
      <w:r>
        <w:rPr>
          <w:rFonts w:ascii="Arial" w:cs="Arial" w:eastAsia="Arial" w:hAnsi="Arial"/>
          <w:sz w:val="18"/>
          <w:szCs w:val="18"/>
          <w:b w:val="1"/>
          <w:bCs w:val="1"/>
          <w:color w:val="auto"/>
        </w:rPr>
        <w:t xml:space="preserve"> </w:t>
      </w:r>
      <w:r>
        <w:rPr>
          <w:rFonts w:ascii="Arial" w:cs="Arial" w:eastAsia="Arial" w:hAnsi="Arial"/>
          <w:sz w:val="18"/>
          <w:szCs w:val="18"/>
          <w:color w:val="auto"/>
        </w:rPr>
        <w:t>Disability, such Optionee may exercise any outstanding Option at any time within 12 months following such termination to the extent the Optionee is vested in the Optioned Stock.</w:t>
      </w:r>
    </w:p>
    <w:p>
      <w:pPr>
        <w:spacing w:after="0" w:line="67" w:lineRule="exact"/>
        <w:rPr>
          <w:rFonts w:ascii="Arial" w:cs="Arial" w:eastAsia="Arial" w:hAnsi="Arial"/>
          <w:sz w:val="18"/>
          <w:szCs w:val="18"/>
          <w:color w:val="auto"/>
        </w:rPr>
      </w:pPr>
    </w:p>
    <w:p>
      <w:pPr>
        <w:ind w:left="-40" w:right="280" w:firstLine="1979"/>
        <w:spacing w:after="0" w:line="277" w:lineRule="auto"/>
        <w:tabs>
          <w:tab w:leader="none" w:pos="2197" w:val="left"/>
        </w:tabs>
        <w:numPr>
          <w:ilvl w:val="3"/>
          <w:numId w:val="238"/>
        </w:numPr>
        <w:rPr>
          <w:rFonts w:ascii="Arial" w:cs="Arial" w:eastAsia="Arial" w:hAnsi="Arial"/>
          <w:sz w:val="17"/>
          <w:szCs w:val="17"/>
          <w:color w:val="auto"/>
        </w:rPr>
      </w:pPr>
      <w:r>
        <w:rPr>
          <w:rFonts w:ascii="Arial" w:cs="Arial" w:eastAsia="Arial" w:hAnsi="Arial"/>
          <w:sz w:val="17"/>
          <w:szCs w:val="17"/>
          <w:b w:val="1"/>
          <w:bCs w:val="1"/>
          <w:u w:val="single" w:color="auto"/>
          <w:color w:val="auto"/>
        </w:rPr>
        <w:t>Death of Optionee</w:t>
      </w:r>
      <w:r>
        <w:rPr>
          <w:rFonts w:ascii="Arial" w:cs="Arial" w:eastAsia="Arial" w:hAnsi="Arial"/>
          <w:sz w:val="17"/>
          <w:szCs w:val="17"/>
          <w:color w:val="auto"/>
        </w:rPr>
        <w:t>. In the event of the death of an Optionee during the period of Continuous Service Status since the</w:t>
      </w:r>
      <w:r>
        <w:rPr>
          <w:rFonts w:ascii="Arial" w:cs="Arial" w:eastAsia="Arial" w:hAnsi="Arial"/>
          <w:sz w:val="17"/>
          <w:szCs w:val="17"/>
          <w:b w:val="1"/>
          <w:bCs w:val="1"/>
          <w:color w:val="auto"/>
        </w:rPr>
        <w:t xml:space="preserve"> </w:t>
      </w:r>
      <w:r>
        <w:rPr>
          <w:rFonts w:ascii="Arial" w:cs="Arial" w:eastAsia="Arial" w:hAnsi="Arial"/>
          <w:sz w:val="17"/>
          <w:szCs w:val="17"/>
          <w:color w:val="auto"/>
        </w:rPr>
        <w:t>date of grant of any outstanding Option, or within 3 months following termination of the Optionee’s Continuous Service Status, the Option may be exercised by any beneficiaries designated in accordance with Section 15 below, or if there are no such beneficiaries, by the Optionee’s estate, or by a person who acquired the right to exercise the Option by bequest or inheritance, at any time within 12 months following the date the Optionee’s Continuous Service Status terminated, but only to the extent the Optionee is vested in the Optioned Stock.</w:t>
      </w:r>
    </w:p>
    <w:p>
      <w:pPr>
        <w:spacing w:after="0" w:line="59" w:lineRule="exact"/>
        <w:rPr>
          <w:rFonts w:ascii="Arial" w:cs="Arial" w:eastAsia="Arial" w:hAnsi="Arial"/>
          <w:sz w:val="17"/>
          <w:szCs w:val="17"/>
          <w:color w:val="auto"/>
        </w:rPr>
      </w:pPr>
    </w:p>
    <w:p>
      <w:pPr>
        <w:ind w:left="-40" w:right="60" w:firstLine="1979"/>
        <w:spacing w:after="0" w:line="294" w:lineRule="auto"/>
        <w:tabs>
          <w:tab w:leader="none" w:pos="2197" w:val="left"/>
        </w:tabs>
        <w:numPr>
          <w:ilvl w:val="3"/>
          <w:numId w:val="238"/>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for Cause</w:t>
      </w:r>
      <w:r>
        <w:rPr>
          <w:rFonts w:ascii="Arial" w:cs="Arial" w:eastAsia="Arial" w:hAnsi="Arial"/>
          <w:sz w:val="16"/>
          <w:szCs w:val="16"/>
          <w:color w:val="auto"/>
        </w:rPr>
        <w:t>. In the event of termination of an Optionee’s Continuous Service Status for Cause, any</w:t>
      </w:r>
      <w:r>
        <w:rPr>
          <w:rFonts w:ascii="Arial" w:cs="Arial" w:eastAsia="Arial" w:hAnsi="Arial"/>
          <w:sz w:val="16"/>
          <w:szCs w:val="16"/>
          <w:b w:val="1"/>
          <w:bCs w:val="1"/>
          <w:color w:val="auto"/>
        </w:rPr>
        <w:t xml:space="preserve"> </w:t>
      </w:r>
      <w:r>
        <w:rPr>
          <w:rFonts w:ascii="Arial" w:cs="Arial" w:eastAsia="Arial" w:hAnsi="Arial"/>
          <w:sz w:val="16"/>
          <w:szCs w:val="16"/>
          <w:color w:val="auto"/>
        </w:rPr>
        <w:t>outstanding Option (including any vested portion thereof) held by such Optionee shall immediately terminate in its entirety upon first notification to the Optionee of termination of the Optionee’s Continuous Service Status for Cause. If an Optionee’s Continuous Service Status is suspended pending an investigation of whether the Optionee’s Continuous Service Status will be terminated for Cause, all the Optionee’s rights under any Option, including the right to exercise the Option, shall be suspended during the investigation period. Nothing in this Section 7(c)(ii)(5) shall in any way limit the Company’s right to purchase unvested Shares issued upon exercise of an Option as set forth in the applicable Option Agreement.</w:t>
      </w:r>
    </w:p>
    <w:p>
      <w:pPr>
        <w:spacing w:after="0" w:line="51" w:lineRule="exact"/>
        <w:rPr>
          <w:rFonts w:ascii="Arial" w:cs="Arial" w:eastAsia="Arial" w:hAnsi="Arial"/>
          <w:sz w:val="16"/>
          <w:szCs w:val="16"/>
          <w:color w:val="auto"/>
        </w:rPr>
      </w:pPr>
    </w:p>
    <w:p>
      <w:pPr>
        <w:jc w:val="both"/>
        <w:ind w:left="-40" w:right="160" w:firstLine="1428"/>
        <w:spacing w:after="0" w:line="266" w:lineRule="auto"/>
        <w:tabs>
          <w:tab w:leader="none" w:pos="1707" w:val="left"/>
        </w:tabs>
        <w:numPr>
          <w:ilvl w:val="2"/>
          <w:numId w:val="239"/>
        </w:numPr>
        <w:rPr>
          <w:rFonts w:ascii="Arial" w:cs="Arial" w:eastAsia="Arial" w:hAnsi="Arial"/>
          <w:sz w:val="18"/>
          <w:szCs w:val="18"/>
          <w:color w:val="auto"/>
        </w:rPr>
      </w:pPr>
      <w:r>
        <w:rPr>
          <w:rFonts w:ascii="Arial" w:cs="Arial" w:eastAsia="Arial" w:hAnsi="Arial"/>
          <w:sz w:val="18"/>
          <w:szCs w:val="18"/>
          <w:b w:val="1"/>
          <w:bCs w:val="1"/>
          <w:u w:val="single" w:color="auto"/>
          <w:color w:val="auto"/>
        </w:rPr>
        <w:t>Buyout Provisions</w:t>
      </w:r>
      <w:r>
        <w:rPr>
          <w:rFonts w:ascii="Arial" w:cs="Arial" w:eastAsia="Arial" w:hAnsi="Arial"/>
          <w:sz w:val="18"/>
          <w:szCs w:val="18"/>
          <w:color w:val="auto"/>
        </w:rPr>
        <w:t>. The Administrator may at any time offer to buy out for a payment in cash or Shares an Option previously</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under the Plan based on such terms and conditions as the Administrator shall establish and communicate to the Optionee at the time that such offer is made.</w:t>
      </w:r>
    </w:p>
    <w:p>
      <w:pPr>
        <w:spacing w:after="0" w:line="67" w:lineRule="exact"/>
        <w:rPr>
          <w:rFonts w:ascii="Arial" w:cs="Arial" w:eastAsia="Arial" w:hAnsi="Arial"/>
          <w:sz w:val="18"/>
          <w:szCs w:val="18"/>
          <w:color w:val="auto"/>
        </w:rPr>
      </w:pPr>
    </w:p>
    <w:p>
      <w:pPr>
        <w:ind w:left="580" w:hanging="184"/>
        <w:spacing w:after="0"/>
        <w:tabs>
          <w:tab w:leader="none" w:pos="580" w:val="left"/>
        </w:tabs>
        <w:numPr>
          <w:ilvl w:val="0"/>
          <w:numId w:val="240"/>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Restricted Stock and Restricted Stock Units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00" w:hanging="253"/>
        <w:spacing w:after="0"/>
        <w:tabs>
          <w:tab w:leader="none" w:pos="1200" w:val="left"/>
        </w:tabs>
        <w:numPr>
          <w:ilvl w:val="1"/>
          <w:numId w:val="240"/>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Restricted Stock</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0" w:firstLine="1428"/>
        <w:spacing w:after="0" w:line="261" w:lineRule="auto"/>
        <w:tabs>
          <w:tab w:leader="none" w:pos="1607" w:val="left"/>
        </w:tabs>
        <w:numPr>
          <w:ilvl w:val="2"/>
          <w:numId w:val="240"/>
        </w:numPr>
        <w:rPr>
          <w:rFonts w:ascii="Arial" w:cs="Arial" w:eastAsia="Arial" w:hAnsi="Arial"/>
          <w:sz w:val="18"/>
          <w:szCs w:val="18"/>
          <w:color w:val="auto"/>
        </w:rPr>
      </w:pPr>
      <w:r>
        <w:rPr>
          <w:rFonts w:ascii="Arial" w:cs="Arial" w:eastAsia="Arial" w:hAnsi="Arial"/>
          <w:sz w:val="18"/>
          <w:szCs w:val="18"/>
          <w:b w:val="1"/>
          <w:bCs w:val="1"/>
          <w:u w:val="single" w:color="auto"/>
          <w:color w:val="auto"/>
        </w:rPr>
        <w:t>Rights to Purchase</w:t>
      </w:r>
      <w:r>
        <w:rPr>
          <w:rFonts w:ascii="Arial" w:cs="Arial" w:eastAsia="Arial" w:hAnsi="Arial"/>
          <w:sz w:val="18"/>
          <w:szCs w:val="18"/>
          <w:color w:val="auto"/>
        </w:rPr>
        <w:t>. When a right to purchase or receive Restricted Stock is granted under the Plan, the Company shall advise</w:t>
      </w:r>
      <w:r>
        <w:rPr>
          <w:rFonts w:ascii="Arial" w:cs="Arial" w:eastAsia="Arial" w:hAnsi="Arial"/>
          <w:sz w:val="18"/>
          <w:szCs w:val="18"/>
          <w:b w:val="1"/>
          <w:bCs w:val="1"/>
          <w:color w:val="auto"/>
        </w:rPr>
        <w:t xml:space="preserve"> </w:t>
      </w:r>
      <w:r>
        <w:rPr>
          <w:rFonts w:ascii="Arial" w:cs="Arial" w:eastAsia="Arial" w:hAnsi="Arial"/>
          <w:sz w:val="18"/>
          <w:szCs w:val="18"/>
          <w:color w:val="auto"/>
        </w:rPr>
        <w:t>the recipient in writing of the terms, conditions and restrictions related to the offer, including the number of Shares that such person shall be entitled to purchase, the price to be paid, if any (which shall be as determined by the Administrator, subject to Applicable Laws, including any applicable securities laws), and the time within which such person must accept such offer.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480" w:top="270" w:right="479" w:bottom="1440" w:gutter="0" w:footer="0" w:header="0"/>
        </w:sectPr>
      </w:pPr>
    </w:p>
    <w:bookmarkStart w:id="289" w:name="page290"/>
    <w:bookmarkEnd w:id="289"/>
    <w:p>
      <w:pPr>
        <w:ind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permissible consideration for Restricted Stock shall be determined by the Administrator and shall be the same as is set forth in Section 7(b)(ii) above with respect to exercise of Options. The offer to purchase Shares shall be accepted by execution of a Restricted Stock Purchase Agreement in the form determined by the Administrator.</w:t>
      </w:r>
    </w:p>
    <w:p>
      <w:pPr>
        <w:spacing w:after="0" w:line="72" w:lineRule="exact"/>
        <w:rPr>
          <w:sz w:val="20"/>
          <w:szCs w:val="20"/>
          <w:color w:val="auto"/>
        </w:rPr>
      </w:pPr>
    </w:p>
    <w:p>
      <w:pPr>
        <w:ind w:left="1700" w:hanging="272"/>
        <w:spacing w:after="0"/>
        <w:tabs>
          <w:tab w:leader="none" w:pos="1700" w:val="left"/>
        </w:tabs>
        <w:numPr>
          <w:ilvl w:val="0"/>
          <w:numId w:val="241"/>
        </w:numPr>
        <w:rPr>
          <w:rFonts w:ascii="Arial" w:cs="Arial" w:eastAsia="Arial" w:hAnsi="Arial"/>
          <w:sz w:val="18"/>
          <w:szCs w:val="18"/>
          <w:color w:val="auto"/>
        </w:rPr>
      </w:pPr>
      <w:r>
        <w:rPr>
          <w:rFonts w:ascii="Arial" w:cs="Arial" w:eastAsia="Arial" w:hAnsi="Arial"/>
          <w:sz w:val="18"/>
          <w:szCs w:val="18"/>
          <w:b w:val="1"/>
          <w:bCs w:val="1"/>
          <w:u w:val="single" w:color="auto"/>
          <w:color w:val="auto"/>
        </w:rPr>
        <w:t>Repurchase Option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20" w:firstLine="1979"/>
        <w:spacing w:after="0" w:line="258" w:lineRule="auto"/>
        <w:tabs>
          <w:tab w:leader="none" w:pos="2237" w:val="left"/>
        </w:tabs>
        <w:numPr>
          <w:ilvl w:val="1"/>
          <w:numId w:val="241"/>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w:t>
      </w:r>
      <w:r>
        <w:rPr>
          <w:rFonts w:ascii="Arial" w:cs="Arial" w:eastAsia="Arial" w:hAnsi="Arial"/>
          <w:sz w:val="18"/>
          <w:szCs w:val="18"/>
          <w:color w:val="auto"/>
        </w:rPr>
        <w:t>. Unless the Administrator determines otherwise, the Restricted Stock Purchase Agreement shall grant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 repurchase option exercisable upon the voluntary or involuntary termination of the Participant’s Continuous Service Status for any reason (including death or Disability) at a purchase price for Shares equal to the original purchase price paid by the purchaser to the Company for such Shares and may be paid by cancellation of any indebtedness of the purchaser to the Company. The repurchase option shall lapse at such rate as the Administrator may determine.</w:t>
      </w:r>
    </w:p>
    <w:p>
      <w:pPr>
        <w:spacing w:after="0" w:line="75" w:lineRule="exact"/>
        <w:rPr>
          <w:rFonts w:ascii="Arial" w:cs="Arial" w:eastAsia="Arial" w:hAnsi="Arial"/>
          <w:sz w:val="18"/>
          <w:szCs w:val="18"/>
          <w:color w:val="auto"/>
        </w:rPr>
      </w:pPr>
    </w:p>
    <w:p>
      <w:pPr>
        <w:ind w:right="100" w:firstLine="1979"/>
        <w:spacing w:after="0" w:line="291" w:lineRule="auto"/>
        <w:tabs>
          <w:tab w:leader="none" w:pos="2237" w:val="left"/>
        </w:tabs>
        <w:numPr>
          <w:ilvl w:val="1"/>
          <w:numId w:val="241"/>
        </w:numPr>
        <w:rPr>
          <w:rFonts w:ascii="Arial" w:cs="Arial" w:eastAsia="Arial" w:hAnsi="Arial"/>
          <w:sz w:val="16"/>
          <w:szCs w:val="16"/>
          <w:color w:val="auto"/>
        </w:rPr>
      </w:pPr>
      <w:r>
        <w:rPr>
          <w:rFonts w:ascii="Arial" w:cs="Arial" w:eastAsia="Arial" w:hAnsi="Arial"/>
          <w:sz w:val="16"/>
          <w:szCs w:val="16"/>
          <w:b w:val="1"/>
          <w:bCs w:val="1"/>
          <w:u w:val="single" w:color="auto"/>
          <w:color w:val="auto"/>
        </w:rPr>
        <w:t>Leave of Absence</w:t>
      </w:r>
      <w:r>
        <w:rPr>
          <w:rFonts w:ascii="Arial" w:cs="Arial" w:eastAsia="Arial" w:hAnsi="Arial"/>
          <w:sz w:val="16"/>
          <w:szCs w:val="16"/>
          <w:color w:val="auto"/>
        </w:rPr>
        <w:t>. The Administrator shall have the discretion to determine at any time whether and to what extent the</w:t>
      </w:r>
      <w:r>
        <w:rPr>
          <w:rFonts w:ascii="Arial" w:cs="Arial" w:eastAsia="Arial" w:hAnsi="Arial"/>
          <w:sz w:val="16"/>
          <w:szCs w:val="16"/>
          <w:b w:val="1"/>
          <w:bCs w:val="1"/>
          <w:color w:val="auto"/>
        </w:rPr>
        <w:t xml:space="preserve"> </w:t>
      </w:r>
      <w:r>
        <w:rPr>
          <w:rFonts w:ascii="Arial" w:cs="Arial" w:eastAsia="Arial" w:hAnsi="Arial"/>
          <w:sz w:val="16"/>
          <w:szCs w:val="16"/>
          <w:color w:val="auto"/>
        </w:rPr>
        <w:t>lapsing of Company repurchase rights shall be tolled during any leave of absence; provided, however, that in the absence of such determination, such lapsing shall be tolled during any unpaid leave (unless otherwise required by Applicable Laws). Notwithstanding the foregoing, in the event of military leave, the lapsing of Company repurchase rights shall toll during any unpaid portion of such leave, provided that, upon a Participant’s returning from military leave (under conditions that would entitle him or her to protection upon such return under the Uniform Services Employment and Reemployment Rights Act), he or she shall be given vesting credit with respect to Shares purchased pursuant to the Restricted Stock Purchase Agreement to the same extent as would have applied had the Participant continued to provide services to the Company (or any Parent, Subsidiary or Affiliate, if applicable) throughout the leave on the same terms as he or she was providing services immediately prior to such leave.</w:t>
      </w:r>
    </w:p>
    <w:p>
      <w:pPr>
        <w:spacing w:after="0" w:line="51" w:lineRule="exact"/>
        <w:rPr>
          <w:rFonts w:ascii="Arial" w:cs="Arial" w:eastAsia="Arial" w:hAnsi="Arial"/>
          <w:sz w:val="16"/>
          <w:szCs w:val="16"/>
          <w:color w:val="auto"/>
        </w:rPr>
      </w:pPr>
    </w:p>
    <w:p>
      <w:pPr>
        <w:jc w:val="both"/>
        <w:ind w:right="380" w:firstLine="1428"/>
        <w:spacing w:after="0" w:line="266" w:lineRule="auto"/>
        <w:tabs>
          <w:tab w:leader="none" w:pos="1747" w:val="left"/>
        </w:tabs>
        <w:numPr>
          <w:ilvl w:val="0"/>
          <w:numId w:val="241"/>
        </w:numPr>
        <w:rPr>
          <w:rFonts w:ascii="Arial" w:cs="Arial" w:eastAsia="Arial" w:hAnsi="Arial"/>
          <w:sz w:val="18"/>
          <w:szCs w:val="18"/>
          <w:color w:val="auto"/>
        </w:rPr>
      </w:pPr>
      <w:r>
        <w:rPr>
          <w:rFonts w:ascii="Arial" w:cs="Arial" w:eastAsia="Arial" w:hAnsi="Arial"/>
          <w:sz w:val="18"/>
          <w:szCs w:val="18"/>
          <w:b w:val="1"/>
          <w:bCs w:val="1"/>
          <w:u w:val="single" w:color="auto"/>
          <w:color w:val="auto"/>
        </w:rPr>
        <w:t>Other Provisions</w:t>
      </w:r>
      <w:r>
        <w:rPr>
          <w:rFonts w:ascii="Arial" w:cs="Arial" w:eastAsia="Arial" w:hAnsi="Arial"/>
          <w:sz w:val="18"/>
          <w:szCs w:val="18"/>
          <w:color w:val="auto"/>
        </w:rPr>
        <w:t>. The Restricted Stock Purchase Agreement shall contain such other terms, provisions and conditions not</w:t>
      </w:r>
      <w:r>
        <w:rPr>
          <w:rFonts w:ascii="Arial" w:cs="Arial" w:eastAsia="Arial" w:hAnsi="Arial"/>
          <w:sz w:val="18"/>
          <w:szCs w:val="18"/>
          <w:b w:val="1"/>
          <w:bCs w:val="1"/>
          <w:color w:val="auto"/>
        </w:rPr>
        <w:t xml:space="preserve"> </w:t>
      </w:r>
      <w:r>
        <w:rPr>
          <w:rFonts w:ascii="Arial" w:cs="Arial" w:eastAsia="Arial" w:hAnsi="Arial"/>
          <w:sz w:val="18"/>
          <w:szCs w:val="18"/>
          <w:color w:val="auto"/>
        </w:rPr>
        <w:t>inconsistent with the Plan as may be determined by the Administrator in its sole discretion. In addition, the provisions of Restricted Stock Purchase Agreements need not be the same with respect to each Participant.</w:t>
      </w:r>
    </w:p>
    <w:p>
      <w:pPr>
        <w:spacing w:after="0" w:line="67" w:lineRule="exact"/>
        <w:rPr>
          <w:rFonts w:ascii="Arial" w:cs="Arial" w:eastAsia="Arial" w:hAnsi="Arial"/>
          <w:sz w:val="18"/>
          <w:szCs w:val="18"/>
          <w:color w:val="auto"/>
        </w:rPr>
      </w:pPr>
    </w:p>
    <w:p>
      <w:pPr>
        <w:jc w:val="both"/>
        <w:ind w:firstLine="1428"/>
        <w:spacing w:after="0" w:line="261" w:lineRule="auto"/>
        <w:tabs>
          <w:tab w:leader="none" w:pos="1737" w:val="left"/>
        </w:tabs>
        <w:numPr>
          <w:ilvl w:val="0"/>
          <w:numId w:val="241"/>
        </w:numPr>
        <w:rPr>
          <w:rFonts w:ascii="Arial" w:cs="Arial" w:eastAsia="Arial" w:hAnsi="Arial"/>
          <w:sz w:val="18"/>
          <w:szCs w:val="18"/>
          <w:color w:val="auto"/>
        </w:rPr>
      </w:pPr>
      <w:r>
        <w:rPr>
          <w:rFonts w:ascii="Arial" w:cs="Arial" w:eastAsia="Arial" w:hAnsi="Arial"/>
          <w:sz w:val="18"/>
          <w:szCs w:val="18"/>
          <w:b w:val="1"/>
          <w:bCs w:val="1"/>
          <w:u w:val="single" w:color="auto"/>
          <w:color w:val="auto"/>
        </w:rPr>
        <w:t>Rights as a Holder of Capital Stock</w:t>
      </w:r>
      <w:r>
        <w:rPr>
          <w:rFonts w:ascii="Arial" w:cs="Arial" w:eastAsia="Arial" w:hAnsi="Arial"/>
          <w:sz w:val="18"/>
          <w:szCs w:val="18"/>
          <w:color w:val="auto"/>
        </w:rPr>
        <w:t>. Once the Restricted Stock is purchased, the Participant shall have the rights equivalent to</w:t>
      </w:r>
      <w:r>
        <w:rPr>
          <w:rFonts w:ascii="Arial" w:cs="Arial" w:eastAsia="Arial" w:hAnsi="Arial"/>
          <w:sz w:val="18"/>
          <w:szCs w:val="18"/>
          <w:b w:val="1"/>
          <w:bCs w:val="1"/>
          <w:color w:val="auto"/>
        </w:rPr>
        <w:t xml:space="preserve"> </w:t>
      </w:r>
      <w:r>
        <w:rPr>
          <w:rFonts w:ascii="Arial" w:cs="Arial" w:eastAsia="Arial" w:hAnsi="Arial"/>
          <w:sz w:val="18"/>
          <w:szCs w:val="18"/>
          <w:color w:val="auto"/>
        </w:rPr>
        <w:t>those of a holder of capital stock, and shall be a record holder when his or her purchase and the issuance of the Shares is entered upon the records of the duly authorized transfer agent of the Company. No adjustment will be made for a dividend or other right for which the record date is prior to the date the Restricted Stock is purchased, except as provided in Section 11 below.</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4" w:right="479" w:bottom="1440" w:gutter="0" w:footer="0" w:header="0"/>
        </w:sectPr>
      </w:pPr>
    </w:p>
    <w:bookmarkStart w:id="290" w:name="page291"/>
    <w:bookmarkEnd w:id="290"/>
    <w:p>
      <w:pPr>
        <w:ind w:left="1240" w:hanging="253"/>
        <w:spacing w:after="0"/>
        <w:tabs>
          <w:tab w:leader="none" w:pos="1240" w:val="left"/>
        </w:tabs>
        <w:numPr>
          <w:ilvl w:val="0"/>
          <w:numId w:val="242"/>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Restricted Stock Units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00" w:firstLine="1428"/>
        <w:spacing w:after="0" w:line="314" w:lineRule="auto"/>
        <w:tabs>
          <w:tab w:leader="none" w:pos="1647" w:val="left"/>
        </w:tabs>
        <w:numPr>
          <w:ilvl w:val="1"/>
          <w:numId w:val="242"/>
        </w:numPr>
        <w:rPr>
          <w:rFonts w:ascii="Arial" w:cs="Arial" w:eastAsia="Arial" w:hAnsi="Arial"/>
          <w:sz w:val="16"/>
          <w:szCs w:val="16"/>
          <w:color w:val="auto"/>
        </w:rPr>
      </w:pPr>
      <w:r>
        <w:rPr>
          <w:rFonts w:ascii="Arial" w:cs="Arial" w:eastAsia="Arial" w:hAnsi="Arial"/>
          <w:sz w:val="16"/>
          <w:szCs w:val="16"/>
          <w:b w:val="1"/>
          <w:bCs w:val="1"/>
          <w:u w:val="single" w:color="auto"/>
          <w:color w:val="auto"/>
        </w:rPr>
        <w:t>Award Terms</w:t>
      </w:r>
      <w:r>
        <w:rPr>
          <w:rFonts w:ascii="Arial" w:cs="Arial" w:eastAsia="Arial" w:hAnsi="Arial"/>
          <w:sz w:val="16"/>
          <w:szCs w:val="16"/>
          <w:color w:val="auto"/>
        </w:rPr>
        <w:t>. When Restricted Stock Units are granted under the Plan, the Company shall advise the recipient in writing of the</w:t>
      </w:r>
      <w:r>
        <w:rPr>
          <w:rFonts w:ascii="Arial" w:cs="Arial" w:eastAsia="Arial" w:hAnsi="Arial"/>
          <w:sz w:val="16"/>
          <w:szCs w:val="16"/>
          <w:b w:val="1"/>
          <w:bCs w:val="1"/>
          <w:color w:val="auto"/>
        </w:rPr>
        <w:t xml:space="preserve"> </w:t>
      </w:r>
      <w:r>
        <w:rPr>
          <w:rFonts w:ascii="Arial" w:cs="Arial" w:eastAsia="Arial" w:hAnsi="Arial"/>
          <w:sz w:val="16"/>
          <w:szCs w:val="16"/>
          <w:color w:val="auto"/>
        </w:rPr>
        <w:t>terms, conditions and restrictions applicable to the Award, including the number of Restricted Stock Units subject to the Award. The offer to receive Restricted Stock Units shall be accepted by execution of a Restricted Stock Unit Agreement in the form determined by the Administrator.</w:t>
      </w:r>
    </w:p>
    <w:p>
      <w:pPr>
        <w:spacing w:after="0" w:line="33" w:lineRule="exact"/>
        <w:rPr>
          <w:rFonts w:ascii="Arial" w:cs="Arial" w:eastAsia="Arial" w:hAnsi="Arial"/>
          <w:sz w:val="16"/>
          <w:szCs w:val="16"/>
          <w:color w:val="auto"/>
        </w:rPr>
      </w:pPr>
    </w:p>
    <w:p>
      <w:pPr>
        <w:ind w:left="1700" w:hanging="272"/>
        <w:spacing w:after="0"/>
        <w:tabs>
          <w:tab w:leader="none" w:pos="1700" w:val="left"/>
        </w:tabs>
        <w:numPr>
          <w:ilvl w:val="1"/>
          <w:numId w:val="242"/>
        </w:numPr>
        <w:rPr>
          <w:rFonts w:ascii="Arial" w:cs="Arial" w:eastAsia="Arial" w:hAnsi="Arial"/>
          <w:sz w:val="18"/>
          <w:szCs w:val="18"/>
          <w:color w:val="auto"/>
        </w:rPr>
      </w:pPr>
      <w:r>
        <w:rPr>
          <w:rFonts w:ascii="Arial" w:cs="Arial" w:eastAsia="Arial" w:hAnsi="Arial"/>
          <w:sz w:val="18"/>
          <w:szCs w:val="18"/>
          <w:b w:val="1"/>
          <w:bCs w:val="1"/>
          <w:u w:val="single" w:color="auto"/>
          <w:color w:val="auto"/>
        </w:rPr>
        <w:t>Vesting and Settlement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40" w:firstLine="1979"/>
        <w:spacing w:after="0" w:line="256" w:lineRule="auto"/>
        <w:tabs>
          <w:tab w:leader="none" w:pos="2237" w:val="left"/>
        </w:tabs>
        <w:numPr>
          <w:ilvl w:val="2"/>
          <w:numId w:val="242"/>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w:t>
      </w:r>
      <w:r>
        <w:rPr>
          <w:rFonts w:ascii="Arial" w:cs="Arial" w:eastAsia="Arial" w:hAnsi="Arial"/>
          <w:sz w:val="18"/>
          <w:szCs w:val="18"/>
          <w:color w:val="auto"/>
        </w:rPr>
        <w:t>. The Administrator may, in its discretion, set vesting criteria for the Restricted Stock Units that must be met in</w:t>
      </w:r>
      <w:r>
        <w:rPr>
          <w:rFonts w:ascii="Arial" w:cs="Arial" w:eastAsia="Arial" w:hAnsi="Arial"/>
          <w:sz w:val="18"/>
          <w:szCs w:val="18"/>
          <w:b w:val="1"/>
          <w:bCs w:val="1"/>
          <w:color w:val="auto"/>
        </w:rPr>
        <w:t xml:space="preserve"> </w:t>
      </w:r>
      <w:r>
        <w:rPr>
          <w:rFonts w:ascii="Arial" w:cs="Arial" w:eastAsia="Arial" w:hAnsi="Arial"/>
          <w:sz w:val="18"/>
          <w:szCs w:val="18"/>
          <w:color w:val="auto"/>
        </w:rPr>
        <w:t>order to be eligible to receive a payout pursuant to the Award (note that the Administrator may specify additional conditions which must also be met in order to receive a payout pursuant to the Award). Any such vesting criteria may be based upon the achievement of Company-wide, business unit, or individual goals (including, but not limited to, continued employment or service), or any other basis determined by the Administrator in its discretion. Notwithstanding the foregoing, at any time after the grant of Restricted Stock Units, the Administrator, in its sole discretion, may reduce or waive any applicable vesting criteria.</w:t>
      </w:r>
    </w:p>
    <w:p>
      <w:pPr>
        <w:spacing w:after="0" w:line="79" w:lineRule="exact"/>
        <w:rPr>
          <w:rFonts w:ascii="Arial" w:cs="Arial" w:eastAsia="Arial" w:hAnsi="Arial"/>
          <w:sz w:val="18"/>
          <w:szCs w:val="18"/>
          <w:color w:val="auto"/>
        </w:rPr>
      </w:pPr>
    </w:p>
    <w:p>
      <w:pPr>
        <w:ind w:firstLine="1979"/>
        <w:spacing w:after="0" w:line="272" w:lineRule="auto"/>
        <w:tabs>
          <w:tab w:leader="none" w:pos="2237" w:val="left"/>
        </w:tabs>
        <w:numPr>
          <w:ilvl w:val="2"/>
          <w:numId w:val="242"/>
        </w:numPr>
        <w:rPr>
          <w:rFonts w:ascii="Arial" w:cs="Arial" w:eastAsia="Arial" w:hAnsi="Arial"/>
          <w:sz w:val="17"/>
          <w:szCs w:val="17"/>
          <w:color w:val="auto"/>
        </w:rPr>
      </w:pPr>
      <w:r>
        <w:rPr>
          <w:rFonts w:ascii="Arial" w:cs="Arial" w:eastAsia="Arial" w:hAnsi="Arial"/>
          <w:sz w:val="17"/>
          <w:szCs w:val="17"/>
          <w:b w:val="1"/>
          <w:bCs w:val="1"/>
          <w:u w:val="single" w:color="auto"/>
          <w:color w:val="auto"/>
        </w:rPr>
        <w:t>Leave of Absence</w:t>
      </w:r>
      <w:r>
        <w:rPr>
          <w:rFonts w:ascii="Arial" w:cs="Arial" w:eastAsia="Arial" w:hAnsi="Arial"/>
          <w:sz w:val="17"/>
          <w:szCs w:val="17"/>
          <w:color w:val="auto"/>
        </w:rPr>
        <w:t>. The Administrator shall have the discretion to determine at any time whether and to what extent the</w:t>
      </w:r>
      <w:r>
        <w:rPr>
          <w:rFonts w:ascii="Arial" w:cs="Arial" w:eastAsia="Arial" w:hAnsi="Arial"/>
          <w:sz w:val="17"/>
          <w:szCs w:val="17"/>
          <w:b w:val="1"/>
          <w:bCs w:val="1"/>
          <w:color w:val="auto"/>
        </w:rPr>
        <w:t xml:space="preserve"> </w:t>
      </w:r>
      <w:r>
        <w:rPr>
          <w:rFonts w:ascii="Arial" w:cs="Arial" w:eastAsia="Arial" w:hAnsi="Arial"/>
          <w:sz w:val="17"/>
          <w:szCs w:val="17"/>
          <w:color w:val="auto"/>
        </w:rPr>
        <w:t>vesting of an Award of Restricted Stock Units shall be tolled during any leave of absence; provided, however, that in the absence of such determination, vesting shall be tolled during any unpaid leave (unless otherwise required by Applicable Laws). Notwithstanding the foregoing, in the event of military leave, vesting shall toll during any unpaid portion of such leave, provided that, upon a Participant’s returning from military leave (under conditions that would entitle him or her to protection upon such return under the Uniform Services Employment and Reemployment Rights Act), he or she shall be given vesting credit with respect to the Restricted Stock Units to the same extent as would have applied had the Participant continued to provide services to the Company (or any Parent, Subsidiary or Affiliate, if applicable) throughout the leave on the same terms as he or she was providing services immediately prior to such leave.</w:t>
      </w:r>
    </w:p>
    <w:p>
      <w:pPr>
        <w:spacing w:after="0" w:line="63" w:lineRule="exact"/>
        <w:rPr>
          <w:rFonts w:ascii="Arial" w:cs="Arial" w:eastAsia="Arial" w:hAnsi="Arial"/>
          <w:sz w:val="17"/>
          <w:szCs w:val="17"/>
          <w:color w:val="auto"/>
        </w:rPr>
      </w:pPr>
    </w:p>
    <w:p>
      <w:pPr>
        <w:jc w:val="both"/>
        <w:ind w:right="160" w:firstLine="1428"/>
        <w:spacing w:after="0" w:line="266" w:lineRule="auto"/>
        <w:tabs>
          <w:tab w:leader="none" w:pos="1747" w:val="left"/>
        </w:tabs>
        <w:numPr>
          <w:ilvl w:val="1"/>
          <w:numId w:val="242"/>
        </w:numPr>
        <w:rPr>
          <w:rFonts w:ascii="Arial" w:cs="Arial" w:eastAsia="Arial" w:hAnsi="Arial"/>
          <w:sz w:val="18"/>
          <w:szCs w:val="18"/>
          <w:color w:val="auto"/>
        </w:rPr>
      </w:pPr>
      <w:r>
        <w:rPr>
          <w:rFonts w:ascii="Arial" w:cs="Arial" w:eastAsia="Arial" w:hAnsi="Arial"/>
          <w:sz w:val="18"/>
          <w:szCs w:val="18"/>
          <w:b w:val="1"/>
          <w:bCs w:val="1"/>
          <w:u w:val="single" w:color="auto"/>
          <w:color w:val="auto"/>
        </w:rPr>
        <w:t>Form and Timing of Settlement</w:t>
      </w:r>
      <w:r>
        <w:rPr>
          <w:rFonts w:ascii="Arial" w:cs="Arial" w:eastAsia="Arial" w:hAnsi="Arial"/>
          <w:sz w:val="18"/>
          <w:szCs w:val="18"/>
          <w:color w:val="auto"/>
        </w:rPr>
        <w:t>. Settlement of earned Restricted Stock Units will be made upon the date(s), and in the form</w:t>
      </w:r>
      <w:r>
        <w:rPr>
          <w:rFonts w:ascii="Arial" w:cs="Arial" w:eastAsia="Arial" w:hAnsi="Arial"/>
          <w:sz w:val="18"/>
          <w:szCs w:val="18"/>
          <w:b w:val="1"/>
          <w:bCs w:val="1"/>
          <w:color w:val="auto"/>
        </w:rPr>
        <w:t xml:space="preserve"> </w:t>
      </w:r>
      <w:r>
        <w:rPr>
          <w:rFonts w:ascii="Arial" w:cs="Arial" w:eastAsia="Arial" w:hAnsi="Arial"/>
          <w:sz w:val="18"/>
          <w:szCs w:val="18"/>
          <w:color w:val="auto"/>
        </w:rPr>
        <w:t>(cash, Shares or a combination of both), determined by the Administrator in its sole discretion and may be subject to additional conditions, if any, each as set forth in the Restricted Stock Unit Agreement.</w:t>
      </w:r>
    </w:p>
    <w:p>
      <w:pPr>
        <w:spacing w:after="0" w:line="67" w:lineRule="exact"/>
        <w:rPr>
          <w:rFonts w:ascii="Arial" w:cs="Arial" w:eastAsia="Arial" w:hAnsi="Arial"/>
          <w:sz w:val="18"/>
          <w:szCs w:val="18"/>
          <w:color w:val="auto"/>
        </w:rPr>
      </w:pPr>
    </w:p>
    <w:p>
      <w:pPr>
        <w:jc w:val="both"/>
        <w:ind w:right="720" w:firstLine="1428"/>
        <w:spacing w:after="0" w:line="266" w:lineRule="auto"/>
        <w:tabs>
          <w:tab w:leader="none" w:pos="1737" w:val="left"/>
        </w:tabs>
        <w:numPr>
          <w:ilvl w:val="1"/>
          <w:numId w:val="242"/>
        </w:numPr>
        <w:rPr>
          <w:rFonts w:ascii="Arial" w:cs="Arial" w:eastAsia="Arial" w:hAnsi="Arial"/>
          <w:sz w:val="18"/>
          <w:szCs w:val="18"/>
          <w:color w:val="auto"/>
        </w:rPr>
      </w:pPr>
      <w:r>
        <w:rPr>
          <w:rFonts w:ascii="Arial" w:cs="Arial" w:eastAsia="Arial" w:hAnsi="Arial"/>
          <w:sz w:val="18"/>
          <w:szCs w:val="18"/>
          <w:b w:val="1"/>
          <w:bCs w:val="1"/>
          <w:u w:val="single" w:color="auto"/>
          <w:color w:val="auto"/>
        </w:rPr>
        <w:t>Other Provisions</w:t>
      </w:r>
      <w:r>
        <w:rPr>
          <w:rFonts w:ascii="Arial" w:cs="Arial" w:eastAsia="Arial" w:hAnsi="Arial"/>
          <w:sz w:val="18"/>
          <w:szCs w:val="18"/>
          <w:color w:val="auto"/>
        </w:rPr>
        <w:t>. The Restricted Stock Unit Agreement shall contain such other terms, provisions and conditions not</w:t>
      </w:r>
      <w:r>
        <w:rPr>
          <w:rFonts w:ascii="Arial" w:cs="Arial" w:eastAsia="Arial" w:hAnsi="Arial"/>
          <w:sz w:val="18"/>
          <w:szCs w:val="18"/>
          <w:b w:val="1"/>
          <w:bCs w:val="1"/>
          <w:color w:val="auto"/>
        </w:rPr>
        <w:t xml:space="preserve"> </w:t>
      </w:r>
      <w:r>
        <w:rPr>
          <w:rFonts w:ascii="Arial" w:cs="Arial" w:eastAsia="Arial" w:hAnsi="Arial"/>
          <w:sz w:val="18"/>
          <w:szCs w:val="18"/>
          <w:color w:val="auto"/>
        </w:rPr>
        <w:t>inconsistent with the Plan as may be determined by the Administrator in its sole discretion. In addition, the provisions of Restricted Stock Unit Agreements need not be the same with respect to each Participant.</w:t>
      </w:r>
    </w:p>
    <w:p>
      <w:pPr>
        <w:spacing w:after="0" w:line="67" w:lineRule="exact"/>
        <w:rPr>
          <w:rFonts w:ascii="Arial" w:cs="Arial" w:eastAsia="Arial" w:hAnsi="Arial"/>
          <w:sz w:val="18"/>
          <w:szCs w:val="18"/>
          <w:color w:val="auto"/>
        </w:rPr>
      </w:pPr>
    </w:p>
    <w:p>
      <w:pPr>
        <w:ind w:right="20" w:firstLine="1428"/>
        <w:spacing w:after="0" w:line="261" w:lineRule="auto"/>
        <w:tabs>
          <w:tab w:leader="none" w:pos="1687" w:val="left"/>
        </w:tabs>
        <w:numPr>
          <w:ilvl w:val="1"/>
          <w:numId w:val="242"/>
        </w:numPr>
        <w:rPr>
          <w:rFonts w:ascii="Arial" w:cs="Arial" w:eastAsia="Arial" w:hAnsi="Arial"/>
          <w:sz w:val="18"/>
          <w:szCs w:val="18"/>
          <w:color w:val="auto"/>
        </w:rPr>
      </w:pPr>
      <w:r>
        <w:rPr>
          <w:rFonts w:ascii="Arial" w:cs="Arial" w:eastAsia="Arial" w:hAnsi="Arial"/>
          <w:sz w:val="18"/>
          <w:szCs w:val="18"/>
          <w:b w:val="1"/>
          <w:bCs w:val="1"/>
          <w:u w:val="single" w:color="auto"/>
          <w:color w:val="auto"/>
        </w:rPr>
        <w:t>Rights as a Holder of Capital Stock</w:t>
      </w:r>
      <w:r>
        <w:rPr>
          <w:rFonts w:ascii="Arial" w:cs="Arial" w:eastAsia="Arial" w:hAnsi="Arial"/>
          <w:sz w:val="18"/>
          <w:szCs w:val="18"/>
          <w:color w:val="auto"/>
        </w:rPr>
        <w:t>. Until the issuance of the Shares (as evidenced by the appropriate entry on the books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of a duly authorized transfer agent of the Company), no right to vote or receive dividends or any other rights as a holder of capital stock shall exist with respect to the Restricted Stock Units. No adjustment will be made for a dividend or other right for which the record date is prior to the date the stock is issued, except as provided in Section 11 below.</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0" w:right="459" w:bottom="1440" w:gutter="0" w:footer="0" w:header="0"/>
        </w:sectPr>
      </w:pPr>
    </w:p>
    <w:bookmarkStart w:id="291" w:name="page292"/>
    <w:bookmarkEnd w:id="291"/>
    <w:p>
      <w:pPr>
        <w:ind w:left="624" w:hanging="184"/>
        <w:spacing w:after="0"/>
        <w:tabs>
          <w:tab w:leader="none" w:pos="624" w:val="left"/>
        </w:tabs>
        <w:numPr>
          <w:ilvl w:val="0"/>
          <w:numId w:val="243"/>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Taxes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 w:right="60" w:firstLine="987"/>
        <w:spacing w:after="0" w:line="257" w:lineRule="auto"/>
        <w:tabs>
          <w:tab w:leader="none" w:pos="124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As a condition of the grant, vesting, exercise and settlement of an Award, as applicable, the Participant (or in the case of the Participant’s death or a permitted transferee, the person holding, exercising or receiving the proceeds of the Award) shall make such arrangements as the Administrator may require for the satisfaction of any applicable U.S. federal, state, local or foreign tax, withholding, and any other required deductions or payments that may arise in connection with such Award. The Company shall not be required to issue any Shares under the Plan until such obligations are satisfied.</w:t>
      </w:r>
    </w:p>
    <w:p>
      <w:pPr>
        <w:spacing w:after="0" w:line="79" w:lineRule="exact"/>
        <w:rPr>
          <w:rFonts w:ascii="Arial" w:cs="Arial" w:eastAsia="Arial" w:hAnsi="Arial"/>
          <w:sz w:val="18"/>
          <w:szCs w:val="18"/>
          <w:color w:val="auto"/>
        </w:rPr>
      </w:pPr>
    </w:p>
    <w:p>
      <w:pPr>
        <w:ind w:left="4" w:firstLine="987"/>
        <w:spacing w:after="0" w:line="290" w:lineRule="auto"/>
        <w:tabs>
          <w:tab w:leader="none" w:pos="1250" w:val="left"/>
        </w:tabs>
        <w:numPr>
          <w:ilvl w:val="1"/>
          <w:numId w:val="243"/>
        </w:numPr>
        <w:rPr>
          <w:rFonts w:ascii="Arial" w:cs="Arial" w:eastAsia="Arial" w:hAnsi="Arial"/>
          <w:sz w:val="16"/>
          <w:szCs w:val="16"/>
          <w:color w:val="auto"/>
        </w:rPr>
      </w:pPr>
      <w:r>
        <w:rPr>
          <w:rFonts w:ascii="Arial" w:cs="Arial" w:eastAsia="Arial" w:hAnsi="Arial"/>
          <w:sz w:val="16"/>
          <w:szCs w:val="16"/>
          <w:color w:val="auto"/>
        </w:rPr>
        <w:t>The Administrator may, to the extent permitted under Applicable Laws, permit a Participant (or in the case of the Participant’s death or a permitted transferee, the person holding, exercising or receiving the proceeds of the Award) to satisfy all or part of his or her tax, withholding, or any other required deductions or payments by Cashless Transaction or by surrendering Shares (either directly or by stock attestation) that he or she previously acquired; provided that, unless specifically permitted by the Company, (i) any such Cashless Transaction must be an approved broker-assisted Cashless Transaction or the Shares withheld in the Cashless Transaction must be limited to avoid financial accounting charges under applicable accounting guidance, and (ii) any such surrendered Shares must have been previously held for any minimum duration required to avoid financial accounting charges under applicable accounting guidance. Any payment of taxes by surrendering Shares to the Company may be subject to restrictions, including, but not limited to, any restrictions required by rules of the Securities and Exchange Commission.</w:t>
      </w:r>
    </w:p>
    <w:p>
      <w:pPr>
        <w:spacing w:after="0" w:line="53" w:lineRule="exact"/>
        <w:rPr>
          <w:rFonts w:ascii="Arial" w:cs="Arial" w:eastAsia="Arial" w:hAnsi="Arial"/>
          <w:sz w:val="16"/>
          <w:szCs w:val="16"/>
          <w:color w:val="auto"/>
        </w:rPr>
      </w:pPr>
    </w:p>
    <w:p>
      <w:pPr>
        <w:ind w:left="704" w:hanging="264"/>
        <w:spacing w:after="0"/>
        <w:tabs>
          <w:tab w:leader="none" w:pos="704" w:val="left"/>
        </w:tabs>
        <w:numPr>
          <w:ilvl w:val="0"/>
          <w:numId w:val="243"/>
        </w:numPr>
        <w:rPr>
          <w:rFonts w:ascii="Arial" w:cs="Arial" w:eastAsia="Arial" w:hAnsi="Arial"/>
          <w:sz w:val="18"/>
          <w:szCs w:val="18"/>
          <w:color w:val="auto"/>
        </w:rPr>
      </w:pPr>
      <w:r>
        <w:rPr>
          <w:rFonts w:ascii="Arial" w:cs="Arial" w:eastAsia="Arial" w:hAnsi="Arial"/>
          <w:sz w:val="18"/>
          <w:szCs w:val="18"/>
          <w:b w:val="1"/>
          <w:bCs w:val="1"/>
          <w:u w:val="single" w:color="auto"/>
          <w:color w:val="auto"/>
        </w:rPr>
        <w:t>Non-Transferability of Awards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80" w:firstLine="987"/>
        <w:spacing w:after="0" w:line="314" w:lineRule="auto"/>
        <w:tabs>
          <w:tab w:leader="none" w:pos="1240" w:val="left"/>
        </w:tabs>
        <w:numPr>
          <w:ilvl w:val="1"/>
          <w:numId w:val="243"/>
        </w:numPr>
        <w:rPr>
          <w:rFonts w:ascii="Arial" w:cs="Arial" w:eastAsia="Arial" w:hAnsi="Arial"/>
          <w:sz w:val="16"/>
          <w:szCs w:val="16"/>
          <w:color w:val="auto"/>
        </w:rPr>
      </w:pPr>
      <w:r>
        <w:rPr>
          <w:rFonts w:ascii="Arial" w:cs="Arial" w:eastAsia="Arial" w:hAnsi="Arial"/>
          <w:sz w:val="16"/>
          <w:szCs w:val="16"/>
          <w:b w:val="1"/>
          <w:bCs w:val="1"/>
          <w:u w:val="single" w:color="auto"/>
          <w:color w:val="auto"/>
        </w:rPr>
        <w:t>General</w:t>
      </w:r>
      <w:r>
        <w:rPr>
          <w:rFonts w:ascii="Arial" w:cs="Arial" w:eastAsia="Arial" w:hAnsi="Arial"/>
          <w:sz w:val="16"/>
          <w:szCs w:val="16"/>
          <w:color w:val="auto"/>
        </w:rPr>
        <w:t>. Except as set forth in this Section 10, Awards may not be sold, pledged, assigned, hypothecated, transferred or disposed of in</w:t>
      </w:r>
      <w:r>
        <w:rPr>
          <w:rFonts w:ascii="Arial" w:cs="Arial" w:eastAsia="Arial" w:hAnsi="Arial"/>
          <w:sz w:val="16"/>
          <w:szCs w:val="16"/>
          <w:b w:val="1"/>
          <w:bCs w:val="1"/>
          <w:color w:val="auto"/>
        </w:rPr>
        <w:t xml:space="preserve"> </w:t>
      </w:r>
      <w:r>
        <w:rPr>
          <w:rFonts w:ascii="Arial" w:cs="Arial" w:eastAsia="Arial" w:hAnsi="Arial"/>
          <w:sz w:val="16"/>
          <w:szCs w:val="16"/>
          <w:color w:val="auto"/>
        </w:rPr>
        <w:t>any manner other than by will or by the laws of descent or distribution. The designation of a beneficiary by a Participant will not constitute a transfer. An Option may be exercised, during the lifetime of the holder of the Option, only by such holder or a transferee permitted by this Section 10.</w:t>
      </w:r>
    </w:p>
    <w:p>
      <w:pPr>
        <w:spacing w:after="0" w:line="33" w:lineRule="exact"/>
        <w:rPr>
          <w:rFonts w:ascii="Arial" w:cs="Arial" w:eastAsia="Arial" w:hAnsi="Arial"/>
          <w:sz w:val="16"/>
          <w:szCs w:val="16"/>
          <w:color w:val="auto"/>
        </w:rPr>
      </w:pPr>
    </w:p>
    <w:p>
      <w:pPr>
        <w:ind w:left="1244" w:hanging="253"/>
        <w:spacing w:after="0"/>
        <w:tabs>
          <w:tab w:leader="none" w:pos="1244" w:val="left"/>
        </w:tabs>
        <w:numPr>
          <w:ilvl w:val="1"/>
          <w:numId w:val="243"/>
        </w:numPr>
        <w:rPr>
          <w:rFonts w:ascii="Arial" w:cs="Arial" w:eastAsia="Arial" w:hAnsi="Arial"/>
          <w:sz w:val="16"/>
          <w:szCs w:val="16"/>
          <w:color w:val="auto"/>
        </w:rPr>
      </w:pPr>
      <w:r>
        <w:rPr>
          <w:rFonts w:ascii="Arial" w:cs="Arial" w:eastAsia="Arial" w:hAnsi="Arial"/>
          <w:sz w:val="16"/>
          <w:szCs w:val="16"/>
          <w:b w:val="1"/>
          <w:bCs w:val="1"/>
          <w:u w:val="single" w:color="auto"/>
          <w:color w:val="auto"/>
        </w:rPr>
        <w:t>Limited Transferability Rights</w:t>
      </w:r>
      <w:r>
        <w:rPr>
          <w:rFonts w:ascii="Arial" w:cs="Arial" w:eastAsia="Arial" w:hAnsi="Arial"/>
          <w:sz w:val="16"/>
          <w:szCs w:val="16"/>
          <w:color w:val="auto"/>
        </w:rPr>
        <w:t>. Notwithstanding anything else in this Section 10, the Administrator may in its sole discretion provide</w:t>
      </w:r>
    </w:p>
    <w:p>
      <w:pPr>
        <w:spacing w:after="0" w:line="50" w:lineRule="exact"/>
        <w:rPr>
          <w:sz w:val="20"/>
          <w:szCs w:val="20"/>
          <w:color w:val="auto"/>
        </w:rPr>
      </w:pPr>
    </w:p>
    <w:p>
      <w:pPr>
        <w:jc w:val="both"/>
        <w:ind w:left="4" w:right="300"/>
        <w:spacing w:after="0" w:line="281" w:lineRule="auto"/>
        <w:rPr>
          <w:sz w:val="20"/>
          <w:szCs w:val="20"/>
          <w:color w:val="auto"/>
        </w:rPr>
      </w:pPr>
      <w:r>
        <w:rPr>
          <w:rFonts w:ascii="Arial" w:cs="Arial" w:eastAsia="Arial" w:hAnsi="Arial"/>
          <w:sz w:val="16"/>
          <w:szCs w:val="16"/>
          <w:color w:val="auto"/>
        </w:rPr>
        <w:t>that any Nonstatutory Stock Options may be transferred by instrument to an inter vivos or testamentary trust in which the Options are to be passed to beneficiaries upon the death of the trustor (settlor) or by gift to Family Members. Further, beginning with (i) the period when the Company begins to rely on the exemption described in Rule 12h-1(f)(1) promulgated under the Exchange Act, as determined by the Board in its sole discretion, and</w:t>
      </w:r>
    </w:p>
    <w:p>
      <w:pPr>
        <w:spacing w:after="0" w:line="2" w:lineRule="exact"/>
        <w:rPr>
          <w:sz w:val="20"/>
          <w:szCs w:val="20"/>
          <w:color w:val="auto"/>
        </w:rPr>
      </w:pPr>
    </w:p>
    <w:p>
      <w:pPr>
        <w:ind w:left="264" w:hanging="264"/>
        <w:spacing w:after="0"/>
        <w:tabs>
          <w:tab w:leader="none" w:pos="264" w:val="left"/>
        </w:tabs>
        <w:numPr>
          <w:ilvl w:val="0"/>
          <w:numId w:val="244"/>
        </w:numPr>
        <w:rPr>
          <w:rFonts w:ascii="Arial" w:cs="Arial" w:eastAsia="Arial" w:hAnsi="Arial"/>
          <w:sz w:val="17"/>
          <w:szCs w:val="17"/>
          <w:color w:val="auto"/>
        </w:rPr>
      </w:pPr>
      <w:r>
        <w:rPr>
          <w:rFonts w:ascii="Arial" w:cs="Arial" w:eastAsia="Arial" w:hAnsi="Arial"/>
          <w:sz w:val="17"/>
          <w:szCs w:val="17"/>
          <w:color w:val="auto"/>
        </w:rPr>
        <w:t>ending on the earlier of (A) the date when the Company ceases to rely on such exemption, as determined by the Board in its sole discretion, or</w:t>
      </w:r>
    </w:p>
    <w:p>
      <w:pPr>
        <w:spacing w:after="0" w:line="20" w:lineRule="exact"/>
        <w:rPr>
          <w:rFonts w:ascii="Arial" w:cs="Arial" w:eastAsia="Arial" w:hAnsi="Arial"/>
          <w:sz w:val="17"/>
          <w:szCs w:val="17"/>
          <w:color w:val="auto"/>
        </w:rPr>
      </w:pPr>
    </w:p>
    <w:p>
      <w:pPr>
        <w:ind w:left="4" w:right="200"/>
        <w:spacing w:after="0" w:line="281" w:lineRule="auto"/>
        <w:rPr>
          <w:rFonts w:ascii="Arial" w:cs="Arial" w:eastAsia="Arial" w:hAnsi="Arial"/>
          <w:sz w:val="17"/>
          <w:szCs w:val="17"/>
          <w:color w:val="auto"/>
        </w:rPr>
      </w:pPr>
      <w:r>
        <w:rPr>
          <w:rFonts w:ascii="Arial" w:cs="Arial" w:eastAsia="Arial" w:hAnsi="Arial"/>
          <w:sz w:val="16"/>
          <w:szCs w:val="16"/>
          <w:color w:val="auto"/>
        </w:rPr>
        <w:t>(B) the date when the Company becomes subject to the reporting requirements of Section 13 or 15(d) of the Exchange Act, (1) a Nonstatutory Stock Option, or prior to exercise, the Shares subject to a Nonstatutory Stock Option, may not be pledged, hypothecated or otherwise transferred or disposed of, in any manner, including by entering into any short position, any “put equivalent position” or any “call equivalent position” (as defined in</w:t>
      </w:r>
    </w:p>
    <w:p>
      <w:pPr>
        <w:spacing w:after="0" w:line="1" w:lineRule="exact"/>
        <w:rPr>
          <w:rFonts w:ascii="Arial" w:cs="Arial" w:eastAsia="Arial" w:hAnsi="Arial"/>
          <w:sz w:val="17"/>
          <w:szCs w:val="17"/>
          <w:color w:val="auto"/>
        </w:rPr>
      </w:pPr>
    </w:p>
    <w:p>
      <w:pPr>
        <w:ind w:left="4" w:right="100"/>
        <w:spacing w:after="0" w:line="255" w:lineRule="auto"/>
        <w:rPr>
          <w:rFonts w:ascii="Arial" w:cs="Arial" w:eastAsia="Arial" w:hAnsi="Arial"/>
          <w:sz w:val="17"/>
          <w:szCs w:val="17"/>
          <w:color w:val="auto"/>
        </w:rPr>
      </w:pPr>
      <w:r>
        <w:rPr>
          <w:rFonts w:ascii="Arial" w:cs="Arial" w:eastAsia="Arial" w:hAnsi="Arial"/>
          <w:sz w:val="18"/>
          <w:szCs w:val="18"/>
          <w:color w:val="auto"/>
        </w:rPr>
        <w:t>Rule 16a-1(h) and Rule 16a-1(b) of the Exchange Act, respectively) and (2) an Incentive Stock Option may not be transferred or disposed of by will or the laws of descent or distribution, other than to (i) persons who are Family Members through gifts or domestic relations orders, or (ii) to an executor or guardian of the Participant upon the death or disability of the Participant.</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4"/>
          </w:cols>
          <w:pgMar w:left="436" w:top="270" w:right="439" w:bottom="1440" w:gutter="0" w:footer="0" w:header="0"/>
        </w:sectPr>
      </w:pPr>
    </w:p>
    <w:bookmarkStart w:id="292" w:name="page293"/>
    <w:bookmarkEnd w:id="292"/>
    <w:p>
      <w:pPr>
        <w:ind w:left="4" w:right="36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the foregoing sentence, the Board, in its sole discretion, may permit transfers of Nonstatutory Stock Options to the Company or in connection with a Triggering Event or other acquisition transactions involving the Company to the extent permitted by Rule 12h-1(f).</w:t>
      </w:r>
    </w:p>
    <w:p>
      <w:pPr>
        <w:spacing w:after="0" w:line="34" w:lineRule="exact"/>
        <w:rPr>
          <w:sz w:val="20"/>
          <w:szCs w:val="20"/>
          <w:color w:val="auto"/>
        </w:rPr>
      </w:pPr>
    </w:p>
    <w:p>
      <w:pPr>
        <w:ind w:left="704" w:hanging="264"/>
        <w:spacing w:after="0"/>
        <w:tabs>
          <w:tab w:leader="none" w:pos="704" w:val="left"/>
        </w:tabs>
        <w:numPr>
          <w:ilvl w:val="1"/>
          <w:numId w:val="245"/>
        </w:numPr>
        <w:rPr>
          <w:rFonts w:ascii="Arial" w:cs="Arial" w:eastAsia="Arial" w:hAnsi="Arial"/>
          <w:sz w:val="18"/>
          <w:szCs w:val="18"/>
          <w:color w:val="auto"/>
        </w:rPr>
      </w:pPr>
      <w:r>
        <w:rPr>
          <w:rFonts w:ascii="Arial" w:cs="Arial" w:eastAsia="Arial" w:hAnsi="Arial"/>
          <w:sz w:val="18"/>
          <w:szCs w:val="18"/>
          <w:b w:val="1"/>
          <w:bCs w:val="1"/>
          <w:u w:val="single" w:color="auto"/>
          <w:color w:val="auto"/>
        </w:rPr>
        <w:t>Adjustments Upon Changes in Capitalization, Merger or Certain Other Transactions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44" w:hanging="253"/>
        <w:spacing w:after="0"/>
        <w:tabs>
          <w:tab w:leader="none" w:pos="1244" w:val="left"/>
        </w:tabs>
        <w:numPr>
          <w:ilvl w:val="2"/>
          <w:numId w:val="245"/>
        </w:numPr>
        <w:rPr>
          <w:rFonts w:ascii="Arial" w:cs="Arial" w:eastAsia="Arial" w:hAnsi="Arial"/>
          <w:sz w:val="16"/>
          <w:szCs w:val="16"/>
          <w:color w:val="auto"/>
        </w:rPr>
      </w:pPr>
      <w:r>
        <w:rPr>
          <w:rFonts w:ascii="Arial" w:cs="Arial" w:eastAsia="Arial" w:hAnsi="Arial"/>
          <w:sz w:val="16"/>
          <w:szCs w:val="16"/>
          <w:b w:val="1"/>
          <w:bCs w:val="1"/>
          <w:u w:val="single" w:color="auto"/>
          <w:color w:val="auto"/>
        </w:rPr>
        <w:t>Changes in Capitalization</w:t>
      </w:r>
      <w:r>
        <w:rPr>
          <w:rFonts w:ascii="Arial" w:cs="Arial" w:eastAsia="Arial" w:hAnsi="Arial"/>
          <w:sz w:val="16"/>
          <w:szCs w:val="16"/>
          <w:color w:val="auto"/>
        </w:rPr>
        <w:t>. Subject to any action required under Applicable Laws by the holders of capital stock of the Company,</w:t>
      </w:r>
    </w:p>
    <w:p>
      <w:pPr>
        <w:spacing w:after="0" w:line="50" w:lineRule="exact"/>
        <w:rPr>
          <w:rFonts w:ascii="Arial" w:cs="Arial" w:eastAsia="Arial" w:hAnsi="Arial"/>
          <w:sz w:val="16"/>
          <w:szCs w:val="16"/>
          <w:color w:val="auto"/>
        </w:rPr>
      </w:pPr>
    </w:p>
    <w:p>
      <w:pPr>
        <w:ind w:left="224" w:hanging="224"/>
        <w:spacing w:after="0"/>
        <w:tabs>
          <w:tab w:leader="none" w:pos="224" w:val="left"/>
        </w:tabs>
        <w:numPr>
          <w:ilvl w:val="0"/>
          <w:numId w:val="246"/>
        </w:numPr>
        <w:rPr>
          <w:rFonts w:ascii="Arial" w:cs="Arial" w:eastAsia="Arial" w:hAnsi="Arial"/>
          <w:sz w:val="16"/>
          <w:szCs w:val="16"/>
          <w:color w:val="auto"/>
        </w:rPr>
      </w:pPr>
      <w:r>
        <w:rPr>
          <w:rFonts w:ascii="Arial" w:cs="Arial" w:eastAsia="Arial" w:hAnsi="Arial"/>
          <w:sz w:val="16"/>
          <w:szCs w:val="16"/>
          <w:color w:val="auto"/>
        </w:rPr>
        <w:t>the numbers and class of Shares, units representing Shares or other stock or securities: (x) available for future Awards under Section 3 above and</w:t>
      </w:r>
    </w:p>
    <w:p>
      <w:pPr>
        <w:spacing w:after="0" w:line="32" w:lineRule="exact"/>
        <w:rPr>
          <w:rFonts w:ascii="Arial" w:cs="Arial" w:eastAsia="Arial" w:hAnsi="Arial"/>
          <w:sz w:val="16"/>
          <w:szCs w:val="16"/>
          <w:color w:val="auto"/>
        </w:rPr>
      </w:pPr>
    </w:p>
    <w:p>
      <w:pPr>
        <w:ind w:left="4" w:hanging="4"/>
        <w:spacing w:after="0" w:line="284" w:lineRule="auto"/>
        <w:tabs>
          <w:tab w:leader="none" w:pos="259" w:val="left"/>
        </w:tabs>
        <w:numPr>
          <w:ilvl w:val="0"/>
          <w:numId w:val="247"/>
        </w:numPr>
        <w:rPr>
          <w:rFonts w:ascii="Arial" w:cs="Arial" w:eastAsia="Arial" w:hAnsi="Arial"/>
          <w:sz w:val="16"/>
          <w:szCs w:val="16"/>
          <w:color w:val="auto"/>
        </w:rPr>
      </w:pPr>
      <w:r>
        <w:rPr>
          <w:rFonts w:ascii="Arial" w:cs="Arial" w:eastAsia="Arial" w:hAnsi="Arial"/>
          <w:sz w:val="16"/>
          <w:szCs w:val="16"/>
          <w:color w:val="auto"/>
        </w:rPr>
        <w:t>covered by each outstanding Award, (ii) the exercise price per Share of each such outstanding Option, and (iii) any repurchase price per Share applicable to Shares issued pursuant to any Award, shall be automatically proportionately adjusted in the event of a stock split, reverse stock split, stock dividend, combination, consolidation, reclassification of the Shares or subdivision of the Shares. In the event of any increase or decrease in the number of issued Shares effected without receipt of consideration by the Company, a declaration of an extraordinary dividend with respect to the Shares payable in a form other than Shares in an amount that has a material effect on the Fair Market Value, a recapitalization (including a recapitalization through a large nonrecurring cash dividend), a rights offering, a reorganization, merger, a spin-off, split-up, change in corporate structure or a similar occurrence, the Administrator shall make appropriate adjustments, in its discretion, in one or more of (i) the numbers and class of Shares, units representing Shares or other stock or securities: (x) available for future Awards under Section 3 above and (y) covered by each outstanding Award, (ii) the exercise price per Share of each outstanding Option and (iii) any repurchase price per Share applicable to Shares issued pursuant to any Award, and any such adjustment by the Administrator shall be made in the Administrator’s sole and absolute discretion and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subject to an Award. If, by reason of a transaction described in this Section 11(a) or an adjustment pursuant to this Section 11(a), a Participant’s Award agreement or agreement related to any Optioned Stock, Restricted Stock or Restricted Stock Unit covers additional or different shares of stock or securities (or units representing such additional or different shares of stock or securities), then such additional or different shares of stock or securities, and the Award agreement or agreement related to the Optioned Stock, Restricted Stock or Restricted Stock Unit in respect thereof, shall be subject to all of the terms, conditions and restrictions which were applicable to the Award, Optioned Stock, Restricted Stock and Restricted Stock Unit prior to such adjustment.</w:t>
      </w:r>
    </w:p>
    <w:p>
      <w:pPr>
        <w:spacing w:after="0" w:line="60" w:lineRule="exact"/>
        <w:rPr>
          <w:rFonts w:ascii="Arial" w:cs="Arial" w:eastAsia="Arial" w:hAnsi="Arial"/>
          <w:sz w:val="16"/>
          <w:szCs w:val="16"/>
          <w:color w:val="auto"/>
        </w:rPr>
      </w:pPr>
    </w:p>
    <w:p>
      <w:pPr>
        <w:ind w:left="4" w:right="320" w:firstLine="987"/>
        <w:spacing w:after="0" w:line="282" w:lineRule="auto"/>
        <w:tabs>
          <w:tab w:leader="none" w:pos="1250" w:val="left"/>
        </w:tabs>
        <w:numPr>
          <w:ilvl w:val="2"/>
          <w:numId w:val="247"/>
        </w:numPr>
        <w:rPr>
          <w:rFonts w:ascii="Arial" w:cs="Arial" w:eastAsia="Arial" w:hAnsi="Arial"/>
          <w:sz w:val="18"/>
          <w:szCs w:val="18"/>
          <w:color w:val="auto"/>
        </w:rPr>
      </w:pPr>
      <w:r>
        <w:rPr>
          <w:rFonts w:ascii="Arial" w:cs="Arial" w:eastAsia="Arial" w:hAnsi="Arial"/>
          <w:sz w:val="18"/>
          <w:szCs w:val="18"/>
          <w:b w:val="1"/>
          <w:bCs w:val="1"/>
          <w:u w:val="single" w:color="auto"/>
          <w:color w:val="auto"/>
        </w:rPr>
        <w:t>Dissolution or Liquidation</w:t>
      </w:r>
      <w:r>
        <w:rPr>
          <w:rFonts w:ascii="Arial" w:cs="Arial" w:eastAsia="Arial" w:hAnsi="Arial"/>
          <w:sz w:val="18"/>
          <w:szCs w:val="18"/>
          <w:color w:val="auto"/>
        </w:rPr>
        <w:t>. In the event of the dissolution or liquidation of the Company, each Award will terminate immediately</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the consummation of such action, unless otherwise determined by the Administrator.</w:t>
      </w:r>
    </w:p>
    <w:p>
      <w:pPr>
        <w:spacing w:after="0" w:line="9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4"/>
          </w:cols>
          <w:pgMar w:left="436" w:top="274" w:right="499" w:bottom="1440" w:gutter="0" w:footer="0" w:header="0"/>
        </w:sectPr>
      </w:pPr>
    </w:p>
    <w:bookmarkStart w:id="293" w:name="page294"/>
    <w:bookmarkEnd w:id="293"/>
    <w:p>
      <w:pPr>
        <w:ind w:firstLine="987"/>
        <w:spacing w:after="0" w:line="268" w:lineRule="auto"/>
        <w:tabs>
          <w:tab w:leader="none" w:pos="1236" w:val="left"/>
        </w:tabs>
        <w:numPr>
          <w:ilvl w:val="1"/>
          <w:numId w:val="248"/>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Corporate Transactions</w:t>
      </w:r>
      <w:r>
        <w:rPr>
          <w:rFonts w:ascii="Arial" w:cs="Arial" w:eastAsia="Arial" w:hAnsi="Arial"/>
          <w:sz w:val="17"/>
          <w:szCs w:val="17"/>
          <w:color w:val="auto"/>
        </w:rPr>
        <w:t>. In the event of (i) a transfer of all or substantially all of the Company’s assets, (ii) a merger, consolidation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 capital reorganization or business combination transaction of the Company with or into another corporation, entity or person, or (iii) the consummation of a transaction, or series of related transactions, in which any “person” (as such term is used in Sections 13(d) and 14(d) of the Exchange Act) becomes the “beneficial owner” (as defined in Rule 13d-3 of the Exchange Act), directly or indirectly, of the Company’s capital stock that represents at least a majority of the voting power of the Company’s then outstanding capital stock (a “</w:t>
      </w:r>
      <w:r>
        <w:rPr>
          <w:rFonts w:ascii="Arial" w:cs="Arial" w:eastAsia="Arial" w:hAnsi="Arial"/>
          <w:sz w:val="17"/>
          <w:szCs w:val="17"/>
          <w:u w:val="single" w:color="auto"/>
          <w:color w:val="auto"/>
        </w:rPr>
        <w:t>Corporate Transaction</w:t>
      </w:r>
      <w:r>
        <w:rPr>
          <w:rFonts w:ascii="Arial" w:cs="Arial" w:eastAsia="Arial" w:hAnsi="Arial"/>
          <w:sz w:val="17"/>
          <w:szCs w:val="17"/>
          <w:color w:val="auto"/>
        </w:rPr>
        <w:t>”), each outstanding Award (vested or unvested) will be treated as the Administrator determines, which determination may be made without the consent of any Participant and need not treat all outstanding Awards (or portion thereof) in an identical manner. Such determination, without the consent of any Participant, may provide (without limitation) for one or more of the following in the event of a Corporate Transaction: (A) the continuation of such outstanding Awards by the Company (if the Company is the surviving corporation); (B) the assumption of such outstanding Awards by the surviving corporation or its parent; (C) the substitution by the surviving corporation or its parent of new options or equity awards for such Awards; (D) the cancellation of such Awards in exchange for a payment to the Participants equal to the excess of (1) the Fair Market Value of the Shares subject to such Awards as of the closing date of such Corporate Transaction over (2) the exercise price or purchase price paid or to be paid for the Shares subject to the Awards (if any); or (E) the cancellation of any outstanding Awards or an outstanding right to purchase Restricted Stock, in either case, for no consideration. Notwithstanding anything stated herein or in any other agreement to the contrary, whether such agreement was entered into before or after the date this Plan is effective, if any Award, or any agreement applicable to any Award, provides for accelerated vesting in connection with any termination of service that occurs on or after a Corporate Transaction, and the successor does not agree to assume the Award, or to substitute an equivalent award or right for the Award, then any acceleration of vesting that would otherwise occur upon such termination of service shall occur immediately prior to, and contingent upon, the consummation of such Corporate Transaction.</w:t>
      </w:r>
    </w:p>
    <w:p>
      <w:pPr>
        <w:spacing w:after="0" w:line="66" w:lineRule="exact"/>
        <w:rPr>
          <w:rFonts w:ascii="Arial" w:cs="Arial" w:eastAsia="Arial" w:hAnsi="Arial"/>
          <w:sz w:val="17"/>
          <w:szCs w:val="17"/>
          <w:color w:val="auto"/>
        </w:rPr>
      </w:pPr>
    </w:p>
    <w:p>
      <w:pPr>
        <w:ind w:right="800" w:firstLine="436"/>
        <w:spacing w:after="0" w:line="282" w:lineRule="auto"/>
        <w:tabs>
          <w:tab w:leader="none" w:pos="710" w:val="left"/>
        </w:tabs>
        <w:numPr>
          <w:ilvl w:val="0"/>
          <w:numId w:val="249"/>
        </w:numPr>
        <w:rPr>
          <w:rFonts w:ascii="Arial" w:cs="Arial" w:eastAsia="Arial" w:hAnsi="Arial"/>
          <w:sz w:val="18"/>
          <w:szCs w:val="18"/>
          <w:color w:val="auto"/>
        </w:rPr>
      </w:pPr>
      <w:r>
        <w:rPr>
          <w:rFonts w:ascii="Arial" w:cs="Arial" w:eastAsia="Arial" w:hAnsi="Arial"/>
          <w:sz w:val="18"/>
          <w:szCs w:val="18"/>
          <w:b w:val="1"/>
          <w:bCs w:val="1"/>
          <w:u w:val="single" w:color="auto"/>
          <w:color w:val="auto"/>
        </w:rPr>
        <w:t>Time of Granting Awards</w:t>
      </w:r>
      <w:r>
        <w:rPr>
          <w:rFonts w:ascii="Arial" w:cs="Arial" w:eastAsia="Arial" w:hAnsi="Arial"/>
          <w:sz w:val="18"/>
          <w:szCs w:val="18"/>
          <w:color w:val="auto"/>
        </w:rPr>
        <w:t>. The date of grant of an Award shall, for all purposes, be the date on which the Administrator makes the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determination granting such Award, or such other date as is determined by the Administrator.</w:t>
      </w:r>
    </w:p>
    <w:p>
      <w:pPr>
        <w:spacing w:after="0" w:line="53" w:lineRule="exact"/>
        <w:rPr>
          <w:rFonts w:ascii="Arial" w:cs="Arial" w:eastAsia="Arial" w:hAnsi="Arial"/>
          <w:sz w:val="18"/>
          <w:szCs w:val="18"/>
          <w:color w:val="auto"/>
        </w:rPr>
      </w:pPr>
    </w:p>
    <w:p>
      <w:pPr>
        <w:ind w:right="60" w:firstLine="436"/>
        <w:spacing w:after="0" w:line="261" w:lineRule="auto"/>
        <w:tabs>
          <w:tab w:leader="none" w:pos="710" w:val="left"/>
        </w:tabs>
        <w:numPr>
          <w:ilvl w:val="0"/>
          <w:numId w:val="249"/>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and Termination of the Plan</w:t>
      </w:r>
      <w:r>
        <w:rPr>
          <w:rFonts w:ascii="Arial" w:cs="Arial" w:eastAsia="Arial" w:hAnsi="Arial"/>
          <w:sz w:val="18"/>
          <w:szCs w:val="18"/>
          <w:color w:val="auto"/>
        </w:rPr>
        <w:t>. The Board may at any time amend or terminate the Plan, but no amendment or termination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made that would materially and adversely affect the rights of any Participant under any outstanding Award, without his or her consent. In addition, to the extent necessary and desirable to comply with Applicable Laws, the Company shall obtain the approval of holders of capital stock with respect to any Plan amendment in such a manner and to such a degree as required.</w:t>
      </w:r>
    </w:p>
    <w:p>
      <w:pPr>
        <w:spacing w:after="0" w:line="71" w:lineRule="exact"/>
        <w:rPr>
          <w:rFonts w:ascii="Arial" w:cs="Arial" w:eastAsia="Arial" w:hAnsi="Arial"/>
          <w:sz w:val="18"/>
          <w:szCs w:val="18"/>
          <w:color w:val="auto"/>
        </w:rPr>
      </w:pPr>
    </w:p>
    <w:p>
      <w:pPr>
        <w:ind w:right="20" w:firstLine="436"/>
        <w:spacing w:after="0" w:line="272" w:lineRule="auto"/>
        <w:tabs>
          <w:tab w:leader="none" w:pos="710" w:val="left"/>
        </w:tabs>
        <w:numPr>
          <w:ilvl w:val="0"/>
          <w:numId w:val="249"/>
        </w:numPr>
        <w:rPr>
          <w:rFonts w:ascii="Arial" w:cs="Arial" w:eastAsia="Arial" w:hAnsi="Arial"/>
          <w:sz w:val="17"/>
          <w:szCs w:val="17"/>
          <w:color w:val="auto"/>
        </w:rPr>
      </w:pPr>
      <w:r>
        <w:rPr>
          <w:rFonts w:ascii="Arial" w:cs="Arial" w:eastAsia="Arial" w:hAnsi="Arial"/>
          <w:sz w:val="17"/>
          <w:szCs w:val="17"/>
          <w:b w:val="1"/>
          <w:bCs w:val="1"/>
          <w:u w:val="single" w:color="auto"/>
          <w:color w:val="auto"/>
        </w:rPr>
        <w:t>Conditions Upon Issuance of Shares</w:t>
      </w:r>
      <w:r>
        <w:rPr>
          <w:rFonts w:ascii="Arial" w:cs="Arial" w:eastAsia="Arial" w:hAnsi="Arial"/>
          <w:sz w:val="17"/>
          <w:szCs w:val="17"/>
          <w:color w:val="auto"/>
        </w:rPr>
        <w:t>. Notwithstanding any other provision of the Plan or any agreement entered into by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the Plan, the Company shall not be obligated, and shall have no liability for failure, to issue or deliver any Shares under the Plan unless such issuance or delivery would comply with Applicable Laws, with such compliance determined by the Company in consultation with its legal counsel. As a condition to the exercise of any Option, purchase or receipt of any Restricted Stock or settlement of any Restricted Stock Units, the Company may require the person exercising the Option or purchasing or receiving the Restricted Stock or Shares pursuant to settlement of Restricted Stock Units to represent and warrant at the time of any such exercise, purchase, receipt or settlement that the Shares are being purchased or received only for investment and without any present intention to sell or distribute such Shares if, in the opinion of counsel for the Company, such a representation is advisable or required by Applicable Laws.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0" w:right="459" w:bottom="1440" w:gutter="0" w:footer="0" w:header="0"/>
        </w:sectPr>
      </w:pPr>
    </w:p>
    <w:bookmarkStart w:id="294" w:name="page295"/>
    <w:bookmarkEnd w:id="294"/>
    <w:p>
      <w:pPr>
        <w:ind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Shares issued upon exercise of Options, purchase or receipt of Restricted Stock or settlement of any Restricted Stock Units prior to the date, if ever, on which the Common Stock becomes a Listed Security shall be subject to a right of first refusal in favor of the Company pursuant to which the Participant will be required to offer Shares to the Company before selling or transferring them to any third party on such terms and subject to such conditions as is reflected in the applicable Option Agreement, Restricted Stock Purchase Agreement or Restricted Stock Unit Agreement.</w:t>
      </w:r>
    </w:p>
    <w:p>
      <w:pPr>
        <w:spacing w:after="0" w:line="59" w:lineRule="exact"/>
        <w:rPr>
          <w:sz w:val="20"/>
          <w:szCs w:val="20"/>
          <w:color w:val="auto"/>
        </w:rPr>
      </w:pPr>
    </w:p>
    <w:p>
      <w:pPr>
        <w:ind w:right="20" w:firstLine="436"/>
        <w:spacing w:after="0" w:line="258" w:lineRule="auto"/>
        <w:tabs>
          <w:tab w:leader="none" w:pos="710" w:val="left"/>
        </w:tabs>
        <w:numPr>
          <w:ilvl w:val="0"/>
          <w:numId w:val="250"/>
        </w:numPr>
        <w:rPr>
          <w:rFonts w:ascii="Arial" w:cs="Arial" w:eastAsia="Arial" w:hAnsi="Arial"/>
          <w:sz w:val="18"/>
          <w:szCs w:val="18"/>
          <w:color w:val="auto"/>
        </w:rPr>
      </w:pPr>
      <w:r>
        <w:rPr>
          <w:rFonts w:ascii="Arial" w:cs="Arial" w:eastAsia="Arial" w:hAnsi="Arial"/>
          <w:sz w:val="18"/>
          <w:szCs w:val="18"/>
          <w:b w:val="1"/>
          <w:bCs w:val="1"/>
          <w:u w:val="single" w:color="auto"/>
          <w:color w:val="auto"/>
        </w:rPr>
        <w:t>Beneficiaries</w:t>
      </w:r>
      <w:r>
        <w:rPr>
          <w:rFonts w:ascii="Arial" w:cs="Arial" w:eastAsia="Arial" w:hAnsi="Arial"/>
          <w:sz w:val="18"/>
          <w:szCs w:val="18"/>
          <w:color w:val="auto"/>
        </w:rPr>
        <w:t>. If permitted by the Company, a Participant may designate one or more beneficiaries with respect to an Award by timely filing</w:t>
      </w:r>
      <w:r>
        <w:rPr>
          <w:rFonts w:ascii="Arial" w:cs="Arial" w:eastAsia="Arial" w:hAnsi="Arial"/>
          <w:sz w:val="18"/>
          <w:szCs w:val="18"/>
          <w:b w:val="1"/>
          <w:bCs w:val="1"/>
          <w:color w:val="auto"/>
        </w:rPr>
        <w:t xml:space="preserve"> </w:t>
      </w:r>
      <w:r>
        <w:rPr>
          <w:rFonts w:ascii="Arial" w:cs="Arial" w:eastAsia="Arial" w:hAnsi="Arial"/>
          <w:sz w:val="18"/>
          <w:szCs w:val="18"/>
          <w:color w:val="auto"/>
        </w:rPr>
        <w:t>the prescribed form with the Company. A beneficiary designation may be changed by filing the prescribed form with the Company at any time before the Participant’s death. Except as otherwise provided in an Award Agreement, if no beneficiary was designated or if no designated beneficiary survives the Participant, then after a Participant’s death any vested Award(s) shall be transferred or distributed to the Participant’s estate or to any person who has the right to acquire the Award by bequest or inheritance.</w:t>
      </w:r>
    </w:p>
    <w:p>
      <w:pPr>
        <w:spacing w:after="0" w:line="75" w:lineRule="exact"/>
        <w:rPr>
          <w:rFonts w:ascii="Arial" w:cs="Arial" w:eastAsia="Arial" w:hAnsi="Arial"/>
          <w:sz w:val="18"/>
          <w:szCs w:val="18"/>
          <w:color w:val="auto"/>
        </w:rPr>
      </w:pPr>
    </w:p>
    <w:p>
      <w:pPr>
        <w:ind w:firstLine="436"/>
        <w:spacing w:after="0" w:line="289" w:lineRule="auto"/>
        <w:tabs>
          <w:tab w:leader="none" w:pos="710" w:val="left"/>
        </w:tabs>
        <w:numPr>
          <w:ilvl w:val="0"/>
          <w:numId w:val="250"/>
        </w:numPr>
        <w:rPr>
          <w:rFonts w:ascii="Arial" w:cs="Arial" w:eastAsia="Arial" w:hAnsi="Arial"/>
          <w:sz w:val="17"/>
          <w:szCs w:val="17"/>
          <w:color w:val="auto"/>
        </w:rPr>
      </w:pPr>
      <w:r>
        <w:rPr>
          <w:rFonts w:ascii="Arial" w:cs="Arial" w:eastAsia="Arial" w:hAnsi="Arial"/>
          <w:sz w:val="17"/>
          <w:szCs w:val="17"/>
          <w:b w:val="1"/>
          <w:bCs w:val="1"/>
          <w:u w:val="single" w:color="auto"/>
          <w:color w:val="auto"/>
        </w:rPr>
        <w:t>Approval of Holders of Capital Stock</w:t>
      </w:r>
      <w:r>
        <w:rPr>
          <w:rFonts w:ascii="Arial" w:cs="Arial" w:eastAsia="Arial" w:hAnsi="Arial"/>
          <w:sz w:val="17"/>
          <w:szCs w:val="17"/>
          <w:color w:val="auto"/>
        </w:rPr>
        <w:t>. If required by Applicable Laws, continuance of the Plan shall be subject to approval by the holders of</w:t>
      </w:r>
      <w:r>
        <w:rPr>
          <w:rFonts w:ascii="Arial" w:cs="Arial" w:eastAsia="Arial" w:hAnsi="Arial"/>
          <w:sz w:val="17"/>
          <w:szCs w:val="17"/>
          <w:b w:val="1"/>
          <w:bCs w:val="1"/>
          <w:color w:val="auto"/>
        </w:rPr>
        <w:t xml:space="preserve"> </w:t>
      </w:r>
      <w:r>
        <w:rPr>
          <w:rFonts w:ascii="Arial" w:cs="Arial" w:eastAsia="Arial" w:hAnsi="Arial"/>
          <w:sz w:val="17"/>
          <w:szCs w:val="17"/>
          <w:color w:val="auto"/>
        </w:rPr>
        <w:t>capital stock of the Company within 12 months before or after the date the Plan is adopted or, to the extent required by Applicable Laws, any date the Plan is amended. Such approval shall be obtained in the manner and to the degree required under Applicable Laws.</w:t>
      </w:r>
    </w:p>
    <w:p>
      <w:pPr>
        <w:spacing w:after="0" w:line="49" w:lineRule="exact"/>
        <w:rPr>
          <w:rFonts w:ascii="Arial" w:cs="Arial" w:eastAsia="Arial" w:hAnsi="Arial"/>
          <w:sz w:val="17"/>
          <w:szCs w:val="17"/>
          <w:color w:val="auto"/>
        </w:rPr>
      </w:pPr>
    </w:p>
    <w:p>
      <w:pPr>
        <w:ind w:right="180" w:firstLine="436"/>
        <w:spacing w:after="0" w:line="258" w:lineRule="auto"/>
        <w:tabs>
          <w:tab w:leader="none" w:pos="710" w:val="left"/>
        </w:tabs>
        <w:numPr>
          <w:ilvl w:val="0"/>
          <w:numId w:val="250"/>
        </w:numPr>
        <w:rPr>
          <w:rFonts w:ascii="Arial" w:cs="Arial" w:eastAsia="Arial" w:hAnsi="Arial"/>
          <w:sz w:val="18"/>
          <w:szCs w:val="18"/>
          <w:color w:val="auto"/>
        </w:rPr>
      </w:pPr>
      <w:r>
        <w:rPr>
          <w:rFonts w:ascii="Arial" w:cs="Arial" w:eastAsia="Arial" w:hAnsi="Arial"/>
          <w:sz w:val="18"/>
          <w:szCs w:val="18"/>
          <w:b w:val="1"/>
          <w:bCs w:val="1"/>
          <w:u w:val="single" w:color="auto"/>
          <w:color w:val="auto"/>
        </w:rPr>
        <w:t>Addenda</w:t>
      </w:r>
      <w:r>
        <w:rPr>
          <w:rFonts w:ascii="Arial" w:cs="Arial" w:eastAsia="Arial" w:hAnsi="Arial"/>
          <w:sz w:val="18"/>
          <w:szCs w:val="18"/>
          <w:color w:val="auto"/>
        </w:rPr>
        <w:t>. The Administrator may approve such addenda to the Plan as it may consider necessary or appropriate for the purpose of granting</w:t>
      </w:r>
      <w:r>
        <w:rPr>
          <w:rFonts w:ascii="Arial" w:cs="Arial" w:eastAsia="Arial" w:hAnsi="Arial"/>
          <w:sz w:val="18"/>
          <w:szCs w:val="18"/>
          <w:b w:val="1"/>
          <w:bCs w:val="1"/>
          <w:color w:val="auto"/>
        </w:rPr>
        <w:t xml:space="preserve"> </w:t>
      </w:r>
      <w:r>
        <w:rPr>
          <w:rFonts w:ascii="Arial" w:cs="Arial" w:eastAsia="Arial" w:hAnsi="Arial"/>
          <w:sz w:val="18"/>
          <w:szCs w:val="18"/>
          <w:color w:val="auto"/>
        </w:rPr>
        <w:t>Awards to Employees or Consultants, which Awards may contain such terms and conditions as the Administrator deems necessary or appropriate to accommodate differences in local law, tax policy or custom, which may deviate from the terms and conditions set forth in this Plan. The terms of any such addenda shall supersede the terms of the Plan to the extent necessary to accommodate such differences but shall not otherwise affect the terms of the Plan as in effect for any other purpose.</w:t>
      </w:r>
    </w:p>
    <w:p>
      <w:pPr>
        <w:spacing w:after="0" w:line="75" w:lineRule="exact"/>
        <w:rPr>
          <w:rFonts w:ascii="Arial" w:cs="Arial" w:eastAsia="Arial" w:hAnsi="Arial"/>
          <w:sz w:val="18"/>
          <w:szCs w:val="18"/>
          <w:color w:val="auto"/>
        </w:rPr>
      </w:pPr>
    </w:p>
    <w:p>
      <w:pPr>
        <w:ind w:right="60" w:firstLine="436"/>
        <w:spacing w:after="0" w:line="287" w:lineRule="auto"/>
        <w:tabs>
          <w:tab w:leader="none" w:pos="710" w:val="left"/>
        </w:tabs>
        <w:numPr>
          <w:ilvl w:val="0"/>
          <w:numId w:val="250"/>
        </w:numPr>
        <w:rPr>
          <w:rFonts w:ascii="Arial" w:cs="Arial" w:eastAsia="Arial" w:hAnsi="Arial"/>
          <w:sz w:val="16"/>
          <w:szCs w:val="16"/>
          <w:color w:val="auto"/>
        </w:rPr>
      </w:pPr>
      <w:r>
        <w:rPr>
          <w:rFonts w:ascii="Arial" w:cs="Arial" w:eastAsia="Arial" w:hAnsi="Arial"/>
          <w:sz w:val="16"/>
          <w:szCs w:val="16"/>
          <w:b w:val="1"/>
          <w:bCs w:val="1"/>
          <w:u w:val="single" w:color="auto"/>
          <w:color w:val="auto"/>
        </w:rPr>
        <w:t>Information to Holders of Options</w:t>
      </w:r>
      <w:r>
        <w:rPr>
          <w:rFonts w:ascii="Arial" w:cs="Arial" w:eastAsia="Arial" w:hAnsi="Arial"/>
          <w:sz w:val="16"/>
          <w:szCs w:val="16"/>
          <w:color w:val="auto"/>
        </w:rPr>
        <w:t>. In the event the Company is relying on the exemption provided by Rule 12h-1(f) under the Exchange</w:t>
      </w:r>
      <w:r>
        <w:rPr>
          <w:rFonts w:ascii="Arial" w:cs="Arial" w:eastAsia="Arial" w:hAnsi="Arial"/>
          <w:sz w:val="16"/>
          <w:szCs w:val="16"/>
          <w:b w:val="1"/>
          <w:bCs w:val="1"/>
          <w:color w:val="auto"/>
        </w:rPr>
        <w:t xml:space="preserve"> </w:t>
      </w:r>
      <w:r>
        <w:rPr>
          <w:rFonts w:ascii="Arial" w:cs="Arial" w:eastAsia="Arial" w:hAnsi="Arial"/>
          <w:sz w:val="16"/>
          <w:szCs w:val="16"/>
          <w:color w:val="auto"/>
        </w:rPr>
        <w:t>Act, the Company shall provide the information described in Rule 701(e)(3), (4) and (5) of the Securities Act of 1933, as amended, to all holders of Options in accordance with the requirements thereunder until such time as the Company becomes subject to the reporting requirements of Section 13 or 15(d) of the Exchange Act. The Company may request that holders of Options agree to keep the information to be provided pursuant to this</w:t>
      </w:r>
    </w:p>
    <w:p>
      <w:pPr>
        <w:spacing w:after="0" w:line="2" w:lineRule="exact"/>
        <w:rPr>
          <w:rFonts w:ascii="Arial" w:cs="Arial" w:eastAsia="Arial" w:hAnsi="Arial"/>
          <w:sz w:val="16"/>
          <w:szCs w:val="16"/>
          <w:color w:val="auto"/>
        </w:rPr>
      </w:pPr>
    </w:p>
    <w:p>
      <w:pPr>
        <w:ind w:right="20"/>
        <w:spacing w:after="0" w:line="260" w:lineRule="auto"/>
        <w:rPr>
          <w:rFonts w:ascii="Arial" w:cs="Arial" w:eastAsia="Arial" w:hAnsi="Arial"/>
          <w:sz w:val="16"/>
          <w:szCs w:val="16"/>
          <w:color w:val="auto"/>
        </w:rPr>
      </w:pPr>
      <w:r>
        <w:rPr>
          <w:rFonts w:ascii="Arial" w:cs="Arial" w:eastAsia="Arial" w:hAnsi="Arial"/>
          <w:sz w:val="18"/>
          <w:szCs w:val="18"/>
          <w:color w:val="auto"/>
        </w:rPr>
        <w:t>Section confidential. If the holder does not agree to keep the information to be provided pursuant to this Section confidential, then the Company will not be required to provide the information unless otherwise required pursuant to Rule 12h-1(f)(1) of the Exchange Act.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74" w:right="479" w:bottom="1440" w:gutter="0" w:footer="0" w:header="0"/>
        </w:sectPr>
      </w:pPr>
    </w:p>
    <w:bookmarkStart w:id="295" w:name="page296"/>
    <w:bookmarkEnd w:id="295"/>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ADDENDUM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2012 Stock Plan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California Participants</w:t>
      </w:r>
      <w:r>
        <w:rPr>
          <w:rFonts w:ascii="Arial" w:cs="Arial" w:eastAsia="Arial" w:hAnsi="Arial"/>
          <w:sz w:val="18"/>
          <w:szCs w:val="18"/>
          <w:color w:val="auto"/>
        </w:rPr>
        <w:t>)</w:t>
      </w:r>
    </w:p>
    <w:p>
      <w:pPr>
        <w:spacing w:after="0" w:line="225" w:lineRule="exact"/>
        <w:rPr>
          <w:sz w:val="20"/>
          <w:szCs w:val="20"/>
          <w:color w:val="auto"/>
        </w:rPr>
      </w:pPr>
    </w:p>
    <w:p>
      <w:pPr>
        <w:jc w:val="both"/>
        <w:ind w:right="140" w:firstLine="440"/>
        <w:spacing w:after="0" w:line="263" w:lineRule="auto"/>
        <w:rPr>
          <w:sz w:val="20"/>
          <w:szCs w:val="20"/>
          <w:color w:val="auto"/>
        </w:rPr>
      </w:pPr>
      <w:r>
        <w:rPr>
          <w:rFonts w:ascii="Arial" w:cs="Arial" w:eastAsia="Arial" w:hAnsi="Arial"/>
          <w:sz w:val="18"/>
          <w:szCs w:val="18"/>
          <w:color w:val="auto"/>
        </w:rPr>
        <w:t>Prior to the date, if ever, on which the Common Stock becomes a Listed Security and/or the Company is subject to the reporting requirements of the Exchange Act, the terms set forth herein shall apply to Awards issued to California Participants. All capitalized terms used herein but not otherwise defined shall have the respective meanings set forth in the Plan.</w:t>
      </w:r>
    </w:p>
    <w:p>
      <w:pPr>
        <w:spacing w:after="0" w:line="76" w:lineRule="exact"/>
        <w:rPr>
          <w:sz w:val="20"/>
          <w:szCs w:val="20"/>
          <w:color w:val="auto"/>
        </w:rPr>
      </w:pPr>
    </w:p>
    <w:p>
      <w:pPr>
        <w:ind w:left="620" w:hanging="184"/>
        <w:spacing w:after="0"/>
        <w:tabs>
          <w:tab w:leader="none" w:pos="62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following rules shall apply to any Option in the event of termination of the Participant’s Continuous Service Status:</w:t>
      </w:r>
    </w:p>
    <w:p>
      <w:pPr>
        <w:spacing w:after="0" w:line="117" w:lineRule="exact"/>
        <w:rPr>
          <w:rFonts w:ascii="Arial" w:cs="Arial" w:eastAsia="Arial" w:hAnsi="Arial"/>
          <w:sz w:val="18"/>
          <w:szCs w:val="18"/>
          <w:color w:val="auto"/>
        </w:rPr>
      </w:pPr>
    </w:p>
    <w:p>
      <w:pPr>
        <w:ind w:right="60" w:firstLine="987"/>
        <w:spacing w:after="0" w:line="311" w:lineRule="auto"/>
        <w:tabs>
          <w:tab w:leader="none" w:pos="1236" w:val="left"/>
        </w:tabs>
        <w:numPr>
          <w:ilvl w:val="1"/>
          <w:numId w:val="251"/>
        </w:numPr>
        <w:rPr>
          <w:rFonts w:ascii="Arial" w:cs="Arial" w:eastAsia="Arial" w:hAnsi="Arial"/>
          <w:sz w:val="16"/>
          <w:szCs w:val="16"/>
          <w:color w:val="auto"/>
        </w:rPr>
      </w:pPr>
      <w:r>
        <w:rPr>
          <w:rFonts w:ascii="Arial" w:cs="Arial" w:eastAsia="Arial" w:hAnsi="Arial"/>
          <w:sz w:val="16"/>
          <w:szCs w:val="16"/>
          <w:color w:val="auto"/>
        </w:rPr>
        <w:t>If such termination was for reasons other than death, “Permanent Disability” (as defined below), or Cause, the Participant shall have at least 30 days after the date of such termination to exercise his or her Option to the extent the Participant is entitled to exercise on his or her termination date, provided that in no event shall the Option be exercisable after the expiration of the term as set forth in the Option Agreement.</w:t>
      </w:r>
    </w:p>
    <w:p>
      <w:pPr>
        <w:spacing w:after="0" w:line="40" w:lineRule="exact"/>
        <w:rPr>
          <w:rFonts w:ascii="Arial" w:cs="Arial" w:eastAsia="Arial" w:hAnsi="Arial"/>
          <w:sz w:val="16"/>
          <w:szCs w:val="16"/>
          <w:color w:val="auto"/>
        </w:rPr>
      </w:pPr>
    </w:p>
    <w:p>
      <w:pPr>
        <w:ind w:right="60" w:firstLine="987"/>
        <w:spacing w:after="0" w:line="263" w:lineRule="auto"/>
        <w:tabs>
          <w:tab w:leader="none" w:pos="1246" w:val="left"/>
        </w:tabs>
        <w:numPr>
          <w:ilvl w:val="1"/>
          <w:numId w:val="251"/>
        </w:numPr>
        <w:rPr>
          <w:rFonts w:ascii="Arial" w:cs="Arial" w:eastAsia="Arial" w:hAnsi="Arial"/>
          <w:sz w:val="18"/>
          <w:szCs w:val="18"/>
          <w:color w:val="auto"/>
        </w:rPr>
      </w:pPr>
      <w:r>
        <w:rPr>
          <w:rFonts w:ascii="Arial" w:cs="Arial" w:eastAsia="Arial" w:hAnsi="Arial"/>
          <w:sz w:val="18"/>
          <w:szCs w:val="18"/>
          <w:color w:val="auto"/>
        </w:rPr>
        <w:t>If such termination was due to death or Permanent Disability, the Participant shall have at least 6 months after the date of such termination to exercise his or her Option to the extent the Participant is entitled to exercise on his or her termination date, provided that in no event shall the Option be exercisable after the expiration of the term as set forth in the Option Agreement.</w:t>
      </w:r>
    </w:p>
    <w:p>
      <w:pPr>
        <w:spacing w:after="0" w:line="7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Permanent Disability</w:t>
      </w:r>
      <w:r>
        <w:rPr>
          <w:rFonts w:ascii="Arial" w:cs="Arial" w:eastAsia="Arial" w:hAnsi="Arial"/>
          <w:sz w:val="18"/>
          <w:szCs w:val="18"/>
          <w:color w:val="auto"/>
        </w:rPr>
        <w:t>” for purposes of this Addendum shall mean the inability of the Participant, in the opinion of a qualified physician acceptable to the Company, to perform the major duties of the Participant’s position with the Company or any Parent or Subsidiary because of the sickness or injury of the Participant.</w:t>
      </w:r>
    </w:p>
    <w:p>
      <w:pPr>
        <w:spacing w:after="0" w:line="76" w:lineRule="exact"/>
        <w:rPr>
          <w:sz w:val="20"/>
          <w:szCs w:val="20"/>
          <w:color w:val="auto"/>
        </w:rPr>
      </w:pPr>
    </w:p>
    <w:p>
      <w:pPr>
        <w:ind w:right="260" w:firstLine="436"/>
        <w:spacing w:after="0" w:line="277" w:lineRule="auto"/>
        <w:tabs>
          <w:tab w:leader="none" w:pos="62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Notwithstanding anything to the contrary in Section 11(a) of the Plan, the Administrator shall in any event make such adjustments as may be required by Section 25102(o) of the California Corporations Code.</w:t>
      </w:r>
    </w:p>
    <w:p>
      <w:pPr>
        <w:spacing w:after="0" w:line="62" w:lineRule="exact"/>
        <w:rPr>
          <w:rFonts w:ascii="Arial" w:cs="Arial" w:eastAsia="Arial" w:hAnsi="Arial"/>
          <w:sz w:val="18"/>
          <w:szCs w:val="18"/>
          <w:color w:val="auto"/>
        </w:rPr>
      </w:pPr>
    </w:p>
    <w:p>
      <w:pPr>
        <w:ind w:right="180" w:firstLine="436"/>
        <w:spacing w:after="0" w:line="277" w:lineRule="auto"/>
        <w:tabs>
          <w:tab w:leader="none" w:pos="62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Notwithstanding anything stated herein to the contrary, no Option shall be exercisable on or after the 10th anniversary of the date of grant and any Award agreement shall terminate on or before the 10th anniversary of the date of grant.</w:t>
      </w:r>
    </w:p>
    <w:p>
      <w:pPr>
        <w:spacing w:after="0" w:line="62" w:lineRule="exact"/>
        <w:rPr>
          <w:rFonts w:ascii="Arial" w:cs="Arial" w:eastAsia="Arial" w:hAnsi="Arial"/>
          <w:sz w:val="18"/>
          <w:szCs w:val="18"/>
          <w:color w:val="auto"/>
        </w:rPr>
      </w:pPr>
    </w:p>
    <w:p>
      <w:pPr>
        <w:ind w:right="20" w:firstLine="436"/>
        <w:spacing w:after="0" w:line="254" w:lineRule="auto"/>
        <w:tabs>
          <w:tab w:leader="none" w:pos="62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Company shall furnish summary financial information (audited or unaudited) of the Company’s financial condition and results of operations, consistent with the requirements of Applicable Laws, at least annually to each California Participant during the period such Participant has one or more Awards outstanding, and in the case of an individual who acquired Shares pursuant to the Plan, during the period such Participant owns such Shares; provided, however, the Company shall not be required to provide such information if (i) the issuance is limited to key persons whose duties in connection with the Company assure their access to equivalent information or (ii) the Plan or any agreement complies with all conditions of Rule 701 of the Securities Act of 1933, as amended; provided that for purposes of determining such compliance, any registered domestic partner shall be considered a “family member” as that term is defined in Rule 701.</w:t>
      </w:r>
    </w:p>
    <w:p>
      <w:pPr>
        <w:sectPr>
          <w:pgSz w:w="11900" w:h="16838" w:orient="portrait"/>
          <w:cols w:equalWidth="0" w:num="1">
            <w:col w:w="11000"/>
          </w:cols>
          <w:pgMar w:left="440" w:top="270" w:right="459" w:bottom="1440" w:gutter="0" w:footer="0" w:header="0"/>
        </w:sectPr>
      </w:pPr>
    </w:p>
    <w:bookmarkStart w:id="296" w:name="page297"/>
    <w:bookmarkEnd w:id="29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ASANA,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 2012 STOCK PLAN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NOTICE OF STOCK OPTION GRANT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«Optionee»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You have been granted an option to purchase Class B Common Stock of Asana,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as follows:</w:t>
      </w:r>
    </w:p>
    <w:p>
      <w:pPr>
        <w:sectPr>
          <w:pgSz w:w="11900" w:h="16838" w:orient="portrait"/>
          <w:cols w:equalWidth="0" w:num="1">
            <w:col w:w="11000"/>
          </w:cols>
          <w:pgMar w:left="440" w:top="270" w:right="459" w:bottom="1440" w:gutter="0" w:footer="0" w:header="0"/>
        </w:sect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Date of Grant:</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jc w:val="center"/>
        <w:ind w:right="4340"/>
        <w:spacing w:after="0"/>
        <w:rPr>
          <w:sz w:val="20"/>
          <w:szCs w:val="20"/>
          <w:color w:val="auto"/>
        </w:rPr>
      </w:pPr>
      <w:r>
        <w:rPr>
          <w:rFonts w:ascii="Arial" w:cs="Arial" w:eastAsia="Arial" w:hAnsi="Arial"/>
          <w:sz w:val="16"/>
          <w:szCs w:val="16"/>
          <w:color w:val="auto"/>
        </w:rPr>
        <w:t>«GrantDate»</w:t>
      </w:r>
    </w:p>
    <w:p>
      <w:pPr>
        <w:spacing w:after="0" w:line="140"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spacing w:after="0"/>
        <w:rPr>
          <w:sz w:val="20"/>
          <w:szCs w:val="20"/>
          <w:color w:val="auto"/>
        </w:rPr>
      </w:pPr>
      <w:r>
        <w:rPr>
          <w:rFonts w:ascii="Arial" w:cs="Arial" w:eastAsia="Arial" w:hAnsi="Arial"/>
          <w:sz w:val="15"/>
          <w:szCs w:val="15"/>
          <w:color w:val="auto"/>
        </w:rPr>
        <w:t>Exercise Price Per Share:</w:t>
      </w:r>
    </w:p>
    <w:p>
      <w:pPr>
        <w:spacing w:after="0" w:line="20" w:lineRule="exact"/>
        <w:rPr>
          <w:sz w:val="20"/>
          <w:szCs w:val="20"/>
          <w:color w:val="auto"/>
        </w:rPr>
      </w:pPr>
      <w:r>
        <w:rPr>
          <w:sz w:val="20"/>
          <w:szCs w:val="20"/>
          <w:color w:val="auto"/>
        </w:rPr>
        <w:br w:type="column"/>
      </w:r>
    </w:p>
    <w:p>
      <w:pPr>
        <w:jc w:val="center"/>
        <w:ind w:right="3600"/>
        <w:spacing w:after="0"/>
        <w:rPr>
          <w:sz w:val="20"/>
          <w:szCs w:val="20"/>
          <w:color w:val="auto"/>
        </w:rPr>
      </w:pPr>
      <w:r>
        <w:rPr>
          <w:rFonts w:ascii="Arial" w:cs="Arial" w:eastAsia="Arial" w:hAnsi="Arial"/>
          <w:sz w:val="16"/>
          <w:szCs w:val="16"/>
          <w:color w:val="auto"/>
        </w:rPr>
        <w:t>USD $«ExercisePrice»</w:t>
      </w:r>
    </w:p>
    <w:p>
      <w:pPr>
        <w:spacing w:after="0" w:line="140"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spacing w:after="0"/>
        <w:rPr>
          <w:sz w:val="20"/>
          <w:szCs w:val="20"/>
          <w:color w:val="auto"/>
        </w:rPr>
      </w:pPr>
      <w:r>
        <w:rPr>
          <w:rFonts w:ascii="Arial" w:cs="Arial" w:eastAsia="Arial" w:hAnsi="Arial"/>
          <w:sz w:val="16"/>
          <w:szCs w:val="16"/>
          <w:color w:val="auto"/>
        </w:rPr>
        <w:t>Total Number of Shares:</w:t>
      </w:r>
    </w:p>
    <w:p>
      <w:pPr>
        <w:spacing w:after="0" w:line="20" w:lineRule="exact"/>
        <w:rPr>
          <w:sz w:val="20"/>
          <w:szCs w:val="20"/>
          <w:color w:val="auto"/>
        </w:rPr>
      </w:pPr>
      <w:r>
        <w:rPr>
          <w:sz w:val="20"/>
          <w:szCs w:val="20"/>
          <w:color w:val="auto"/>
        </w:rPr>
        <w:br w:type="column"/>
      </w:r>
    </w:p>
    <w:p>
      <w:pPr>
        <w:jc w:val="center"/>
        <w:ind w:right="4200"/>
        <w:spacing w:after="0"/>
        <w:rPr>
          <w:sz w:val="20"/>
          <w:szCs w:val="20"/>
          <w:color w:val="auto"/>
        </w:rPr>
      </w:pPr>
      <w:r>
        <w:rPr>
          <w:rFonts w:ascii="Arial" w:cs="Arial" w:eastAsia="Arial" w:hAnsi="Arial"/>
          <w:sz w:val="16"/>
          <w:szCs w:val="16"/>
          <w:color w:val="auto"/>
        </w:rPr>
        <w:t>«NoOfShares»</w:t>
      </w:r>
    </w:p>
    <w:p>
      <w:pPr>
        <w:spacing w:after="0" w:line="140"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spacing w:after="0"/>
        <w:rPr>
          <w:sz w:val="20"/>
          <w:szCs w:val="20"/>
          <w:color w:val="auto"/>
        </w:rPr>
      </w:pPr>
      <w:r>
        <w:rPr>
          <w:rFonts w:ascii="Arial" w:cs="Arial" w:eastAsia="Arial" w:hAnsi="Arial"/>
          <w:sz w:val="16"/>
          <w:szCs w:val="16"/>
          <w:color w:val="auto"/>
        </w:rPr>
        <w:t>Total Exercise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USD $«TotalExercisePrice»</w:t>
      </w:r>
    </w:p>
    <w:p>
      <w:pPr>
        <w:spacing w:after="0" w:line="140"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spacing w:after="0"/>
        <w:rPr>
          <w:sz w:val="20"/>
          <w:szCs w:val="20"/>
          <w:color w:val="auto"/>
        </w:rPr>
      </w:pPr>
      <w:r>
        <w:rPr>
          <w:rFonts w:ascii="Arial" w:cs="Arial" w:eastAsia="Arial" w:hAnsi="Arial"/>
          <w:sz w:val="16"/>
          <w:szCs w:val="16"/>
          <w:color w:val="auto"/>
        </w:rPr>
        <w:t>Type of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«ISO» Shares Incentive Stock Option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«NSO» Shares Nonstatutory Stock Option</w:t>
      </w:r>
    </w:p>
    <w:p>
      <w:pPr>
        <w:spacing w:after="0" w:line="139"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spacing w:after="0"/>
        <w:rPr>
          <w:sz w:val="20"/>
          <w:szCs w:val="20"/>
          <w:color w:val="auto"/>
        </w:rPr>
      </w:pPr>
      <w:r>
        <w:rPr>
          <w:rFonts w:ascii="Arial" w:cs="Arial" w:eastAsia="Arial" w:hAnsi="Arial"/>
          <w:sz w:val="16"/>
          <w:szCs w:val="16"/>
          <w:color w:val="auto"/>
        </w:rPr>
        <w:t>Expiration Date:</w:t>
      </w:r>
    </w:p>
    <w:p>
      <w:pPr>
        <w:spacing w:after="0" w:line="20" w:lineRule="exact"/>
        <w:rPr>
          <w:sz w:val="20"/>
          <w:szCs w:val="20"/>
          <w:color w:val="auto"/>
        </w:rPr>
      </w:pPr>
      <w:r>
        <w:rPr>
          <w:sz w:val="20"/>
          <w:szCs w:val="20"/>
          <w:color w:val="auto"/>
        </w:rPr>
        <w:br w:type="column"/>
      </w:r>
    </w:p>
    <w:p>
      <w:pPr>
        <w:jc w:val="center"/>
        <w:ind w:right="4340"/>
        <w:spacing w:after="0"/>
        <w:rPr>
          <w:sz w:val="20"/>
          <w:szCs w:val="20"/>
          <w:color w:val="auto"/>
        </w:rPr>
      </w:pPr>
      <w:r>
        <w:rPr>
          <w:rFonts w:ascii="Arial" w:cs="Arial" w:eastAsia="Arial" w:hAnsi="Arial"/>
          <w:sz w:val="16"/>
          <w:szCs w:val="16"/>
          <w:color w:val="auto"/>
        </w:rPr>
        <w:t>«ExpirDate»</w:t>
      </w:r>
    </w:p>
    <w:p>
      <w:pPr>
        <w:spacing w:after="0" w:line="140"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spacing w:after="0"/>
        <w:rPr>
          <w:sz w:val="20"/>
          <w:szCs w:val="20"/>
          <w:color w:val="auto"/>
        </w:rPr>
      </w:pPr>
      <w:r>
        <w:rPr>
          <w:rFonts w:ascii="Arial" w:cs="Arial" w:eastAsia="Arial" w:hAnsi="Arial"/>
          <w:sz w:val="16"/>
          <w:szCs w:val="16"/>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«VestingCommencementDate»</w:t>
      </w:r>
    </w:p>
    <w:p>
      <w:pPr>
        <w:spacing w:after="0" w:line="140"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spacing w:after="0"/>
        <w:rPr>
          <w:sz w:val="20"/>
          <w:szCs w:val="20"/>
          <w:color w:val="auto"/>
        </w:rPr>
      </w:pPr>
      <w:r>
        <w:rPr>
          <w:rFonts w:ascii="Arial" w:cs="Arial" w:eastAsia="Arial" w:hAnsi="Arial"/>
          <w:sz w:val="16"/>
          <w:szCs w:val="16"/>
          <w:color w:val="auto"/>
        </w:rPr>
        <w:t>Vesting/Exercise Schedule:</w:t>
      </w:r>
    </w:p>
    <w:p>
      <w:pPr>
        <w:spacing w:after="0" w:line="20" w:lineRule="exact"/>
        <w:rPr>
          <w:sz w:val="20"/>
          <w:szCs w:val="20"/>
          <w:color w:val="auto"/>
        </w:rPr>
      </w:pPr>
      <w:r>
        <w:rPr>
          <w:sz w:val="20"/>
          <w:szCs w:val="20"/>
          <w:color w:val="auto"/>
        </w:rPr>
        <w:br w:type="column"/>
      </w:r>
    </w:p>
    <w:p>
      <w:pPr>
        <w:spacing w:after="0" w:line="272" w:lineRule="auto"/>
        <w:rPr>
          <w:sz w:val="20"/>
          <w:szCs w:val="20"/>
          <w:color w:val="auto"/>
        </w:rPr>
      </w:pPr>
      <w:r>
        <w:rPr>
          <w:rFonts w:ascii="Arial" w:cs="Arial" w:eastAsia="Arial" w:hAnsi="Arial"/>
          <w:sz w:val="17"/>
          <w:szCs w:val="17"/>
          <w:color w:val="auto"/>
        </w:rPr>
        <w:t>The Option is immediately exercisable; provided only vested Shares may be exercised following the termination of your Continuous Service Status. So long as your Continuous Service Status does not terminate (and provided that only vested shares may be exercised following your Termination Date, as defined in Section 5 of the Stock Option Agreement), the Shares underlying this Option shall vest in accordance with the following schedule: «Vesting»</w:t>
      </w:r>
    </w:p>
    <w:p>
      <w:pPr>
        <w:spacing w:after="0" w:line="69"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spacing w:after="0"/>
        <w:rPr>
          <w:sz w:val="20"/>
          <w:szCs w:val="20"/>
          <w:color w:val="auto"/>
        </w:rPr>
      </w:pPr>
      <w:r>
        <w:rPr>
          <w:rFonts w:ascii="Arial" w:cs="Arial" w:eastAsia="Arial" w:hAnsi="Arial"/>
          <w:sz w:val="16"/>
          <w:szCs w:val="16"/>
          <w:color w:val="auto"/>
        </w:rPr>
        <w:t>Termination Period:</w:t>
      </w:r>
    </w:p>
    <w:p>
      <w:pPr>
        <w:spacing w:after="0" w:line="20" w:lineRule="exact"/>
        <w:rPr>
          <w:sz w:val="20"/>
          <w:szCs w:val="20"/>
          <w:color w:val="auto"/>
        </w:rPr>
      </w:pPr>
      <w:r>
        <w:rPr>
          <w:sz w:val="20"/>
          <w:szCs w:val="20"/>
          <w:color w:val="auto"/>
        </w:rPr>
        <w:br w:type="column"/>
      </w:r>
    </w:p>
    <w:p>
      <w:pPr>
        <w:ind w:right="60"/>
        <w:spacing w:after="0" w:line="279" w:lineRule="auto"/>
        <w:rPr>
          <w:sz w:val="20"/>
          <w:szCs w:val="20"/>
          <w:color w:val="auto"/>
        </w:rPr>
      </w:pPr>
      <w:r>
        <w:rPr>
          <w:rFonts w:ascii="Arial" w:cs="Arial" w:eastAsia="Arial" w:hAnsi="Arial"/>
          <w:sz w:val="17"/>
          <w:szCs w:val="17"/>
          <w:color w:val="auto"/>
        </w:rPr>
        <w:t>You may exercise this Option until the Expiration Date, provided this Option may terminate earlier than the Expiration Date (and no longer be exercisable) pursuant to the Asana, Inc. Amended and Restated 2012 Stock Plan or Section 5 of the Stock Option Agreement.</w:t>
      </w:r>
    </w:p>
    <w:p>
      <w:pPr>
        <w:sectPr>
          <w:pgSz w:w="11900" w:h="16838" w:orient="portrait"/>
          <w:cols w:equalWidth="0" w:num="2">
            <w:col w:w="5020" w:space="720"/>
            <w:col w:w="5260"/>
          </w:cols>
          <w:pgMar w:left="440" w:top="270" w:right="459" w:bottom="1440" w:gutter="0" w:footer="0" w:header="0"/>
          <w:type w:val="continuous"/>
        </w:sectPr>
      </w:pPr>
    </w:p>
    <w:bookmarkStart w:id="297" w:name="page298"/>
    <w:bookmarkEnd w:id="297"/>
    <w:p>
      <w:pPr>
        <w:spacing w:after="0"/>
        <w:rPr>
          <w:sz w:val="20"/>
          <w:szCs w:val="20"/>
          <w:color w:val="auto"/>
        </w:rPr>
      </w:pPr>
      <w:r>
        <w:rPr>
          <w:rFonts w:ascii="Arial" w:cs="Arial" w:eastAsia="Arial" w:hAnsi="Arial"/>
          <w:sz w:val="16"/>
          <w:szCs w:val="16"/>
          <w:color w:val="auto"/>
        </w:rPr>
        <w:t>Transferability:</w:t>
      </w:r>
    </w:p>
    <w:p>
      <w:pPr>
        <w:spacing w:after="0" w:line="20" w:lineRule="exact"/>
        <w:rPr>
          <w:sz w:val="20"/>
          <w:szCs w:val="20"/>
          <w:color w:val="auto"/>
        </w:rPr>
      </w:pPr>
      <w:r>
        <w:rPr>
          <w:sz w:val="20"/>
          <w:szCs w:val="20"/>
          <w:color w:val="auto"/>
        </w:rPr>
        <w:br w:type="column"/>
      </w:r>
    </w:p>
    <w:p>
      <w:pPr>
        <w:ind w:right="40"/>
        <w:spacing w:after="0" w:line="259" w:lineRule="auto"/>
        <w:rPr>
          <w:sz w:val="20"/>
          <w:szCs w:val="20"/>
          <w:color w:val="auto"/>
        </w:rPr>
      </w:pPr>
      <w:r>
        <w:rPr>
          <w:rFonts w:ascii="Arial" w:cs="Arial" w:eastAsia="Arial" w:hAnsi="Arial"/>
          <w:sz w:val="18"/>
          <w:szCs w:val="18"/>
          <w:color w:val="auto"/>
        </w:rPr>
        <w:t>You may not transfer this Option except as set forth in Section 6 of the Stock Option Agreement (subject to compliance with Applicable Laws). You must obtain Company approval prior to any transfer of the Shares received upon exercise of this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-652145</wp:posOffset>
            </wp:positionV>
            <wp:extent cx="7149465" cy="254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187" w:lineRule="exact"/>
        <w:rPr>
          <w:sz w:val="20"/>
          <w:szCs w:val="20"/>
          <w:color w:val="auto"/>
        </w:rPr>
      </w:pPr>
    </w:p>
    <w:p>
      <w:pPr>
        <w:sectPr>
          <w:pgSz w:w="11900" w:h="16838" w:orient="portrait"/>
          <w:cols w:equalWidth="0" w:num="2">
            <w:col w:w="5020" w:space="720"/>
            <w:col w:w="5240"/>
          </w:cols>
          <w:pgMar w:left="440" w:top="274" w:right="479" w:bottom="1440" w:gutter="0" w:footer="0" w:header="0"/>
        </w:sectPr>
      </w:pPr>
    </w:p>
    <w:p>
      <w:pPr>
        <w:ind w:right="80" w:firstLine="440"/>
        <w:spacing w:after="0" w:line="311" w:lineRule="auto"/>
        <w:rPr>
          <w:sz w:val="20"/>
          <w:szCs w:val="20"/>
          <w:color w:val="auto"/>
        </w:rPr>
      </w:pPr>
      <w:r>
        <w:rPr>
          <w:rFonts w:ascii="Arial" w:cs="Arial" w:eastAsia="Arial" w:hAnsi="Arial"/>
          <w:sz w:val="16"/>
          <w:szCs w:val="16"/>
          <w:color w:val="auto"/>
        </w:rPr>
        <w:t>By your signature and the signature of the Company’s representative below or by otherwise accepting this grant, you and the Company agree that this Option is granted under and governed by the terms and conditions of this Notice and the Asana, Inc. Amended and Restated 2012 Stock Plan and Stock Option Agreement (which includes the Country-Specific Addendum), both of which are attached to and made a part of this Notice.</w:t>
      </w:r>
    </w:p>
    <w:p>
      <w:pPr>
        <w:spacing w:after="0" w:line="149"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In addition, you agree and acknowledge that your rights to any Shares underlying this Option will vest only as you provide services to the Company over time, that the grant of this Option is not as consideration for services you rendered to the Company prior to your date of hire, and that nothing in this Notice or the attached documents confers upon you any right to continue your employment or consulting relationship with the Company for any period of time, nor does it interfere in any way with your right or the Company’s right to terminate that relationship at any time, for any reason, with or without cause, subject to Applicable Laws.</w:t>
      </w:r>
    </w:p>
    <w:p>
      <w:pPr>
        <w:spacing w:after="0" w:line="188"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Also, to the extent applicable, the Exercise Price Per Share has been set in good faith compliance with the applicable guidance issued by the IRS under Section 409A of the Code. However, there is no guarantee that the IRS will agree with the valuation, and by signing below, you agree and acknowledge that the Company, its Board, officers, employees, agents and stockholders shall not be held liable for any applicable costs, taxes, or penalties associated with this Option if, in fact, the IRS or any other person (including, without limitation, a successor corporation or an acquirer in a Change of Control) were to determine that this Option constitutes deferred compensation under Section 409A of the Code. You should consult with your own tax advisor concerning the tax consequences of such a determination by the IRS. For purposes of this paragraph, the term “Company” will be interpreted to include any Parent, Subsidiary or Affiliate.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type w:val="continuous"/>
        </w:sectPr>
      </w:pPr>
    </w:p>
    <w:bookmarkStart w:id="298" w:name="page299"/>
    <w:bookmarkEnd w:id="298"/>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w:t>
      </w:r>
      <w:r>
        <w:rPr>
          <w:rFonts w:ascii="Arial" w:cs="Arial" w:eastAsia="Arial" w:hAnsi="Arial"/>
          <w:sz w:val="18"/>
          <w:szCs w:val="18"/>
          <w:color w:val="auto"/>
        </w:rPr>
        <w:t>:</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ASANA, INC.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jc w:val="right"/>
        <w:ind w:right="79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28"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OPTIONEE</w:t>
      </w:r>
      <w:r>
        <w:rPr>
          <w:rFonts w:ascii="Arial" w:cs="Arial" w:eastAsia="Arial" w:hAnsi="Arial"/>
          <w:sz w:val="18"/>
          <w:szCs w:val="18"/>
          <w:color w:val="auto"/>
        </w:rPr>
        <w:t>:</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288925</wp:posOffset>
            </wp:positionV>
            <wp:extent cx="279463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ind w:right="79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151765</wp:posOffset>
            </wp:positionV>
            <wp:extent cx="279463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306070</wp:posOffset>
            </wp:positionV>
            <wp:extent cx="279463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460375</wp:posOffset>
            </wp:positionV>
            <wp:extent cx="279463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9019"/>
          </w:cols>
          <w:pgMar w:left="1440" w:top="270" w:right="1440" w:bottom="1440" w:gutter="0" w:footer="0" w:header="0"/>
        </w:sectPr>
      </w:pPr>
    </w:p>
    <w:bookmarkStart w:id="299" w:name="page300"/>
    <w:bookmarkEnd w:id="29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ASANA,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2012 STOCK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STOCK OPTION AGREEMENT</w:t>
      </w:r>
    </w:p>
    <w:p>
      <w:pPr>
        <w:spacing w:after="0" w:line="117" w:lineRule="exact"/>
        <w:rPr>
          <w:sz w:val="20"/>
          <w:szCs w:val="20"/>
          <w:color w:val="auto"/>
        </w:rPr>
      </w:pPr>
    </w:p>
    <w:p>
      <w:pPr>
        <w:ind w:right="20" w:firstLine="436"/>
        <w:spacing w:after="0" w:line="256" w:lineRule="auto"/>
        <w:tabs>
          <w:tab w:leader="none" w:pos="620" w:val="left"/>
        </w:tabs>
        <w:numPr>
          <w:ilvl w:val="0"/>
          <w:numId w:val="253"/>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 of Option</w:t>
      </w:r>
      <w:r>
        <w:rPr>
          <w:rFonts w:ascii="Arial" w:cs="Arial" w:eastAsia="Arial" w:hAnsi="Arial"/>
          <w:sz w:val="18"/>
          <w:szCs w:val="18"/>
          <w:color w:val="auto"/>
        </w:rPr>
        <w:t>. Asana,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hereby grants to the person (“</w:t>
      </w:r>
      <w:r>
        <w:rPr>
          <w:rFonts w:ascii="Arial" w:cs="Arial" w:eastAsia="Arial" w:hAnsi="Arial"/>
          <w:sz w:val="18"/>
          <w:szCs w:val="18"/>
          <w:u w:val="single" w:color="auto"/>
          <w:color w:val="auto"/>
        </w:rPr>
        <w:t>Optionee</w:t>
      </w:r>
      <w:r>
        <w:rPr>
          <w:rFonts w:ascii="Arial" w:cs="Arial" w:eastAsia="Arial" w:hAnsi="Arial"/>
          <w:sz w:val="18"/>
          <w:szCs w:val="18"/>
          <w:color w:val="auto"/>
        </w:rPr>
        <w:t>”) named in the Notice of Stock</w:t>
      </w:r>
      <w:r>
        <w:rPr>
          <w:rFonts w:ascii="Arial" w:cs="Arial" w:eastAsia="Arial" w:hAnsi="Arial"/>
          <w:sz w:val="18"/>
          <w:szCs w:val="18"/>
          <w:b w:val="1"/>
          <w:bCs w:val="1"/>
          <w:color w:val="auto"/>
        </w:rPr>
        <w:t xml:space="preserve"> </w:t>
      </w:r>
      <w:r>
        <w:rPr>
          <w:rFonts w:ascii="Arial" w:cs="Arial" w:eastAsia="Arial" w:hAnsi="Arial"/>
          <w:sz w:val="18"/>
          <w:szCs w:val="18"/>
          <w:color w:val="auto"/>
        </w:rPr>
        <w:t>Option Grant (the “</w:t>
      </w:r>
      <w:r>
        <w:rPr>
          <w:rFonts w:ascii="Arial" w:cs="Arial" w:eastAsia="Arial" w:hAnsi="Arial"/>
          <w:sz w:val="18"/>
          <w:szCs w:val="18"/>
          <w:u w:val="single" w:color="auto"/>
          <w:color w:val="auto"/>
        </w:rPr>
        <w:t>Notice</w:t>
      </w:r>
      <w:r>
        <w:rPr>
          <w:rFonts w:ascii="Arial" w:cs="Arial" w:eastAsia="Arial" w:hAnsi="Arial"/>
          <w:sz w:val="18"/>
          <w:szCs w:val="18"/>
          <w:color w:val="auto"/>
        </w:rPr>
        <w:t>”), an option (the “</w:t>
      </w:r>
      <w:r>
        <w:rPr>
          <w:rFonts w:ascii="Arial" w:cs="Arial" w:eastAsia="Arial" w:hAnsi="Arial"/>
          <w:sz w:val="18"/>
          <w:szCs w:val="18"/>
          <w:u w:val="single" w:color="auto"/>
          <w:color w:val="auto"/>
        </w:rPr>
        <w:t>Option</w:t>
      </w:r>
      <w:r>
        <w:rPr>
          <w:rFonts w:ascii="Arial" w:cs="Arial" w:eastAsia="Arial" w:hAnsi="Arial"/>
          <w:sz w:val="18"/>
          <w:szCs w:val="18"/>
          <w:color w:val="auto"/>
        </w:rPr>
        <w:t>”) to purchase the total number of shares of Class B Common Stock (the “</w:t>
      </w:r>
      <w:r>
        <w:rPr>
          <w:rFonts w:ascii="Arial" w:cs="Arial" w:eastAsia="Arial" w:hAnsi="Arial"/>
          <w:sz w:val="18"/>
          <w:szCs w:val="18"/>
          <w:u w:val="single" w:color="auto"/>
          <w:color w:val="auto"/>
        </w:rPr>
        <w:t>Shares</w:t>
      </w:r>
      <w:r>
        <w:rPr>
          <w:rFonts w:ascii="Arial" w:cs="Arial" w:eastAsia="Arial" w:hAnsi="Arial"/>
          <w:sz w:val="18"/>
          <w:szCs w:val="18"/>
          <w:color w:val="auto"/>
        </w:rPr>
        <w:t>”) set forth in the Notice at the exercise price per Share set forth in the Notice (the “</w:t>
      </w:r>
      <w:r>
        <w:rPr>
          <w:rFonts w:ascii="Arial" w:cs="Arial" w:eastAsia="Arial" w:hAnsi="Arial"/>
          <w:sz w:val="18"/>
          <w:szCs w:val="18"/>
          <w:u w:val="single" w:color="auto"/>
          <w:color w:val="auto"/>
        </w:rPr>
        <w:t>Exercise Price</w:t>
      </w:r>
      <w:r>
        <w:rPr>
          <w:rFonts w:ascii="Arial" w:cs="Arial" w:eastAsia="Arial" w:hAnsi="Arial"/>
          <w:sz w:val="18"/>
          <w:szCs w:val="18"/>
          <w:color w:val="auto"/>
        </w:rPr>
        <w:t>”) subject to the terms, definitions and provisions of the Asana, Inc. Amended and Restated 2012 Stock Plan (the “</w:t>
      </w:r>
      <w:r>
        <w:rPr>
          <w:rFonts w:ascii="Arial" w:cs="Arial" w:eastAsia="Arial" w:hAnsi="Arial"/>
          <w:sz w:val="18"/>
          <w:szCs w:val="18"/>
          <w:u w:val="single" w:color="auto"/>
          <w:color w:val="auto"/>
        </w:rPr>
        <w:t>Plan</w:t>
      </w:r>
      <w:r>
        <w:rPr>
          <w:rFonts w:ascii="Arial" w:cs="Arial" w:eastAsia="Arial" w:hAnsi="Arial"/>
          <w:sz w:val="18"/>
          <w:szCs w:val="18"/>
          <w:color w:val="auto"/>
        </w:rPr>
        <w:t>”) adopted by the Company, which is incorporated in this Stock Option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by reference. Unless otherwise defined in this Agreement, the terms used in this Agreement or the Notice shall have the meanings defined in the Plan.</w:t>
      </w:r>
    </w:p>
    <w:p>
      <w:pPr>
        <w:spacing w:after="0" w:line="79" w:lineRule="exact"/>
        <w:rPr>
          <w:rFonts w:ascii="Arial" w:cs="Arial" w:eastAsia="Arial" w:hAnsi="Arial"/>
          <w:sz w:val="18"/>
          <w:szCs w:val="18"/>
          <w:color w:val="auto"/>
        </w:rPr>
      </w:pPr>
    </w:p>
    <w:p>
      <w:pPr>
        <w:ind w:right="60" w:firstLine="436"/>
        <w:spacing w:after="0" w:line="266" w:lineRule="auto"/>
        <w:tabs>
          <w:tab w:leader="none" w:pos="620" w:val="left"/>
        </w:tabs>
        <w:numPr>
          <w:ilvl w:val="0"/>
          <w:numId w:val="253"/>
        </w:numPr>
        <w:rPr>
          <w:rFonts w:ascii="Arial" w:cs="Arial" w:eastAsia="Arial" w:hAnsi="Arial"/>
          <w:sz w:val="18"/>
          <w:szCs w:val="18"/>
          <w:color w:val="auto"/>
        </w:rPr>
      </w:pPr>
      <w:r>
        <w:rPr>
          <w:rFonts w:ascii="Arial" w:cs="Arial" w:eastAsia="Arial" w:hAnsi="Arial"/>
          <w:sz w:val="18"/>
          <w:szCs w:val="18"/>
          <w:b w:val="1"/>
          <w:bCs w:val="1"/>
          <w:u w:val="single" w:color="auto"/>
          <w:color w:val="auto"/>
        </w:rPr>
        <w:t>Designation of Option</w:t>
      </w:r>
      <w:r>
        <w:rPr>
          <w:rFonts w:ascii="Arial" w:cs="Arial" w:eastAsia="Arial" w:hAnsi="Arial"/>
          <w:sz w:val="18"/>
          <w:szCs w:val="18"/>
          <w:color w:val="auto"/>
        </w:rPr>
        <w:t>. This Option is intended to be an Incentive Stock Option as defined in Section 422 of the Code only to the extent so</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designated in the Notice, and to the extent it is not so designated or to the extent this Option does not qualify as an Incentive Stock Option, it is intended to be a Nonstatutory Stock Option.</w:t>
      </w:r>
    </w:p>
    <w:p>
      <w:pPr>
        <w:spacing w:after="0" w:line="72"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Notwithstanding the above, if designated as an Incentive Stock Option, in the event that the Shares subject to this Option (and all other incentive stock options granted to Optionee by the Company or any Parent or Subsidiary, including under other plans) that first become exercisable in any calendar year have an aggregate fair market value (determined for each Share as of the date of grant of the option covering such Share) in excess of USD $100,000, the Shares in excess of USD $100,000 shall be treated as subject to a nonstatutory stock option, in accordance with Section 5(c) of the Plan.</w:t>
      </w:r>
    </w:p>
    <w:p>
      <w:pPr>
        <w:spacing w:after="0" w:line="45" w:lineRule="exact"/>
        <w:rPr>
          <w:sz w:val="20"/>
          <w:szCs w:val="20"/>
          <w:color w:val="auto"/>
        </w:rPr>
      </w:pPr>
    </w:p>
    <w:p>
      <w:pPr>
        <w:ind w:right="300" w:firstLine="436"/>
        <w:spacing w:after="0" w:line="282" w:lineRule="auto"/>
        <w:tabs>
          <w:tab w:leader="none" w:pos="620" w:val="left"/>
        </w:tabs>
        <w:numPr>
          <w:ilvl w:val="0"/>
          <w:numId w:val="254"/>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 of Option</w:t>
      </w:r>
      <w:r>
        <w:rPr>
          <w:rFonts w:ascii="Arial" w:cs="Arial" w:eastAsia="Arial" w:hAnsi="Arial"/>
          <w:sz w:val="18"/>
          <w:szCs w:val="18"/>
          <w:color w:val="auto"/>
        </w:rPr>
        <w:t>. This Option shall be exercisable during its term in accordance with the Vesting/Exercise Schedule set out in the Notice,</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provisions of Section 7(c) of the Plan and as follows:</w:t>
      </w:r>
    </w:p>
    <w:p>
      <w:pPr>
        <w:spacing w:after="0" w:line="53" w:lineRule="exact"/>
        <w:rPr>
          <w:rFonts w:ascii="Arial" w:cs="Arial" w:eastAsia="Arial" w:hAnsi="Arial"/>
          <w:sz w:val="18"/>
          <w:szCs w:val="18"/>
          <w:color w:val="auto"/>
        </w:rPr>
      </w:pPr>
    </w:p>
    <w:p>
      <w:pPr>
        <w:ind w:left="1240" w:hanging="253"/>
        <w:spacing w:after="0"/>
        <w:tabs>
          <w:tab w:leader="none" w:pos="1240" w:val="left"/>
        </w:tabs>
        <w:numPr>
          <w:ilvl w:val="1"/>
          <w:numId w:val="254"/>
        </w:numPr>
        <w:rPr>
          <w:rFonts w:ascii="Arial" w:cs="Arial" w:eastAsia="Arial" w:hAnsi="Arial"/>
          <w:sz w:val="18"/>
          <w:szCs w:val="18"/>
          <w:color w:val="auto"/>
        </w:rPr>
      </w:pPr>
      <w:r>
        <w:rPr>
          <w:rFonts w:ascii="Arial" w:cs="Arial" w:eastAsia="Arial" w:hAnsi="Arial"/>
          <w:sz w:val="18"/>
          <w:szCs w:val="18"/>
          <w:b w:val="1"/>
          <w:bCs w:val="1"/>
          <w:u w:val="single" w:color="auto"/>
          <w:color w:val="auto"/>
        </w:rPr>
        <w:t>Right to Exercise</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1640" w:hanging="212"/>
        <w:spacing w:after="0"/>
        <w:tabs>
          <w:tab w:leader="none" w:pos="1640" w:val="left"/>
        </w:tabs>
        <w:numPr>
          <w:ilvl w:val="2"/>
          <w:numId w:val="254"/>
        </w:numPr>
        <w:rPr>
          <w:rFonts w:ascii="Arial" w:cs="Arial" w:eastAsia="Arial" w:hAnsi="Arial"/>
          <w:sz w:val="18"/>
          <w:szCs w:val="18"/>
          <w:color w:val="auto"/>
        </w:rPr>
      </w:pPr>
      <w:r>
        <w:rPr>
          <w:rFonts w:ascii="Arial" w:cs="Arial" w:eastAsia="Arial" w:hAnsi="Arial"/>
          <w:sz w:val="18"/>
          <w:szCs w:val="18"/>
          <w:color w:val="auto"/>
        </w:rPr>
        <w:t>This Option may not be exercised for a fraction of a share.</w:t>
      </w:r>
    </w:p>
    <w:p>
      <w:pPr>
        <w:spacing w:after="0" w:line="117" w:lineRule="exact"/>
        <w:rPr>
          <w:rFonts w:ascii="Arial" w:cs="Arial" w:eastAsia="Arial" w:hAnsi="Arial"/>
          <w:sz w:val="18"/>
          <w:szCs w:val="18"/>
          <w:color w:val="auto"/>
        </w:rPr>
      </w:pPr>
    </w:p>
    <w:p>
      <w:pPr>
        <w:ind w:right="260" w:firstLine="1428"/>
        <w:spacing w:after="0" w:line="277" w:lineRule="auto"/>
        <w:tabs>
          <w:tab w:leader="none" w:pos="1697" w:val="left"/>
        </w:tabs>
        <w:numPr>
          <w:ilvl w:val="2"/>
          <w:numId w:val="254"/>
        </w:numPr>
        <w:rPr>
          <w:rFonts w:ascii="Arial" w:cs="Arial" w:eastAsia="Arial" w:hAnsi="Arial"/>
          <w:sz w:val="18"/>
          <w:szCs w:val="18"/>
          <w:color w:val="auto"/>
        </w:rPr>
      </w:pPr>
      <w:r>
        <w:rPr>
          <w:rFonts w:ascii="Arial" w:cs="Arial" w:eastAsia="Arial" w:hAnsi="Arial"/>
          <w:sz w:val="18"/>
          <w:szCs w:val="18"/>
          <w:color w:val="auto"/>
        </w:rPr>
        <w:t>In the event of Optionee’s termination of Continuous Service Status, the exercisability of this Option is governed by Section 5 below, subject to the limitations contained in this Section 3.</w:t>
      </w:r>
    </w:p>
    <w:p>
      <w:pPr>
        <w:spacing w:after="0" w:line="62" w:lineRule="exact"/>
        <w:rPr>
          <w:rFonts w:ascii="Arial" w:cs="Arial" w:eastAsia="Arial" w:hAnsi="Arial"/>
          <w:sz w:val="18"/>
          <w:szCs w:val="18"/>
          <w:color w:val="auto"/>
        </w:rPr>
      </w:pPr>
    </w:p>
    <w:p>
      <w:pPr>
        <w:ind w:left="1740" w:hanging="312"/>
        <w:spacing w:after="0"/>
        <w:tabs>
          <w:tab w:leader="none" w:pos="1740" w:val="left"/>
        </w:tabs>
        <w:numPr>
          <w:ilvl w:val="2"/>
          <w:numId w:val="254"/>
        </w:numPr>
        <w:rPr>
          <w:rFonts w:ascii="Arial" w:cs="Arial" w:eastAsia="Arial" w:hAnsi="Arial"/>
          <w:sz w:val="18"/>
          <w:szCs w:val="18"/>
          <w:color w:val="auto"/>
        </w:rPr>
      </w:pPr>
      <w:r>
        <w:rPr>
          <w:rFonts w:ascii="Arial" w:cs="Arial" w:eastAsia="Arial" w:hAnsi="Arial"/>
          <w:sz w:val="18"/>
          <w:szCs w:val="18"/>
          <w:color w:val="auto"/>
        </w:rPr>
        <w:t>In no event may this Option be exercised after the Expiration Date set forth in the Notice.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270" w:right="439" w:bottom="1440" w:gutter="0" w:footer="0" w:header="0"/>
        </w:sectPr>
      </w:pPr>
    </w:p>
    <w:bookmarkStart w:id="300" w:name="page301"/>
    <w:bookmarkEnd w:id="300"/>
    <w:p>
      <w:pPr>
        <w:ind w:left="1220" w:hanging="253"/>
        <w:spacing w:after="0"/>
        <w:tabs>
          <w:tab w:leader="none" w:pos="1220" w:val="left"/>
        </w:tabs>
        <w:numPr>
          <w:ilvl w:val="0"/>
          <w:numId w:val="255"/>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Method of Exercise</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20" w:firstLine="1428"/>
        <w:spacing w:after="0" w:line="254" w:lineRule="auto"/>
        <w:tabs>
          <w:tab w:leader="none" w:pos="1627" w:val="left"/>
        </w:tabs>
        <w:numPr>
          <w:ilvl w:val="1"/>
          <w:numId w:val="255"/>
        </w:numPr>
        <w:rPr>
          <w:rFonts w:ascii="Arial" w:cs="Arial" w:eastAsia="Arial" w:hAnsi="Arial"/>
          <w:sz w:val="18"/>
          <w:szCs w:val="18"/>
          <w:color w:val="auto"/>
        </w:rPr>
      </w:pPr>
      <w:r>
        <w:rPr>
          <w:rFonts w:ascii="Arial" w:cs="Arial" w:eastAsia="Arial" w:hAnsi="Arial"/>
          <w:sz w:val="18"/>
          <w:szCs w:val="18"/>
          <w:color w:val="auto"/>
        </w:rPr>
        <w:t xml:space="preserve">This Option shall be exercisable by execution and delivery of the Early Exercise Notice and Restricted Stock Purchase Agreement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Exercise Agreement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or of any other form of written notice approved for such purpose by the Company which shall state Optionee’s election to exercise this Option, the number of Shares in respect of which this Option is being exercised, and such other representations and agreements as to the holder’s investment intent with respect to such Shares as may be required by the Company pursuant to the provisions of the Plan. Such written notice shall be signed by Optionee and shall be delivered to the Company by such means as are determined by the Company in its discretion to constitute adequate delivery. The written notice shall be accompanied by payment of the aggregate Exercise Price for the purchased Shares.</w:t>
      </w:r>
    </w:p>
    <w:p>
      <w:pPr>
        <w:spacing w:after="0" w:line="86" w:lineRule="exact"/>
        <w:rPr>
          <w:rFonts w:ascii="Arial" w:cs="Arial" w:eastAsia="Arial" w:hAnsi="Arial"/>
          <w:sz w:val="18"/>
          <w:szCs w:val="18"/>
          <w:color w:val="auto"/>
        </w:rPr>
      </w:pPr>
    </w:p>
    <w:p>
      <w:pPr>
        <w:ind w:left="-20" w:right="100" w:firstLine="1428"/>
        <w:spacing w:after="0" w:line="255" w:lineRule="auto"/>
        <w:tabs>
          <w:tab w:leader="none" w:pos="1677" w:val="left"/>
        </w:tabs>
        <w:numPr>
          <w:ilvl w:val="1"/>
          <w:numId w:val="255"/>
        </w:numPr>
        <w:rPr>
          <w:rFonts w:ascii="Arial" w:cs="Arial" w:eastAsia="Arial" w:hAnsi="Arial"/>
          <w:sz w:val="18"/>
          <w:szCs w:val="18"/>
          <w:color w:val="auto"/>
        </w:rPr>
      </w:pPr>
      <w:r>
        <w:rPr>
          <w:rFonts w:ascii="Arial" w:cs="Arial" w:eastAsia="Arial" w:hAnsi="Arial"/>
          <w:sz w:val="18"/>
          <w:szCs w:val="18"/>
          <w:color w:val="auto"/>
        </w:rPr>
        <w:t>As a condition to the grant, vesting and exercise of this Option and as further set forth in Section 9 of the Plan, Optionee hereby agrees to make adequate provision for the satisfaction of (and will indemnify the Company and any Subsidiary or Affiliate for) any applicable taxes or tax withholdings, social contributions, required deductions, or other payments, if any (“</w:t>
      </w:r>
      <w:r>
        <w:rPr>
          <w:rFonts w:ascii="Arial" w:cs="Arial" w:eastAsia="Arial" w:hAnsi="Arial"/>
          <w:sz w:val="18"/>
          <w:szCs w:val="18"/>
          <w:u w:val="single" w:color="auto"/>
          <w:color w:val="auto"/>
        </w:rPr>
        <w:t>Tax-Related Items</w:t>
      </w:r>
      <w:r>
        <w:rPr>
          <w:rFonts w:ascii="Arial" w:cs="Arial" w:eastAsia="Arial" w:hAnsi="Arial"/>
          <w:sz w:val="18"/>
          <w:szCs w:val="18"/>
          <w:color w:val="auto"/>
        </w:rPr>
        <w:t>”), which arise upon the grant, vesting or exercise of this Option, ownership or disposition of Shares, receipt of dividends, if any, or otherwise in connection with this Option or the Shares, whether by withholding (from payroll or any payment of any kind otherwise due to Optionee), direct payment to the Company, or otherwise as determined by the Company in its sole discretion.</w:t>
      </w:r>
    </w:p>
    <w:p>
      <w:pPr>
        <w:spacing w:after="0" w:line="84" w:lineRule="exact"/>
        <w:rPr>
          <w:rFonts w:ascii="Arial" w:cs="Arial" w:eastAsia="Arial" w:hAnsi="Arial"/>
          <w:sz w:val="18"/>
          <w:szCs w:val="18"/>
          <w:color w:val="auto"/>
        </w:rPr>
      </w:pPr>
    </w:p>
    <w:p>
      <w:pPr>
        <w:ind w:left="-20" w:right="20" w:firstLine="1428"/>
        <w:spacing w:after="0" w:line="267" w:lineRule="auto"/>
        <w:tabs>
          <w:tab w:leader="none" w:pos="1727" w:val="left"/>
        </w:tabs>
        <w:numPr>
          <w:ilvl w:val="1"/>
          <w:numId w:val="255"/>
        </w:numPr>
        <w:rPr>
          <w:rFonts w:ascii="Arial" w:cs="Arial" w:eastAsia="Arial" w:hAnsi="Arial"/>
          <w:sz w:val="17"/>
          <w:szCs w:val="17"/>
          <w:color w:val="auto"/>
        </w:rPr>
      </w:pPr>
      <w:r>
        <w:rPr>
          <w:rFonts w:ascii="Arial" w:cs="Arial" w:eastAsia="Arial" w:hAnsi="Arial"/>
          <w:sz w:val="17"/>
          <w:szCs w:val="17"/>
          <w:color w:val="auto"/>
        </w:rPr>
        <w:t>Regardless of any action the Company or any Subsidiary or Affiliate takes with respect to any or all applicable Tax-Related Items, Optionee acknowledges and agrees that the ultimate liability for all Tax-Related Items is and remains Optionee’s responsibility and may exceed any amount actually withheld by the Company or any Subsidiary or Affiliate. Optionee further acknowledges and agrees that Optionee is solely responsible for filing all relevant documentation that may be required in relation to this Option or any Tax- Related Items other than filings or documentation that is the specific obligation of the Company or any Subsidiary or Affiliate pursuant to Applicable Law, such as but not limited to personal income tax returns or reporting statements in relation to the grant, vesting or exercise of this Option, the holding of Shares or any bank or brokerage account, the subsequent sale of Shares, and the receipt of any dividends. Optionee further acknowledges that the Company makes no representations or undertakings regarding the treatment of any Tax-Related Items and does not commit to and is under no obligation to structure the terms or any aspect of the Option to reduce or eliminate Optionee’s liability for Tax-Related Items or achieve any particular tax result. Optionee also understands that Applicable Laws may require varying Share or Option valuation methods for purposes of calculating Tax-Related Items, and the Company assumes no responsibility or liability in relation to any such valuation or for any calculation or reporting of income or Tax-Related Items that may be required of Optionee under Applicable Laws. Further, if Optionee has become subject to Tax-Related Items in more than one jurisdiction, Optionee acknowledges that the Company or any Subsidiary or Affiliate may be required to withhold or account for Tax-Related Items in more than one jurisdiction. The Company is not obligated, and will have no liability for failure, to issue or deliver any Shares upon exercise of this Option unless such issuance or delivery would comply with the Applicable Laws, with such compliance determined by the Company in consultation with its legal counsel. Furthermore, Optionee understands that the Applicable Laws of the country in which Optionee is residing or working at the time of grant, vesting, and/or exercise of this Option (including any rules or regulations governing securities, foreign exchange, tax, labor or other matters) may restrict or prevent exercise of this Option and neither the Company nor any Parent, Subsidiary or Affiliate assumes any liability in relation to this Option in such case.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60" w:top="270" w:right="479" w:bottom="1440" w:gutter="0" w:footer="0" w:header="0"/>
        </w:sectPr>
      </w:pPr>
    </w:p>
    <w:bookmarkStart w:id="301" w:name="page302"/>
    <w:bookmarkEnd w:id="301"/>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Option may not be exercised until such time as the Plan has been approved by the holders of capital stock of the Company, or if the issuance of such Shares upon such exercise or the method of payment of consideration for such Shares would constitute a violation of any Applicable Laws, including any applicable U.S. federal or state securities laws or any other law or regulation, including any rule under Part 221 of Title 12 of the Code of Federal Regulations as promulgated by the Federal Reserve Board. As a condition to the exercise of this Option, the Company may require Optionee to make any representation and warranty to the Company as may be required by the Applicable Laws. Assuming such compliance, for income tax purposes the Shares shall be considered transferred to Optionee on the date on which this Option is exercised with respect to such Shares, subject to Applicable Laws.</w:t>
      </w:r>
    </w:p>
    <w:p>
      <w:pPr>
        <w:spacing w:after="0" w:line="87" w:lineRule="exact"/>
        <w:rPr>
          <w:sz w:val="20"/>
          <w:szCs w:val="20"/>
          <w:color w:val="auto"/>
        </w:rPr>
      </w:pPr>
    </w:p>
    <w:p>
      <w:pPr>
        <w:jc w:val="both"/>
        <w:ind w:right="100" w:firstLine="1428"/>
        <w:spacing w:after="0" w:line="259" w:lineRule="auto"/>
        <w:tabs>
          <w:tab w:leader="none" w:pos="1737" w:val="left"/>
        </w:tabs>
        <w:numPr>
          <w:ilvl w:val="1"/>
          <w:numId w:val="256"/>
        </w:numPr>
        <w:rPr>
          <w:rFonts w:ascii="Arial" w:cs="Arial" w:eastAsia="Arial" w:hAnsi="Arial"/>
          <w:sz w:val="18"/>
          <w:szCs w:val="18"/>
          <w:color w:val="auto"/>
        </w:rPr>
      </w:pPr>
      <w:r>
        <w:rPr>
          <w:rFonts w:ascii="Arial" w:cs="Arial" w:eastAsia="Arial" w:hAnsi="Arial"/>
          <w:sz w:val="18"/>
          <w:szCs w:val="18"/>
          <w:color w:val="auto"/>
        </w:rPr>
        <w:t>Subject to compliance with Applicable Laws, this Option shall be deemed to be exercised upon receipt by the Company of the appropriate written notice of exercise accompanied by the Exercise Price and the satisfaction of any applicable obligations described in Section 3(b)(ii) above and any other requirements or restrictions that may be imposed by the Company to comply with Applicable Laws or facilitate administration of the Plan.</w:t>
      </w:r>
    </w:p>
    <w:p>
      <w:pPr>
        <w:spacing w:after="0" w:line="78" w:lineRule="exact"/>
        <w:rPr>
          <w:rFonts w:ascii="Arial" w:cs="Arial" w:eastAsia="Arial" w:hAnsi="Arial"/>
          <w:sz w:val="18"/>
          <w:szCs w:val="18"/>
          <w:color w:val="auto"/>
        </w:rPr>
      </w:pPr>
    </w:p>
    <w:p>
      <w:pPr>
        <w:ind w:right="400" w:firstLine="1428"/>
        <w:spacing w:after="0" w:line="259" w:lineRule="auto"/>
        <w:tabs>
          <w:tab w:leader="none" w:pos="1687" w:val="left"/>
        </w:tabs>
        <w:numPr>
          <w:ilvl w:val="1"/>
          <w:numId w:val="256"/>
        </w:numPr>
        <w:rPr>
          <w:rFonts w:ascii="Arial" w:cs="Arial" w:eastAsia="Arial" w:hAnsi="Arial"/>
          <w:sz w:val="18"/>
          <w:szCs w:val="18"/>
          <w:color w:val="auto"/>
        </w:rPr>
      </w:pPr>
      <w:r>
        <w:rPr>
          <w:rFonts w:ascii="Arial" w:cs="Arial" w:eastAsia="Arial" w:hAnsi="Arial"/>
          <w:sz w:val="18"/>
          <w:szCs w:val="18"/>
          <w:color w:val="auto"/>
        </w:rPr>
        <w:t>As a condition to exercise of this Option, Optionee must execute and deliver a counterpart signature page to that certain Amended and Restated Voting Agreement dated July 18, 2012, by and among the Company and certain of its stockholders (as may be amended or restated from time to time) (the “</w:t>
      </w:r>
      <w:r>
        <w:rPr>
          <w:rFonts w:ascii="Arial" w:cs="Arial" w:eastAsia="Arial" w:hAnsi="Arial"/>
          <w:sz w:val="18"/>
          <w:szCs w:val="18"/>
          <w:u w:val="single" w:color="auto"/>
          <w:color w:val="auto"/>
        </w:rPr>
        <w:t>Voting Agreement</w:t>
      </w:r>
      <w:r>
        <w:rPr>
          <w:rFonts w:ascii="Arial" w:cs="Arial" w:eastAsia="Arial" w:hAnsi="Arial"/>
          <w:sz w:val="18"/>
          <w:szCs w:val="18"/>
          <w:color w:val="auto"/>
        </w:rPr>
        <w:t>”) so as to become a party thereto, and to be bound by the terms and conditions thereof, as a 1% Holder (as defined in the Voting Agreement).</w:t>
      </w:r>
    </w:p>
    <w:p>
      <w:pPr>
        <w:spacing w:after="0" w:line="78" w:lineRule="exact"/>
        <w:rPr>
          <w:rFonts w:ascii="Arial" w:cs="Arial" w:eastAsia="Arial" w:hAnsi="Arial"/>
          <w:sz w:val="18"/>
          <w:szCs w:val="18"/>
          <w:color w:val="auto"/>
        </w:rPr>
      </w:pPr>
    </w:p>
    <w:p>
      <w:pPr>
        <w:ind w:right="340" w:firstLine="1428"/>
        <w:spacing w:after="0" w:line="259" w:lineRule="auto"/>
        <w:tabs>
          <w:tab w:leader="none" w:pos="1737" w:val="left"/>
        </w:tabs>
        <w:numPr>
          <w:ilvl w:val="1"/>
          <w:numId w:val="256"/>
        </w:numPr>
        <w:rPr>
          <w:rFonts w:ascii="Arial" w:cs="Arial" w:eastAsia="Arial" w:hAnsi="Arial"/>
          <w:sz w:val="18"/>
          <w:szCs w:val="18"/>
          <w:color w:val="auto"/>
        </w:rPr>
      </w:pPr>
      <w:r>
        <w:rPr>
          <w:rFonts w:ascii="Arial" w:cs="Arial" w:eastAsia="Arial" w:hAnsi="Arial"/>
          <w:sz w:val="18"/>
          <w:szCs w:val="18"/>
          <w:color w:val="auto"/>
        </w:rPr>
        <w:t>Optionee acknowledges that any Shares issued to Optionee upon exercise of this Option will be subject to a restriction on transfer as described in Article X of the Amended and Restated Bylaws of the Company, that any such Shares shall constitute Restricted Shares (as defined in the Amended and Restated Bylaws of the Company), and that the approval of the Company’s Board of Directors must be obtained before Optionee can transfer any such Shares.</w:t>
      </w:r>
    </w:p>
    <w:p>
      <w:pPr>
        <w:spacing w:after="0" w:line="74" w:lineRule="exact"/>
        <w:rPr>
          <w:rFonts w:ascii="Arial" w:cs="Arial" w:eastAsia="Arial" w:hAnsi="Arial"/>
          <w:sz w:val="18"/>
          <w:szCs w:val="18"/>
          <w:color w:val="auto"/>
        </w:rPr>
      </w:pPr>
    </w:p>
    <w:p>
      <w:pPr>
        <w:ind w:firstLine="436"/>
        <w:spacing w:after="0" w:line="255" w:lineRule="auto"/>
        <w:tabs>
          <w:tab w:leader="none" w:pos="620" w:val="left"/>
        </w:tabs>
        <w:numPr>
          <w:ilvl w:val="0"/>
          <w:numId w:val="257"/>
        </w:numPr>
        <w:rPr>
          <w:rFonts w:ascii="Arial" w:cs="Arial" w:eastAsia="Arial" w:hAnsi="Arial"/>
          <w:sz w:val="18"/>
          <w:szCs w:val="18"/>
          <w:color w:val="auto"/>
        </w:rPr>
      </w:pPr>
      <w:r>
        <w:rPr>
          <w:rFonts w:ascii="Arial" w:cs="Arial" w:eastAsia="Arial" w:hAnsi="Arial"/>
          <w:sz w:val="18"/>
          <w:szCs w:val="18"/>
          <w:b w:val="1"/>
          <w:bCs w:val="1"/>
          <w:u w:val="single" w:color="auto"/>
          <w:color w:val="auto"/>
        </w:rPr>
        <w:t>Method of Payment</w:t>
      </w:r>
      <w:r>
        <w:rPr>
          <w:rFonts w:ascii="Arial" w:cs="Arial" w:eastAsia="Arial" w:hAnsi="Arial"/>
          <w:sz w:val="18"/>
          <w:szCs w:val="18"/>
          <w:color w:val="auto"/>
        </w:rPr>
        <w:t>. Unless otherwise specified by the Company in its sole discretion to comply with Applicable Laws or facilitate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administration of the Plan, payment of the Exercise Price shall be by cash or check or, following the initial public offering of the Company’s securities, by Cashless Exercise pursuant to which the Optionee delivers an irrevocable direction to a securities broker (on a form prescribed by the Company and according to a procedure established by the Company). Optionee understands and agrees that, unless otherwise permitted by the Company or Applicable Laws, any cross-border cash remittance made to exercise this Option or transfer proceeds received upon the sale of Shares must be made through a locally authorized financial institution or registered foreign exchange agency and may require Optionee to provide to such entity certain information regarding the transaction.</w:t>
      </w:r>
    </w:p>
    <w:p>
      <w:pPr>
        <w:spacing w:after="0" w:line="19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Moreover, Optionee understands and agrees that the future value of the underlying Shares is unknown and cannot be predicted with certainty and may decrease in value, even below the Exercise Price. Optionee understands that neither the Company nor any Subsidiary or Affiliate is responsible for any foreign exchange fluctuation between local currency and the United States Dollar or the selection by the Company or any Subsidiary or Affiliate in its sole discretion of an applicable foreign currency exchange rate that may affect the value of the Option (or the calculation of income or Tax-Related Items thereunder).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302" w:name="page303"/>
    <w:bookmarkEnd w:id="302"/>
    <w:p>
      <w:pPr>
        <w:ind w:left="-60" w:firstLine="436"/>
        <w:spacing w:after="0" w:line="291" w:lineRule="auto"/>
        <w:tabs>
          <w:tab w:leader="none" w:pos="560" w:val="left"/>
        </w:tabs>
        <w:numPr>
          <w:ilvl w:val="0"/>
          <w:numId w:val="258"/>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Termination of Relationship</w:t>
      </w:r>
      <w:r>
        <w:rPr>
          <w:rFonts w:ascii="Arial" w:cs="Arial" w:eastAsia="Arial" w:hAnsi="Arial"/>
          <w:sz w:val="16"/>
          <w:szCs w:val="16"/>
          <w:color w:val="auto"/>
        </w:rPr>
        <w:t>. Following the date of termination of Optionee’s Continuous Service Status for any reason (the “</w:t>
      </w:r>
      <w:r>
        <w:rPr>
          <w:rFonts w:ascii="Arial" w:cs="Arial" w:eastAsia="Arial" w:hAnsi="Arial"/>
          <w:sz w:val="16"/>
          <w:szCs w:val="16"/>
          <w:u w:val="single" w:color="auto"/>
          <w:color w:val="auto"/>
        </w:rPr>
        <w:t>Termination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Optionee may exercise this Option only as set forth in the Notice and this Section 5. If Optionee does not exercise this Option within the Termination Period set forth in the Notice or the termination periods set forth below, this Option shall terminate in its entirety. In no event, may any Option be exercised after the Expiration Date of this Option as set forth in the Notice. For the avoidance of doubt and for purposes of this Option only, termination of Continuous Service Status and the Termination Date will be deemed to occur as of the date Optionee is no longer actively providing services as an Employee or Consultant (except, in certain circumstances at the sole discretion of the Company, to the extent Optionee is on a Company-approved leave of absence and subject to any Company policy or Applicable Laws regarding such leaves) and will not be extended by any notice period or “garden leave” that may be required contractually or under Applicable Laws, unless otherwise determined by the Company in its sole discretion.</w:t>
      </w:r>
    </w:p>
    <w:p>
      <w:pPr>
        <w:spacing w:after="0" w:line="51" w:lineRule="exact"/>
        <w:rPr>
          <w:rFonts w:ascii="Arial" w:cs="Arial" w:eastAsia="Arial" w:hAnsi="Arial"/>
          <w:sz w:val="16"/>
          <w:szCs w:val="16"/>
          <w:color w:val="auto"/>
        </w:rPr>
      </w:pPr>
    </w:p>
    <w:p>
      <w:pPr>
        <w:ind w:left="-60" w:right="320" w:firstLine="987"/>
        <w:spacing w:after="0" w:line="312" w:lineRule="auto"/>
        <w:tabs>
          <w:tab w:leader="none" w:pos="1176" w:val="left"/>
        </w:tabs>
        <w:numPr>
          <w:ilvl w:val="1"/>
          <w:numId w:val="258"/>
        </w:numPr>
        <w:rPr>
          <w:rFonts w:ascii="Arial" w:cs="Arial" w:eastAsia="Arial" w:hAnsi="Arial"/>
          <w:sz w:val="17"/>
          <w:szCs w:val="17"/>
          <w:color w:val="auto"/>
        </w:rPr>
      </w:pPr>
      <w:r>
        <w:rPr>
          <w:rFonts w:ascii="Arial" w:cs="Arial" w:eastAsia="Arial" w:hAnsi="Arial"/>
          <w:sz w:val="17"/>
          <w:szCs w:val="17"/>
          <w:b w:val="1"/>
          <w:bCs w:val="1"/>
          <w:u w:val="single" w:color="auto"/>
          <w:color w:val="auto"/>
        </w:rPr>
        <w:t>General Termination</w:t>
      </w:r>
      <w:r>
        <w:rPr>
          <w:rFonts w:ascii="Arial" w:cs="Arial" w:eastAsia="Arial" w:hAnsi="Arial"/>
          <w:sz w:val="17"/>
          <w:szCs w:val="17"/>
          <w:color w:val="auto"/>
        </w:rPr>
        <w:t>. In the event of termination of Optionee’s Continuous Service Status other than for Cause, this Option shall</w:t>
      </w:r>
      <w:r>
        <w:rPr>
          <w:rFonts w:ascii="Arial" w:cs="Arial" w:eastAsia="Arial" w:hAnsi="Arial"/>
          <w:sz w:val="17"/>
          <w:szCs w:val="17"/>
          <w:b w:val="1"/>
          <w:bCs w:val="1"/>
          <w:color w:val="auto"/>
        </w:rPr>
        <w:t xml:space="preserve"> </w:t>
      </w:r>
      <w:r>
        <w:rPr>
          <w:rFonts w:ascii="Arial" w:cs="Arial" w:eastAsia="Arial" w:hAnsi="Arial"/>
          <w:sz w:val="17"/>
          <w:szCs w:val="17"/>
          <w:color w:val="auto"/>
        </w:rPr>
        <w:t>terminate with respect to the unvested Shares subject to this Option on the date that is 3 months following Optionee’s Termination Date.</w:t>
      </w:r>
    </w:p>
    <w:p>
      <w:pPr>
        <w:spacing w:after="0" w:line="31" w:lineRule="exact"/>
        <w:rPr>
          <w:rFonts w:ascii="Arial" w:cs="Arial" w:eastAsia="Arial" w:hAnsi="Arial"/>
          <w:sz w:val="17"/>
          <w:szCs w:val="17"/>
          <w:color w:val="auto"/>
        </w:rPr>
      </w:pPr>
    </w:p>
    <w:p>
      <w:pPr>
        <w:ind w:left="-60" w:right="20" w:firstLine="987"/>
        <w:spacing w:after="0" w:line="281" w:lineRule="auto"/>
        <w:tabs>
          <w:tab w:leader="none" w:pos="1186" w:val="left"/>
        </w:tabs>
        <w:numPr>
          <w:ilvl w:val="1"/>
          <w:numId w:val="258"/>
        </w:numPr>
        <w:rPr>
          <w:rFonts w:ascii="Arial" w:cs="Arial" w:eastAsia="Arial" w:hAnsi="Arial"/>
          <w:sz w:val="17"/>
          <w:szCs w:val="17"/>
          <w:color w:val="auto"/>
        </w:rPr>
      </w:pPr>
      <w:r>
        <w:rPr>
          <w:rFonts w:ascii="Arial" w:cs="Arial" w:eastAsia="Arial" w:hAnsi="Arial"/>
          <w:sz w:val="17"/>
          <w:szCs w:val="17"/>
          <w:b w:val="1"/>
          <w:bCs w:val="1"/>
          <w:u w:val="single" w:color="auto"/>
          <w:color w:val="auto"/>
        </w:rPr>
        <w:t>Termination for Cause</w:t>
      </w:r>
      <w:r>
        <w:rPr>
          <w:rFonts w:ascii="Arial" w:cs="Arial" w:eastAsia="Arial" w:hAnsi="Arial"/>
          <w:sz w:val="17"/>
          <w:szCs w:val="17"/>
          <w:color w:val="auto"/>
        </w:rPr>
        <w:t>. In the event of termination of Optionee’s Continuous Service Status for Cause, this Option shall immediately</w:t>
      </w:r>
      <w:r>
        <w:rPr>
          <w:rFonts w:ascii="Arial" w:cs="Arial" w:eastAsia="Arial" w:hAnsi="Arial"/>
          <w:sz w:val="17"/>
          <w:szCs w:val="17"/>
          <w:b w:val="1"/>
          <w:bCs w:val="1"/>
          <w:color w:val="auto"/>
        </w:rPr>
        <w:t xml:space="preserve"> </w:t>
      </w:r>
      <w:r>
        <w:rPr>
          <w:rFonts w:ascii="Arial" w:cs="Arial" w:eastAsia="Arial" w:hAnsi="Arial"/>
          <w:sz w:val="17"/>
          <w:szCs w:val="17"/>
          <w:color w:val="auto"/>
        </w:rPr>
        <w:t>terminate in its entirety (including any vested portion thereof) upon first notification to Optionee of such termination for Cause. If Optionee’s Continuous Service Status is suspended pending an investigation of whether Optionee’s Continuous Service Status will be terminated for Cause, all Optionee’s rights under this Option, including the right to exercise this Option, shall be suspended during the investigation period.</w:t>
      </w:r>
    </w:p>
    <w:p>
      <w:pPr>
        <w:spacing w:after="0" w:line="56" w:lineRule="exact"/>
        <w:rPr>
          <w:rFonts w:ascii="Arial" w:cs="Arial" w:eastAsia="Arial" w:hAnsi="Arial"/>
          <w:sz w:val="17"/>
          <w:szCs w:val="17"/>
          <w:color w:val="auto"/>
        </w:rPr>
      </w:pPr>
    </w:p>
    <w:p>
      <w:pPr>
        <w:ind w:left="-60" w:right="360" w:firstLine="436"/>
        <w:spacing w:after="0" w:line="266" w:lineRule="auto"/>
        <w:tabs>
          <w:tab w:leader="none" w:pos="560" w:val="left"/>
        </w:tabs>
        <w:numPr>
          <w:ilvl w:val="0"/>
          <w:numId w:val="258"/>
        </w:numPr>
        <w:rPr>
          <w:rFonts w:ascii="Arial" w:cs="Arial" w:eastAsia="Arial" w:hAnsi="Arial"/>
          <w:sz w:val="18"/>
          <w:szCs w:val="18"/>
          <w:color w:val="auto"/>
        </w:rPr>
      </w:pPr>
      <w:r>
        <w:rPr>
          <w:rFonts w:ascii="Arial" w:cs="Arial" w:eastAsia="Arial" w:hAnsi="Arial"/>
          <w:sz w:val="18"/>
          <w:szCs w:val="18"/>
          <w:b w:val="1"/>
          <w:bCs w:val="1"/>
          <w:u w:val="single" w:color="auto"/>
          <w:color w:val="auto"/>
        </w:rPr>
        <w:t>Non-Transferability of Option</w:t>
      </w:r>
      <w:r>
        <w:rPr>
          <w:rFonts w:ascii="Arial" w:cs="Arial" w:eastAsia="Arial" w:hAnsi="Arial"/>
          <w:sz w:val="18"/>
          <w:szCs w:val="18"/>
          <w:color w:val="auto"/>
        </w:rPr>
        <w:t>. This Option may not be transferred in any manner otherwise than by will or by the laws of descent or</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 and may be exercised during the lifetime of Optionee only by him or her. The terms of this Option shall be binding upon the executors, administrators, heirs, successors and assigns of Optionee.</w:t>
      </w:r>
    </w:p>
    <w:p>
      <w:pPr>
        <w:spacing w:after="0" w:line="67" w:lineRule="exact"/>
        <w:rPr>
          <w:rFonts w:ascii="Arial" w:cs="Arial" w:eastAsia="Arial" w:hAnsi="Arial"/>
          <w:sz w:val="18"/>
          <w:szCs w:val="18"/>
          <w:color w:val="auto"/>
        </w:rPr>
      </w:pPr>
    </w:p>
    <w:p>
      <w:pPr>
        <w:ind w:left="-60" w:right="20" w:firstLine="436"/>
        <w:spacing w:after="0" w:line="269" w:lineRule="auto"/>
        <w:tabs>
          <w:tab w:leader="none" w:pos="560" w:val="left"/>
        </w:tabs>
        <w:numPr>
          <w:ilvl w:val="0"/>
          <w:numId w:val="258"/>
        </w:numPr>
        <w:rPr>
          <w:rFonts w:ascii="Arial" w:cs="Arial" w:eastAsia="Arial" w:hAnsi="Arial"/>
          <w:sz w:val="17"/>
          <w:szCs w:val="17"/>
          <w:color w:val="auto"/>
        </w:rPr>
      </w:pPr>
      <w:r>
        <w:rPr>
          <w:rFonts w:ascii="Arial" w:cs="Arial" w:eastAsia="Arial" w:hAnsi="Arial"/>
          <w:sz w:val="17"/>
          <w:szCs w:val="17"/>
          <w:b w:val="1"/>
          <w:bCs w:val="1"/>
          <w:u w:val="single" w:color="auto"/>
          <w:color w:val="auto"/>
        </w:rPr>
        <w:t>Lock-Up Agreement</w:t>
      </w:r>
      <w:r>
        <w:rPr>
          <w:rFonts w:ascii="Arial" w:cs="Arial" w:eastAsia="Arial" w:hAnsi="Arial"/>
          <w:sz w:val="17"/>
          <w:szCs w:val="17"/>
          <w:color w:val="auto"/>
        </w:rPr>
        <w:t>. In connection with the initial public offering of the Company’s securities and upon request of the Company or the</w:t>
      </w:r>
      <w:r>
        <w:rPr>
          <w:rFonts w:ascii="Arial" w:cs="Arial" w:eastAsia="Arial" w:hAnsi="Arial"/>
          <w:sz w:val="17"/>
          <w:szCs w:val="17"/>
          <w:b w:val="1"/>
          <w:bCs w:val="1"/>
          <w:color w:val="auto"/>
        </w:rPr>
        <w:t xml:space="preserve"> </w:t>
      </w:r>
      <w:r>
        <w:rPr>
          <w:rFonts w:ascii="Arial" w:cs="Arial" w:eastAsia="Arial" w:hAnsi="Arial"/>
          <w:sz w:val="17"/>
          <w:szCs w:val="17"/>
          <w:color w:val="auto"/>
        </w:rPr>
        <w:t>underwriters managing such offering of the Company’s securities, Optionee hereby agrees not to sell, make any short sale of, loan, grant any option for the purchase of, or otherwise dispose of any securities of the Company however or whenever acquired (other than those included in the registration) without the prior written consent of the Company or such underwriters, as the case may be, for such period of time (not to exceed 180 days) from the effective date of such registration as may be requested by the Company or such managing underwriters and to execute an agreement reflecting the foregoing as may be requested by the underwriters at the time of the Company’s initial public offering. Notwithstanding the foregoing, if during the last 17 days of the restricted period, the Company issues an earnings release or material news or a material event relating to the Company occurs, or prior to the expiration of the restricted period the Company announces that it will release earnings results during the 16-day period beginning on the last day of the restricted period, then, upon the request of the managing underwriter, to the extent required by any FINRA rules, the restrictions imposed by this subsection shall continue to apply until the end of the third trading day following the expiration of the 15-day period beginning on the issuance of the earnings release or the occurrence of the material news or material event. In no event will the restricted period extend beyond 216 days after the effective date of the registration statement.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80"/>
          </w:cols>
          <w:pgMar w:left="500" w:top="270" w:right="519" w:bottom="1440" w:gutter="0" w:footer="0" w:header="0"/>
        </w:sectPr>
      </w:pPr>
    </w:p>
    <w:bookmarkStart w:id="303" w:name="page304"/>
    <w:bookmarkEnd w:id="303"/>
    <w:p>
      <w:pPr>
        <w:ind w:left="-20" w:right="20" w:firstLine="436"/>
        <w:spacing w:after="0" w:line="277" w:lineRule="auto"/>
        <w:tabs>
          <w:tab w:leader="none" w:pos="600" w:val="left"/>
        </w:tabs>
        <w:numPr>
          <w:ilvl w:val="0"/>
          <w:numId w:val="259"/>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Effect of Agreement</w:t>
      </w:r>
      <w:r>
        <w:rPr>
          <w:rFonts w:ascii="Arial" w:cs="Arial" w:eastAsia="Arial" w:hAnsi="Arial"/>
          <w:sz w:val="17"/>
          <w:szCs w:val="17"/>
          <w:color w:val="auto"/>
        </w:rPr>
        <w:t>. Optionee acknowledges receipt of a copy of the Plan and represents that he or she is familiar with the terms and</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provisions thereof (and has had an opportunity to consult counsel regarding the Option terms), and hereby accepts this Option and agrees to be bound by its contractual terms as set forth herein and in the Plan. Optionee hereby agrees to accept as binding, conclusive and final all decisions and interpretations of the Administrator regarding any questions relating to this Option. In the event of a conflict between the terms and provisions of the Plan and the terms and provisions of the Notice and this Agreement, the Plan terms and provisions shall prevail.</w:t>
      </w:r>
    </w:p>
    <w:p>
      <w:pPr>
        <w:spacing w:after="0" w:line="59" w:lineRule="exact"/>
        <w:rPr>
          <w:rFonts w:ascii="Arial" w:cs="Arial" w:eastAsia="Arial" w:hAnsi="Arial"/>
          <w:sz w:val="17"/>
          <w:szCs w:val="17"/>
          <w:color w:val="auto"/>
        </w:rPr>
      </w:pPr>
    </w:p>
    <w:p>
      <w:pPr>
        <w:ind w:left="-20" w:firstLine="436"/>
        <w:spacing w:after="0" w:line="287" w:lineRule="auto"/>
        <w:tabs>
          <w:tab w:leader="none" w:pos="600" w:val="left"/>
        </w:tabs>
        <w:numPr>
          <w:ilvl w:val="0"/>
          <w:numId w:val="259"/>
        </w:numPr>
        <w:rPr>
          <w:rFonts w:ascii="Arial" w:cs="Arial" w:eastAsia="Arial" w:hAnsi="Arial"/>
          <w:sz w:val="16"/>
          <w:szCs w:val="16"/>
          <w:color w:val="auto"/>
        </w:rPr>
      </w:pPr>
      <w:r>
        <w:rPr>
          <w:rFonts w:ascii="Arial" w:cs="Arial" w:eastAsia="Arial" w:hAnsi="Arial"/>
          <w:sz w:val="16"/>
          <w:szCs w:val="16"/>
          <w:b w:val="1"/>
          <w:bCs w:val="1"/>
          <w:u w:val="single" w:color="auto"/>
          <w:color w:val="auto"/>
        </w:rPr>
        <w:t>Imposition of Other Requirements</w:t>
      </w:r>
      <w:r>
        <w:rPr>
          <w:rFonts w:ascii="Arial" w:cs="Arial" w:eastAsia="Arial" w:hAnsi="Arial"/>
          <w:sz w:val="16"/>
          <w:szCs w:val="16"/>
          <w:color w:val="auto"/>
        </w:rPr>
        <w:t>. The Company reserves the right to impose other requirements on Optionee’s participation in the Plan, on</w:t>
      </w:r>
      <w:r>
        <w:rPr>
          <w:rFonts w:ascii="Arial" w:cs="Arial" w:eastAsia="Arial" w:hAnsi="Arial"/>
          <w:sz w:val="16"/>
          <w:szCs w:val="16"/>
          <w:b w:val="1"/>
          <w:bCs w:val="1"/>
          <w:color w:val="auto"/>
        </w:rPr>
        <w:t xml:space="preserve"> </w:t>
      </w:r>
      <w:r>
        <w:rPr>
          <w:rFonts w:ascii="Arial" w:cs="Arial" w:eastAsia="Arial" w:hAnsi="Arial"/>
          <w:sz w:val="16"/>
          <w:szCs w:val="16"/>
          <w:color w:val="auto"/>
        </w:rPr>
        <w:t>the Option and on any Award or Shares acquired under the Plan, or take any other action, to the extent the Company determines it is necessary or advisable in order to comply with Applicable Laws or facilitate the administration of the Plan. Optionee agrees to sign any additional agreements or undertakings that may be necessary to accomplish the foregoing. Furthermore, Optionee acknowledges that the Applicable Laws of the country in which Optionee is residing or working at the time of grant, vesting and exercise of the Option or the ownership or sale of Shares received pursuant to this Agreement (including any rules or regulations governing securities, foreign exchange, tax, labor, or other matters) may subject Optionee to additional procedural or regulatory requirements that Optionee is and will be solely responsible for and must fulfill. Such requirements may be outlined in but are not limited to the Country-Specific Addendum (the “</w:t>
      </w:r>
      <w:r>
        <w:rPr>
          <w:rFonts w:ascii="Arial" w:cs="Arial" w:eastAsia="Arial" w:hAnsi="Arial"/>
          <w:sz w:val="16"/>
          <w:szCs w:val="16"/>
          <w:u w:val="single" w:color="auto"/>
          <w:color w:val="auto"/>
        </w:rPr>
        <w:t>Addendum</w:t>
      </w:r>
      <w:r>
        <w:rPr>
          <w:rFonts w:ascii="Arial" w:cs="Arial" w:eastAsia="Arial" w:hAnsi="Arial"/>
          <w:sz w:val="16"/>
          <w:szCs w:val="16"/>
          <w:color w:val="auto"/>
        </w:rPr>
        <w:t>”) attached hereto, which forms part of this Agreement. Notwithstanding any provision herein, Optionee’s participation in the Plan shall be subject to any applicable special terms and conditions or disclosures as set forth in the Addendum. The Optionee also understands and agrees that if the Optionee works, resides, moves to, or otherwise is or becomes subject to Applicable Laws or Company policies of another jurisdiction at any time, certain country-specific notices, disclaimers and/or terms and conditions may apply to him as from the date of grant, unless otherwise determined by the Company in its sole discretion.</w:t>
      </w:r>
    </w:p>
    <w:p>
      <w:pPr>
        <w:spacing w:after="0" w:line="59" w:lineRule="exact"/>
        <w:rPr>
          <w:rFonts w:ascii="Arial" w:cs="Arial" w:eastAsia="Arial" w:hAnsi="Arial"/>
          <w:sz w:val="16"/>
          <w:szCs w:val="16"/>
          <w:color w:val="auto"/>
        </w:rPr>
      </w:pPr>
    </w:p>
    <w:p>
      <w:pPr>
        <w:ind w:left="-20" w:right="40" w:firstLine="436"/>
        <w:spacing w:after="0" w:line="272" w:lineRule="auto"/>
        <w:tabs>
          <w:tab w:leader="none" w:pos="690" w:val="left"/>
        </w:tabs>
        <w:numPr>
          <w:ilvl w:val="0"/>
          <w:numId w:val="259"/>
        </w:numPr>
        <w:rPr>
          <w:rFonts w:ascii="Arial" w:cs="Arial" w:eastAsia="Arial" w:hAnsi="Arial"/>
          <w:sz w:val="17"/>
          <w:szCs w:val="17"/>
          <w:color w:val="auto"/>
        </w:rPr>
      </w:pPr>
      <w:r>
        <w:rPr>
          <w:rFonts w:ascii="Arial" w:cs="Arial" w:eastAsia="Arial" w:hAnsi="Arial"/>
          <w:sz w:val="17"/>
          <w:szCs w:val="17"/>
          <w:b w:val="1"/>
          <w:bCs w:val="1"/>
          <w:u w:val="single" w:color="auto"/>
          <w:color w:val="auto"/>
        </w:rPr>
        <w:t>Electronic Delivery and Translation</w:t>
      </w:r>
      <w:r>
        <w:rPr>
          <w:rFonts w:ascii="Arial" w:cs="Arial" w:eastAsia="Arial" w:hAnsi="Arial"/>
          <w:sz w:val="17"/>
          <w:szCs w:val="17"/>
          <w:color w:val="auto"/>
        </w:rPr>
        <w:t>. The Company may, in its sole discretion, decide to deliver any documents related to Optionee’s current</w:t>
      </w:r>
      <w:r>
        <w:rPr>
          <w:rFonts w:ascii="Arial" w:cs="Arial" w:eastAsia="Arial" w:hAnsi="Arial"/>
          <w:sz w:val="17"/>
          <w:szCs w:val="17"/>
          <w:b w:val="1"/>
          <w:bCs w:val="1"/>
          <w:color w:val="auto"/>
        </w:rPr>
        <w:t xml:space="preserve"> </w:t>
      </w:r>
      <w:r>
        <w:rPr>
          <w:rFonts w:ascii="Arial" w:cs="Arial" w:eastAsia="Arial" w:hAnsi="Arial"/>
          <w:sz w:val="17"/>
          <w:szCs w:val="17"/>
          <w:color w:val="auto"/>
        </w:rPr>
        <w:t>or future participation in the Plan, this Option, the Shares, subject to this Option, any other Company Securities or any other Company-related documents by electronic means. By accepting this Option, whether electronically or otherwise, Optionee hereby (i) consents to receive such documents by electronic means, and (ii) consents to the use of electronic signatures, and (iii) if applicable, agrees to participate in the Plan and/or receive any such documents through an on-line or electronic system established and maintained by the Company or a third party designated by the Company, including but not limited to the use of electronic signatures or click-through electronic acceptance of terms and conditions. To the extent Optionee has been provided with a copy of this Agreement, the Plan, or any other documents relating to this Option in a language other than English, the English language documents will prevail in case of any ambiguities or divergences as a result of translation.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60" w:top="270" w:right="459" w:bottom="1440" w:gutter="0" w:footer="0" w:header="0"/>
        </w:sectPr>
      </w:pPr>
    </w:p>
    <w:bookmarkStart w:id="304" w:name="page305"/>
    <w:bookmarkEnd w:id="304"/>
    <w:p>
      <w:pPr>
        <w:ind w:right="100" w:firstLine="436"/>
        <w:spacing w:after="0" w:line="258" w:lineRule="auto"/>
        <w:tabs>
          <w:tab w:leader="none" w:pos="703" w:val="left"/>
        </w:tabs>
        <w:numPr>
          <w:ilvl w:val="0"/>
          <w:numId w:val="260"/>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 Acquired Rights or Employment Rights</w:t>
      </w:r>
      <w:r>
        <w:rPr>
          <w:rFonts w:ascii="Arial" w:cs="Arial" w:eastAsia="Arial" w:hAnsi="Arial"/>
          <w:sz w:val="18"/>
          <w:szCs w:val="18"/>
          <w:color w:val="auto"/>
        </w:rPr>
        <w:t>. In accepting the Option, Optionee acknowledges that the Plan is established voluntarily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is discretionary in nature, and may be modified, amended, suspended or terminated by the Company at any time. The grant of the Option is voluntary and occasional and does not create any contractual or other right to receive future grants of Options or any other Awards or benefits in lieu of Options, even if Options have been granted repeatedly in the past. All decisions with respect to future grants of Options or other Awards, if any, will be at the sole discretion of the Company.</w:t>
      </w:r>
    </w:p>
    <w:p>
      <w:pPr>
        <w:spacing w:after="0" w:line="187"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In addition, Optionee’s participation in the Plan is voluntary, and the Option and the Shares subject to the Option are extraordinary items that do not constitute regular compensation for services rendered to the Company or any Subsidiary or Affiliate and are outside the scope of Optionee’s employment contract, if any. The Option and the Shares subject to the Option are not intended to replace any pension rights or compensation and are not part of normal or expected salary or compensation for any purpose, including but not limited to calculating severance payments, if any, upon termination.</w:t>
      </w:r>
    </w:p>
    <w:p>
      <w:pPr>
        <w:spacing w:after="0" w:line="188"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Nothing contained in this Agreement is intended to constitute or create a contract of employment, nor shall it constitute or create the right to remain associated with or in the employ of the Company or any Subsidiary or Affiliate for any particular period of time. This Agreement shall not interfere in any way with the right of the Company or any Subsidiary or Affiliate to terminate Optionee’s employment or service at any time, subject to Applicable Laws.</w:t>
      </w:r>
    </w:p>
    <w:p>
      <w:pPr>
        <w:spacing w:after="0" w:line="75" w:lineRule="exact"/>
        <w:rPr>
          <w:sz w:val="20"/>
          <w:szCs w:val="20"/>
          <w:color w:val="auto"/>
        </w:rPr>
      </w:pPr>
    </w:p>
    <w:p>
      <w:pPr>
        <w:ind w:firstLine="436"/>
        <w:spacing w:after="0" w:line="298" w:lineRule="auto"/>
        <w:tabs>
          <w:tab w:leader="none" w:pos="710" w:val="left"/>
        </w:tabs>
        <w:numPr>
          <w:ilvl w:val="0"/>
          <w:numId w:val="261"/>
        </w:numPr>
        <w:rPr>
          <w:rFonts w:ascii="Arial" w:cs="Arial" w:eastAsia="Arial" w:hAnsi="Arial"/>
          <w:sz w:val="16"/>
          <w:szCs w:val="16"/>
          <w:color w:val="auto"/>
        </w:rPr>
      </w:pPr>
      <w:r>
        <w:rPr>
          <w:rFonts w:ascii="Arial" w:cs="Arial" w:eastAsia="Arial" w:hAnsi="Arial"/>
          <w:sz w:val="16"/>
          <w:szCs w:val="16"/>
          <w:b w:val="1"/>
          <w:bCs w:val="1"/>
          <w:u w:val="single" w:color="auto"/>
          <w:color w:val="auto"/>
        </w:rPr>
        <w:t>Data Privacy</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Optionee hereby explicitly and unambiguously consents to the collection, use and transfer, whether in electronic or other</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form, of Optionee’s Personal Data (as described below) by and among, as applicable, the Company and any Subsidiary or Affiliate or third parties as may be selected by the Company, for the exclusive purpose of implementing, administering, and managing Optionee’s participation in the Plan. Optionee understands that refusal or withdrawal of consent will affect Optionee’s ability to participate in the Plan, without providing consent, Optionee will not be able to participate in the Plan or to realize benefits (if any) from the Option.</w:t>
      </w:r>
    </w:p>
    <w:p>
      <w:pPr>
        <w:spacing w:after="0" w:line="266" w:lineRule="exact"/>
        <w:rPr>
          <w:sz w:val="20"/>
          <w:szCs w:val="20"/>
          <w:color w:val="auto"/>
        </w:rPr>
      </w:pPr>
    </w:p>
    <w:p>
      <w:pPr>
        <w:ind w:right="20" w:firstLine="440"/>
        <w:spacing w:after="0" w:line="289" w:lineRule="auto"/>
        <w:rPr>
          <w:sz w:val="20"/>
          <w:szCs w:val="20"/>
          <w:color w:val="auto"/>
        </w:rPr>
      </w:pPr>
      <w:r>
        <w:rPr>
          <w:rFonts w:ascii="Arial" w:cs="Arial" w:eastAsia="Arial" w:hAnsi="Arial"/>
          <w:sz w:val="16"/>
          <w:szCs w:val="16"/>
          <w:b w:val="1"/>
          <w:bCs w:val="1"/>
          <w:i w:val="1"/>
          <w:iCs w:val="1"/>
          <w:color w:val="auto"/>
        </w:rPr>
        <w:t>Optionee understands that the Company and any Subsidiary or Affiliate or designated third parties may hold personal information about Optionee, including, but not limited to, Optionee’s name, home address and telephone number, date of birth, social insurance number or other identification number, salary, nationality, job title, any shares of stock or directorships held in the Company or any Subsidiary or Affiliate, details of all Options or any other entitlement to Shares awarded, canceled, exercised, vested, unvested or outstanding in Optionee’s favor (“</w:t>
      </w:r>
      <w:r>
        <w:rPr>
          <w:rFonts w:ascii="Arial" w:cs="Arial" w:eastAsia="Arial" w:hAnsi="Arial"/>
          <w:sz w:val="16"/>
          <w:szCs w:val="16"/>
          <w:b w:val="1"/>
          <w:bCs w:val="1"/>
          <w:i w:val="1"/>
          <w:iCs w:val="1"/>
          <w:u w:val="single" w:color="auto"/>
          <w:color w:val="auto"/>
        </w:rPr>
        <w:t>Personal Data</w:t>
      </w:r>
      <w:r>
        <w:rPr>
          <w:rFonts w:ascii="Arial" w:cs="Arial" w:eastAsia="Arial" w:hAnsi="Arial"/>
          <w:sz w:val="16"/>
          <w:szCs w:val="16"/>
          <w:b w:val="1"/>
          <w:bCs w:val="1"/>
          <w:i w:val="1"/>
          <w:iCs w:val="1"/>
          <w:color w:val="auto"/>
        </w:rPr>
        <w:t>”). Optionee understands that Personal Data may be transferred to any Subsidiary or Affiliate or third parties assisting in the implementation, administration and management of the Plan, that these recipients may be located in the United States, Optionee’s country, or elsewhere, and that the recipient’s country may have different data privacy laws and protections than Optionee’s country. In particular, the Company may transfer Personal Data to the broker or stock plan administrator assisting with the Plan, to its legal counsel and tax/accounting advisor, and to the Subsidiary or Affiliate that is Optionee’s employer and its payroll provider.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0" w:right="459" w:bottom="1440" w:gutter="0" w:footer="0" w:header="0"/>
        </w:sectPr>
      </w:pPr>
    </w:p>
    <w:bookmarkStart w:id="305" w:name="page306"/>
    <w:bookmarkEnd w:id="305"/>
    <w:p>
      <w:pPr>
        <w:ind w:left="680" w:hanging="264"/>
        <w:spacing w:after="0"/>
        <w:tabs>
          <w:tab w:leader="none" w:pos="680" w:val="left"/>
        </w:tabs>
        <w:numPr>
          <w:ilvl w:val="0"/>
          <w:numId w:val="262"/>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Miscellaneous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 w:right="240" w:firstLine="987"/>
        <w:spacing w:after="0" w:line="298" w:lineRule="auto"/>
        <w:tabs>
          <w:tab w:leader="none" w:pos="1216" w:val="left"/>
        </w:tabs>
        <w:numPr>
          <w:ilvl w:val="1"/>
          <w:numId w:val="262"/>
        </w:numPr>
        <w:rPr>
          <w:rFonts w:ascii="Arial" w:cs="Arial" w:eastAsia="Arial" w:hAnsi="Arial"/>
          <w:sz w:val="16"/>
          <w:szCs w:val="16"/>
          <w:color w:val="auto"/>
        </w:rPr>
      </w:pPr>
      <w:r>
        <w:rPr>
          <w:rFonts w:ascii="Arial" w:cs="Arial" w:eastAsia="Arial" w:hAnsi="Arial"/>
          <w:sz w:val="16"/>
          <w:szCs w:val="16"/>
          <w:b w:val="1"/>
          <w:bCs w:val="1"/>
          <w:u w:val="single" w:color="auto"/>
          <w:color w:val="auto"/>
        </w:rPr>
        <w:t>Governing Law</w:t>
      </w:r>
      <w:r>
        <w:rPr>
          <w:rFonts w:ascii="Arial" w:cs="Arial" w:eastAsia="Arial" w:hAnsi="Arial"/>
          <w:sz w:val="16"/>
          <w:szCs w:val="16"/>
          <w:color w:val="auto"/>
        </w:rPr>
        <w:t>. The validity, interpretation, construction and performance of this Agreement and all acts and transactions pursuant</w:t>
      </w:r>
      <w:r>
        <w:rPr>
          <w:rFonts w:ascii="Arial" w:cs="Arial" w:eastAsia="Arial" w:hAnsi="Arial"/>
          <w:sz w:val="16"/>
          <w:szCs w:val="16"/>
          <w:b w:val="1"/>
          <w:bCs w:val="1"/>
          <w:color w:val="auto"/>
        </w:rPr>
        <w:t xml:space="preserve"> </w:t>
      </w:r>
      <w:r>
        <w:rPr>
          <w:rFonts w:ascii="Arial" w:cs="Arial" w:eastAsia="Arial" w:hAnsi="Arial"/>
          <w:sz w:val="16"/>
          <w:szCs w:val="16"/>
          <w:color w:val="auto"/>
        </w:rPr>
        <w:t>hereto and the rights and obligations of the parties hereto shall be governed, construed and interpreted in accordance with the laws of the State of California, without giving effect to principles of conflicts of law. For purposes of litigating any dispute that may arise directly or indirectly from this Agreement, the parties hereby submit and consent to the exclusive jurisdiction of the State of California and agree that any such litigation shall be conducted only in the courts of California or the federal courts of the United States located in California and no other courts.</w:t>
      </w:r>
    </w:p>
    <w:p>
      <w:pPr>
        <w:spacing w:after="0" w:line="45" w:lineRule="exact"/>
        <w:rPr>
          <w:rFonts w:ascii="Arial" w:cs="Arial" w:eastAsia="Arial" w:hAnsi="Arial"/>
          <w:sz w:val="16"/>
          <w:szCs w:val="16"/>
          <w:color w:val="auto"/>
        </w:rPr>
      </w:pPr>
    </w:p>
    <w:p>
      <w:pPr>
        <w:ind w:left="-20" w:right="160" w:firstLine="987"/>
        <w:spacing w:after="0" w:line="256" w:lineRule="auto"/>
        <w:tabs>
          <w:tab w:leader="none" w:pos="1226" w:val="left"/>
        </w:tabs>
        <w:numPr>
          <w:ilvl w:val="1"/>
          <w:numId w:val="262"/>
        </w:numPr>
        <w:rPr>
          <w:rFonts w:ascii="Arial" w:cs="Arial" w:eastAsia="Arial" w:hAnsi="Arial"/>
          <w:sz w:val="18"/>
          <w:szCs w:val="18"/>
          <w:color w:val="auto"/>
        </w:rPr>
      </w:pPr>
      <w:r>
        <w:rPr>
          <w:rFonts w:ascii="Arial" w:cs="Arial" w:eastAsia="Arial" w:hAnsi="Arial"/>
          <w:sz w:val="18"/>
          <w:szCs w:val="18"/>
          <w:b w:val="1"/>
          <w:bCs w:val="1"/>
          <w:u w:val="single" w:color="auto"/>
          <w:color w:val="auto"/>
        </w:rPr>
        <w:t>Entire Agreement; Enforcement of Rights</w:t>
      </w:r>
      <w:r>
        <w:rPr>
          <w:rFonts w:ascii="Arial" w:cs="Arial" w:eastAsia="Arial" w:hAnsi="Arial"/>
          <w:sz w:val="18"/>
          <w:szCs w:val="18"/>
          <w:color w:val="auto"/>
        </w:rPr>
        <w:t>. This Agreement, together with the Notice to which this Agreement is attached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sets forth the entire agreement and understanding of the parties relating to the subject matter herein and therein and supercedes all prior or contemporaneous discussions, understandings and agreements, whether oral or written, between the parties related to the subject matter hereof. Except as contemplated under the Plan, no modification of or amendment to this Agreement, nor any waiver of any rights under this Agreement, shall be effective unless in writing signed by the parties to this Agreement. The failure by either party to enforce any rights under this Agreement shall not be construed as a waiver of any rights of such party.</w:t>
      </w:r>
    </w:p>
    <w:p>
      <w:pPr>
        <w:spacing w:after="0" w:line="79" w:lineRule="exact"/>
        <w:rPr>
          <w:rFonts w:ascii="Arial" w:cs="Arial" w:eastAsia="Arial" w:hAnsi="Arial"/>
          <w:sz w:val="18"/>
          <w:szCs w:val="18"/>
          <w:color w:val="auto"/>
        </w:rPr>
      </w:pPr>
    </w:p>
    <w:p>
      <w:pPr>
        <w:ind w:left="-20" w:right="80" w:firstLine="987"/>
        <w:spacing w:after="0" w:line="281" w:lineRule="auto"/>
        <w:tabs>
          <w:tab w:leader="none" w:pos="1216" w:val="left"/>
        </w:tabs>
        <w:numPr>
          <w:ilvl w:val="1"/>
          <w:numId w:val="262"/>
        </w:numPr>
        <w:rPr>
          <w:rFonts w:ascii="Arial" w:cs="Arial" w:eastAsia="Arial" w:hAnsi="Arial"/>
          <w:sz w:val="17"/>
          <w:szCs w:val="17"/>
          <w:color w:val="auto"/>
        </w:rPr>
      </w:pPr>
      <w:r>
        <w:rPr>
          <w:rFonts w:ascii="Arial" w:cs="Arial" w:eastAsia="Arial" w:hAnsi="Arial"/>
          <w:sz w:val="17"/>
          <w:szCs w:val="17"/>
          <w:b w:val="1"/>
          <w:bCs w:val="1"/>
          <w:u w:val="single" w:color="auto"/>
          <w:color w:val="auto"/>
        </w:rPr>
        <w:t>Severability</w:t>
      </w:r>
      <w:r>
        <w:rPr>
          <w:rFonts w:ascii="Arial" w:cs="Arial" w:eastAsia="Arial" w:hAnsi="Arial"/>
          <w:sz w:val="17"/>
          <w:szCs w:val="17"/>
          <w:color w:val="auto"/>
        </w:rPr>
        <w:t>. If one or more provisions of this Agreement are held to be unenforceable under Applicable Laws, the parties agree to</w:t>
      </w:r>
      <w:r>
        <w:rPr>
          <w:rFonts w:ascii="Arial" w:cs="Arial" w:eastAsia="Arial" w:hAnsi="Arial"/>
          <w:sz w:val="17"/>
          <w:szCs w:val="17"/>
          <w:b w:val="1"/>
          <w:bCs w:val="1"/>
          <w:color w:val="auto"/>
        </w:rPr>
        <w:t xml:space="preserve"> </w:t>
      </w:r>
      <w:r>
        <w:rPr>
          <w:rFonts w:ascii="Arial" w:cs="Arial" w:eastAsia="Arial" w:hAnsi="Arial"/>
          <w:sz w:val="17"/>
          <w:szCs w:val="17"/>
          <w:color w:val="auto"/>
        </w:rPr>
        <w:t>renegotiate such provision in good faith. In the event that the parties cannot reach a mutually agreeable and enforceable replacement for such provision, then (i) such provision shall be excluded from this Agreement, (ii) the balance of this Agreement shall be interpreted as if such provision were so excluded and (iii) the balance of this Agreement shall be enforceable in accordance with its terms.</w:t>
      </w:r>
    </w:p>
    <w:p>
      <w:pPr>
        <w:spacing w:after="0" w:line="56" w:lineRule="exact"/>
        <w:rPr>
          <w:rFonts w:ascii="Arial" w:cs="Arial" w:eastAsia="Arial" w:hAnsi="Arial"/>
          <w:sz w:val="17"/>
          <w:szCs w:val="17"/>
          <w:color w:val="auto"/>
        </w:rPr>
      </w:pPr>
    </w:p>
    <w:p>
      <w:pPr>
        <w:ind w:left="-20" w:firstLine="987"/>
        <w:spacing w:after="0" w:line="261" w:lineRule="auto"/>
        <w:tabs>
          <w:tab w:leader="none" w:pos="1226" w:val="left"/>
        </w:tabs>
        <w:numPr>
          <w:ilvl w:val="1"/>
          <w:numId w:val="262"/>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Any notice required or permitted by this Agreement shall be in writing and shall be deemed sufficient when delivered</w:t>
      </w:r>
      <w:r>
        <w:rPr>
          <w:rFonts w:ascii="Arial" w:cs="Arial" w:eastAsia="Arial" w:hAnsi="Arial"/>
          <w:sz w:val="18"/>
          <w:szCs w:val="18"/>
          <w:b w:val="1"/>
          <w:bCs w:val="1"/>
          <w:color w:val="auto"/>
        </w:rPr>
        <w:t xml:space="preserve"> </w:t>
      </w:r>
      <w:r>
        <w:rPr>
          <w:rFonts w:ascii="Arial" w:cs="Arial" w:eastAsia="Arial" w:hAnsi="Arial"/>
          <w:sz w:val="18"/>
          <w:szCs w:val="18"/>
          <w:color w:val="auto"/>
        </w:rPr>
        <w:t>personally or by overnight courier or sent by email or fax (upon customary confirmation of receipt), or forty-eight (48) hours after being deposited in the U.S. mail as certified or registered mail with postage prepaid, addressed to the party to be notified at such party’s last known address or fax number, as subsequently modified by written notice.</w:t>
      </w:r>
    </w:p>
    <w:p>
      <w:pPr>
        <w:spacing w:after="0" w:line="71" w:lineRule="exact"/>
        <w:rPr>
          <w:rFonts w:ascii="Arial" w:cs="Arial" w:eastAsia="Arial" w:hAnsi="Arial"/>
          <w:sz w:val="18"/>
          <w:szCs w:val="18"/>
          <w:color w:val="auto"/>
        </w:rPr>
      </w:pPr>
    </w:p>
    <w:p>
      <w:pPr>
        <w:ind w:left="-20" w:right="320" w:firstLine="987"/>
        <w:spacing w:after="0" w:line="282" w:lineRule="auto"/>
        <w:tabs>
          <w:tab w:leader="none" w:pos="1216" w:val="left"/>
        </w:tabs>
        <w:numPr>
          <w:ilvl w:val="1"/>
          <w:numId w:val="262"/>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two or more counterparts, each of which shall be deemed an original and all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together shall constitute one instrument.</w:t>
      </w:r>
    </w:p>
    <w:p>
      <w:pPr>
        <w:spacing w:after="0" w:line="53" w:lineRule="exact"/>
        <w:rPr>
          <w:rFonts w:ascii="Arial" w:cs="Arial" w:eastAsia="Arial" w:hAnsi="Arial"/>
          <w:sz w:val="18"/>
          <w:szCs w:val="18"/>
          <w:color w:val="auto"/>
        </w:rPr>
      </w:pPr>
    </w:p>
    <w:p>
      <w:pPr>
        <w:ind w:left="-20" w:right="120" w:firstLine="987"/>
        <w:spacing w:after="0" w:line="266" w:lineRule="auto"/>
        <w:tabs>
          <w:tab w:leader="none" w:pos="1196" w:val="left"/>
        </w:tabs>
        <w:numPr>
          <w:ilvl w:val="1"/>
          <w:numId w:val="262"/>
        </w:numPr>
        <w:rPr>
          <w:rFonts w:ascii="Arial" w:cs="Arial" w:eastAsia="Arial" w:hAnsi="Arial"/>
          <w:sz w:val="18"/>
          <w:szCs w:val="18"/>
          <w:color w:val="auto"/>
        </w:rPr>
      </w:pPr>
      <w:r>
        <w:rPr>
          <w:rFonts w:ascii="Arial" w:cs="Arial" w:eastAsia="Arial" w:hAnsi="Arial"/>
          <w:sz w:val="18"/>
          <w:szCs w:val="18"/>
          <w:b w:val="1"/>
          <w:bCs w:val="1"/>
          <w:u w:val="single" w:color="auto"/>
          <w:color w:val="auto"/>
        </w:rPr>
        <w:t>Successors and Assigns</w:t>
      </w:r>
      <w:r>
        <w:rPr>
          <w:rFonts w:ascii="Arial" w:cs="Arial" w:eastAsia="Arial" w:hAnsi="Arial"/>
          <w:sz w:val="18"/>
          <w:szCs w:val="18"/>
          <w:color w:val="auto"/>
        </w:rPr>
        <w:t>. The rights and benefits of this Agreement shall inure to the benefit of, and be enforceable by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successors and assigns. The rights and obligations of Optionee under this Agreement may not be assigned without the prior written consent of the Company.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60" w:top="270" w:right="459" w:bottom="1440" w:gutter="0" w:footer="0" w:header="0"/>
        </w:sectPr>
      </w:pPr>
    </w:p>
    <w:bookmarkStart w:id="306" w:name="page307"/>
    <w:bookmarkEnd w:id="30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Country-Specific Addendum</w:t>
      </w:r>
    </w:p>
    <w:p>
      <w:pPr>
        <w:spacing w:after="0" w:line="229"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This Addendum includes additional country-specific notices, disclaimers, and/or terms and conditions that apply to individuals who work or reside in the countries listed below and that may be material to Optionee’s participation in the Plan. Such notices, disclaimers, and/or terms and conditions may also apply, as from the date of grant, if Optionee moves to or otherwise is or becomes subject to the Applicable Laws or Company policies of the country listed. However, because foreign exchange regulations and other local laws are subject to frequent change, Optionee is advised to seek advice from his or her own personal legal and tax advisor prior to accepting or exercising an Option or holding or selling Shares acquired under the Plan. The Company is not providing any tax, legal or financial advice, nor is the Company making any recommendations regarding Optionee’s acceptance of the Option or participation in the Plan. Unless otherwise noted below, capitalized terms shall have the same meaning assigned to them under the Plan, the Notice of Stock Option Grant and the Stock Option Agreement. This Addendum forms part of the Stock Option Agreement and should be read in conjunction with the Stock Option Agreement and the Plan.</w:t>
      </w:r>
    </w:p>
    <w:p>
      <w:pPr>
        <w:spacing w:after="0" w:line="177"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Securities Law Notice</w:t>
      </w:r>
      <w:r>
        <w:rPr>
          <w:rFonts w:ascii="Arial" w:cs="Arial" w:eastAsia="Arial" w:hAnsi="Arial"/>
          <w:sz w:val="18"/>
          <w:szCs w:val="18"/>
          <w:color w:val="auto"/>
        </w:rPr>
        <w:t>: Unless otherwise noted, neither the Company nor the Shares are registered with any local stock exchange or under the control of</w:t>
      </w:r>
      <w:r>
        <w:rPr>
          <w:rFonts w:ascii="Arial" w:cs="Arial" w:eastAsia="Arial" w:hAnsi="Arial"/>
          <w:sz w:val="18"/>
          <w:szCs w:val="18"/>
          <w:b w:val="1"/>
          <w:bCs w:val="1"/>
          <w:color w:val="auto"/>
        </w:rPr>
        <w:t xml:space="preserve"> </w:t>
      </w:r>
      <w:r>
        <w:rPr>
          <w:rFonts w:ascii="Arial" w:cs="Arial" w:eastAsia="Arial" w:hAnsi="Arial"/>
          <w:sz w:val="18"/>
          <w:szCs w:val="18"/>
          <w:color w:val="auto"/>
        </w:rPr>
        <w:t>any local securities regulator outside the United States. The Stock Option Agreement (of which this Addendum is a part), the Notice of Stock Option Grant, the Plan, and any other communications or materials that Optionee may receive regarding participation in the Plan do not constitute advertising or an offering of securities outside the United States, and the issuance of securities described in any Plan-related documents is not intended for public offering or circulation in Optionee’s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153670</wp:posOffset>
            </wp:positionV>
            <wp:extent cx="699516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00"/>
          </w:cols>
          <w:pgMar w:left="440" w:top="270" w:right="459" w:bottom="1440" w:gutter="0" w:footer="0" w:header="0"/>
        </w:sectPr>
      </w:pPr>
    </w:p>
    <w:p>
      <w:pPr>
        <w:spacing w:after="0" w:line="278"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European Union</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Data Privacy</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Where Optionee is a resident of the EU, the following provision applies and supplements Section 12 of the Option</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Agreement. Optionee understands and acknowledges that:</w:t>
      </w:r>
    </w:p>
    <w:p>
      <w:pPr>
        <w:spacing w:after="0" w:line="70" w:lineRule="exact"/>
        <w:rPr>
          <w:sz w:val="20"/>
          <w:szCs w:val="20"/>
          <w:color w:val="auto"/>
        </w:rPr>
      </w:pPr>
    </w:p>
    <w:p>
      <w:pPr>
        <w:sectPr>
          <w:pgSz w:w="11900" w:h="16838" w:orient="portrait"/>
          <w:cols w:equalWidth="0" w:num="2">
            <w:col w:w="760" w:space="240"/>
            <w:col w:w="10000"/>
          </w:cols>
          <w:pgMar w:left="440" w:top="270" w:right="459" w:bottom="1440" w:gutter="0" w:footer="0" w:header="0"/>
          <w:type w:val="continuous"/>
        </w:sectPr>
      </w:pPr>
    </w:p>
    <w:p>
      <w:pPr>
        <w:ind w:left="1360" w:right="100" w:hanging="275"/>
        <w:spacing w:after="0" w:line="342" w:lineRule="auto"/>
        <w:tabs>
          <w:tab w:leader="none" w:pos="1344" w:val="left"/>
        </w:tabs>
        <w:numPr>
          <w:ilvl w:val="0"/>
          <w:numId w:val="26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The data controller is the Company; queries or requests regarding the Optionee’s Personal Data should be made in writing to the Company’s representative relating to the Plan or Option matters, who may be contacted at: </w:t>
      </w:r>
      <w:r>
        <w:rPr>
          <w:rFonts w:ascii="Arial" w:cs="Arial" w:eastAsia="Arial" w:hAnsi="Arial"/>
          <w:sz w:val="16"/>
          <w:szCs w:val="16"/>
          <w:b w:val="1"/>
          <w:bCs w:val="1"/>
          <w:i w:val="1"/>
          <w:iCs w:val="1"/>
          <w:u w:val="single" w:color="auto"/>
          <w:color w:val="auto"/>
        </w:rPr>
        <w:t>legal@asana.com</w:t>
      </w:r>
      <w:r>
        <w:rPr>
          <w:rFonts w:ascii="Arial" w:cs="Arial" w:eastAsia="Arial" w:hAnsi="Arial"/>
          <w:sz w:val="16"/>
          <w:szCs w:val="16"/>
          <w:b w:val="1"/>
          <w:bCs w:val="1"/>
          <w:i w:val="1"/>
          <w:iCs w:val="1"/>
          <w:color w:val="auto"/>
        </w:rPr>
        <w:t>;</w:t>
      </w:r>
    </w:p>
    <w:p>
      <w:pPr>
        <w:spacing w:after="0" w:line="29" w:lineRule="exact"/>
        <w:rPr>
          <w:rFonts w:ascii="Arial" w:cs="Arial" w:eastAsia="Arial" w:hAnsi="Arial"/>
          <w:sz w:val="16"/>
          <w:szCs w:val="16"/>
          <w:color w:val="auto"/>
        </w:rPr>
      </w:pPr>
    </w:p>
    <w:p>
      <w:pPr>
        <w:ind w:left="1360" w:right="140" w:hanging="275"/>
        <w:spacing w:after="0" w:line="277" w:lineRule="auto"/>
        <w:tabs>
          <w:tab w:leader="none" w:pos="1344" w:val="left"/>
        </w:tabs>
        <w:numPr>
          <w:ilvl w:val="0"/>
          <w:numId w:val="263"/>
        </w:numPr>
        <w:rPr>
          <w:rFonts w:ascii="Arial" w:cs="Arial" w:eastAsia="Arial" w:hAnsi="Arial"/>
          <w:sz w:val="18"/>
          <w:szCs w:val="18"/>
          <w:color w:val="auto"/>
        </w:rPr>
      </w:pPr>
      <w:r>
        <w:rPr>
          <w:rFonts w:ascii="Arial" w:cs="Arial" w:eastAsia="Arial" w:hAnsi="Arial"/>
          <w:sz w:val="18"/>
          <w:szCs w:val="18"/>
          <w:b w:val="1"/>
          <w:bCs w:val="1"/>
          <w:i w:val="1"/>
          <w:iCs w:val="1"/>
          <w:color w:val="auto"/>
        </w:rPr>
        <w:t>The legal basis for the processing of Personal Data is that the processing is necessary for the performance of a contract to which the Optionee is a party (namely, this Option Agreement);</w:t>
      </w:r>
    </w:p>
    <w:p>
      <w:pPr>
        <w:spacing w:after="0" w:line="75" w:lineRule="exact"/>
        <w:rPr>
          <w:rFonts w:ascii="Arial" w:cs="Arial" w:eastAsia="Arial" w:hAnsi="Arial"/>
          <w:sz w:val="18"/>
          <w:szCs w:val="18"/>
          <w:color w:val="auto"/>
        </w:rPr>
      </w:pPr>
    </w:p>
    <w:p>
      <w:pPr>
        <w:ind w:left="1340" w:hanging="255"/>
        <w:spacing w:after="0"/>
        <w:tabs>
          <w:tab w:leader="none" w:pos="1340" w:val="left"/>
        </w:tabs>
        <w:numPr>
          <w:ilvl w:val="0"/>
          <w:numId w:val="263"/>
        </w:numPr>
        <w:rPr>
          <w:rFonts w:ascii="Arial" w:cs="Arial" w:eastAsia="Arial" w:hAnsi="Arial"/>
          <w:sz w:val="15"/>
          <w:szCs w:val="15"/>
          <w:color w:val="auto"/>
        </w:rPr>
      </w:pPr>
      <w:r>
        <w:rPr>
          <w:rFonts w:ascii="Arial" w:cs="Arial" w:eastAsia="Arial" w:hAnsi="Arial"/>
          <w:sz w:val="15"/>
          <w:szCs w:val="15"/>
          <w:b w:val="1"/>
          <w:bCs w:val="1"/>
          <w:i w:val="1"/>
          <w:iCs w:val="1"/>
          <w:color w:val="auto"/>
        </w:rPr>
        <w:t>Personal Data will be held only as long as is necessary to implement, administer and manage Optionee’s participation in the Plan;</w:t>
      </w:r>
    </w:p>
    <w:p>
      <w:pPr>
        <w:spacing w:after="0" w:line="165" w:lineRule="exact"/>
        <w:rPr>
          <w:sz w:val="20"/>
          <w:szCs w:val="20"/>
          <w:color w:val="auto"/>
        </w:rPr>
      </w:pPr>
    </w:p>
    <w:p>
      <w:pPr>
        <w:ind w:left="1000" w:right="20"/>
        <w:spacing w:after="0" w:line="311" w:lineRule="auto"/>
        <w:rPr>
          <w:sz w:val="20"/>
          <w:szCs w:val="20"/>
          <w:color w:val="auto"/>
        </w:rPr>
      </w:pPr>
      <w:r>
        <w:rPr>
          <w:rFonts w:ascii="Arial" w:cs="Arial" w:eastAsia="Arial" w:hAnsi="Arial"/>
          <w:sz w:val="16"/>
          <w:szCs w:val="16"/>
          <w:b w:val="1"/>
          <w:bCs w:val="1"/>
          <w:i w:val="1"/>
          <w:iCs w:val="1"/>
          <w:color w:val="auto"/>
        </w:rPr>
        <w:t>He or she may, at any time, access his or her Personal Data, request additional information about the storage and processing of Personal Data, require any necessary amendments to Personal Data without cost or exercise any other rights they may have in relation to their Personal Data under applicable law, including the right to make a complaint to an EU data protection regulator.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699516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0" w:right="459" w:bottom="1440" w:gutter="0" w:footer="0" w:header="0"/>
          <w:type w:val="continuous"/>
        </w:sectPr>
      </w:pPr>
    </w:p>
    <w:bookmarkStart w:id="307" w:name="page308"/>
    <w:bookmarkEnd w:id="307"/>
    <w:p>
      <w:pPr>
        <w:spacing w:after="0"/>
        <w:tabs>
          <w:tab w:leader="none" w:pos="9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995160" cy="8255"/>
                    </a:xfrm>
                    <a:prstGeom prst="rect">
                      <a:avLst/>
                    </a:prstGeom>
                    <a:noFill/>
                  </pic:spPr>
                </pic:pic>
              </a:graphicData>
            </a:graphic>
          </wp:anchor>
        </w:drawing>
        <w:t>Australia</w:t>
        <w:tab/>
        <w:t>Statement under Section 83A-105 of the Income Tax Assessment Act 1997 (Cth)</w:t>
      </w:r>
      <w:r>
        <w:rPr>
          <w:rFonts w:ascii="Arial" w:cs="Arial" w:eastAsia="Arial" w:hAnsi="Arial"/>
          <w:sz w:val="18"/>
          <w:szCs w:val="18"/>
          <w:color w:val="auto"/>
        </w:rPr>
        <w:t>.</w:t>
      </w:r>
    </w:p>
    <w:p>
      <w:pPr>
        <w:spacing w:after="0" w:line="135" w:lineRule="exact"/>
        <w:rPr>
          <w:sz w:val="20"/>
          <w:szCs w:val="20"/>
          <w:color w:val="auto"/>
        </w:rPr>
      </w:pPr>
    </w:p>
    <w:p>
      <w:pPr>
        <w:ind w:left="1000" w:right="120"/>
        <w:spacing w:after="0" w:line="259" w:lineRule="auto"/>
        <w:rPr>
          <w:sz w:val="20"/>
          <w:szCs w:val="20"/>
          <w:color w:val="auto"/>
        </w:rPr>
      </w:pPr>
      <w:r>
        <w:rPr>
          <w:rFonts w:ascii="Arial" w:cs="Arial" w:eastAsia="Arial" w:hAnsi="Arial"/>
          <w:sz w:val="18"/>
          <w:szCs w:val="18"/>
          <w:color w:val="auto"/>
        </w:rPr>
        <w:t>Subdivision 83A-C of the Income Tax Assessment Act 1997 (Cth) (the “Act”) applies to the Plan and this Option, subject to the requirements of the Act. Accordingly, it is intended for income tax in relation to the Option to be deferred until exercise, unless your employment terminates for any reason prior to exercise. However, the Company is not providing tax advice, and you should consult your personal advisor for the precise tax treatment of the Option.</w:t>
      </w:r>
    </w:p>
    <w:p>
      <w:pPr>
        <w:spacing w:after="0" w:line="8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Canada</w:t>
      </w:r>
      <w:r>
        <w:rPr>
          <w:sz w:val="20"/>
          <w:szCs w:val="20"/>
          <w:color w:val="auto"/>
        </w:rPr>
        <w:tab/>
      </w:r>
      <w:r>
        <w:rPr>
          <w:rFonts w:ascii="Arial" w:cs="Arial" w:eastAsia="Arial" w:hAnsi="Arial"/>
          <w:sz w:val="18"/>
          <w:szCs w:val="18"/>
          <w:b w:val="1"/>
          <w:bCs w:val="1"/>
          <w:color w:val="auto"/>
        </w:rPr>
        <w:t>Securities Law Notice</w:t>
      </w:r>
    </w:p>
    <w:p>
      <w:pPr>
        <w:spacing w:after="0" w:line="135" w:lineRule="exact"/>
        <w:rPr>
          <w:sz w:val="20"/>
          <w:szCs w:val="20"/>
          <w:color w:val="auto"/>
        </w:rPr>
      </w:pPr>
    </w:p>
    <w:p>
      <w:pPr>
        <w:ind w:left="1000"/>
        <w:spacing w:after="0" w:line="296" w:lineRule="auto"/>
        <w:rPr>
          <w:sz w:val="20"/>
          <w:szCs w:val="20"/>
          <w:color w:val="auto"/>
        </w:rPr>
      </w:pPr>
      <w:r>
        <w:rPr>
          <w:rFonts w:ascii="Arial" w:cs="Arial" w:eastAsia="Arial" w:hAnsi="Arial"/>
          <w:sz w:val="16"/>
          <w:szCs w:val="16"/>
          <w:color w:val="auto"/>
        </w:rPr>
        <w:t>The security represented by this Option was issued pursuant to an exemption from the prospectus requirements of applicable securities legislation in Canada. You acknowledge that as long as the Company is not a reporting issuer in any jurisdiction in Canada, the Option and the underlying Shares will be subject to an indefinite hold period in Canada and subject to restrictions on their transfer in Canada. Subject to applicable securities laws, you are permitted to sell Shares acquired through the Plan through the designated broker appointed under the Plan, assuming the sale of such Shares takes place outside Canada via the stock exchange on which the Shares are traded.</w:t>
      </w:r>
    </w:p>
    <w:p>
      <w:pPr>
        <w:spacing w:after="0" w:line="63"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Foreign Share Ownership Reporting</w:t>
      </w:r>
    </w:p>
    <w:p>
      <w:pPr>
        <w:spacing w:after="0" w:line="135" w:lineRule="exact"/>
        <w:rPr>
          <w:sz w:val="20"/>
          <w:szCs w:val="20"/>
          <w:color w:val="auto"/>
        </w:rPr>
      </w:pPr>
    </w:p>
    <w:p>
      <w:pPr>
        <w:ind w:left="1000"/>
        <w:spacing w:after="0" w:line="311" w:lineRule="auto"/>
        <w:rPr>
          <w:sz w:val="20"/>
          <w:szCs w:val="20"/>
          <w:color w:val="auto"/>
        </w:rPr>
      </w:pPr>
      <w:r>
        <w:rPr>
          <w:rFonts w:ascii="Arial" w:cs="Arial" w:eastAsia="Arial" w:hAnsi="Arial"/>
          <w:sz w:val="16"/>
          <w:szCs w:val="16"/>
          <w:color w:val="auto"/>
        </w:rPr>
        <w:t>If you are a Canadian resident, your ownership of certain foreign property (including shares of foreign corporations) in excess of $100,000 may be subject to ongoing annual reporting obligations. Please refer to CRA Form T1135 (Foreign Income Verification Statement) and consult your tax advisor for further details. It is your responsibility to comply with all applicable tax reporting requirements.</w:t>
      </w:r>
    </w:p>
    <w:p>
      <w:pPr>
        <w:spacing w:after="0" w:line="50"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Quebec: Consent to Receive Information in English</w:t>
      </w:r>
    </w:p>
    <w:p>
      <w:pPr>
        <w:spacing w:after="0" w:line="135" w:lineRule="exact"/>
        <w:rPr>
          <w:sz w:val="20"/>
          <w:szCs w:val="20"/>
          <w:color w:val="auto"/>
        </w:rPr>
      </w:pPr>
    </w:p>
    <w:p>
      <w:pPr>
        <w:ind w:left="1000" w:right="20"/>
        <w:spacing w:after="0" w:line="301" w:lineRule="auto"/>
        <w:rPr>
          <w:sz w:val="20"/>
          <w:szCs w:val="20"/>
          <w:color w:val="auto"/>
        </w:rPr>
      </w:pPr>
      <w:r>
        <w:rPr>
          <w:rFonts w:ascii="Arial" w:cs="Arial" w:eastAsia="Arial" w:hAnsi="Arial"/>
          <w:sz w:val="16"/>
          <w:szCs w:val="16"/>
          <w:color w:val="auto"/>
        </w:rPr>
        <w:t>The following applies if you are a resident of Quebec: The parties acknowledge that it is their express wish that this Agreement, as well as all documents, notices and legal proceedings entered into, given or instituted pursuant hereto or relating directly or indirectly hereto, be drawn up in English. Les parties reconnaissent avoir exigé la redaction en anglais de cette convention, ainsi que de tous documents exécutés, avis donnés et procedures judiciaries intentées, directement ou indirectement, relativement à la présente convention.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117475</wp:posOffset>
            </wp:positionV>
            <wp:extent cx="699516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4"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Ireland</w:t>
      </w:r>
      <w:r>
        <w:rPr>
          <w:sz w:val="20"/>
          <w:szCs w:val="20"/>
          <w:color w:val="auto"/>
        </w:rPr>
        <w:tab/>
      </w:r>
      <w:r>
        <w:rPr>
          <w:rFonts w:ascii="Arial" w:cs="Arial" w:eastAsia="Arial" w:hAnsi="Arial"/>
          <w:sz w:val="18"/>
          <w:szCs w:val="18"/>
          <w:b w:val="1"/>
          <w:bCs w:val="1"/>
          <w:color w:val="auto"/>
        </w:rPr>
        <w:t>Director Reporting</w:t>
      </w:r>
    </w:p>
    <w:p>
      <w:pPr>
        <w:spacing w:after="0" w:line="135" w:lineRule="exact"/>
        <w:rPr>
          <w:sz w:val="20"/>
          <w:szCs w:val="20"/>
          <w:color w:val="auto"/>
        </w:rPr>
      </w:pPr>
    </w:p>
    <w:p>
      <w:pPr>
        <w:ind w:left="1000" w:right="160"/>
        <w:spacing w:after="0" w:line="263" w:lineRule="auto"/>
        <w:rPr>
          <w:sz w:val="20"/>
          <w:szCs w:val="20"/>
          <w:color w:val="auto"/>
        </w:rPr>
      </w:pPr>
      <w:r>
        <w:rPr>
          <w:rFonts w:ascii="Arial" w:cs="Arial" w:eastAsia="Arial" w:hAnsi="Arial"/>
          <w:sz w:val="18"/>
          <w:szCs w:val="18"/>
          <w:color w:val="auto"/>
        </w:rPr>
        <w:t>If you are a director or shadow director of the Company or related company, you may be subject to special reporting requirements with regard to the acquisition of shares or rights over shares. Please contact your personal legal advisor for further details if you are a director or shadow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337" w:right="479" w:bottom="1440" w:gutter="0" w:footer="0" w:header="0"/>
        </w:sectPr>
      </w:pPr>
    </w:p>
    <w:bookmarkStart w:id="308" w:name="page309"/>
    <w:bookmarkEnd w:id="308"/>
    <w:tbl>
      <w:tblPr>
        <w:tblLayout w:type="fixed"/>
        <w:tblInd w:w="0" w:type="dxa"/>
        <w:tblCellMar>
          <w:top w:w="0" w:type="dxa"/>
          <w:left w:w="0" w:type="dxa"/>
          <w:bottom w:w="0" w:type="dxa"/>
          <w:right w:w="0" w:type="dxa"/>
        </w:tblCellMar>
      </w:tblPr>
      <w:tr>
        <w:trPr>
          <w:trHeight w:val="220"/>
        </w:trPr>
        <w:tc>
          <w:tcPr>
            <w:tcW w:w="740" w:type="dxa"/>
            <w:vAlign w:val="bottom"/>
          </w:tcPr>
          <w:p>
            <w:pPr>
              <w:spacing w:after="0"/>
              <w:rPr>
                <w:sz w:val="20"/>
                <w:szCs w:val="20"/>
                <w:color w:val="auto"/>
              </w:rPr>
            </w:pPr>
            <w:r>
              <w:rPr>
                <w:rFonts w:ascii="Arial" w:cs="Arial" w:eastAsia="Arial" w:hAnsi="Arial"/>
                <w:sz w:val="18"/>
                <w:szCs w:val="18"/>
                <w:b w:val="1"/>
                <w:bCs w:val="1"/>
                <w:color w:val="auto"/>
              </w:rPr>
              <w:t>Japan</w:t>
            </w:r>
          </w:p>
        </w:tc>
        <w:tc>
          <w:tcPr>
            <w:tcW w:w="10140" w:type="dxa"/>
            <w:vAlign w:val="bottom"/>
            <w:gridSpan w:val="3"/>
          </w:tcPr>
          <w:p>
            <w:pPr>
              <w:ind w:left="260"/>
              <w:spacing w:after="0"/>
              <w:rPr>
                <w:sz w:val="20"/>
                <w:szCs w:val="20"/>
                <w:color w:val="auto"/>
              </w:rPr>
            </w:pPr>
            <w:r>
              <w:rPr>
                <w:rFonts w:ascii="Arial" w:cs="Arial" w:eastAsia="Arial" w:hAnsi="Arial"/>
                <w:sz w:val="18"/>
                <w:szCs w:val="18"/>
                <w:b w:val="1"/>
                <w:bCs w:val="1"/>
                <w:color w:val="auto"/>
                <w:w w:val="92"/>
              </w:rPr>
              <w:t>Share Ownership and Payment Reporting</w:t>
            </w:r>
            <w:r>
              <w:rPr>
                <w:rFonts w:ascii="Arial" w:cs="Arial" w:eastAsia="Arial" w:hAnsi="Arial"/>
                <w:sz w:val="18"/>
                <w:szCs w:val="18"/>
                <w:color w:val="auto"/>
                <w:w w:val="92"/>
              </w:rPr>
              <w:t>. If you acquire Shares valued at more than ¥100,000,000 total, you must file a Securities</w:t>
            </w:r>
          </w:p>
        </w:tc>
      </w:tr>
      <w:tr>
        <w:trPr>
          <w:trHeight w:val="190"/>
        </w:trPr>
        <w:tc>
          <w:tcPr>
            <w:tcW w:w="740" w:type="dxa"/>
            <w:vAlign w:val="bottom"/>
          </w:tcPr>
          <w:p>
            <w:pPr>
              <w:spacing w:after="0"/>
              <w:rPr>
                <w:sz w:val="16"/>
                <w:szCs w:val="16"/>
                <w:color w:val="auto"/>
              </w:rPr>
            </w:pPr>
          </w:p>
        </w:tc>
        <w:tc>
          <w:tcPr>
            <w:tcW w:w="10140" w:type="dxa"/>
            <w:vAlign w:val="bottom"/>
            <w:gridSpan w:val="3"/>
          </w:tcPr>
          <w:p>
            <w:pPr>
              <w:ind w:left="260"/>
              <w:spacing w:after="0" w:line="190" w:lineRule="exact"/>
              <w:rPr>
                <w:sz w:val="20"/>
                <w:szCs w:val="20"/>
                <w:color w:val="auto"/>
              </w:rPr>
            </w:pPr>
            <w:r>
              <w:rPr>
                <w:rFonts w:ascii="Arial" w:cs="Arial" w:eastAsia="Arial" w:hAnsi="Arial"/>
                <w:sz w:val="18"/>
                <w:szCs w:val="18"/>
                <w:color w:val="auto"/>
                <w:w w:val="95"/>
              </w:rPr>
              <w:t>Acquisition Report with the Ministry of Finance (“MOF”) through the Bank of Japan within 20 days of the acquisition of the Shares.</w:t>
            </w:r>
          </w:p>
        </w:tc>
      </w:tr>
      <w:tr>
        <w:trPr>
          <w:trHeight w:val="20"/>
        </w:trPr>
        <w:tc>
          <w:tcPr>
            <w:tcW w:w="7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r>
      <w:tr>
        <w:trPr>
          <w:trHeight w:val="465"/>
        </w:trPr>
        <w:tc>
          <w:tcPr>
            <w:tcW w:w="740" w:type="dxa"/>
            <w:vAlign w:val="bottom"/>
          </w:tcPr>
          <w:p>
            <w:pPr>
              <w:spacing w:after="0"/>
              <w:rPr>
                <w:sz w:val="24"/>
                <w:szCs w:val="24"/>
                <w:color w:val="auto"/>
              </w:rPr>
            </w:pPr>
          </w:p>
        </w:tc>
        <w:tc>
          <w:tcPr>
            <w:tcW w:w="10140" w:type="dxa"/>
            <w:vAlign w:val="bottom"/>
            <w:gridSpan w:val="3"/>
          </w:tcPr>
          <w:p>
            <w:pPr>
              <w:ind w:left="260"/>
              <w:spacing w:after="0"/>
              <w:rPr>
                <w:sz w:val="20"/>
                <w:szCs w:val="20"/>
                <w:color w:val="auto"/>
              </w:rPr>
            </w:pPr>
            <w:r>
              <w:rPr>
                <w:rFonts w:ascii="Arial" w:cs="Arial" w:eastAsia="Arial" w:hAnsi="Arial"/>
                <w:sz w:val="18"/>
                <w:szCs w:val="18"/>
                <w:color w:val="auto"/>
                <w:w w:val="92"/>
              </w:rPr>
              <w:t>In addition, if you pay more than ¥30,000,000 in a single transaction for the Shares at exercise of the Option, you must file a Payment</w:t>
            </w:r>
          </w:p>
        </w:tc>
      </w:tr>
      <w:tr>
        <w:trPr>
          <w:trHeight w:val="216"/>
        </w:trPr>
        <w:tc>
          <w:tcPr>
            <w:tcW w:w="740" w:type="dxa"/>
            <w:vAlign w:val="bottom"/>
          </w:tcPr>
          <w:p>
            <w:pPr>
              <w:spacing w:after="0"/>
              <w:rPr>
                <w:sz w:val="18"/>
                <w:szCs w:val="18"/>
                <w:color w:val="auto"/>
              </w:rPr>
            </w:pPr>
          </w:p>
        </w:tc>
        <w:tc>
          <w:tcPr>
            <w:tcW w:w="10140" w:type="dxa"/>
            <w:vAlign w:val="bottom"/>
            <w:gridSpan w:val="3"/>
          </w:tcPr>
          <w:p>
            <w:pPr>
              <w:ind w:left="260"/>
              <w:spacing w:after="0"/>
              <w:rPr>
                <w:sz w:val="20"/>
                <w:szCs w:val="20"/>
                <w:color w:val="auto"/>
              </w:rPr>
            </w:pPr>
            <w:r>
              <w:rPr>
                <w:rFonts w:ascii="Arial" w:cs="Arial" w:eastAsia="Arial" w:hAnsi="Arial"/>
                <w:sz w:val="18"/>
                <w:szCs w:val="18"/>
                <w:color w:val="auto"/>
                <w:w w:val="91"/>
              </w:rPr>
              <w:t>Report with the MOF through the Bank of Japan by the 20</w:t>
            </w:r>
            <w:r>
              <w:rPr>
                <w:rFonts w:ascii="Arial" w:cs="Arial" w:eastAsia="Arial" w:hAnsi="Arial"/>
                <w:sz w:val="15"/>
                <w:szCs w:val="15"/>
                <w:color w:val="auto"/>
                <w:w w:val="91"/>
              </w:rPr>
              <w:t>th</w:t>
            </w:r>
            <w:r>
              <w:rPr>
                <w:rFonts w:ascii="Arial" w:cs="Arial" w:eastAsia="Arial" w:hAnsi="Arial"/>
                <w:sz w:val="18"/>
                <w:szCs w:val="18"/>
                <w:color w:val="auto"/>
                <w:w w:val="91"/>
              </w:rPr>
              <w:t xml:space="preserve"> day of the month following the month in which the payment was made. The</w:t>
            </w:r>
          </w:p>
        </w:tc>
      </w:tr>
      <w:tr>
        <w:trPr>
          <w:trHeight w:val="230"/>
        </w:trPr>
        <w:tc>
          <w:tcPr>
            <w:tcW w:w="740" w:type="dxa"/>
            <w:vAlign w:val="bottom"/>
          </w:tcPr>
          <w:p>
            <w:pPr>
              <w:spacing w:after="0"/>
              <w:rPr>
                <w:sz w:val="20"/>
                <w:szCs w:val="20"/>
                <w:color w:val="auto"/>
              </w:rPr>
            </w:pPr>
          </w:p>
        </w:tc>
        <w:tc>
          <w:tcPr>
            <w:tcW w:w="10140" w:type="dxa"/>
            <w:vAlign w:val="bottom"/>
            <w:gridSpan w:val="3"/>
          </w:tcPr>
          <w:p>
            <w:pPr>
              <w:ind w:left="260"/>
              <w:spacing w:after="0"/>
              <w:rPr>
                <w:sz w:val="20"/>
                <w:szCs w:val="20"/>
                <w:color w:val="auto"/>
              </w:rPr>
            </w:pPr>
            <w:r>
              <w:rPr>
                <w:rFonts w:ascii="Arial" w:cs="Arial" w:eastAsia="Arial" w:hAnsi="Arial"/>
                <w:sz w:val="18"/>
                <w:szCs w:val="18"/>
                <w:color w:val="auto"/>
              </w:rPr>
              <w:t>precise reporting requirements may vary depending on the bank handling the payment.</w:t>
            </w:r>
          </w:p>
        </w:tc>
      </w:tr>
      <w:tr>
        <w:trPr>
          <w:trHeight w:val="445"/>
        </w:trPr>
        <w:tc>
          <w:tcPr>
            <w:tcW w:w="740" w:type="dxa"/>
            <w:vAlign w:val="bottom"/>
          </w:tcPr>
          <w:p>
            <w:pPr>
              <w:spacing w:after="0"/>
              <w:rPr>
                <w:sz w:val="24"/>
                <w:szCs w:val="24"/>
                <w:color w:val="auto"/>
              </w:rPr>
            </w:pPr>
          </w:p>
        </w:tc>
        <w:tc>
          <w:tcPr>
            <w:tcW w:w="10140" w:type="dxa"/>
            <w:vAlign w:val="bottom"/>
            <w:gridSpan w:val="3"/>
          </w:tcPr>
          <w:p>
            <w:pPr>
              <w:ind w:left="260"/>
              <w:spacing w:after="0"/>
              <w:rPr>
                <w:sz w:val="20"/>
                <w:szCs w:val="20"/>
                <w:color w:val="auto"/>
              </w:rPr>
            </w:pPr>
            <w:r>
              <w:rPr>
                <w:rFonts w:ascii="Arial" w:cs="Arial" w:eastAsia="Arial" w:hAnsi="Arial"/>
                <w:sz w:val="18"/>
                <w:szCs w:val="18"/>
                <w:color w:val="auto"/>
                <w:w w:val="94"/>
              </w:rPr>
              <w:t>A Payment Report is required independently of a Securities Acquisition Report. Consequently, if the total amount that you pay on a</w:t>
            </w:r>
          </w:p>
        </w:tc>
      </w:tr>
      <w:tr>
        <w:trPr>
          <w:trHeight w:val="230"/>
        </w:trPr>
        <w:tc>
          <w:tcPr>
            <w:tcW w:w="740" w:type="dxa"/>
            <w:vAlign w:val="bottom"/>
          </w:tcPr>
          <w:p>
            <w:pPr>
              <w:spacing w:after="0"/>
              <w:rPr>
                <w:sz w:val="20"/>
                <w:szCs w:val="20"/>
                <w:color w:val="auto"/>
              </w:rPr>
            </w:pPr>
          </w:p>
        </w:tc>
        <w:tc>
          <w:tcPr>
            <w:tcW w:w="10140" w:type="dxa"/>
            <w:vAlign w:val="bottom"/>
            <w:gridSpan w:val="3"/>
          </w:tcPr>
          <w:p>
            <w:pPr>
              <w:ind w:left="260"/>
              <w:spacing w:after="0"/>
              <w:rPr>
                <w:sz w:val="20"/>
                <w:szCs w:val="20"/>
                <w:color w:val="auto"/>
              </w:rPr>
            </w:pPr>
            <w:r>
              <w:rPr>
                <w:rFonts w:ascii="Arial" w:cs="Arial" w:eastAsia="Arial" w:hAnsi="Arial"/>
                <w:sz w:val="18"/>
                <w:szCs w:val="18"/>
                <w:color w:val="auto"/>
                <w:w w:val="89"/>
              </w:rPr>
              <w:t>one-time basis at exercise of the Option exceeds ¥100,000,000, you must file both a Payment Report and a Securities Acquisition Report.</w:t>
            </w: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ind w:left="1000"/>
        <w:spacing w:after="0"/>
        <w:rPr>
          <w:sz w:val="20"/>
          <w:szCs w:val="20"/>
          <w:color w:val="auto"/>
        </w:rPr>
      </w:pPr>
      <w:r>
        <w:rPr>
          <w:rFonts w:ascii="Arial" w:cs="Arial" w:eastAsia="Arial" w:hAnsi="Arial"/>
          <w:sz w:val="16"/>
          <w:szCs w:val="16"/>
          <w:b w:val="1"/>
          <w:bCs w:val="1"/>
          <w:color w:val="auto"/>
        </w:rPr>
        <w:t>Exit Tax</w:t>
      </w:r>
      <w:r>
        <w:rPr>
          <w:rFonts w:ascii="Arial" w:cs="Arial" w:eastAsia="Arial" w:hAnsi="Arial"/>
          <w:sz w:val="16"/>
          <w:szCs w:val="16"/>
          <w:color w:val="auto"/>
        </w:rPr>
        <w:t>. Please note that you may be subject to tax on your options, even prior to vesting or exercise, if you relocate from Japan if you</w:t>
      </w:r>
    </w:p>
    <w:p>
      <w:pPr>
        <w:spacing w:after="0" w:line="50" w:lineRule="exact"/>
        <w:rPr>
          <w:sz w:val="20"/>
          <w:szCs w:val="20"/>
          <w:color w:val="auto"/>
        </w:rPr>
      </w:pPr>
    </w:p>
    <w:p>
      <w:pPr>
        <w:ind w:left="1000" w:right="80" w:hanging="5"/>
        <w:spacing w:after="0" w:line="255" w:lineRule="auto"/>
        <w:tabs>
          <w:tab w:leader="none" w:pos="1255" w:val="left"/>
        </w:tabs>
        <w:numPr>
          <w:ilvl w:val="0"/>
          <w:numId w:val="264"/>
        </w:numPr>
        <w:rPr>
          <w:rFonts w:ascii="Arial" w:cs="Arial" w:eastAsia="Arial" w:hAnsi="Arial"/>
          <w:sz w:val="18"/>
          <w:szCs w:val="18"/>
          <w:color w:val="auto"/>
        </w:rPr>
      </w:pPr>
      <w:r>
        <w:rPr>
          <w:rFonts w:ascii="Arial" w:cs="Arial" w:eastAsia="Arial" w:hAnsi="Arial"/>
          <w:sz w:val="18"/>
          <w:szCs w:val="18"/>
          <w:color w:val="auto"/>
        </w:rPr>
        <w:t>hold financial assets with an aggregate value of ¥100,000,000 or more upon departure from Japan and (2) maintained a principle place of residence (jusho) or temporary place of abode (kyosho) in Japan for 5 years or more during the 10-year period immediately prior to departing Japan. You should discuss your tax treatment with your personal tax advisor.</w:t>
      </w:r>
    </w:p>
    <w:p>
      <w:pPr>
        <w:spacing w:after="0" w:line="213" w:lineRule="exact"/>
        <w:rPr>
          <w:sz w:val="20"/>
          <w:szCs w:val="20"/>
          <w:color w:val="auto"/>
        </w:rPr>
      </w:pPr>
    </w:p>
    <w:p>
      <w:pPr>
        <w:ind w:left="1000" w:right="280"/>
        <w:spacing w:after="0" w:line="282" w:lineRule="auto"/>
        <w:rPr>
          <w:sz w:val="20"/>
          <w:szCs w:val="20"/>
          <w:color w:val="auto"/>
        </w:rPr>
      </w:pPr>
      <w:r>
        <w:rPr>
          <w:rFonts w:ascii="Arial" w:cs="Arial" w:eastAsia="Arial" w:hAnsi="Arial"/>
          <w:sz w:val="18"/>
          <w:szCs w:val="18"/>
          <w:b w:val="1"/>
          <w:bCs w:val="1"/>
          <w:color w:val="auto"/>
        </w:rPr>
        <w:t>Termination for Cause</w:t>
      </w:r>
      <w:r>
        <w:rPr>
          <w:rFonts w:ascii="Arial" w:cs="Arial" w:eastAsia="Arial" w:hAnsi="Arial"/>
          <w:sz w:val="18"/>
          <w:szCs w:val="18"/>
          <w:color w:val="auto"/>
        </w:rPr>
        <w:t>. Notwithstanding anything to the contrary in the Plan, any termination for “Cause” as provided in Section 5(a)</w:t>
      </w:r>
      <w:r>
        <w:rPr>
          <w:rFonts w:ascii="Arial" w:cs="Arial" w:eastAsia="Arial" w:hAnsi="Arial"/>
          <w:sz w:val="18"/>
          <w:szCs w:val="18"/>
          <w:b w:val="1"/>
          <w:bCs w:val="1"/>
          <w:color w:val="auto"/>
        </w:rPr>
        <w:t xml:space="preserve"> </w:t>
      </w:r>
      <w:r>
        <w:rPr>
          <w:rFonts w:ascii="Arial" w:cs="Arial" w:eastAsia="Arial" w:hAnsi="Arial"/>
          <w:sz w:val="18"/>
          <w:szCs w:val="18"/>
          <w:color w:val="auto"/>
        </w:rPr>
        <w:t>and (d) of the Stock Option Agreement shall mean all lawful termination under the Japanese labor laws.</w:t>
      </w:r>
    </w:p>
    <w:p>
      <w:pPr>
        <w:spacing w:after="0" w:line="189" w:lineRule="exact"/>
        <w:rPr>
          <w:sz w:val="20"/>
          <w:szCs w:val="20"/>
          <w:color w:val="auto"/>
        </w:rPr>
      </w:pPr>
    </w:p>
    <w:p>
      <w:pPr>
        <w:ind w:left="1000"/>
        <w:spacing w:after="0" w:line="282" w:lineRule="auto"/>
        <w:rPr>
          <w:sz w:val="20"/>
          <w:szCs w:val="20"/>
          <w:color w:val="auto"/>
        </w:rPr>
      </w:pPr>
      <w:r>
        <w:rPr>
          <w:rFonts w:ascii="Arial" w:cs="Arial" w:eastAsia="Arial" w:hAnsi="Arial"/>
          <w:sz w:val="18"/>
          <w:szCs w:val="18"/>
          <w:b w:val="1"/>
          <w:bCs w:val="1"/>
          <w:color w:val="auto"/>
        </w:rPr>
        <w:t>Data Privacy</w:t>
      </w:r>
      <w:r>
        <w:rPr>
          <w:rFonts w:ascii="Arial" w:cs="Arial" w:eastAsia="Arial" w:hAnsi="Arial"/>
          <w:sz w:val="18"/>
          <w:szCs w:val="18"/>
          <w:color w:val="auto"/>
        </w:rPr>
        <w:t>. The following applies and supplements Section 12 of the Stock Option Agreement: The countries where Personal Data may</w:t>
      </w:r>
      <w:r>
        <w:rPr>
          <w:rFonts w:ascii="Arial" w:cs="Arial" w:eastAsia="Arial" w:hAnsi="Arial"/>
          <w:sz w:val="18"/>
          <w:szCs w:val="18"/>
          <w:b w:val="1"/>
          <w:bCs w:val="1"/>
          <w:color w:val="auto"/>
        </w:rPr>
        <w:t xml:space="preserve"> </w:t>
      </w:r>
      <w:r>
        <w:rPr>
          <w:rFonts w:ascii="Arial" w:cs="Arial" w:eastAsia="Arial" w:hAnsi="Arial"/>
          <w:sz w:val="18"/>
          <w:szCs w:val="18"/>
          <w:color w:val="auto"/>
        </w:rPr>
        <w:t>be transferred include the United States, Australia, Canada, Iceland, Ireland, Japan.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United</w:t>
      </w:r>
      <w:r>
        <w:rPr>
          <w:sz w:val="20"/>
          <w:szCs w:val="20"/>
          <w:color w:val="auto"/>
        </w:rPr>
        <w:tab/>
      </w:r>
      <w:r>
        <w:rPr>
          <w:rFonts w:ascii="Arial" w:cs="Arial" w:eastAsia="Arial" w:hAnsi="Arial"/>
          <w:sz w:val="18"/>
          <w:szCs w:val="18"/>
          <w:color w:val="auto"/>
        </w:rPr>
        <w:t>The following supplements Section 3(b)(ii) of the Agreement: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Kingdom</w:t>
      </w:r>
    </w:p>
    <w:p>
      <w:pPr>
        <w:spacing w:after="0" w:line="18" w:lineRule="exact"/>
        <w:rPr>
          <w:sz w:val="20"/>
          <w:szCs w:val="20"/>
          <w:color w:val="auto"/>
        </w:rPr>
      </w:pPr>
    </w:p>
    <w:p>
      <w:pPr>
        <w:ind w:left="1000"/>
        <w:spacing w:after="0" w:line="272" w:lineRule="auto"/>
        <w:rPr>
          <w:sz w:val="20"/>
          <w:szCs w:val="20"/>
          <w:color w:val="auto"/>
        </w:rPr>
      </w:pPr>
      <w:r>
        <w:rPr>
          <w:rFonts w:ascii="Arial" w:cs="Arial" w:eastAsia="Arial" w:hAnsi="Arial"/>
          <w:sz w:val="17"/>
          <w:szCs w:val="17"/>
          <w:b w:val="1"/>
          <w:bCs w:val="1"/>
          <w:color w:val="auto"/>
        </w:rPr>
        <w:t>Withholding of Tax</w:t>
      </w:r>
      <w:r>
        <w:rPr>
          <w:rFonts w:ascii="Arial" w:cs="Arial" w:eastAsia="Arial" w:hAnsi="Arial"/>
          <w:sz w:val="17"/>
          <w:szCs w:val="17"/>
          <w:color w:val="auto"/>
        </w:rPr>
        <w:t>. To the extent applicable, if payment or withholding of the Tax-Related Items is not made within ninety (90) days of</w:t>
      </w:r>
      <w:r>
        <w:rPr>
          <w:rFonts w:ascii="Arial" w:cs="Arial" w:eastAsia="Arial" w:hAnsi="Arial"/>
          <w:sz w:val="17"/>
          <w:szCs w:val="17"/>
          <w:b w:val="1"/>
          <w:bCs w:val="1"/>
          <w:color w:val="auto"/>
        </w:rPr>
        <w:t xml:space="preserve"> </w:t>
      </w:r>
      <w:r>
        <w:rPr>
          <w:rFonts w:ascii="Arial" w:cs="Arial" w:eastAsia="Arial" w:hAnsi="Arial"/>
          <w:sz w:val="17"/>
          <w:szCs w:val="17"/>
          <w:color w:val="auto"/>
        </w:rPr>
        <w:t>the end of the UK tax year in which the event giving rise to the Tax-Related Items occurs (the “</w:t>
      </w:r>
      <w:r>
        <w:rPr>
          <w:rFonts w:ascii="Arial" w:cs="Arial" w:eastAsia="Arial" w:hAnsi="Arial"/>
          <w:sz w:val="17"/>
          <w:szCs w:val="17"/>
          <w:u w:val="single" w:color="auto"/>
          <w:color w:val="auto"/>
        </w:rPr>
        <w:t>Due Date</w:t>
      </w:r>
      <w:r>
        <w:rPr>
          <w:rFonts w:ascii="Arial" w:cs="Arial" w:eastAsia="Arial" w:hAnsi="Arial"/>
          <w:sz w:val="17"/>
          <w:szCs w:val="17"/>
          <w:color w:val="auto"/>
        </w:rPr>
        <w:t>”) or such other period specified in Section 222(1)(c) of the Income Tax (Earnings and Pensions) Act 2003, the amount of any uncollected Tax-Related Items will constitute a loan owed by you to the Company, effective on the Due Date. You agree that the loan will bear interest at the then-current Official Rate of Her Majesty’s Revenue and Customs (“</w:t>
      </w:r>
      <w:r>
        <w:rPr>
          <w:rFonts w:ascii="Arial" w:cs="Arial" w:eastAsia="Arial" w:hAnsi="Arial"/>
          <w:sz w:val="17"/>
          <w:szCs w:val="17"/>
          <w:u w:val="single" w:color="auto"/>
          <w:color w:val="auto"/>
        </w:rPr>
        <w:t>HMRC</w:t>
      </w:r>
      <w:r>
        <w:rPr>
          <w:rFonts w:ascii="Arial" w:cs="Arial" w:eastAsia="Arial" w:hAnsi="Arial"/>
          <w:sz w:val="17"/>
          <w:szCs w:val="17"/>
          <w:color w:val="auto"/>
        </w:rPr>
        <w:t>”), it will be immediately due and repayable, and the Company or the employer may recover it at any time thereafter by any of the means referred to in Section 3(b)(ii) of the Agreement. Notwithstanding the foregoing, if you are a director or executive officer of the Company (within the meaning of Section 13(k) of the U.S. Securities and Exchange Act of 1934, as amended), you will not be eligible for such a loan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699516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337" w:right="459" w:bottom="1440" w:gutter="0" w:footer="0" w:header="0"/>
        </w:sectPr>
      </w:pPr>
    </w:p>
    <w:bookmarkStart w:id="309" w:name="page310"/>
    <w:bookmarkEnd w:id="309"/>
    <w:p>
      <w:pPr>
        <w:ind w:left="5"/>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995160" cy="8255"/>
                    </a:xfrm>
                    <a:prstGeom prst="rect">
                      <a:avLst/>
                    </a:prstGeom>
                    <a:noFill/>
                  </pic:spPr>
                </pic:pic>
              </a:graphicData>
            </a:graphic>
          </wp:anchor>
        </w:drawing>
        <w:t>cover the Tax-Related Items. In the event that you are a director or executive officer and the Tax-Related Items are not collected from or paid by you by the Due Date, the amount of any uncollected Tax-Related Items will constitute a benefit to you on which additional income tax and national insurance contributions will be payable. You will be responsible for reporting and paying any income tax due on this additional benefit directly to HMRC under the self-assessment regime.</w:t>
      </w:r>
    </w:p>
    <w:p>
      <w:pPr>
        <w:spacing w:after="0" w:line="210"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HMRC National Insurance Contributions</w:t>
      </w:r>
      <w:r>
        <w:rPr>
          <w:rFonts w:ascii="Arial" w:cs="Arial" w:eastAsia="Arial" w:hAnsi="Arial"/>
          <w:sz w:val="18"/>
          <w:szCs w:val="18"/>
          <w:color w:val="auto"/>
        </w:rPr>
        <w:t>. You agree that:</w:t>
      </w:r>
    </w:p>
    <w:p>
      <w:pPr>
        <w:spacing w:after="0" w:line="135" w:lineRule="exact"/>
        <w:rPr>
          <w:sz w:val="20"/>
          <w:szCs w:val="20"/>
          <w:color w:val="auto"/>
        </w:rPr>
      </w:pPr>
    </w:p>
    <w:p>
      <w:pPr>
        <w:ind w:left="365" w:right="560" w:hanging="365"/>
        <w:spacing w:after="0" w:line="277" w:lineRule="auto"/>
        <w:tabs>
          <w:tab w:leader="none" w:pos="339"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Tax-Related Items within Section 3(b)(ii) of the Agreement shall include any secondary class 1 (employer) National Insurance Contributions that:</w:t>
      </w:r>
    </w:p>
    <w:p>
      <w:pPr>
        <w:spacing w:after="0" w:line="75" w:lineRule="exact"/>
        <w:rPr>
          <w:rFonts w:ascii="Arial" w:cs="Arial" w:eastAsia="Arial" w:hAnsi="Arial"/>
          <w:sz w:val="18"/>
          <w:szCs w:val="18"/>
          <w:color w:val="auto"/>
        </w:rPr>
      </w:pPr>
    </w:p>
    <w:p>
      <w:pPr>
        <w:ind w:left="705" w:hanging="345"/>
        <w:spacing w:after="0"/>
        <w:tabs>
          <w:tab w:leader="none" w:pos="705" w:val="left"/>
        </w:tabs>
        <w:numPr>
          <w:ilvl w:val="1"/>
          <w:numId w:val="265"/>
        </w:numPr>
        <w:rPr>
          <w:rFonts w:ascii="Arial" w:cs="Arial" w:eastAsia="Arial" w:hAnsi="Arial"/>
          <w:sz w:val="18"/>
          <w:szCs w:val="18"/>
          <w:color w:val="auto"/>
        </w:rPr>
      </w:pPr>
      <w:r>
        <w:rPr>
          <w:rFonts w:ascii="Arial" w:cs="Arial" w:eastAsia="Arial" w:hAnsi="Arial"/>
          <w:sz w:val="18"/>
          <w:szCs w:val="18"/>
          <w:color w:val="auto"/>
        </w:rPr>
        <w:t>any employer (or former employer) of yours is liable to pay (or reasonably believes it is liable to pay); and</w:t>
      </w:r>
    </w:p>
    <w:p>
      <w:pPr>
        <w:spacing w:after="0" w:line="130" w:lineRule="exact"/>
        <w:rPr>
          <w:rFonts w:ascii="Arial" w:cs="Arial" w:eastAsia="Arial" w:hAnsi="Arial"/>
          <w:sz w:val="18"/>
          <w:szCs w:val="18"/>
          <w:color w:val="auto"/>
        </w:rPr>
      </w:pPr>
    </w:p>
    <w:p>
      <w:pPr>
        <w:ind w:left="705" w:hanging="345"/>
        <w:spacing w:after="0"/>
        <w:tabs>
          <w:tab w:leader="none" w:pos="705" w:val="left"/>
        </w:tabs>
        <w:numPr>
          <w:ilvl w:val="1"/>
          <w:numId w:val="265"/>
        </w:numPr>
        <w:rPr>
          <w:rFonts w:ascii="Arial" w:cs="Arial" w:eastAsia="Arial" w:hAnsi="Arial"/>
          <w:sz w:val="18"/>
          <w:szCs w:val="18"/>
          <w:color w:val="auto"/>
        </w:rPr>
      </w:pPr>
      <w:r>
        <w:rPr>
          <w:rFonts w:ascii="Arial" w:cs="Arial" w:eastAsia="Arial" w:hAnsi="Arial"/>
          <w:sz w:val="18"/>
          <w:szCs w:val="18"/>
          <w:color w:val="auto"/>
        </w:rPr>
        <w:t>may be lawfully recovered from you; and</w:t>
      </w:r>
    </w:p>
    <w:p>
      <w:pPr>
        <w:spacing w:after="0" w:line="130" w:lineRule="exact"/>
        <w:rPr>
          <w:rFonts w:ascii="Arial" w:cs="Arial" w:eastAsia="Arial" w:hAnsi="Arial"/>
          <w:sz w:val="18"/>
          <w:szCs w:val="18"/>
          <w:color w:val="auto"/>
        </w:rPr>
      </w:pPr>
    </w:p>
    <w:p>
      <w:pPr>
        <w:ind w:left="345" w:hanging="345"/>
        <w:spacing w:after="0"/>
        <w:tabs>
          <w:tab w:leader="none" w:pos="345" w:val="left"/>
        </w:tabs>
        <w:numPr>
          <w:ilvl w:val="0"/>
          <w:numId w:val="265"/>
        </w:numPr>
        <w:rPr>
          <w:rFonts w:ascii="Arial" w:cs="Arial" w:eastAsia="Arial" w:hAnsi="Arial"/>
          <w:sz w:val="18"/>
          <w:szCs w:val="18"/>
          <w:color w:val="auto"/>
        </w:rPr>
      </w:pPr>
      <w:r>
        <w:rPr>
          <w:rFonts w:ascii="Arial" w:cs="Arial" w:eastAsia="Arial" w:hAnsi="Arial"/>
          <w:sz w:val="18"/>
          <w:szCs w:val="18"/>
          <w:color w:val="auto"/>
        </w:rPr>
        <w:t>if required to do so by the Company (at any time when the relevant election can be made) you shall either:</w:t>
      </w:r>
    </w:p>
    <w:p>
      <w:pPr>
        <w:spacing w:after="0" w:line="130" w:lineRule="exact"/>
        <w:rPr>
          <w:rFonts w:ascii="Arial" w:cs="Arial" w:eastAsia="Arial" w:hAnsi="Arial"/>
          <w:sz w:val="18"/>
          <w:szCs w:val="18"/>
          <w:color w:val="auto"/>
        </w:rPr>
      </w:pPr>
    </w:p>
    <w:p>
      <w:pPr>
        <w:ind w:left="725" w:right="60" w:hanging="365"/>
        <w:spacing w:after="0" w:line="277" w:lineRule="auto"/>
        <w:tabs>
          <w:tab w:leader="none" w:pos="715" w:val="left"/>
        </w:tabs>
        <w:numPr>
          <w:ilvl w:val="1"/>
          <w:numId w:val="265"/>
        </w:numPr>
        <w:rPr>
          <w:rFonts w:ascii="Arial" w:cs="Arial" w:eastAsia="Arial" w:hAnsi="Arial"/>
          <w:sz w:val="18"/>
          <w:szCs w:val="18"/>
          <w:color w:val="auto"/>
        </w:rPr>
      </w:pPr>
      <w:r>
        <w:rPr>
          <w:rFonts w:ascii="Arial" w:cs="Arial" w:eastAsia="Arial" w:hAnsi="Arial"/>
          <w:sz w:val="18"/>
          <w:szCs w:val="18"/>
          <w:color w:val="auto"/>
        </w:rPr>
        <w:t>make a joint election (with the employer or former employer) in the form provided by the Company to transfer to you the whole or any part of the employer’s liability that falls within Section 3(b)(ii) of the Agreement; and</w:t>
      </w:r>
    </w:p>
    <w:p>
      <w:pPr>
        <w:spacing w:after="0" w:line="75" w:lineRule="exact"/>
        <w:rPr>
          <w:rFonts w:ascii="Arial" w:cs="Arial" w:eastAsia="Arial" w:hAnsi="Arial"/>
          <w:sz w:val="18"/>
          <w:szCs w:val="18"/>
          <w:color w:val="auto"/>
        </w:rPr>
      </w:pPr>
    </w:p>
    <w:p>
      <w:pPr>
        <w:ind w:left="725" w:right="760" w:hanging="365"/>
        <w:spacing w:after="0" w:line="277" w:lineRule="auto"/>
        <w:tabs>
          <w:tab w:leader="none" w:pos="711" w:val="left"/>
        </w:tabs>
        <w:numPr>
          <w:ilvl w:val="1"/>
          <w:numId w:val="265"/>
        </w:numPr>
        <w:rPr>
          <w:rFonts w:ascii="Arial" w:cs="Arial" w:eastAsia="Arial" w:hAnsi="Arial"/>
          <w:sz w:val="18"/>
          <w:szCs w:val="18"/>
          <w:color w:val="auto"/>
        </w:rPr>
      </w:pPr>
      <w:r>
        <w:rPr>
          <w:rFonts w:ascii="Arial" w:cs="Arial" w:eastAsia="Arial" w:hAnsi="Arial"/>
          <w:sz w:val="18"/>
          <w:szCs w:val="18"/>
          <w:color w:val="auto"/>
        </w:rPr>
        <w:t>enter into arrangements required by HM Revenue &amp; Customs (or any other tax authority) to secure the payment of the transferred liability; or</w:t>
      </w:r>
    </w:p>
    <w:p>
      <w:pPr>
        <w:spacing w:after="0" w:line="75" w:lineRule="exact"/>
        <w:rPr>
          <w:rFonts w:ascii="Arial" w:cs="Arial" w:eastAsia="Arial" w:hAnsi="Arial"/>
          <w:sz w:val="18"/>
          <w:szCs w:val="18"/>
          <w:color w:val="auto"/>
        </w:rPr>
      </w:pPr>
    </w:p>
    <w:p>
      <w:pPr>
        <w:ind w:left="725" w:right="240" w:hanging="365"/>
        <w:spacing w:after="0" w:line="301" w:lineRule="auto"/>
        <w:tabs>
          <w:tab w:leader="none" w:pos="707" w:val="left"/>
        </w:tabs>
        <w:numPr>
          <w:ilvl w:val="1"/>
          <w:numId w:val="265"/>
        </w:numPr>
        <w:rPr>
          <w:rFonts w:ascii="Arial" w:cs="Arial" w:eastAsia="Arial" w:hAnsi="Arial"/>
          <w:sz w:val="16"/>
          <w:szCs w:val="16"/>
          <w:color w:val="auto"/>
        </w:rPr>
      </w:pPr>
      <w:r>
        <w:rPr>
          <w:rFonts w:ascii="Arial" w:cs="Arial" w:eastAsia="Arial" w:hAnsi="Arial"/>
          <w:sz w:val="16"/>
          <w:szCs w:val="16"/>
          <w:color w:val="auto"/>
        </w:rPr>
        <w:t>hereby indemnifies the Company and any Subsidiary or Affiliate against all and any Tax-Related Items which may arise in respect of or in connection with (a) this Option, (b) any option granted or provided to you by way of rollover, assumption or replacement of this Option, or (c) the Shares or other securities issued or transferred pursuant to the exercise of this Option or any option granted or provided to you by way of rollover, assumption or replacement of this Option.</w:t>
      </w:r>
    </w:p>
    <w:p>
      <w:pPr>
        <w:spacing w:after="0" w:line="180" w:lineRule="exact"/>
        <w:rPr>
          <w:sz w:val="20"/>
          <w:szCs w:val="20"/>
          <w:color w:val="auto"/>
        </w:rPr>
      </w:pPr>
    </w:p>
    <w:p>
      <w:pPr>
        <w:ind w:left="5" w:right="620"/>
        <w:spacing w:after="0" w:line="347" w:lineRule="auto"/>
        <w:rPr>
          <w:sz w:val="20"/>
          <w:szCs w:val="20"/>
          <w:color w:val="auto"/>
        </w:rPr>
      </w:pPr>
      <w:r>
        <w:rPr>
          <w:rFonts w:ascii="Arial" w:cs="Arial" w:eastAsia="Arial" w:hAnsi="Arial"/>
          <w:sz w:val="16"/>
          <w:szCs w:val="16"/>
          <w:b w:val="1"/>
          <w:bCs w:val="1"/>
          <w:color w:val="auto"/>
        </w:rPr>
        <w:t>Restricted Securities Elections</w:t>
      </w:r>
      <w:r>
        <w:rPr>
          <w:rFonts w:ascii="Arial" w:cs="Arial" w:eastAsia="Arial" w:hAnsi="Arial"/>
          <w:sz w:val="16"/>
          <w:szCs w:val="16"/>
          <w:color w:val="auto"/>
        </w:rPr>
        <w:t>. Unless this requirement is waived by the Company, you shall enter into a joint election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appropriate employer) under section 431(1) or section 431(2) of Income Tax (Earnings &amp; Pensions) Act 2003 in respect of:</w:t>
      </w:r>
    </w:p>
    <w:p>
      <w:pPr>
        <w:spacing w:after="0" w:line="25" w:lineRule="exact"/>
        <w:rPr>
          <w:sz w:val="20"/>
          <w:szCs w:val="20"/>
          <w:color w:val="auto"/>
        </w:rPr>
      </w:pPr>
    </w:p>
    <w:p>
      <w:pPr>
        <w:ind w:left="345" w:hanging="345"/>
        <w:spacing w:after="0"/>
        <w:tabs>
          <w:tab w:leader="none" w:pos="345" w:val="left"/>
        </w:tabs>
        <w:numPr>
          <w:ilvl w:val="0"/>
          <w:numId w:val="266"/>
        </w:numPr>
        <w:rPr>
          <w:rFonts w:ascii="Arial" w:cs="Arial" w:eastAsia="Arial" w:hAnsi="Arial"/>
          <w:sz w:val="18"/>
          <w:szCs w:val="18"/>
          <w:color w:val="auto"/>
        </w:rPr>
      </w:pPr>
      <w:r>
        <w:rPr>
          <w:rFonts w:ascii="Arial" w:cs="Arial" w:eastAsia="Arial" w:hAnsi="Arial"/>
          <w:sz w:val="18"/>
          <w:szCs w:val="18"/>
          <w:color w:val="auto"/>
        </w:rPr>
        <w:t>any Shares acquired (or to be acquired) on exercise of the Option;</w:t>
      </w:r>
    </w:p>
    <w:p>
      <w:pPr>
        <w:spacing w:after="0" w:line="130" w:lineRule="exact"/>
        <w:rPr>
          <w:rFonts w:ascii="Arial" w:cs="Arial" w:eastAsia="Arial" w:hAnsi="Arial"/>
          <w:sz w:val="18"/>
          <w:szCs w:val="18"/>
          <w:color w:val="auto"/>
        </w:rPr>
      </w:pPr>
    </w:p>
    <w:p>
      <w:pPr>
        <w:ind w:left="345" w:hanging="345"/>
        <w:spacing w:after="0"/>
        <w:tabs>
          <w:tab w:leader="none" w:pos="345" w:val="left"/>
        </w:tabs>
        <w:numPr>
          <w:ilvl w:val="0"/>
          <w:numId w:val="266"/>
        </w:numPr>
        <w:rPr>
          <w:rFonts w:ascii="Arial" w:cs="Arial" w:eastAsia="Arial" w:hAnsi="Arial"/>
          <w:sz w:val="18"/>
          <w:szCs w:val="18"/>
          <w:color w:val="auto"/>
        </w:rPr>
      </w:pPr>
      <w:r>
        <w:rPr>
          <w:rFonts w:ascii="Arial" w:cs="Arial" w:eastAsia="Arial" w:hAnsi="Arial"/>
          <w:sz w:val="18"/>
          <w:szCs w:val="18"/>
          <w:color w:val="auto"/>
        </w:rPr>
        <w:t>any securities acquired (or to be acquired) as a result of any surrender of the Option; and</w:t>
      </w:r>
    </w:p>
    <w:p>
      <w:pPr>
        <w:spacing w:after="0" w:line="130" w:lineRule="exact"/>
        <w:rPr>
          <w:rFonts w:ascii="Arial" w:cs="Arial" w:eastAsia="Arial" w:hAnsi="Arial"/>
          <w:sz w:val="18"/>
          <w:szCs w:val="18"/>
          <w:color w:val="auto"/>
        </w:rPr>
      </w:pPr>
    </w:p>
    <w:p>
      <w:pPr>
        <w:ind w:left="365" w:right="640" w:hanging="365"/>
        <w:spacing w:after="0" w:line="277" w:lineRule="auto"/>
        <w:tabs>
          <w:tab w:leader="none" w:pos="342" w:val="left"/>
        </w:tabs>
        <w:numPr>
          <w:ilvl w:val="0"/>
          <w:numId w:val="266"/>
        </w:numPr>
        <w:rPr>
          <w:rFonts w:ascii="Arial" w:cs="Arial" w:eastAsia="Arial" w:hAnsi="Arial"/>
          <w:sz w:val="18"/>
          <w:szCs w:val="18"/>
          <w:color w:val="auto"/>
        </w:rPr>
      </w:pPr>
      <w:r>
        <w:rPr>
          <w:rFonts w:ascii="Arial" w:cs="Arial" w:eastAsia="Arial" w:hAnsi="Arial"/>
          <w:sz w:val="18"/>
          <w:szCs w:val="18"/>
          <w:color w:val="auto"/>
        </w:rPr>
        <w:t>any securities acquired (or to be acquired) as a result of holding either Shares acquired on exercise of the Option or securities specified in paragraph (b) above or this paragraph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-633730</wp:posOffset>
            </wp:positionH>
            <wp:positionV relativeFrom="paragraph">
              <wp:posOffset>-1905</wp:posOffset>
            </wp:positionV>
            <wp:extent cx="699516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0" w:lineRule="exact"/>
        <w:rPr>
          <w:sz w:val="20"/>
          <w:szCs w:val="20"/>
          <w:color w:val="auto"/>
        </w:rPr>
      </w:pPr>
    </w:p>
    <w:p>
      <w:pPr>
        <w:ind w:left="4425"/>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9985"/>
          </w:cols>
          <w:pgMar w:left="1435" w:top="341" w:right="479" w:bottom="1440" w:gutter="0" w:footer="0" w:header="0"/>
        </w:sectPr>
      </w:pPr>
    </w:p>
    <w:bookmarkStart w:id="310" w:name="page311"/>
    <w:bookmarkEnd w:id="310"/>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ASANA,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2012 STOCK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EARLY EXERCISE NOTICE AND RESTRICTED STOCK PURCHASE AGREEMENT</w:t>
      </w:r>
    </w:p>
    <w:p>
      <w:pPr>
        <w:spacing w:after="0" w:line="229" w:lineRule="exact"/>
        <w:rPr>
          <w:sz w:val="20"/>
          <w:szCs w:val="20"/>
          <w:color w:val="auto"/>
        </w:rPr>
      </w:pPr>
    </w:p>
    <w:p>
      <w:pPr>
        <w:ind w:left="440"/>
        <w:spacing w:after="0"/>
        <w:tabs>
          <w:tab w:leader="none" w:pos="8760" w:val="left"/>
        </w:tabs>
        <w:rPr>
          <w:sz w:val="20"/>
          <w:szCs w:val="20"/>
          <w:color w:val="auto"/>
        </w:rPr>
      </w:pPr>
      <w:r>
        <w:rPr>
          <w:rFonts w:ascii="Arial" w:cs="Arial" w:eastAsia="Arial" w:hAnsi="Arial"/>
          <w:sz w:val="18"/>
          <w:szCs w:val="18"/>
          <w:color w:val="auto"/>
        </w:rPr>
        <w:t>This Early Exercise Notice and Restricted Stock Purchase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is made as of</w:t>
      </w:r>
      <w:r>
        <w:rPr>
          <w:sz w:val="20"/>
          <w:szCs w:val="20"/>
          <w:color w:val="auto"/>
        </w:rPr>
        <w:tab/>
      </w:r>
      <w:r>
        <w:rPr>
          <w:rFonts w:ascii="Arial" w:cs="Arial" w:eastAsia="Arial" w:hAnsi="Arial"/>
          <w:sz w:val="16"/>
          <w:szCs w:val="16"/>
          <w:color w:val="auto"/>
        </w:rPr>
        <w:t>, by and between Asana,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5001260</wp:posOffset>
            </wp:positionH>
            <wp:positionV relativeFrom="paragraph">
              <wp:posOffset>-10160</wp:posOffset>
            </wp:positionV>
            <wp:extent cx="57150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3"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«Optionee» (“</w:t>
      </w:r>
      <w:r>
        <w:rPr>
          <w:rFonts w:ascii="Arial" w:cs="Arial" w:eastAsia="Arial" w:hAnsi="Arial"/>
          <w:sz w:val="18"/>
          <w:szCs w:val="18"/>
          <w:u w:val="single" w:color="auto"/>
          <w:color w:val="auto"/>
        </w:rPr>
        <w:t>Purchaser</w:t>
      </w:r>
      <w:r>
        <w:rPr>
          <w:rFonts w:ascii="Arial" w:cs="Arial" w:eastAsia="Arial" w:hAnsi="Arial"/>
          <w:sz w:val="18"/>
          <w:szCs w:val="18"/>
          <w:color w:val="auto"/>
        </w:rPr>
        <w:t>”). To the extent any capitalized terms used in this Agreement are not defined, they shall have the meaning ascribed to them in the Company’s Amended and Restated 2012 Stock Plan (the “</w:t>
      </w:r>
      <w:r>
        <w:rPr>
          <w:rFonts w:ascii="Arial" w:cs="Arial" w:eastAsia="Arial" w:hAnsi="Arial"/>
          <w:sz w:val="18"/>
          <w:szCs w:val="18"/>
          <w:u w:val="single" w:color="auto"/>
          <w:color w:val="auto"/>
        </w:rPr>
        <w:t>Plan</w:t>
      </w:r>
      <w:r>
        <w:rPr>
          <w:rFonts w:ascii="Arial" w:cs="Arial" w:eastAsia="Arial" w:hAnsi="Arial"/>
          <w:sz w:val="18"/>
          <w:szCs w:val="18"/>
          <w:color w:val="auto"/>
        </w:rPr>
        <w:t>”) and the Option Agreement (as defined below).</w:t>
      </w:r>
    </w:p>
    <w:p>
      <w:pPr>
        <w:spacing w:after="0" w:line="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b w:val="1"/>
          <w:bCs w:val="1"/>
          <w:u w:val="single" w:color="auto"/>
          <w:color w:val="auto"/>
        </w:rPr>
        <w:t>Exercise of Option</w:t>
      </w:r>
      <w:r>
        <w:rPr>
          <w:rFonts w:ascii="Arial" w:cs="Arial" w:eastAsia="Arial" w:hAnsi="Arial"/>
          <w:sz w:val="18"/>
          <w:szCs w:val="18"/>
          <w:color w:val="auto"/>
        </w:rPr>
        <w:t>. Subject to the terms and conditions hereof, Purchaser hereby elects to exercise his or her option to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6300470</wp:posOffset>
            </wp:positionH>
            <wp:positionV relativeFrom="paragraph">
              <wp:posOffset>-7620</wp:posOffset>
            </wp:positionV>
            <wp:extent cx="68580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7" w:lineRule="exact"/>
        <w:rPr>
          <w:sz w:val="20"/>
          <w:szCs w:val="20"/>
          <w:color w:val="auto"/>
        </w:rPr>
      </w:pPr>
    </w:p>
    <w:p>
      <w:pPr>
        <w:ind w:right="200"/>
        <w:spacing w:after="0" w:line="281" w:lineRule="auto"/>
        <w:rPr>
          <w:sz w:val="20"/>
          <w:szCs w:val="20"/>
          <w:color w:val="auto"/>
        </w:rPr>
      </w:pPr>
      <w:r>
        <w:rPr>
          <w:rFonts w:ascii="Arial" w:cs="Arial" w:eastAsia="Arial" w:hAnsi="Arial"/>
          <w:sz w:val="16"/>
          <w:szCs w:val="16"/>
          <w:color w:val="auto"/>
        </w:rPr>
        <w:t>shares of the Class B Common Stock (the “</w:t>
      </w:r>
      <w:r>
        <w:rPr>
          <w:rFonts w:ascii="Arial" w:cs="Arial" w:eastAsia="Arial" w:hAnsi="Arial"/>
          <w:sz w:val="16"/>
          <w:szCs w:val="16"/>
          <w:u w:val="single" w:color="auto"/>
          <w:color w:val="auto"/>
        </w:rPr>
        <w:t>Shares</w:t>
      </w:r>
      <w:r>
        <w:rPr>
          <w:rFonts w:ascii="Arial" w:cs="Arial" w:eastAsia="Arial" w:hAnsi="Arial"/>
          <w:sz w:val="16"/>
          <w:szCs w:val="16"/>
          <w:color w:val="auto"/>
        </w:rPr>
        <w:t>”) of the Company subject to the option granted on «GrantDate» pursuant to the Plan and evidenced by a Notice of Stock Option Grant and Stock Option Agreement (the “</w:t>
      </w:r>
      <w:r>
        <w:rPr>
          <w:rFonts w:ascii="Arial" w:cs="Arial" w:eastAsia="Arial" w:hAnsi="Arial"/>
          <w:sz w:val="16"/>
          <w:szCs w:val="16"/>
          <w:u w:val="single" w:color="auto"/>
          <w:color w:val="auto"/>
        </w:rPr>
        <w:t>Option Agreement</w:t>
      </w:r>
      <w:r>
        <w:rPr>
          <w:rFonts w:ascii="Arial" w:cs="Arial" w:eastAsia="Arial" w:hAnsi="Arial"/>
          <w:sz w:val="16"/>
          <w:szCs w:val="16"/>
          <w:color w:val="auto"/>
        </w:rPr>
        <w:t>”). Of these Shares, Purchaser has elected to purchase</w:t>
      </w:r>
    </w:p>
    <w:p>
      <w:pPr>
        <w:spacing w:after="0" w:line="1" w:lineRule="exact"/>
        <w:rPr>
          <w:sz w:val="20"/>
          <w:szCs w:val="20"/>
          <w:color w:val="auto"/>
        </w:rPr>
      </w:pPr>
    </w:p>
    <w:p>
      <w:pPr>
        <w:ind w:firstLine="945"/>
        <w:spacing w:after="0" w:line="281" w:lineRule="auto"/>
        <w:rPr>
          <w:sz w:val="20"/>
          <w:szCs w:val="20"/>
          <w:color w:val="auto"/>
        </w:rPr>
      </w:pPr>
      <w:r>
        <w:rPr>
          <w:rFonts w:ascii="Arial" w:cs="Arial" w:eastAsia="Arial" w:hAnsi="Arial"/>
          <w:sz w:val="16"/>
          <w:szCs w:val="16"/>
          <w:color w:val="auto"/>
        </w:rPr>
        <w:t>of those Shares which have become vested as of the date hereof under the Vesting/Exercise Schedule set forth in the Notice of Stock Option Grant (the “</w:t>
      </w:r>
      <w:r>
        <w:rPr>
          <w:rFonts w:ascii="Arial" w:cs="Arial" w:eastAsia="Arial" w:hAnsi="Arial"/>
          <w:sz w:val="16"/>
          <w:szCs w:val="16"/>
          <w:u w:val="single" w:color="auto"/>
          <w:color w:val="auto"/>
        </w:rPr>
        <w:t>Vested Shares</w:t>
      </w:r>
      <w:r>
        <w:rPr>
          <w:rFonts w:ascii="Arial" w:cs="Arial" w:eastAsia="Arial" w:hAnsi="Arial"/>
          <w:sz w:val="16"/>
          <w:szCs w:val="16"/>
          <w:color w:val="auto"/>
        </w:rPr>
        <w:t>”) and Shares which have not yet vested under such Vesting/Exercise Schedule (the “</w:t>
      </w:r>
      <w:r>
        <w:rPr>
          <w:rFonts w:ascii="Arial" w:cs="Arial" w:eastAsia="Arial" w:hAnsi="Arial"/>
          <w:sz w:val="16"/>
          <w:szCs w:val="16"/>
          <w:u w:val="single" w:color="auto"/>
          <w:color w:val="auto"/>
        </w:rPr>
        <w:t>Unvested Shares</w:t>
      </w:r>
      <w:r>
        <w:rPr>
          <w:rFonts w:ascii="Arial" w:cs="Arial" w:eastAsia="Arial" w:hAnsi="Arial"/>
          <w:sz w:val="16"/>
          <w:szCs w:val="16"/>
          <w:color w:val="auto"/>
        </w:rPr>
        <w:t>”). The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-161290</wp:posOffset>
            </wp:positionV>
            <wp:extent cx="57150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ind w:right="20"/>
        <w:spacing w:after="0" w:line="253" w:lineRule="auto"/>
        <w:rPr>
          <w:sz w:val="20"/>
          <w:szCs w:val="20"/>
          <w:color w:val="auto"/>
        </w:rPr>
      </w:pPr>
      <w:r>
        <w:rPr>
          <w:rFonts w:ascii="Arial" w:cs="Arial" w:eastAsia="Arial" w:hAnsi="Arial"/>
          <w:sz w:val="18"/>
          <w:szCs w:val="18"/>
          <w:color w:val="auto"/>
        </w:rPr>
        <w:t>for the Shares shall be USD $ per Share for a total purchase price of USD $ . The term “</w:t>
      </w:r>
      <w:r>
        <w:rPr>
          <w:rFonts w:ascii="Arial" w:cs="Arial" w:eastAsia="Arial" w:hAnsi="Arial"/>
          <w:sz w:val="18"/>
          <w:szCs w:val="18"/>
          <w:u w:val="single" w:color="auto"/>
          <w:color w:val="auto"/>
        </w:rPr>
        <w:t>Shares</w:t>
      </w:r>
      <w:r>
        <w:rPr>
          <w:rFonts w:ascii="Arial" w:cs="Arial" w:eastAsia="Arial" w:hAnsi="Arial"/>
          <w:sz w:val="18"/>
          <w:szCs w:val="18"/>
          <w:color w:val="auto"/>
        </w:rPr>
        <w:t>” refers to the purchased Shares and all securities received in connection with the Shares pursuant to stock dividends or splits, all securities received in replacement of the Shares in a recapitalization, merger, reorganization, exchange or the like, and all new, substituted or additional securities or other property to which Purchaser is entitled by reason of Purchaser’s ownership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1384300</wp:posOffset>
            </wp:positionH>
            <wp:positionV relativeFrom="paragraph">
              <wp:posOffset>-441960</wp:posOffset>
            </wp:positionV>
            <wp:extent cx="57150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571500" cy="8255"/>
                    </a:xfrm>
                    <a:prstGeom prst="rect">
                      <a:avLst/>
                    </a:prstGeom>
                    <a:noFill/>
                  </pic:spPr>
                </pic:pic>
              </a:graphicData>
            </a:graphic>
          </wp:anchor>
        </w:drawing>
        <w:drawing>
          <wp:anchor simplePos="0" relativeHeight="251657728" behindDoc="1" locked="0" layoutInCell="0" allowOverlap="1">
            <wp:simplePos x="0" y="0"/>
            <wp:positionH relativeFrom="column">
              <wp:posOffset>4077970</wp:posOffset>
            </wp:positionH>
            <wp:positionV relativeFrom="paragraph">
              <wp:posOffset>-441960</wp:posOffset>
            </wp:positionV>
            <wp:extent cx="80010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61" w:lineRule="exact"/>
        <w:rPr>
          <w:sz w:val="20"/>
          <w:szCs w:val="20"/>
          <w:color w:val="auto"/>
        </w:rPr>
      </w:pPr>
    </w:p>
    <w:p>
      <w:pPr>
        <w:ind w:right="80" w:firstLine="436"/>
        <w:spacing w:after="0" w:line="255" w:lineRule="auto"/>
        <w:tabs>
          <w:tab w:leader="none" w:pos="620" w:val="left"/>
        </w:tabs>
        <w:numPr>
          <w:ilvl w:val="0"/>
          <w:numId w:val="267"/>
        </w:numPr>
        <w:rPr>
          <w:rFonts w:ascii="Arial" w:cs="Arial" w:eastAsia="Arial" w:hAnsi="Arial"/>
          <w:sz w:val="18"/>
          <w:szCs w:val="18"/>
          <w:color w:val="auto"/>
        </w:rPr>
      </w:pPr>
      <w:r>
        <w:rPr>
          <w:rFonts w:ascii="Arial" w:cs="Arial" w:eastAsia="Arial" w:hAnsi="Arial"/>
          <w:sz w:val="18"/>
          <w:szCs w:val="18"/>
          <w:b w:val="1"/>
          <w:bCs w:val="1"/>
          <w:u w:val="single" w:color="auto"/>
          <w:color w:val="auto"/>
        </w:rPr>
        <w:t>Time and Place of Exercise</w:t>
      </w:r>
      <w:r>
        <w:rPr>
          <w:rFonts w:ascii="Arial" w:cs="Arial" w:eastAsia="Arial" w:hAnsi="Arial"/>
          <w:sz w:val="18"/>
          <w:szCs w:val="18"/>
          <w:color w:val="auto"/>
        </w:rPr>
        <w:t>. The purchase and sale of the Shares under this Agreement shall occur at the principal office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simultaneously with the execution and delivery of this Agreement, the payment of the aggregate exercise price by any method listed in Section 4 of the Option Agreement, and the satisfaction of any applicable tax, withholding, required deductions or other payments, all in accordance with the provisions of Section 3(b) of the Option Agreement. The Company shall issue the Shares to Purchaser by entering such Shares in Purchaser’s name as of such date in the books and records of the Company or, if applicable, a duly authorized transfer agent of the Company, against payment of the exercise price therefor by Purchaser. If applicable, the Company will deliver to Purchaser a certificate representing the Shares as soon as practicable following such date.</w:t>
      </w:r>
    </w:p>
    <w:p>
      <w:pPr>
        <w:spacing w:after="0" w:line="80" w:lineRule="exact"/>
        <w:rPr>
          <w:rFonts w:ascii="Arial" w:cs="Arial" w:eastAsia="Arial" w:hAnsi="Arial"/>
          <w:sz w:val="18"/>
          <w:szCs w:val="18"/>
          <w:color w:val="auto"/>
        </w:rPr>
      </w:pPr>
    </w:p>
    <w:p>
      <w:pPr>
        <w:ind w:right="160" w:firstLine="436"/>
        <w:spacing w:after="0" w:line="256" w:lineRule="auto"/>
        <w:tabs>
          <w:tab w:leader="none" w:pos="620" w:val="left"/>
        </w:tabs>
        <w:numPr>
          <w:ilvl w:val="0"/>
          <w:numId w:val="267"/>
        </w:numPr>
        <w:rPr>
          <w:rFonts w:ascii="Arial" w:cs="Arial" w:eastAsia="Arial" w:hAnsi="Arial"/>
          <w:sz w:val="18"/>
          <w:szCs w:val="18"/>
          <w:color w:val="auto"/>
        </w:rPr>
      </w:pPr>
      <w:r>
        <w:rPr>
          <w:rFonts w:ascii="Arial" w:cs="Arial" w:eastAsia="Arial" w:hAnsi="Arial"/>
          <w:sz w:val="18"/>
          <w:szCs w:val="18"/>
          <w:b w:val="1"/>
          <w:bCs w:val="1"/>
          <w:u w:val="single" w:color="auto"/>
          <w:color w:val="auto"/>
        </w:rPr>
        <w:t>Limitations on Transfer</w:t>
      </w:r>
      <w:r>
        <w:rPr>
          <w:rFonts w:ascii="Arial" w:cs="Arial" w:eastAsia="Arial" w:hAnsi="Arial"/>
          <w:sz w:val="18"/>
          <w:szCs w:val="18"/>
          <w:color w:val="auto"/>
        </w:rPr>
        <w:t>. Purchaser acknowledges and agrees that the Shares purchased under this Agreement are subject to (i) the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that apply to the Company’s Common Stock, as set forth in the Company’s Amended and Restated Bylaws, including (without limitation) certain transfer restrictions set forth in Article X of the Company’s Amended and Restated Bylaws, as may be in effect at the time of any proposed transfer (the “</w:t>
      </w:r>
      <w:r>
        <w:rPr>
          <w:rFonts w:ascii="Arial" w:cs="Arial" w:eastAsia="Arial" w:hAnsi="Arial"/>
          <w:sz w:val="18"/>
          <w:szCs w:val="18"/>
          <w:u w:val="single" w:color="auto"/>
          <w:color w:val="auto"/>
        </w:rPr>
        <w:t>Bylaw Restrictions</w:t>
      </w:r>
      <w:r>
        <w:rPr>
          <w:rFonts w:ascii="Arial" w:cs="Arial" w:eastAsia="Arial" w:hAnsi="Arial"/>
          <w:sz w:val="18"/>
          <w:szCs w:val="18"/>
          <w:color w:val="auto"/>
        </w:rPr>
        <w:t>”), and (ii) any other limitation or restriction on transfer created by Applicable Laws. In addition to the foregoing limitations on transfer, Purchaser shall not assign, encumber or dispose of any interest in the Shares while the Shares are subject to the Company’s Repurchase Option (as defined below).</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440" w:top="270" w:right="459" w:bottom="1440" w:gutter="0" w:footer="0" w:header="0"/>
        </w:sectPr>
      </w:pPr>
    </w:p>
    <w:bookmarkStart w:id="311" w:name="page312"/>
    <w:bookmarkEnd w:id="311"/>
    <w:p>
      <w:pPr>
        <w:ind w:right="46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After any Shares have been released from such Repurchase Option, Purchaser shall not assign, encumber or dispose of any interest in such Shares except to the extent permitted by, and in compliance with, the Bylaw Restrictions, Applicable Laws, and the provisions below.</w:t>
      </w:r>
    </w:p>
    <w:p>
      <w:pPr>
        <w:spacing w:after="0" w:line="34" w:lineRule="exact"/>
        <w:rPr>
          <w:sz w:val="20"/>
          <w:szCs w:val="20"/>
          <w:color w:val="auto"/>
        </w:rPr>
      </w:pPr>
    </w:p>
    <w:p>
      <w:pPr>
        <w:ind w:left="1240" w:hanging="253"/>
        <w:spacing w:after="0"/>
        <w:tabs>
          <w:tab w:leader="none" w:pos="1240" w:val="left"/>
        </w:tabs>
        <w:numPr>
          <w:ilvl w:val="0"/>
          <w:numId w:val="268"/>
        </w:numPr>
        <w:rPr>
          <w:rFonts w:ascii="Arial" w:cs="Arial" w:eastAsia="Arial" w:hAnsi="Arial"/>
          <w:sz w:val="18"/>
          <w:szCs w:val="18"/>
          <w:color w:val="auto"/>
        </w:rPr>
      </w:pPr>
      <w:r>
        <w:rPr>
          <w:rFonts w:ascii="Arial" w:cs="Arial" w:eastAsia="Arial" w:hAnsi="Arial"/>
          <w:sz w:val="18"/>
          <w:szCs w:val="18"/>
          <w:b w:val="1"/>
          <w:bCs w:val="1"/>
          <w:u w:val="single" w:color="auto"/>
          <w:color w:val="auto"/>
        </w:rPr>
        <w:t>Repurchase Option</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firstLine="1428"/>
        <w:spacing w:after="0" w:line="296" w:lineRule="auto"/>
        <w:tabs>
          <w:tab w:leader="none" w:pos="1647" w:val="left"/>
        </w:tabs>
        <w:numPr>
          <w:ilvl w:val="1"/>
          <w:numId w:val="268"/>
        </w:numPr>
        <w:rPr>
          <w:rFonts w:ascii="Arial" w:cs="Arial" w:eastAsia="Arial" w:hAnsi="Arial"/>
          <w:sz w:val="16"/>
          <w:szCs w:val="16"/>
          <w:color w:val="auto"/>
        </w:rPr>
      </w:pPr>
      <w:r>
        <w:rPr>
          <w:rFonts w:ascii="Arial" w:cs="Arial" w:eastAsia="Arial" w:hAnsi="Arial"/>
          <w:sz w:val="16"/>
          <w:szCs w:val="16"/>
          <w:color w:val="auto"/>
        </w:rPr>
        <w:t>In the event of the voluntary or involuntary termination of Purchaser’s Continuous Service Status with the Company for any reason (including death or Disability), with or without Cause, the Company shall upon the date of such termination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have an irrevocable, exclusive option (the “</w:t>
      </w:r>
      <w:r>
        <w:rPr>
          <w:rFonts w:ascii="Arial" w:cs="Arial" w:eastAsia="Arial" w:hAnsi="Arial"/>
          <w:sz w:val="16"/>
          <w:szCs w:val="16"/>
          <w:u w:val="single" w:color="auto"/>
          <w:color w:val="auto"/>
        </w:rPr>
        <w:t>Repurchase Option</w:t>
      </w:r>
      <w:r>
        <w:rPr>
          <w:rFonts w:ascii="Arial" w:cs="Arial" w:eastAsia="Arial" w:hAnsi="Arial"/>
          <w:sz w:val="16"/>
          <w:szCs w:val="16"/>
          <w:color w:val="auto"/>
        </w:rPr>
        <w:t>”) for a period of 3 months from such date to repurchase all or any portion of the Unvested Shares (as defined below) held by Purchaser as of the Termination Date at the original purchase price per Share (adjusted for any stock splits, stock dividends and the like) specified in Section 1. As used herein, “</w:t>
      </w:r>
      <w:r>
        <w:rPr>
          <w:rFonts w:ascii="Arial" w:cs="Arial" w:eastAsia="Arial" w:hAnsi="Arial"/>
          <w:sz w:val="16"/>
          <w:szCs w:val="16"/>
          <w:u w:val="single" w:color="auto"/>
          <w:color w:val="auto"/>
        </w:rPr>
        <w:t>Unvested Shares</w:t>
      </w:r>
      <w:r>
        <w:rPr>
          <w:rFonts w:ascii="Arial" w:cs="Arial" w:eastAsia="Arial" w:hAnsi="Arial"/>
          <w:sz w:val="16"/>
          <w:szCs w:val="16"/>
          <w:color w:val="auto"/>
        </w:rPr>
        <w:t>” means Shares that have not yet been released from the Repurchase Option.</w:t>
      </w:r>
    </w:p>
    <w:p>
      <w:pPr>
        <w:spacing w:after="0" w:line="53" w:lineRule="exact"/>
        <w:rPr>
          <w:rFonts w:ascii="Arial" w:cs="Arial" w:eastAsia="Arial" w:hAnsi="Arial"/>
          <w:sz w:val="16"/>
          <w:szCs w:val="16"/>
          <w:color w:val="auto"/>
        </w:rPr>
      </w:pPr>
    </w:p>
    <w:p>
      <w:pPr>
        <w:ind w:firstLine="1428"/>
        <w:spacing w:after="0" w:line="285" w:lineRule="auto"/>
        <w:tabs>
          <w:tab w:leader="none" w:pos="1697" w:val="left"/>
        </w:tabs>
        <w:numPr>
          <w:ilvl w:val="1"/>
          <w:numId w:val="268"/>
        </w:numPr>
        <w:rPr>
          <w:rFonts w:ascii="Arial" w:cs="Arial" w:eastAsia="Arial" w:hAnsi="Arial"/>
          <w:sz w:val="16"/>
          <w:szCs w:val="16"/>
          <w:color w:val="auto"/>
        </w:rPr>
      </w:pPr>
      <w:r>
        <w:rPr>
          <w:rFonts w:ascii="Arial" w:cs="Arial" w:eastAsia="Arial" w:hAnsi="Arial"/>
          <w:sz w:val="16"/>
          <w:szCs w:val="16"/>
          <w:color w:val="auto"/>
        </w:rPr>
        <w:t>Unless the Company notifies Purchaser within 3 months from the Termination Date that it does not intend to exercise its Repurchase Option with respect to some or all of the Unvested Shares, the Repurchase Option shall be deemed automatically exercised by the Company as of the end of such 3-month period following the Termination Date, provided that the Company may notify Purchaser that it is exercising its Repurchase Option as of a date prior to the end of such 3-month period. Unless Purchaser is otherwise notified by the Company pursuant to the preceding sentence that the Company does not intend to exercise its Repurchase Option as to some or all of the Unvested Shares to which it applies at the time of termination, execution of this Agreement by Purchaser constitutes written notice to Purchaser of the Company’s intention to exercise its Repurchase Option with respect to all Unvested Shares to which such Repurchase Option applies. The Company, at its choice, may satisfy its payment obligation to Purchaser with respect to exercise of the Repurchase Option by either (A) delivering a check to Purchaser in the amount of the purchase price for the Unvested Shares being repurchased, or (B) in the event Purchaser is indebted to the Company, canceling an amount of such indebtedness equal to the purchase price for the Unvested Shares being repurchased, or (C) by a combination of (A) and (B) so that the combined payment and cancellation of indebtedness equals such purchase price. In the event of any deemed automatic exercise of the Repurchase Option pursuant to this Section 3(a)(ii) in which Purchaser is indebted to the Company, such indebtedness equal to the purchase price of the Unvested Shares being repurchased shall be deemed automatically canceled as of the end of such 3-month period following the Termination Date unless the Company otherwise satisfies its payment obligations. As a result of any repurchase of Unvested Shares pursuant to this Section 3(a), the Company shall become the legal and beneficial owner of the Unvested Shares being repurchased and shall have all rights and interest therein or related thereto, and the Company shall have the right to transfer to its own name the number of Unvested Shares being repurchased by the Company, without further action by Purchaser.</w:t>
      </w:r>
    </w:p>
    <w:p>
      <w:pPr>
        <w:spacing w:after="0" w:line="68" w:lineRule="exact"/>
        <w:rPr>
          <w:rFonts w:ascii="Arial" w:cs="Arial" w:eastAsia="Arial" w:hAnsi="Arial"/>
          <w:sz w:val="16"/>
          <w:szCs w:val="16"/>
          <w:color w:val="auto"/>
        </w:rPr>
      </w:pPr>
    </w:p>
    <w:p>
      <w:pPr>
        <w:ind w:firstLine="1428"/>
        <w:spacing w:after="0" w:line="259" w:lineRule="auto"/>
        <w:tabs>
          <w:tab w:leader="none" w:pos="1747" w:val="left"/>
        </w:tabs>
        <w:numPr>
          <w:ilvl w:val="1"/>
          <w:numId w:val="268"/>
        </w:numPr>
        <w:rPr>
          <w:rFonts w:ascii="Arial" w:cs="Arial" w:eastAsia="Arial" w:hAnsi="Arial"/>
          <w:sz w:val="18"/>
          <w:szCs w:val="18"/>
          <w:color w:val="auto"/>
        </w:rPr>
      </w:pPr>
      <w:r>
        <w:rPr>
          <w:rFonts w:ascii="Arial" w:cs="Arial" w:eastAsia="Arial" w:hAnsi="Arial"/>
          <w:sz w:val="18"/>
          <w:szCs w:val="18"/>
          <w:color w:val="auto"/>
        </w:rPr>
        <w:t>One hundred percent (100%) of the Shares shall initially be subject to the Repurchase Option. The Unvested Shares shall be released from the Repurchase Option in accordance with the Vesting/Exercise Schedule set forth in the Notice of Stock Option Grant until all Shares are released from the Repurchase Option; provided, however, that such scheduled releases from the Repurchase Option shall immediately cease as of the Termination Date. Fractional shares shall be rounded to the nearest whole share.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4" w:right="499" w:bottom="1440" w:gutter="0" w:footer="0" w:header="0"/>
        </w:sectPr>
      </w:pPr>
    </w:p>
    <w:bookmarkStart w:id="312" w:name="page313"/>
    <w:bookmarkEnd w:id="312"/>
    <w:p>
      <w:pPr>
        <w:ind w:left="4" w:firstLine="987"/>
        <w:spacing w:after="0" w:line="285" w:lineRule="auto"/>
        <w:tabs>
          <w:tab w:leader="none" w:pos="1250" w:val="left"/>
        </w:tabs>
        <w:numPr>
          <w:ilvl w:val="1"/>
          <w:numId w:val="269"/>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Transfer Restrictions; Right of First Refusal</w:t>
      </w:r>
      <w:r>
        <w:rPr>
          <w:rFonts w:ascii="Arial" w:cs="Arial" w:eastAsia="Arial" w:hAnsi="Arial"/>
          <w:sz w:val="16"/>
          <w:szCs w:val="16"/>
          <w:color w:val="auto"/>
        </w:rPr>
        <w:t>. Before any Shares held by Purchaser or any transferee of Purchaser (either being</w:t>
      </w:r>
      <w:r>
        <w:rPr>
          <w:rFonts w:ascii="Arial" w:cs="Arial" w:eastAsia="Arial" w:hAnsi="Arial"/>
          <w:sz w:val="16"/>
          <w:szCs w:val="16"/>
          <w:b w:val="1"/>
          <w:bCs w:val="1"/>
          <w:color w:val="auto"/>
        </w:rPr>
        <w:t xml:space="preserve"> </w:t>
      </w:r>
      <w:r>
        <w:rPr>
          <w:rFonts w:ascii="Arial" w:cs="Arial" w:eastAsia="Arial" w:hAnsi="Arial"/>
          <w:sz w:val="16"/>
          <w:szCs w:val="16"/>
          <w:color w:val="auto"/>
        </w:rPr>
        <w:t>sometimes referred to herein as the “</w:t>
      </w:r>
      <w:r>
        <w:rPr>
          <w:rFonts w:ascii="Arial" w:cs="Arial" w:eastAsia="Arial" w:hAnsi="Arial"/>
          <w:sz w:val="16"/>
          <w:szCs w:val="16"/>
          <w:u w:val="single" w:color="auto"/>
          <w:color w:val="auto"/>
        </w:rPr>
        <w:t>Holder</w:t>
      </w:r>
      <w:r>
        <w:rPr>
          <w:rFonts w:ascii="Arial" w:cs="Arial" w:eastAsia="Arial" w:hAnsi="Arial"/>
          <w:sz w:val="16"/>
          <w:szCs w:val="16"/>
          <w:color w:val="auto"/>
        </w:rPr>
        <w:t>”) may be sold or otherwise transferred (including transfer by gift or operation of law), the Company shall first have the right to approve such sale or transfer, in full or in part, and shall then have the right to purchase all or any part of the Shares proposed to be sold or transferred, in each case, in its sole and absolute discretion (the “</w:t>
      </w:r>
      <w:r>
        <w:rPr>
          <w:rFonts w:ascii="Arial" w:cs="Arial" w:eastAsia="Arial" w:hAnsi="Arial"/>
          <w:sz w:val="16"/>
          <w:szCs w:val="16"/>
          <w:u w:val="single" w:color="auto"/>
          <w:color w:val="auto"/>
        </w:rPr>
        <w:t>Right of First Refusal</w:t>
      </w:r>
      <w:r>
        <w:rPr>
          <w:rFonts w:ascii="Arial" w:cs="Arial" w:eastAsia="Arial" w:hAnsi="Arial"/>
          <w:sz w:val="16"/>
          <w:szCs w:val="16"/>
          <w:color w:val="auto"/>
        </w:rPr>
        <w:t>”). If the Holder would like to sell or transfer any Shares, the Holder must provide the Company or its assignee(s) with a Notice (as defined below) requesting approval to sell or transfer the Shares and offering the Company or its assignee(s) a Right of First Refusal on the same terms and conditions set forth in this Section 3(b). The Company may either</w:t>
      </w:r>
    </w:p>
    <w:p>
      <w:pPr>
        <w:spacing w:after="0" w:line="3" w:lineRule="exact"/>
        <w:rPr>
          <w:rFonts w:ascii="Arial" w:cs="Arial" w:eastAsia="Arial" w:hAnsi="Arial"/>
          <w:sz w:val="16"/>
          <w:szCs w:val="16"/>
          <w:color w:val="auto"/>
        </w:rPr>
      </w:pPr>
    </w:p>
    <w:p>
      <w:pPr>
        <w:ind w:left="4" w:right="180" w:hanging="4"/>
        <w:spacing w:after="0" w:line="277" w:lineRule="auto"/>
        <w:tabs>
          <w:tab w:leader="none" w:pos="259" w:val="left"/>
        </w:tabs>
        <w:numPr>
          <w:ilvl w:val="0"/>
          <w:numId w:val="270"/>
        </w:numPr>
        <w:rPr>
          <w:rFonts w:ascii="Arial" w:cs="Arial" w:eastAsia="Arial" w:hAnsi="Arial"/>
          <w:sz w:val="17"/>
          <w:szCs w:val="17"/>
          <w:color w:val="auto"/>
        </w:rPr>
      </w:pPr>
      <w:r>
        <w:rPr>
          <w:rFonts w:ascii="Arial" w:cs="Arial" w:eastAsia="Arial" w:hAnsi="Arial"/>
          <w:sz w:val="17"/>
          <w:szCs w:val="17"/>
          <w:color w:val="auto"/>
        </w:rPr>
        <w:t>exercise its Right of First Refusal in full or in part and purchase such Shares pursuant to this Section 3(b), (2) decline to exercise its Right of First Refusal in full or in part and permit the sale or transfer of such Shares to the Proposed Transferee (as defined below) in full or in part, or (3) decline to exercise its Right of First Refusal in full or in part and decline the request to sell or transfer the Shares in full or in part.</w:t>
      </w:r>
    </w:p>
    <w:p>
      <w:pPr>
        <w:spacing w:after="0" w:line="61" w:lineRule="exact"/>
        <w:rPr>
          <w:sz w:val="20"/>
          <w:szCs w:val="20"/>
          <w:color w:val="auto"/>
        </w:rPr>
      </w:pPr>
    </w:p>
    <w:p>
      <w:pPr>
        <w:ind w:left="1644" w:hanging="212"/>
        <w:spacing w:after="0"/>
        <w:tabs>
          <w:tab w:leader="none" w:pos="1644" w:val="left"/>
        </w:tabs>
        <w:numPr>
          <w:ilvl w:val="1"/>
          <w:numId w:val="271"/>
        </w:numPr>
        <w:rPr>
          <w:rFonts w:ascii="Arial" w:cs="Arial" w:eastAsia="Arial" w:hAnsi="Arial"/>
          <w:sz w:val="17"/>
          <w:szCs w:val="17"/>
          <w:color w:val="auto"/>
        </w:rPr>
      </w:pPr>
      <w:r>
        <w:rPr>
          <w:rFonts w:ascii="Arial" w:cs="Arial" w:eastAsia="Arial" w:hAnsi="Arial"/>
          <w:sz w:val="17"/>
          <w:szCs w:val="17"/>
          <w:b w:val="1"/>
          <w:bCs w:val="1"/>
          <w:u w:val="single" w:color="auto"/>
          <w:color w:val="auto"/>
        </w:rPr>
        <w:t>Notice of Proposed Transfer</w:t>
      </w:r>
      <w:r>
        <w:rPr>
          <w:rFonts w:ascii="Arial" w:cs="Arial" w:eastAsia="Arial" w:hAnsi="Arial"/>
          <w:sz w:val="17"/>
          <w:szCs w:val="17"/>
          <w:color w:val="auto"/>
        </w:rPr>
        <w:t>. The Holder of the Shares shall deliver to the Company a written notice (the “</w:t>
      </w:r>
      <w:r>
        <w:rPr>
          <w:rFonts w:ascii="Arial" w:cs="Arial" w:eastAsia="Arial" w:hAnsi="Arial"/>
          <w:sz w:val="17"/>
          <w:szCs w:val="17"/>
          <w:u w:val="single" w:color="auto"/>
          <w:color w:val="auto"/>
        </w:rPr>
        <w:t>Notice</w:t>
      </w:r>
      <w:r>
        <w:rPr>
          <w:rFonts w:ascii="Arial" w:cs="Arial" w:eastAsia="Arial" w:hAnsi="Arial"/>
          <w:sz w:val="17"/>
          <w:szCs w:val="17"/>
          <w:color w:val="auto"/>
        </w:rPr>
        <w:t>”) stating:</w:t>
      </w:r>
    </w:p>
    <w:p>
      <w:pPr>
        <w:spacing w:after="0" w:line="38" w:lineRule="exact"/>
        <w:rPr>
          <w:rFonts w:ascii="Arial" w:cs="Arial" w:eastAsia="Arial" w:hAnsi="Arial"/>
          <w:sz w:val="17"/>
          <w:szCs w:val="17"/>
          <w:color w:val="auto"/>
        </w:rPr>
      </w:pPr>
    </w:p>
    <w:p>
      <w:pPr>
        <w:ind w:left="4" w:right="380" w:hanging="4"/>
        <w:spacing w:after="0" w:line="295" w:lineRule="auto"/>
        <w:tabs>
          <w:tab w:leader="none" w:pos="299" w:val="left"/>
        </w:tabs>
        <w:numPr>
          <w:ilvl w:val="0"/>
          <w:numId w:val="272"/>
        </w:numPr>
        <w:rPr>
          <w:rFonts w:ascii="Arial" w:cs="Arial" w:eastAsia="Arial" w:hAnsi="Arial"/>
          <w:sz w:val="16"/>
          <w:szCs w:val="16"/>
          <w:color w:val="auto"/>
        </w:rPr>
      </w:pPr>
      <w:r>
        <w:rPr>
          <w:rFonts w:ascii="Arial" w:cs="Arial" w:eastAsia="Arial" w:hAnsi="Arial"/>
          <w:sz w:val="16"/>
          <w:szCs w:val="16"/>
          <w:color w:val="auto"/>
        </w:rPr>
        <w:t>the Holder’s intention to sell or otherwise transfer such Shares; (B) the name of each proposed purchaser or other transferee (“</w:t>
      </w:r>
      <w:r>
        <w:rPr>
          <w:rFonts w:ascii="Arial" w:cs="Arial" w:eastAsia="Arial" w:hAnsi="Arial"/>
          <w:sz w:val="16"/>
          <w:szCs w:val="16"/>
          <w:u w:val="single" w:color="auto"/>
          <w:color w:val="auto"/>
        </w:rPr>
        <w:t>Proposed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Transferee</w:t>
      </w:r>
      <w:r>
        <w:rPr>
          <w:rFonts w:ascii="Arial" w:cs="Arial" w:eastAsia="Arial" w:hAnsi="Arial"/>
          <w:sz w:val="16"/>
          <w:szCs w:val="16"/>
          <w:color w:val="auto"/>
        </w:rPr>
        <w:t>”); (C) the number of Shares to be sold or transferred to each Proposed Transferee; (D) the terms and conditions of each proposed sale or transfer, including (without limitation) the purchase price for such Shares (the “</w:t>
      </w:r>
      <w:r>
        <w:rPr>
          <w:rFonts w:ascii="Arial" w:cs="Arial" w:eastAsia="Arial" w:hAnsi="Arial"/>
          <w:sz w:val="16"/>
          <w:szCs w:val="16"/>
          <w:u w:val="single" w:color="auto"/>
          <w:color w:val="auto"/>
        </w:rPr>
        <w:t>Purchase Price</w:t>
      </w:r>
      <w:r>
        <w:rPr>
          <w:rFonts w:ascii="Arial" w:cs="Arial" w:eastAsia="Arial" w:hAnsi="Arial"/>
          <w:sz w:val="16"/>
          <w:szCs w:val="16"/>
          <w:color w:val="auto"/>
        </w:rPr>
        <w:t>”); and (E) the Holder’s offer to the Company or its assignee(s) to purchase the Shares at the Purchase Price and upon the same terms (or terms that are no less favorable to the Company).</w:t>
      </w:r>
    </w:p>
    <w:p>
      <w:pPr>
        <w:spacing w:after="0" w:line="49" w:lineRule="exact"/>
        <w:rPr>
          <w:rFonts w:ascii="Arial" w:cs="Arial" w:eastAsia="Arial" w:hAnsi="Arial"/>
          <w:sz w:val="16"/>
          <w:szCs w:val="16"/>
          <w:color w:val="auto"/>
        </w:rPr>
      </w:pPr>
    </w:p>
    <w:p>
      <w:pPr>
        <w:ind w:left="4" w:right="140" w:firstLine="1428"/>
        <w:spacing w:after="0" w:line="294" w:lineRule="auto"/>
        <w:tabs>
          <w:tab w:leader="none" w:pos="1701" w:val="left"/>
        </w:tabs>
        <w:numPr>
          <w:ilvl w:val="1"/>
          <w:numId w:val="272"/>
        </w:numPr>
        <w:rPr>
          <w:rFonts w:ascii="Arial" w:cs="Arial" w:eastAsia="Arial" w:hAnsi="Arial"/>
          <w:sz w:val="16"/>
          <w:szCs w:val="16"/>
          <w:color w:val="auto"/>
        </w:rPr>
      </w:pPr>
      <w:r>
        <w:rPr>
          <w:rFonts w:ascii="Arial" w:cs="Arial" w:eastAsia="Arial" w:hAnsi="Arial"/>
          <w:sz w:val="16"/>
          <w:szCs w:val="16"/>
          <w:b w:val="1"/>
          <w:bCs w:val="1"/>
          <w:u w:val="single" w:color="auto"/>
          <w:color w:val="auto"/>
        </w:rPr>
        <w:t>Exercise of Right of First Refusal</w:t>
      </w:r>
      <w:r>
        <w:rPr>
          <w:rFonts w:ascii="Arial" w:cs="Arial" w:eastAsia="Arial" w:hAnsi="Arial"/>
          <w:sz w:val="16"/>
          <w:szCs w:val="16"/>
          <w:color w:val="auto"/>
        </w:rPr>
        <w:t>. At any time within 30 days after receipt of the Notice, the Company and/or its assignee(s)</w:t>
      </w:r>
      <w:r>
        <w:rPr>
          <w:rFonts w:ascii="Arial" w:cs="Arial" w:eastAsia="Arial" w:hAnsi="Arial"/>
          <w:sz w:val="16"/>
          <w:szCs w:val="16"/>
          <w:b w:val="1"/>
          <w:bCs w:val="1"/>
          <w:color w:val="auto"/>
        </w:rPr>
        <w:t xml:space="preserve"> </w:t>
      </w:r>
      <w:r>
        <w:rPr>
          <w:rFonts w:ascii="Arial" w:cs="Arial" w:eastAsia="Arial" w:hAnsi="Arial"/>
          <w:sz w:val="16"/>
          <w:szCs w:val="16"/>
          <w:color w:val="auto"/>
        </w:rPr>
        <w:t>shall deliver a written notice to the Holder indicating whether the Company and/or its assignee(s) elect to permit or reject the proposed sale or transfer, in full or in part, and/or elect to accept or decline the offer to purchase any or all of the Shares proposed to be sold or transferred to any one or more of the Proposed Transferees, at the Purchase Price, provided that if the Purchase Price consists of no legal consideration (as, for example, in the case of a transfer by gift), the purchase price will be the fair market value of the Shares as determined in good faith by the Company. If the Purchase Price includes consideration other than cash, the cash equivalent value of the non-cash consideration shall be determined by the Company in good faith.</w:t>
      </w:r>
    </w:p>
    <w:p>
      <w:pPr>
        <w:spacing w:after="0" w:line="51" w:lineRule="exact"/>
        <w:rPr>
          <w:rFonts w:ascii="Arial" w:cs="Arial" w:eastAsia="Arial" w:hAnsi="Arial"/>
          <w:sz w:val="16"/>
          <w:szCs w:val="16"/>
          <w:color w:val="auto"/>
        </w:rPr>
      </w:pPr>
    </w:p>
    <w:p>
      <w:pPr>
        <w:ind w:left="4" w:firstLine="1428"/>
        <w:spacing w:after="0" w:line="266" w:lineRule="auto"/>
        <w:tabs>
          <w:tab w:leader="none" w:pos="1751" w:val="left"/>
        </w:tabs>
        <w:numPr>
          <w:ilvl w:val="1"/>
          <w:numId w:val="272"/>
        </w:numPr>
        <w:rPr>
          <w:rFonts w:ascii="Arial" w:cs="Arial" w:eastAsia="Arial" w:hAnsi="Arial"/>
          <w:sz w:val="18"/>
          <w:szCs w:val="18"/>
          <w:color w:val="auto"/>
        </w:rPr>
      </w:pPr>
      <w:r>
        <w:rPr>
          <w:rFonts w:ascii="Arial" w:cs="Arial" w:eastAsia="Arial" w:hAnsi="Arial"/>
          <w:sz w:val="18"/>
          <w:szCs w:val="18"/>
          <w:b w:val="1"/>
          <w:bCs w:val="1"/>
          <w:u w:val="single" w:color="auto"/>
          <w:color w:val="auto"/>
        </w:rPr>
        <w:t>Payment</w:t>
      </w:r>
      <w:r>
        <w:rPr>
          <w:rFonts w:ascii="Arial" w:cs="Arial" w:eastAsia="Arial" w:hAnsi="Arial"/>
          <w:sz w:val="18"/>
          <w:szCs w:val="18"/>
          <w:color w:val="auto"/>
        </w:rPr>
        <w:t>. Payment of the Purchase Price shall be made, at the election of the Company or its assignee(s), in cash (by check), by</w:t>
      </w:r>
      <w:r>
        <w:rPr>
          <w:rFonts w:ascii="Arial" w:cs="Arial" w:eastAsia="Arial" w:hAnsi="Arial"/>
          <w:sz w:val="18"/>
          <w:szCs w:val="18"/>
          <w:b w:val="1"/>
          <w:bCs w:val="1"/>
          <w:color w:val="auto"/>
        </w:rPr>
        <w:t xml:space="preserve"> </w:t>
      </w:r>
      <w:r>
        <w:rPr>
          <w:rFonts w:ascii="Arial" w:cs="Arial" w:eastAsia="Arial" w:hAnsi="Arial"/>
          <w:sz w:val="18"/>
          <w:szCs w:val="18"/>
          <w:color w:val="auto"/>
        </w:rPr>
        <w:t>cancellation of all or a portion of any outstanding indebtedness, or by any combination thereof within 60 days after receipt of the Notice or in the manner and at the times set forth in the Notice.</w:t>
      </w:r>
    </w:p>
    <w:p>
      <w:pPr>
        <w:spacing w:after="0" w:line="112"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4"/>
          </w:cols>
          <w:pgMar w:left="436" w:top="270" w:right="479" w:bottom="1440" w:gutter="0" w:footer="0" w:header="0"/>
        </w:sectPr>
      </w:pPr>
    </w:p>
    <w:bookmarkStart w:id="313" w:name="page314"/>
    <w:bookmarkEnd w:id="313"/>
    <w:p>
      <w:pPr>
        <w:ind w:firstLine="1428"/>
        <w:spacing w:after="0" w:line="269" w:lineRule="auto"/>
        <w:tabs>
          <w:tab w:leader="none" w:pos="1737" w:val="left"/>
        </w:tabs>
        <w:numPr>
          <w:ilvl w:val="1"/>
          <w:numId w:val="273"/>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Holder’s Right to Transfer</w:t>
      </w:r>
      <w:r>
        <w:rPr>
          <w:rFonts w:ascii="Arial" w:cs="Arial" w:eastAsia="Arial" w:hAnsi="Arial"/>
          <w:sz w:val="17"/>
          <w:szCs w:val="17"/>
          <w:color w:val="auto"/>
        </w:rPr>
        <w:t>. If any of the Shares proposed in the Notice to be sold or transferred to a given Proposed Transferee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are both (A) not purchased by the Company and/or its assignee(s) as provided in this Section 3(b) </w:t>
      </w:r>
      <w:r>
        <w:rPr>
          <w:rFonts w:ascii="Arial" w:cs="Arial" w:eastAsia="Arial" w:hAnsi="Arial"/>
          <w:sz w:val="17"/>
          <w:szCs w:val="17"/>
          <w:u w:val="single" w:color="auto"/>
          <w:color w:val="auto"/>
        </w:rPr>
        <w:t>and</w:t>
      </w:r>
      <w:r>
        <w:rPr>
          <w:rFonts w:ascii="Arial" w:cs="Arial" w:eastAsia="Arial" w:hAnsi="Arial"/>
          <w:sz w:val="17"/>
          <w:szCs w:val="17"/>
          <w:color w:val="auto"/>
        </w:rPr>
        <w:t xml:space="preserve"> (B) approved by the Company to be sold or transferred, then the Holder may sell or otherwise transfer any such Shares to the applicable Proposed Transferee at the Purchase Price or at a higher price, provided that such sale or other transfer is consummated within 120 days after the date of the Notice; provided that any such sale or other transfer is also effected in accordance with the Bylaw Restrictions and any Applicable Laws and the Proposed Transferee agrees in writing that the Plan, the Bylaw Restrictions, and the provisions of the Option Agreement and this Agreement, including this Section 3 and the waiver of statutory information rights in Section 11, shall continue to apply to the Shares in the hands of such Proposed Transferee. The Company, in consultation with its legal counsel, may require the Holder to provide an opinion of counsel evidencing compliance with Applicable Laws. If the Shares described in the Notice are not transferred to the Proposed Transferee within such period, or if the Holder proposes to change the price or other terms to make them more favorable to the Proposed Transferee, a new Notice shall be given to the Company, and the Company and/or its assignees shall again have the right to approve such transfer and be offered the Right of First Refusal.</w:t>
      </w:r>
    </w:p>
    <w:p>
      <w:pPr>
        <w:spacing w:after="0" w:line="73" w:lineRule="exact"/>
        <w:rPr>
          <w:rFonts w:ascii="Arial" w:cs="Arial" w:eastAsia="Arial" w:hAnsi="Arial"/>
          <w:sz w:val="17"/>
          <w:szCs w:val="17"/>
          <w:color w:val="auto"/>
        </w:rPr>
      </w:pPr>
    </w:p>
    <w:p>
      <w:pPr>
        <w:ind w:firstLine="1428"/>
        <w:spacing w:after="0" w:line="291" w:lineRule="auto"/>
        <w:tabs>
          <w:tab w:leader="none" w:pos="1687" w:val="left"/>
        </w:tabs>
        <w:numPr>
          <w:ilvl w:val="1"/>
          <w:numId w:val="273"/>
        </w:numPr>
        <w:rPr>
          <w:rFonts w:ascii="Arial" w:cs="Arial" w:eastAsia="Arial" w:hAnsi="Arial"/>
          <w:sz w:val="16"/>
          <w:szCs w:val="16"/>
          <w:color w:val="auto"/>
        </w:rPr>
      </w:pPr>
      <w:r>
        <w:rPr>
          <w:rFonts w:ascii="Arial" w:cs="Arial" w:eastAsia="Arial" w:hAnsi="Arial"/>
          <w:sz w:val="16"/>
          <w:szCs w:val="16"/>
          <w:b w:val="1"/>
          <w:bCs w:val="1"/>
          <w:u w:val="single" w:color="auto"/>
          <w:color w:val="auto"/>
        </w:rPr>
        <w:t>Exception for Certain Family Transfers</w:t>
      </w:r>
      <w:r>
        <w:rPr>
          <w:rFonts w:ascii="Arial" w:cs="Arial" w:eastAsia="Arial" w:hAnsi="Arial"/>
          <w:sz w:val="16"/>
          <w:szCs w:val="16"/>
          <w:color w:val="auto"/>
        </w:rPr>
        <w:t>. Anything to the contrary contained in this Section 3(b) notwithstanding, the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of any or all of the Shares during Holder’s lifetime or on Holder’s death by will or intestacy to Holder’s Immediate Family or a trust for the benefit of Holder’s Immediate Family shall be exempt from the provisions of this Section 3(b). “</w:t>
      </w:r>
      <w:r>
        <w:rPr>
          <w:rFonts w:ascii="Arial" w:cs="Arial" w:eastAsia="Arial" w:hAnsi="Arial"/>
          <w:sz w:val="16"/>
          <w:szCs w:val="16"/>
          <w:u w:val="single" w:color="auto"/>
          <w:color w:val="auto"/>
        </w:rPr>
        <w:t>Immediate Family</w:t>
      </w:r>
      <w:r>
        <w:rPr>
          <w:rFonts w:ascii="Arial" w:cs="Arial" w:eastAsia="Arial" w:hAnsi="Arial"/>
          <w:sz w:val="16"/>
          <w:szCs w:val="16"/>
          <w:color w:val="auto"/>
        </w:rPr>
        <w:t>” as used herein shall mean lineal descendant or antecedent, spouse (or spouse’s antecedents), father, mother, brother or sister (or their descendants), stepchild (or their antecedents or descendants), aunt or uncle (or their antecedents or descendants), brother-in-law or sister-in-law (or their antecedents or descendants) and shall include adoptive relationships. In such case, the transferee or other recipient shall receive and hold the Shares so transferred subject to the provisions of the Plan, the Bylaw Restrictions, and the provisions of the Option Agreement and this Agreement, including this Section 3 and Section 11, and there shall be no further transfer of such Shares except in accordance with the terms of this Section 3, the Plan and the Bylaw Restrictions.</w:t>
      </w:r>
    </w:p>
    <w:p>
      <w:pPr>
        <w:spacing w:after="0" w:line="51" w:lineRule="exact"/>
        <w:rPr>
          <w:rFonts w:ascii="Arial" w:cs="Arial" w:eastAsia="Arial" w:hAnsi="Arial"/>
          <w:sz w:val="16"/>
          <w:szCs w:val="16"/>
          <w:color w:val="auto"/>
        </w:rPr>
      </w:pPr>
    </w:p>
    <w:p>
      <w:pPr>
        <w:ind w:right="40" w:firstLine="987"/>
        <w:spacing w:after="0" w:line="256" w:lineRule="auto"/>
        <w:tabs>
          <w:tab w:leader="none" w:pos="1236" w:val="left"/>
        </w:tabs>
        <w:numPr>
          <w:ilvl w:val="0"/>
          <w:numId w:val="274"/>
        </w:numPr>
        <w:rPr>
          <w:rFonts w:ascii="Arial" w:cs="Arial" w:eastAsia="Arial" w:hAnsi="Arial"/>
          <w:sz w:val="18"/>
          <w:szCs w:val="18"/>
          <w:color w:val="auto"/>
        </w:rPr>
      </w:pPr>
      <w:r>
        <w:rPr>
          <w:rFonts w:ascii="Arial" w:cs="Arial" w:eastAsia="Arial" w:hAnsi="Arial"/>
          <w:sz w:val="18"/>
          <w:szCs w:val="18"/>
          <w:b w:val="1"/>
          <w:bCs w:val="1"/>
          <w:u w:val="single" w:color="auto"/>
          <w:color w:val="auto"/>
        </w:rPr>
        <w:t>Company’s Right to Purchase upon Involuntary Transfer</w:t>
      </w:r>
      <w:r>
        <w:rPr>
          <w:rFonts w:ascii="Arial" w:cs="Arial" w:eastAsia="Arial" w:hAnsi="Arial"/>
          <w:sz w:val="18"/>
          <w:szCs w:val="18"/>
          <w:color w:val="auto"/>
        </w:rPr>
        <w:t>. In the event of any transfer by operation of law or other involuntary</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(including death or divorce, but excluding a transfer to Immediate Family as set forth in Section 3(b)(v) above) of all or a portion of the Shares by the record holder thereof, the Company shall have an option to purchase any or all of the Shares transferred at the Fair Market Value of the Shares on the date of transfer (as determined by the Company in its sole discretion). Upon such a transfer, the Holder shall promptly notify the Secretary of the Company of such transfer. The right to purchase such Shares shall be provided to the Company for a period of 30 days following receipt by the Company of written notice from the Holder.</w:t>
      </w:r>
    </w:p>
    <w:p>
      <w:pPr>
        <w:spacing w:after="0" w:line="79" w:lineRule="exact"/>
        <w:rPr>
          <w:rFonts w:ascii="Arial" w:cs="Arial" w:eastAsia="Arial" w:hAnsi="Arial"/>
          <w:sz w:val="18"/>
          <w:szCs w:val="18"/>
          <w:color w:val="auto"/>
        </w:rPr>
      </w:pPr>
    </w:p>
    <w:p>
      <w:pPr>
        <w:ind w:right="40" w:firstLine="987"/>
        <w:spacing w:after="0" w:line="282" w:lineRule="auto"/>
        <w:tabs>
          <w:tab w:leader="none" w:pos="1246" w:val="left"/>
        </w:tabs>
        <w:numPr>
          <w:ilvl w:val="0"/>
          <w:numId w:val="274"/>
        </w:numPr>
        <w:rPr>
          <w:rFonts w:ascii="Arial" w:cs="Arial" w:eastAsia="Arial" w:hAnsi="Arial"/>
          <w:sz w:val="18"/>
          <w:szCs w:val="18"/>
          <w:color w:val="auto"/>
        </w:rPr>
      </w:pPr>
      <w:r>
        <w:rPr>
          <w:rFonts w:ascii="Arial" w:cs="Arial" w:eastAsia="Arial" w:hAnsi="Arial"/>
          <w:sz w:val="18"/>
          <w:szCs w:val="18"/>
          <w:b w:val="1"/>
          <w:bCs w:val="1"/>
          <w:u w:val="single" w:color="auto"/>
          <w:color w:val="auto"/>
        </w:rPr>
        <w:t>Assignment</w:t>
      </w:r>
      <w:r>
        <w:rPr>
          <w:rFonts w:ascii="Arial" w:cs="Arial" w:eastAsia="Arial" w:hAnsi="Arial"/>
          <w:sz w:val="18"/>
          <w:szCs w:val="18"/>
          <w:color w:val="auto"/>
        </w:rPr>
        <w:t>. The right of the Company to purchase any part of the Shares may be assigned in whole or in part to any holder or holders</w:t>
      </w:r>
      <w:r>
        <w:rPr>
          <w:rFonts w:ascii="Arial" w:cs="Arial" w:eastAsia="Arial" w:hAnsi="Arial"/>
          <w:sz w:val="18"/>
          <w:szCs w:val="18"/>
          <w:b w:val="1"/>
          <w:bCs w:val="1"/>
          <w:color w:val="auto"/>
        </w:rPr>
        <w:t xml:space="preserve"> </w:t>
      </w:r>
      <w:r>
        <w:rPr>
          <w:rFonts w:ascii="Arial" w:cs="Arial" w:eastAsia="Arial" w:hAnsi="Arial"/>
          <w:sz w:val="18"/>
          <w:szCs w:val="18"/>
          <w:color w:val="auto"/>
        </w:rPr>
        <w:t>of capital stock of the Company or other persons or organizations.</w:t>
      </w:r>
    </w:p>
    <w:p>
      <w:pPr>
        <w:spacing w:after="0" w:line="53" w:lineRule="exact"/>
        <w:rPr>
          <w:rFonts w:ascii="Arial" w:cs="Arial" w:eastAsia="Arial" w:hAnsi="Arial"/>
          <w:sz w:val="18"/>
          <w:szCs w:val="18"/>
          <w:color w:val="auto"/>
        </w:rPr>
      </w:pPr>
    </w:p>
    <w:p>
      <w:pPr>
        <w:ind w:firstLine="987"/>
        <w:spacing w:after="0" w:line="277" w:lineRule="auto"/>
        <w:tabs>
          <w:tab w:leader="none" w:pos="1236" w:val="left"/>
        </w:tabs>
        <w:numPr>
          <w:ilvl w:val="0"/>
          <w:numId w:val="274"/>
        </w:numPr>
        <w:rPr>
          <w:rFonts w:ascii="Arial" w:cs="Arial" w:eastAsia="Arial" w:hAnsi="Arial"/>
          <w:sz w:val="17"/>
          <w:szCs w:val="17"/>
          <w:color w:val="auto"/>
        </w:rPr>
      </w:pPr>
      <w:r>
        <w:rPr>
          <w:rFonts w:ascii="Arial" w:cs="Arial" w:eastAsia="Arial" w:hAnsi="Arial"/>
          <w:sz w:val="17"/>
          <w:szCs w:val="17"/>
          <w:b w:val="1"/>
          <w:bCs w:val="1"/>
          <w:u w:val="single" w:color="auto"/>
          <w:color w:val="auto"/>
        </w:rPr>
        <w:t>Restrictions Binding on Transferees</w:t>
      </w:r>
      <w:r>
        <w:rPr>
          <w:rFonts w:ascii="Arial" w:cs="Arial" w:eastAsia="Arial" w:hAnsi="Arial"/>
          <w:sz w:val="17"/>
          <w:szCs w:val="17"/>
          <w:color w:val="auto"/>
        </w:rPr>
        <w:t>. All transferees of Shares or any interest therein will receive and hold such Shares or interest</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Plan, the Bylaw Restrictions, and the provisions of the Option Agreement and this Agreement, including, without limitation, Section 7 of the Option Agreement, Sections 3 and 11 of this Agreement and including, insofar as applicable, the Repurchase Option. In the event of any purchase by the Company hereunder where the Shares or interest are held by a transferee, the transferee shall be obligated, if requested by the Company, to transfer the Shares or interest to the Purchaser for consideration equal to the amount to be paid by the Company hereunder.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0" w:right="459" w:bottom="1440" w:gutter="0" w:footer="0" w:header="0"/>
        </w:sectPr>
      </w:pPr>
    </w:p>
    <w:bookmarkStart w:id="314" w:name="page315"/>
    <w:bookmarkEnd w:id="314"/>
    <w:p>
      <w:pPr>
        <w:ind w:left="4"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the event the Repurchase Option is deemed exercised by the Company pursuant to Section 3(a)(ii) hereof, the Company may deem any transferee to have transferred the Shares or interest to Purchaser prior to their purchase by the Company, and payment of the purchase price by the Company to such transferee shall be deemed to satisfy Purchaser’s obligation to pay such transferee for such Shares or interest, and also to satisfy the Company’s obligation to pay Purchaser for such Shares or interest. Any sale or transfer of the Shares shall be void unless the provisions of this Agreement are satisfied.</w:t>
      </w:r>
    </w:p>
    <w:p>
      <w:pPr>
        <w:spacing w:after="0" w:line="76" w:lineRule="exact"/>
        <w:rPr>
          <w:sz w:val="20"/>
          <w:szCs w:val="20"/>
          <w:color w:val="auto"/>
        </w:rPr>
      </w:pPr>
    </w:p>
    <w:p>
      <w:pPr>
        <w:ind w:left="4" w:right="20" w:firstLine="987"/>
        <w:spacing w:after="0" w:line="284" w:lineRule="auto"/>
        <w:tabs>
          <w:tab w:leader="none" w:pos="1220" w:val="left"/>
        </w:tabs>
        <w:numPr>
          <w:ilvl w:val="2"/>
          <w:numId w:val="275"/>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of Rights</w:t>
      </w:r>
      <w:r>
        <w:rPr>
          <w:rFonts w:ascii="Arial" w:cs="Arial" w:eastAsia="Arial" w:hAnsi="Arial"/>
          <w:sz w:val="16"/>
          <w:szCs w:val="16"/>
          <w:color w:val="auto"/>
        </w:rPr>
        <w:t>. The transfer restrictions set forth in Section 3(b) above, the Right of First Refusal granted the Company by</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3(b) above and the right to repurchase the Shares in the event of an involuntary transfer granted the Company by Section 3(c) above shall terminate upon (i) the first sale of Common Stock of the Company to the general public pursuant to a registration statement filed with and declared effective by the Securities and Exchange Commission under the Securities Act (other than a registration statement relating solely to the issuance of Common Stock pursuant to a business combination or an employee incentive or benefit plan) or (ii) any transfer or conversion of Shares made pursuant to a statutory merger or statutory consolidation of the Company with or into another corporation or corporations if the common stock of the surviving corporation or any direct or indirect parent corporation thereof is registered under the Exchange Act. Upon termination of such transfer restrictions, the Company will remove any stop-transfer notices referred to in Section 7(b) below and related to the restrictions in this Section 3 and, if certificates are issued, a new certificate or certificates representing the Shares not repurchased shall be issued, on request, without the legend referred to in Section 7(a)</w:t>
      </w:r>
    </w:p>
    <w:p>
      <w:pPr>
        <w:spacing w:after="0" w:line="2" w:lineRule="exact"/>
        <w:rPr>
          <w:rFonts w:ascii="Arial" w:cs="Arial" w:eastAsia="Arial" w:hAnsi="Arial"/>
          <w:sz w:val="16"/>
          <w:szCs w:val="16"/>
          <w:color w:val="auto"/>
        </w:rPr>
      </w:pPr>
    </w:p>
    <w:p>
      <w:pPr>
        <w:ind w:left="264" w:hanging="264"/>
        <w:spacing w:after="0"/>
        <w:tabs>
          <w:tab w:leader="none" w:pos="264" w:val="left"/>
        </w:tabs>
        <w:numPr>
          <w:ilvl w:val="0"/>
          <w:numId w:val="276"/>
        </w:numPr>
        <w:rPr>
          <w:rFonts w:ascii="Arial" w:cs="Arial" w:eastAsia="Arial" w:hAnsi="Arial"/>
          <w:sz w:val="18"/>
          <w:szCs w:val="18"/>
          <w:color w:val="auto"/>
        </w:rPr>
      </w:pPr>
      <w:r>
        <w:rPr>
          <w:rFonts w:ascii="Arial" w:cs="Arial" w:eastAsia="Arial" w:hAnsi="Arial"/>
          <w:sz w:val="18"/>
          <w:szCs w:val="18"/>
          <w:color w:val="auto"/>
        </w:rPr>
        <w:t>below and delivered to Holder.</w:t>
      </w:r>
    </w:p>
    <w:p>
      <w:pPr>
        <w:spacing w:after="0" w:line="98" w:lineRule="exact"/>
        <w:rPr>
          <w:rFonts w:ascii="Arial" w:cs="Arial" w:eastAsia="Arial" w:hAnsi="Arial"/>
          <w:sz w:val="18"/>
          <w:szCs w:val="18"/>
          <w:color w:val="auto"/>
        </w:rPr>
      </w:pPr>
    </w:p>
    <w:p>
      <w:pPr>
        <w:ind w:left="4" w:firstLine="436"/>
        <w:spacing w:after="0" w:line="269" w:lineRule="auto"/>
        <w:tabs>
          <w:tab w:leader="none" w:pos="624" w:val="left"/>
        </w:tabs>
        <w:numPr>
          <w:ilvl w:val="1"/>
          <w:numId w:val="276"/>
        </w:numPr>
        <w:rPr>
          <w:rFonts w:ascii="Arial" w:cs="Arial" w:eastAsia="Arial" w:hAnsi="Arial"/>
          <w:sz w:val="17"/>
          <w:szCs w:val="17"/>
          <w:color w:val="auto"/>
        </w:rPr>
      </w:pPr>
      <w:r>
        <w:rPr>
          <w:rFonts w:ascii="Arial" w:cs="Arial" w:eastAsia="Arial" w:hAnsi="Arial"/>
          <w:sz w:val="17"/>
          <w:szCs w:val="17"/>
          <w:b w:val="1"/>
          <w:bCs w:val="1"/>
          <w:u w:val="single" w:color="auto"/>
          <w:color w:val="auto"/>
        </w:rPr>
        <w:t>Escrow of Unvested Shares</w:t>
      </w:r>
      <w:r>
        <w:rPr>
          <w:rFonts w:ascii="Arial" w:cs="Arial" w:eastAsia="Arial" w:hAnsi="Arial"/>
          <w:sz w:val="17"/>
          <w:szCs w:val="17"/>
          <w:color w:val="auto"/>
        </w:rPr>
        <w:t>. For purposes of facilitating the enforcement of the provisions of Section 3 above, Purchaser agrees, immediately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upon receipt of the certificate(s) for the Shares subject to the Repurchase Option, to deliver such certificate(s), together with an Assignment Separate from Certificate in the form attached to this Agreement as </w:t>
      </w:r>
      <w:r>
        <w:rPr>
          <w:rFonts w:ascii="Arial" w:cs="Arial" w:eastAsia="Arial" w:hAnsi="Arial"/>
          <w:sz w:val="17"/>
          <w:szCs w:val="17"/>
          <w:u w:val="single" w:color="auto"/>
          <w:color w:val="auto"/>
        </w:rPr>
        <w:t>Attachment A</w:t>
      </w:r>
      <w:r>
        <w:rPr>
          <w:rFonts w:ascii="Arial" w:cs="Arial" w:eastAsia="Arial" w:hAnsi="Arial"/>
          <w:sz w:val="17"/>
          <w:szCs w:val="17"/>
          <w:color w:val="auto"/>
        </w:rPr>
        <w:t xml:space="preserve"> executed by Purchaser and by Purchaser’s spouse (if required for transfer), in blank, to the Secretary of the Company, or the Secretary’s designee, to hold such certificate(s) and Assignment Separate from Certificate in escrow and to take all such actions and to effectuate all such transfers and/or releases as are required in accordance with the terms of this Agreement. Purchaser hereby acknowledges that the Secretary of the Company, or the Secretary’s designee, is so appointed as the escrow holder with the foregoing authorities as a material inducement to make this Agreement and that said appointment is coupled with an interest and is accordingly irrevocable. Purchaser agrees that said escrow holder shall not be liable to any party hereof (or to any other party). The escrow holder may rely upon any letter, notice or other document executed by any signature purported to be genuine and may resign at any time. Purchaser agrees that if the Secretary of the Company, or the Secretary’s designee, resigns as escrow holder for any or no reason, the Board shall have the power to appoint a successor to serve as escrow holder pursuant to the terms of this Agreement.</w:t>
      </w:r>
    </w:p>
    <w:p>
      <w:pPr>
        <w:spacing w:after="0" w:line="118"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4"/>
          </w:cols>
          <w:pgMar w:left="436" w:top="274" w:right="519" w:bottom="1440" w:gutter="0" w:footer="0" w:header="0"/>
        </w:sectPr>
      </w:pPr>
    </w:p>
    <w:bookmarkStart w:id="315" w:name="page316"/>
    <w:bookmarkEnd w:id="315"/>
    <w:p>
      <w:pPr>
        <w:ind w:left="624" w:hanging="184"/>
        <w:spacing w:after="0"/>
        <w:tabs>
          <w:tab w:leader="none" w:pos="624" w:val="left"/>
        </w:tabs>
        <w:numPr>
          <w:ilvl w:val="1"/>
          <w:numId w:val="277"/>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Investment and Taxation Representations</w:t>
      </w:r>
      <w:r>
        <w:rPr>
          <w:rFonts w:ascii="Arial" w:cs="Arial" w:eastAsia="Arial" w:hAnsi="Arial"/>
          <w:sz w:val="16"/>
          <w:szCs w:val="16"/>
          <w:color w:val="auto"/>
        </w:rPr>
        <w:t>. In connection with the purchase of the Shares, Purchaser represents to the Company the following:</w:t>
      </w:r>
    </w:p>
    <w:p>
      <w:pPr>
        <w:spacing w:after="0" w:line="144" w:lineRule="exact"/>
        <w:rPr>
          <w:rFonts w:ascii="Arial" w:cs="Arial" w:eastAsia="Arial" w:hAnsi="Arial"/>
          <w:sz w:val="16"/>
          <w:szCs w:val="16"/>
          <w:color w:val="auto"/>
        </w:rPr>
      </w:pPr>
    </w:p>
    <w:p>
      <w:pPr>
        <w:ind w:left="4" w:right="220" w:firstLine="987"/>
        <w:spacing w:after="0" w:line="301" w:lineRule="auto"/>
        <w:tabs>
          <w:tab w:leader="none" w:pos="1240" w:val="left"/>
        </w:tabs>
        <w:numPr>
          <w:ilvl w:val="2"/>
          <w:numId w:val="277"/>
        </w:numPr>
        <w:rPr>
          <w:rFonts w:ascii="Arial" w:cs="Arial" w:eastAsia="Arial" w:hAnsi="Arial"/>
          <w:sz w:val="16"/>
          <w:szCs w:val="16"/>
          <w:color w:val="auto"/>
        </w:rPr>
      </w:pPr>
      <w:r>
        <w:rPr>
          <w:rFonts w:ascii="Arial" w:cs="Arial" w:eastAsia="Arial" w:hAnsi="Arial"/>
          <w:sz w:val="16"/>
          <w:szCs w:val="16"/>
          <w:color w:val="auto"/>
        </w:rPr>
        <w:t>Purchaser is aware of the Company’s business affairs and financial condition and has acquired sufficient information about the Company to reach an informed and knowledgeable decision to acquire the Shares. Purchaser is purchasing the Shares for investment for Purchaser’s own account only and not with a view to, or for resale in connection with, any “distribution” thereof within the meaning of the Securities Act or under any applicable provision of state law. Purchaser does not have any present intention to transfer the Shares to any other person or entity.</w:t>
      </w:r>
    </w:p>
    <w:p>
      <w:pPr>
        <w:spacing w:after="0" w:line="49" w:lineRule="exact"/>
        <w:rPr>
          <w:rFonts w:ascii="Arial" w:cs="Arial" w:eastAsia="Arial" w:hAnsi="Arial"/>
          <w:sz w:val="16"/>
          <w:szCs w:val="16"/>
          <w:color w:val="auto"/>
        </w:rPr>
      </w:pPr>
    </w:p>
    <w:p>
      <w:pPr>
        <w:ind w:left="4" w:right="220" w:firstLine="987"/>
        <w:spacing w:after="0" w:line="308" w:lineRule="auto"/>
        <w:tabs>
          <w:tab w:leader="none" w:pos="1250" w:val="left"/>
        </w:tabs>
        <w:numPr>
          <w:ilvl w:val="2"/>
          <w:numId w:val="277"/>
        </w:numPr>
        <w:rPr>
          <w:rFonts w:ascii="Arial" w:cs="Arial" w:eastAsia="Arial" w:hAnsi="Arial"/>
          <w:sz w:val="17"/>
          <w:szCs w:val="17"/>
          <w:color w:val="auto"/>
        </w:rPr>
      </w:pPr>
      <w:r>
        <w:rPr>
          <w:rFonts w:ascii="Arial" w:cs="Arial" w:eastAsia="Arial" w:hAnsi="Arial"/>
          <w:sz w:val="17"/>
          <w:szCs w:val="17"/>
          <w:color w:val="auto"/>
        </w:rPr>
        <w:t>Purchaser understands that the Shares have not been registered under the Securities Act by reason of a specific exemption therefrom, which exemption depends upon, among other things, the bona fide nature of Purchaser’s investment intent as expressed herein.</w:t>
      </w:r>
    </w:p>
    <w:p>
      <w:pPr>
        <w:spacing w:after="0" w:line="38" w:lineRule="exact"/>
        <w:rPr>
          <w:rFonts w:ascii="Arial" w:cs="Arial" w:eastAsia="Arial" w:hAnsi="Arial"/>
          <w:sz w:val="17"/>
          <w:szCs w:val="17"/>
          <w:color w:val="auto"/>
        </w:rPr>
      </w:pPr>
    </w:p>
    <w:p>
      <w:pPr>
        <w:ind w:left="4" w:right="40" w:firstLine="987"/>
        <w:spacing w:after="0" w:line="263" w:lineRule="auto"/>
        <w:tabs>
          <w:tab w:leader="none" w:pos="1240" w:val="left"/>
        </w:tabs>
        <w:numPr>
          <w:ilvl w:val="2"/>
          <w:numId w:val="277"/>
        </w:numPr>
        <w:rPr>
          <w:rFonts w:ascii="Arial" w:cs="Arial" w:eastAsia="Arial" w:hAnsi="Arial"/>
          <w:sz w:val="18"/>
          <w:szCs w:val="18"/>
          <w:color w:val="auto"/>
        </w:rPr>
      </w:pPr>
      <w:r>
        <w:rPr>
          <w:rFonts w:ascii="Arial" w:cs="Arial" w:eastAsia="Arial" w:hAnsi="Arial"/>
          <w:sz w:val="18"/>
          <w:szCs w:val="18"/>
          <w:color w:val="auto"/>
        </w:rPr>
        <w:t>Purchaser further acknowledges and understands that the securities must be held indefinitely unless they are subsequently registered under the Securities Act or an exemption from such registration is available. Purchaser further acknowledges and understands that the Company is under no obligation to register the securities.</w:t>
      </w:r>
    </w:p>
    <w:p>
      <w:pPr>
        <w:spacing w:after="0" w:line="75" w:lineRule="exact"/>
        <w:rPr>
          <w:rFonts w:ascii="Arial" w:cs="Arial" w:eastAsia="Arial" w:hAnsi="Arial"/>
          <w:sz w:val="18"/>
          <w:szCs w:val="18"/>
          <w:color w:val="auto"/>
        </w:rPr>
      </w:pPr>
    </w:p>
    <w:p>
      <w:pPr>
        <w:ind w:left="4" w:firstLine="987"/>
        <w:spacing w:after="0" w:line="291" w:lineRule="auto"/>
        <w:tabs>
          <w:tab w:leader="none" w:pos="1250" w:val="left"/>
        </w:tabs>
        <w:numPr>
          <w:ilvl w:val="2"/>
          <w:numId w:val="277"/>
        </w:numPr>
        <w:rPr>
          <w:rFonts w:ascii="Arial" w:cs="Arial" w:eastAsia="Arial" w:hAnsi="Arial"/>
          <w:sz w:val="16"/>
          <w:szCs w:val="16"/>
          <w:color w:val="auto"/>
        </w:rPr>
      </w:pPr>
      <w:r>
        <w:rPr>
          <w:rFonts w:ascii="Arial" w:cs="Arial" w:eastAsia="Arial" w:hAnsi="Arial"/>
          <w:sz w:val="16"/>
          <w:szCs w:val="16"/>
          <w:color w:val="auto"/>
        </w:rPr>
        <w:t>Purchaser is familiar with the provisions of Rule 144, promulgated under the Securities Act, which, in substance, permits limited public resale of “restricted securities” acquired, directly or indirectly, from the issuer of the securities (or from an affiliate of such issuer), in a non-public offering subject to the satisfaction of certain conditions. Purchaser understands that the Company provides no assurances as to whether he or she will be able to resell any or all of the Shares pursuant to Rule 144, which rule requires, among other things, that the Company be subject to the reporting requirements of the Securities Exchange Act of 1934, as amended, that resales of securities take place only after the holder of the Shares has held the Shares for certain specified time periods, and under certain circumstances, that resales of securities be limited in volume and take place only pursuant to brokered transactions. Notwithstanding this Section 5(d), Purchaser acknowledges and agrees to the restrictions set forth in Section 5(e) below.</w:t>
      </w:r>
    </w:p>
    <w:p>
      <w:pPr>
        <w:spacing w:after="0" w:line="58" w:lineRule="exact"/>
        <w:rPr>
          <w:rFonts w:ascii="Arial" w:cs="Arial" w:eastAsia="Arial" w:hAnsi="Arial"/>
          <w:sz w:val="16"/>
          <w:szCs w:val="16"/>
          <w:color w:val="auto"/>
        </w:rPr>
      </w:pPr>
    </w:p>
    <w:p>
      <w:pPr>
        <w:ind w:left="1244" w:hanging="253"/>
        <w:spacing w:after="0"/>
        <w:tabs>
          <w:tab w:leader="none" w:pos="1244" w:val="left"/>
        </w:tabs>
        <w:numPr>
          <w:ilvl w:val="2"/>
          <w:numId w:val="277"/>
        </w:numPr>
        <w:rPr>
          <w:rFonts w:ascii="Arial" w:cs="Arial" w:eastAsia="Arial" w:hAnsi="Arial"/>
          <w:sz w:val="17"/>
          <w:szCs w:val="17"/>
          <w:color w:val="auto"/>
        </w:rPr>
      </w:pPr>
      <w:r>
        <w:rPr>
          <w:rFonts w:ascii="Arial" w:cs="Arial" w:eastAsia="Arial" w:hAnsi="Arial"/>
          <w:sz w:val="17"/>
          <w:szCs w:val="17"/>
          <w:color w:val="auto"/>
        </w:rPr>
        <w:t>Purchaser represents that Purchaser is not subject to any of the “Bad Actor” disqualifications described in Rule 506(d)(1)(i) to</w:t>
      </w:r>
    </w:p>
    <w:p>
      <w:pPr>
        <w:spacing w:after="0" w:line="34" w:lineRule="exact"/>
        <w:rPr>
          <w:rFonts w:ascii="Arial" w:cs="Arial" w:eastAsia="Arial" w:hAnsi="Arial"/>
          <w:sz w:val="17"/>
          <w:szCs w:val="17"/>
          <w:color w:val="auto"/>
        </w:rPr>
      </w:pPr>
    </w:p>
    <w:p>
      <w:pPr>
        <w:ind w:left="404" w:hanging="404"/>
        <w:spacing w:after="0"/>
        <w:tabs>
          <w:tab w:leader="none" w:pos="404" w:val="left"/>
        </w:tabs>
        <w:numPr>
          <w:ilvl w:val="0"/>
          <w:numId w:val="278"/>
        </w:numPr>
        <w:rPr>
          <w:rFonts w:ascii="Arial" w:cs="Arial" w:eastAsia="Arial" w:hAnsi="Arial"/>
          <w:sz w:val="18"/>
          <w:szCs w:val="18"/>
          <w:color w:val="auto"/>
        </w:rPr>
      </w:pPr>
      <w:r>
        <w:rPr>
          <w:rFonts w:ascii="Arial" w:cs="Arial" w:eastAsia="Arial" w:hAnsi="Arial"/>
          <w:sz w:val="18"/>
          <w:szCs w:val="18"/>
          <w:color w:val="auto"/>
        </w:rPr>
        <w:t xml:space="preserve">under the Securities Act (attached hereto as </w:t>
      </w:r>
      <w:r>
        <w:rPr>
          <w:rFonts w:ascii="Arial" w:cs="Arial" w:eastAsia="Arial" w:hAnsi="Arial"/>
          <w:sz w:val="18"/>
          <w:szCs w:val="18"/>
          <w:u w:val="single" w:color="auto"/>
          <w:color w:val="auto"/>
        </w:rPr>
        <w:t>Annex I</w:t>
      </w:r>
      <w:r>
        <w:rPr>
          <w:rFonts w:ascii="Arial" w:cs="Arial" w:eastAsia="Arial" w:hAnsi="Arial"/>
          <w:sz w:val="18"/>
          <w:szCs w:val="18"/>
          <w:color w:val="auto"/>
        </w:rPr>
        <w:t>).</w:t>
      </w:r>
    </w:p>
    <w:p>
      <w:pPr>
        <w:spacing w:after="0" w:line="102" w:lineRule="exact"/>
        <w:rPr>
          <w:rFonts w:ascii="Arial" w:cs="Arial" w:eastAsia="Arial" w:hAnsi="Arial"/>
          <w:sz w:val="18"/>
          <w:szCs w:val="18"/>
          <w:color w:val="auto"/>
        </w:rPr>
      </w:pPr>
    </w:p>
    <w:p>
      <w:pPr>
        <w:ind w:left="4" w:right="20" w:firstLine="987"/>
        <w:spacing w:after="0" w:line="255" w:lineRule="auto"/>
        <w:tabs>
          <w:tab w:leader="none" w:pos="1220" w:val="left"/>
        </w:tabs>
        <w:numPr>
          <w:ilvl w:val="2"/>
          <w:numId w:val="278"/>
        </w:numPr>
        <w:rPr>
          <w:rFonts w:ascii="Arial" w:cs="Arial" w:eastAsia="Arial" w:hAnsi="Arial"/>
          <w:sz w:val="18"/>
          <w:szCs w:val="18"/>
          <w:color w:val="auto"/>
        </w:rPr>
      </w:pPr>
      <w:r>
        <w:rPr>
          <w:rFonts w:ascii="Arial" w:cs="Arial" w:eastAsia="Arial" w:hAnsi="Arial"/>
          <w:sz w:val="18"/>
          <w:szCs w:val="18"/>
          <w:color w:val="auto"/>
        </w:rPr>
        <w:t>Purchaser further understands that in the event all of the applicable requirements of Rule 144 are not satisfied, registration under the Securities Act, compliance with Regulation A, or some other registration exemption will be required; and that, notwithstanding the fact that Rule 144 is not exclusive, the Staff of the Securities and Exchange Commission has expressed its opinion that persons proposing to sell private placement securities other than in a registered offering and otherwise than pursuant to Rule 144 will have a substantial burden of proof in establishing that an exemption from registration is available for such offers or sales, and that such persons and their respective brokers who participate in such transactions do so at their own risk.</w:t>
      </w:r>
    </w:p>
    <w:p>
      <w:pPr>
        <w:spacing w:after="0" w:line="84" w:lineRule="exact"/>
        <w:rPr>
          <w:rFonts w:ascii="Arial" w:cs="Arial" w:eastAsia="Arial" w:hAnsi="Arial"/>
          <w:sz w:val="18"/>
          <w:szCs w:val="18"/>
          <w:color w:val="auto"/>
        </w:rPr>
      </w:pPr>
    </w:p>
    <w:p>
      <w:pPr>
        <w:ind w:left="4" w:right="120" w:firstLine="987"/>
        <w:spacing w:after="0" w:line="263" w:lineRule="auto"/>
        <w:tabs>
          <w:tab w:leader="none" w:pos="1250" w:val="left"/>
        </w:tabs>
        <w:numPr>
          <w:ilvl w:val="2"/>
          <w:numId w:val="278"/>
        </w:numPr>
        <w:rPr>
          <w:rFonts w:ascii="Arial" w:cs="Arial" w:eastAsia="Arial" w:hAnsi="Arial"/>
          <w:sz w:val="18"/>
          <w:szCs w:val="18"/>
          <w:color w:val="auto"/>
        </w:rPr>
      </w:pPr>
      <w:r>
        <w:rPr>
          <w:rFonts w:ascii="Arial" w:cs="Arial" w:eastAsia="Arial" w:hAnsi="Arial"/>
          <w:sz w:val="18"/>
          <w:szCs w:val="18"/>
          <w:color w:val="auto"/>
        </w:rPr>
        <w:t>Purchaser understands that Purchaser may suffer adverse tax consequences as a result of Purchaser’s purchase or disposition of the Shares. Purchaser represents that Purchaser has consulted any tax consultants Purchaser deems advisable in connection with the purchase or disposition of the Shares and that Purchaser is not relying on the Company for any tax advice.</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4"/>
          </w:cols>
          <w:pgMar w:left="436" w:top="270" w:right="439" w:bottom="1440" w:gutter="0" w:footer="0" w:header="0"/>
        </w:sectPr>
      </w:pPr>
    </w:p>
    <w:bookmarkStart w:id="316" w:name="page317"/>
    <w:bookmarkEnd w:id="316"/>
    <w:p>
      <w:pPr>
        <w:ind w:left="-20" w:right="40" w:firstLine="987"/>
        <w:spacing w:after="0" w:line="261" w:lineRule="auto"/>
        <w:tabs>
          <w:tab w:leader="none" w:pos="1151" w:val="left"/>
        </w:tabs>
        <w:numPr>
          <w:ilvl w:val="0"/>
          <w:numId w:val="279"/>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Voting Agreement</w:t>
      </w:r>
      <w:r>
        <w:rPr>
          <w:rFonts w:ascii="Arial" w:cs="Arial" w:eastAsia="Arial" w:hAnsi="Arial"/>
          <w:sz w:val="18"/>
          <w:szCs w:val="18"/>
          <w:color w:val="auto"/>
        </w:rPr>
        <w:t>. As a condition precedent to entering into this Agreement, Purchaser must execute and deliver a counterpart</w:t>
      </w:r>
      <w:r>
        <w:rPr>
          <w:rFonts w:ascii="Arial" w:cs="Arial" w:eastAsia="Arial" w:hAnsi="Arial"/>
          <w:sz w:val="18"/>
          <w:szCs w:val="18"/>
          <w:b w:val="1"/>
          <w:bCs w:val="1"/>
          <w:color w:val="auto"/>
        </w:rPr>
        <w:t xml:space="preserve"> </w:t>
      </w:r>
      <w:r>
        <w:rPr>
          <w:rFonts w:ascii="Arial" w:cs="Arial" w:eastAsia="Arial" w:hAnsi="Arial"/>
          <w:sz w:val="18"/>
          <w:szCs w:val="18"/>
          <w:color w:val="auto"/>
        </w:rPr>
        <w:t>signature page to that certain Amended and Restated Voting Agreement dated July 18, 2012, by and among the Company and certain of its stockholders (as may be amended or restated from time to time) (the “</w:t>
      </w:r>
      <w:r>
        <w:rPr>
          <w:rFonts w:ascii="Arial" w:cs="Arial" w:eastAsia="Arial" w:hAnsi="Arial"/>
          <w:sz w:val="18"/>
          <w:szCs w:val="18"/>
          <w:u w:val="single" w:color="auto"/>
          <w:color w:val="auto"/>
        </w:rPr>
        <w:t>Voting Agreement</w:t>
      </w:r>
      <w:r>
        <w:rPr>
          <w:rFonts w:ascii="Arial" w:cs="Arial" w:eastAsia="Arial" w:hAnsi="Arial"/>
          <w:sz w:val="18"/>
          <w:szCs w:val="18"/>
          <w:color w:val="auto"/>
        </w:rPr>
        <w:t>”) so as to become a party thereto, and to be bound by the terms and conditions thereof, as a 1% Holder (as defined in the Voting Agreement).</w:t>
      </w:r>
    </w:p>
    <w:p>
      <w:pPr>
        <w:spacing w:after="0" w:line="71" w:lineRule="exact"/>
        <w:rPr>
          <w:rFonts w:ascii="Arial" w:cs="Arial" w:eastAsia="Arial" w:hAnsi="Arial"/>
          <w:sz w:val="18"/>
          <w:szCs w:val="18"/>
          <w:color w:val="auto"/>
        </w:rPr>
      </w:pPr>
    </w:p>
    <w:p>
      <w:pPr>
        <w:ind w:left="1140" w:hanging="173"/>
        <w:spacing w:after="0"/>
        <w:tabs>
          <w:tab w:leader="none" w:pos="1140" w:val="left"/>
        </w:tabs>
        <w:numPr>
          <w:ilvl w:val="0"/>
          <w:numId w:val="279"/>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Restrictive Legends and Stop-Transfer Orders</w:t>
      </w:r>
      <w:r>
        <w:rPr>
          <w:rFonts w:ascii="Arial" w:cs="Arial" w:eastAsia="Arial" w:hAnsi="Arial"/>
          <w:sz w:val="18"/>
          <w:szCs w:val="18"/>
          <w:color w:val="auto"/>
        </w:rPr>
        <w:t>.</w:t>
      </w:r>
    </w:p>
    <w:p>
      <w:pPr>
        <w:spacing w:after="0" w:line="117" w:lineRule="exact"/>
        <w:rPr>
          <w:sz w:val="20"/>
          <w:szCs w:val="20"/>
          <w:color w:val="auto"/>
        </w:rPr>
      </w:pPr>
    </w:p>
    <w:p>
      <w:pPr>
        <w:ind w:left="-20" w:right="20" w:firstLine="987"/>
        <w:spacing w:after="0" w:line="282" w:lineRule="auto"/>
        <w:tabs>
          <w:tab w:leader="none" w:pos="1216" w:val="left"/>
        </w:tabs>
        <w:numPr>
          <w:ilvl w:val="0"/>
          <w:numId w:val="280"/>
        </w:numPr>
        <w:rPr>
          <w:rFonts w:ascii="Arial" w:cs="Arial" w:eastAsia="Arial" w:hAnsi="Arial"/>
          <w:sz w:val="18"/>
          <w:szCs w:val="18"/>
          <w:color w:val="auto"/>
        </w:rPr>
      </w:pPr>
      <w:r>
        <w:rPr>
          <w:rFonts w:ascii="Arial" w:cs="Arial" w:eastAsia="Arial" w:hAnsi="Arial"/>
          <w:sz w:val="18"/>
          <w:szCs w:val="18"/>
          <w:b w:val="1"/>
          <w:bCs w:val="1"/>
          <w:u w:val="single" w:color="auto"/>
          <w:color w:val="auto"/>
        </w:rPr>
        <w:t>Legends</w:t>
      </w:r>
      <w:r>
        <w:rPr>
          <w:rFonts w:ascii="Arial" w:cs="Arial" w:eastAsia="Arial" w:hAnsi="Arial"/>
          <w:sz w:val="18"/>
          <w:szCs w:val="18"/>
          <w:color w:val="auto"/>
        </w:rPr>
        <w:t>. Any certificate or certificates representing the Shares shall bear the following legends (as well as any legends required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applicable state and federal corporate and securities laws):</w:t>
      </w:r>
    </w:p>
    <w:p>
      <w:pPr>
        <w:spacing w:after="0" w:line="57" w:lineRule="exact"/>
        <w:rPr>
          <w:rFonts w:ascii="Arial" w:cs="Arial" w:eastAsia="Arial" w:hAnsi="Arial"/>
          <w:sz w:val="18"/>
          <w:szCs w:val="18"/>
          <w:color w:val="auto"/>
        </w:rPr>
      </w:pPr>
    </w:p>
    <w:p>
      <w:pPr>
        <w:ind w:left="-20" w:firstLine="1428"/>
        <w:spacing w:after="0" w:line="257" w:lineRule="auto"/>
        <w:tabs>
          <w:tab w:leader="none" w:pos="1627" w:val="left"/>
        </w:tabs>
        <w:numPr>
          <w:ilvl w:val="1"/>
          <w:numId w:val="280"/>
        </w:numPr>
        <w:rPr>
          <w:rFonts w:ascii="Arial" w:cs="Arial" w:eastAsia="Arial" w:hAnsi="Arial"/>
          <w:sz w:val="18"/>
          <w:szCs w:val="18"/>
          <w:color w:val="auto"/>
        </w:rPr>
      </w:pPr>
      <w:r>
        <w:rPr>
          <w:rFonts w:ascii="Arial" w:cs="Arial" w:eastAsia="Arial" w:hAnsi="Arial"/>
          <w:sz w:val="18"/>
          <w:szCs w:val="18"/>
          <w:color w:val="auto"/>
        </w:rPr>
        <w:t>THE SHARES REPRESENTED BY THIS CERTIFICATE HAVE NOT BEEN REGISTERED UNDER THE SECURITIES ACT OF 1933, AND HAVE BEEN ACQUIRED FOR INVESTMENT AND NOT WITH A VIEW TO, OR IN CONNECTION WITH, THE SALE OR DISTRIBUTION THEREOF. NO SUCH SALE OR DISTRIBUTION MAY BE EFFECTED WITHOUT AN EFFECTIVE REGISTRATION STATEMENT RELATED THERETO OR AN OPINION OF COUNSEL FOR THE COMPANY THAT SUCH REGISTRATION IS NOT REQUIRED UNDER THE SECURITIES ACT OF 1933.</w:t>
      </w:r>
    </w:p>
    <w:p>
      <w:pPr>
        <w:spacing w:after="0" w:line="79" w:lineRule="exact"/>
        <w:rPr>
          <w:rFonts w:ascii="Arial" w:cs="Arial" w:eastAsia="Arial" w:hAnsi="Arial"/>
          <w:sz w:val="18"/>
          <w:szCs w:val="18"/>
          <w:color w:val="auto"/>
        </w:rPr>
      </w:pPr>
    </w:p>
    <w:p>
      <w:pPr>
        <w:ind w:left="-20" w:firstLine="1428"/>
        <w:spacing w:after="0" w:line="263" w:lineRule="auto"/>
        <w:tabs>
          <w:tab w:leader="none" w:pos="1677" w:val="left"/>
        </w:tabs>
        <w:numPr>
          <w:ilvl w:val="1"/>
          <w:numId w:val="280"/>
        </w:numPr>
        <w:rPr>
          <w:rFonts w:ascii="Arial" w:cs="Arial" w:eastAsia="Arial" w:hAnsi="Arial"/>
          <w:sz w:val="18"/>
          <w:szCs w:val="18"/>
          <w:color w:val="auto"/>
        </w:rPr>
      </w:pPr>
      <w:r>
        <w:rPr>
          <w:rFonts w:ascii="Arial" w:cs="Arial" w:eastAsia="Arial" w:hAnsi="Arial"/>
          <w:sz w:val="18"/>
          <w:szCs w:val="18"/>
          <w:color w:val="auto"/>
        </w:rPr>
        <w:t>THE SHARES REPRESENTED BY THIS CERTIFICATE MAY BE TRANSFERRED ONLY IN ACCORDANCE WITH THE TERMS OF AN AGREEMENT BETWEEN THE COMPANY AND THE HOLDER, A COPY OF WHICH IS ON FILE WITH AND MAY BE OBTAINED FROM THE SECRETARY OF THE COMPANY AT NO CHARGE.</w:t>
      </w:r>
    </w:p>
    <w:p>
      <w:pPr>
        <w:spacing w:after="0" w:line="75" w:lineRule="exact"/>
        <w:rPr>
          <w:rFonts w:ascii="Arial" w:cs="Arial" w:eastAsia="Arial" w:hAnsi="Arial"/>
          <w:sz w:val="18"/>
          <w:szCs w:val="18"/>
          <w:color w:val="auto"/>
        </w:rPr>
      </w:pPr>
    </w:p>
    <w:p>
      <w:pPr>
        <w:ind w:left="-20" w:right="40" w:firstLine="1428"/>
        <w:spacing w:after="0" w:line="255" w:lineRule="auto"/>
        <w:tabs>
          <w:tab w:leader="none" w:pos="1727" w:val="left"/>
        </w:tabs>
        <w:numPr>
          <w:ilvl w:val="1"/>
          <w:numId w:val="280"/>
        </w:numPr>
        <w:rPr>
          <w:rFonts w:ascii="Arial" w:cs="Arial" w:eastAsia="Arial" w:hAnsi="Arial"/>
          <w:sz w:val="18"/>
          <w:szCs w:val="18"/>
          <w:color w:val="auto"/>
        </w:rPr>
      </w:pPr>
      <w:r>
        <w:rPr>
          <w:rFonts w:ascii="Arial" w:cs="Arial" w:eastAsia="Arial" w:hAnsi="Arial"/>
          <w:sz w:val="18"/>
          <w:szCs w:val="18"/>
          <w:color w:val="auto"/>
        </w:rPr>
        <w:t>THE TRANSFER OF THE SHARES REPRESENTED BY THIS CERTIFICATE IS SUBJECT TO RESTRICTIONS REQUIRING APPROVAL OF THE BOARD OF DIRECTORS PURSUANT TO AND IN ACCORDANCE WITH ARTICLE X OF THE AMENDED AND RESTATED BYLAWS OF THE COMPANY, COPIES OF WHICH MAY BE OBTAINED UPON WRITTEN REQUEST TO THE COMPANY AT ITS PRINCIPAL PLACE OF BUSINESS. THE COMPANY SHALL NOT REGISTER OR OTHERWISE RECOGNIZE OR GIVE EFFECT TO ANY PURPORTED TRANSFER OF SHARES OF STOCK THAT DOES NOT COMPLY WITH ARTICLE X OF THE AMENDED AND RESTATED BYLAWS OF THE COMPANY.</w:t>
      </w:r>
    </w:p>
    <w:p>
      <w:pPr>
        <w:spacing w:after="0" w:line="84" w:lineRule="exact"/>
        <w:rPr>
          <w:rFonts w:ascii="Arial" w:cs="Arial" w:eastAsia="Arial" w:hAnsi="Arial"/>
          <w:sz w:val="18"/>
          <w:szCs w:val="18"/>
          <w:color w:val="auto"/>
        </w:rPr>
      </w:pPr>
    </w:p>
    <w:p>
      <w:pPr>
        <w:ind w:left="1720" w:hanging="312"/>
        <w:spacing w:after="0"/>
        <w:tabs>
          <w:tab w:leader="none" w:pos="172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Any legend required by the Voting Agreement, as applicable.</w:t>
      </w:r>
    </w:p>
    <w:p>
      <w:pPr>
        <w:spacing w:after="0" w:line="113" w:lineRule="exact"/>
        <w:rPr>
          <w:rFonts w:ascii="Arial" w:cs="Arial" w:eastAsia="Arial" w:hAnsi="Arial"/>
          <w:sz w:val="18"/>
          <w:szCs w:val="18"/>
          <w:color w:val="auto"/>
        </w:rPr>
      </w:pPr>
    </w:p>
    <w:p>
      <w:pPr>
        <w:ind w:left="-20" w:right="40" w:firstLine="987"/>
        <w:spacing w:after="0" w:line="266" w:lineRule="auto"/>
        <w:tabs>
          <w:tab w:leader="none" w:pos="1226" w:val="left"/>
        </w:tabs>
        <w:numPr>
          <w:ilvl w:val="0"/>
          <w:numId w:val="280"/>
        </w:numPr>
        <w:rPr>
          <w:rFonts w:ascii="Arial" w:cs="Arial" w:eastAsia="Arial" w:hAnsi="Arial"/>
          <w:sz w:val="18"/>
          <w:szCs w:val="18"/>
          <w:color w:val="auto"/>
        </w:rPr>
      </w:pPr>
      <w:r>
        <w:rPr>
          <w:rFonts w:ascii="Arial" w:cs="Arial" w:eastAsia="Arial" w:hAnsi="Arial"/>
          <w:sz w:val="18"/>
          <w:szCs w:val="18"/>
          <w:b w:val="1"/>
          <w:bCs w:val="1"/>
          <w:u w:val="single" w:color="auto"/>
          <w:color w:val="auto"/>
        </w:rPr>
        <w:t>Stop-Transfer Notices</w:t>
      </w:r>
      <w:r>
        <w:rPr>
          <w:rFonts w:ascii="Arial" w:cs="Arial" w:eastAsia="Arial" w:hAnsi="Arial"/>
          <w:sz w:val="18"/>
          <w:szCs w:val="18"/>
          <w:color w:val="auto"/>
        </w:rPr>
        <w:t>. Purchaser agrees that, in order to ensure compliance with the restrictions referred to herein, the Company may</w:t>
      </w:r>
      <w:r>
        <w:rPr>
          <w:rFonts w:ascii="Arial" w:cs="Arial" w:eastAsia="Arial" w:hAnsi="Arial"/>
          <w:sz w:val="18"/>
          <w:szCs w:val="18"/>
          <w:b w:val="1"/>
          <w:bCs w:val="1"/>
          <w:color w:val="auto"/>
        </w:rPr>
        <w:t xml:space="preserve"> </w:t>
      </w:r>
      <w:r>
        <w:rPr>
          <w:rFonts w:ascii="Arial" w:cs="Arial" w:eastAsia="Arial" w:hAnsi="Arial"/>
          <w:sz w:val="18"/>
          <w:szCs w:val="18"/>
          <w:color w:val="auto"/>
        </w:rPr>
        <w:t>issue appropriate “stop transfer” instructions to its transfer agent, if any, and that, if the Company transfers its own securities, it may make appropriate notations to the same effect in its own records.</w:t>
      </w:r>
    </w:p>
    <w:p>
      <w:pPr>
        <w:spacing w:after="0" w:line="67" w:lineRule="exact"/>
        <w:rPr>
          <w:rFonts w:ascii="Arial" w:cs="Arial" w:eastAsia="Arial" w:hAnsi="Arial"/>
          <w:sz w:val="18"/>
          <w:szCs w:val="18"/>
          <w:color w:val="auto"/>
        </w:rPr>
      </w:pPr>
    </w:p>
    <w:p>
      <w:pPr>
        <w:ind w:left="-20" w:right="100" w:firstLine="987"/>
        <w:spacing w:after="0" w:line="266" w:lineRule="auto"/>
        <w:tabs>
          <w:tab w:leader="none" w:pos="1216" w:val="left"/>
        </w:tabs>
        <w:numPr>
          <w:ilvl w:val="0"/>
          <w:numId w:val="280"/>
        </w:numPr>
        <w:rPr>
          <w:rFonts w:ascii="Arial" w:cs="Arial" w:eastAsia="Arial" w:hAnsi="Arial"/>
          <w:sz w:val="18"/>
          <w:szCs w:val="18"/>
          <w:color w:val="auto"/>
        </w:rPr>
      </w:pPr>
      <w:r>
        <w:rPr>
          <w:rFonts w:ascii="Arial" w:cs="Arial" w:eastAsia="Arial" w:hAnsi="Arial"/>
          <w:sz w:val="18"/>
          <w:szCs w:val="18"/>
          <w:b w:val="1"/>
          <w:bCs w:val="1"/>
          <w:u w:val="single" w:color="auto"/>
          <w:color w:val="auto"/>
        </w:rPr>
        <w:t>Refusal to Transfer</w:t>
      </w:r>
      <w:r>
        <w:rPr>
          <w:rFonts w:ascii="Arial" w:cs="Arial" w:eastAsia="Arial" w:hAnsi="Arial"/>
          <w:sz w:val="18"/>
          <w:szCs w:val="18"/>
          <w:color w:val="auto"/>
        </w:rPr>
        <w:t>. The Company shall not be required (i) to transfer on its books any Shares that have been sold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transferred in violation of any of the provisions of this Agreement or (ii) to treat as owner of such Shares or to accord the right to vote or pay dividends to any purchaser or other transferee to whom such Shares shall have been so transferred.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460" w:top="270" w:right="479" w:bottom="1440" w:gutter="0" w:footer="0" w:header="0"/>
        </w:sectPr>
      </w:pPr>
    </w:p>
    <w:bookmarkStart w:id="317" w:name="page318"/>
    <w:bookmarkEnd w:id="317"/>
    <w:p>
      <w:pPr>
        <w:ind w:firstLine="987"/>
        <w:spacing w:after="0" w:line="254" w:lineRule="auto"/>
        <w:tabs>
          <w:tab w:leader="none" w:pos="1246" w:val="left"/>
        </w:tabs>
        <w:numPr>
          <w:ilvl w:val="1"/>
          <w:numId w:val="281"/>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Required Notices</w:t>
      </w:r>
      <w:r>
        <w:rPr>
          <w:rFonts w:ascii="Arial" w:cs="Arial" w:eastAsia="Arial" w:hAnsi="Arial"/>
          <w:sz w:val="18"/>
          <w:szCs w:val="18"/>
          <w:color w:val="auto"/>
        </w:rPr>
        <w:t>. Purchaser acknowledges that the Shares are issued and shall be held subject to all the provisions of this Section 7,</w:t>
      </w:r>
      <w:r>
        <w:rPr>
          <w:rFonts w:ascii="Arial" w:cs="Arial" w:eastAsia="Arial" w:hAnsi="Arial"/>
          <w:sz w:val="18"/>
          <w:szCs w:val="18"/>
          <w:b w:val="1"/>
          <w:bCs w:val="1"/>
          <w:color w:val="auto"/>
        </w:rPr>
        <w:t xml:space="preserve"> </w:t>
      </w:r>
      <w:r>
        <w:rPr>
          <w:rFonts w:ascii="Arial" w:cs="Arial" w:eastAsia="Arial" w:hAnsi="Arial"/>
          <w:sz w:val="18"/>
          <w:szCs w:val="18"/>
          <w:color w:val="auto"/>
        </w:rPr>
        <w:t>the Certificate of Incorporation and the Amended and Restated Bylaws of the Company and any amendments thereto, copies of which are on file at the principal office of the Company. A statement of all of the rights, preferences, privileges and restrictions granted to or imposed upon the respective classes and/or series of shares of stock of the Company and upon the holders thereof may be obtained by any stockholder upon request and without charge, at the principal office of the Company, and the Company will furnish any stockholder, upon request and without charge, a copy of such statement. Purchaser acknowledges that the provisions of this Section 7 shall constitute the notices required by Sections 151(f) and 202(a) of the Delaware General Corporation Law and the Purchaser hereby expressly waives the requirement of Section 151(f) of the Delaware General Corporation Law that it receive the written notice provided for in Sections 151(f) and 202(a) of the Delaware General Corporation Law within a reasonable time after the issuance of the Shares.</w:t>
      </w:r>
    </w:p>
    <w:p>
      <w:pPr>
        <w:spacing w:after="0" w:line="80" w:lineRule="exact"/>
        <w:rPr>
          <w:rFonts w:ascii="Arial" w:cs="Arial" w:eastAsia="Arial" w:hAnsi="Arial"/>
          <w:sz w:val="18"/>
          <w:szCs w:val="18"/>
          <w:color w:val="auto"/>
        </w:rPr>
      </w:pPr>
    </w:p>
    <w:p>
      <w:pPr>
        <w:ind w:right="60" w:firstLine="436"/>
        <w:spacing w:after="0" w:line="266" w:lineRule="auto"/>
        <w:tabs>
          <w:tab w:leader="none" w:pos="620" w:val="left"/>
        </w:tabs>
        <w:numPr>
          <w:ilvl w:val="0"/>
          <w:numId w:val="282"/>
        </w:numPr>
        <w:rPr>
          <w:rFonts w:ascii="Arial" w:cs="Arial" w:eastAsia="Arial" w:hAnsi="Arial"/>
          <w:sz w:val="18"/>
          <w:szCs w:val="18"/>
          <w:color w:val="auto"/>
        </w:rPr>
      </w:pPr>
      <w:r>
        <w:rPr>
          <w:rFonts w:ascii="Arial" w:cs="Arial" w:eastAsia="Arial" w:hAnsi="Arial"/>
          <w:sz w:val="18"/>
          <w:szCs w:val="18"/>
          <w:b w:val="1"/>
          <w:bCs w:val="1"/>
          <w:u w:val="single" w:color="auto"/>
          <w:color w:val="auto"/>
        </w:rPr>
        <w:t>No Employment Rights</w:t>
      </w:r>
      <w:r>
        <w:rPr>
          <w:rFonts w:ascii="Arial" w:cs="Arial" w:eastAsia="Arial" w:hAnsi="Arial"/>
          <w:sz w:val="18"/>
          <w:szCs w:val="18"/>
          <w:color w:val="auto"/>
        </w:rPr>
        <w:t>. Nothing in this Agreement shall affect in any manner whatsoever the right or power of the Company, or a parent,</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or affiliate of the Company, to terminate Purchaser’s employment or consulting relationship, for any reason, with or without cause, subject to Applicable Laws.</w:t>
      </w:r>
    </w:p>
    <w:p>
      <w:pPr>
        <w:spacing w:after="0" w:line="67" w:lineRule="exact"/>
        <w:rPr>
          <w:rFonts w:ascii="Arial" w:cs="Arial" w:eastAsia="Arial" w:hAnsi="Arial"/>
          <w:sz w:val="18"/>
          <w:szCs w:val="18"/>
          <w:color w:val="auto"/>
        </w:rPr>
      </w:pPr>
    </w:p>
    <w:p>
      <w:pPr>
        <w:ind w:left="620" w:hanging="184"/>
        <w:spacing w:after="0"/>
        <w:tabs>
          <w:tab w:leader="none" w:pos="620" w:val="left"/>
        </w:tabs>
        <w:numPr>
          <w:ilvl w:val="0"/>
          <w:numId w:val="282"/>
        </w:numPr>
        <w:rPr>
          <w:rFonts w:ascii="Arial" w:cs="Arial" w:eastAsia="Arial" w:hAnsi="Arial"/>
          <w:sz w:val="18"/>
          <w:szCs w:val="18"/>
          <w:color w:val="auto"/>
        </w:rPr>
      </w:pPr>
      <w:r>
        <w:rPr>
          <w:rFonts w:ascii="Arial" w:cs="Arial" w:eastAsia="Arial" w:hAnsi="Arial"/>
          <w:sz w:val="18"/>
          <w:szCs w:val="18"/>
          <w:b w:val="1"/>
          <w:bCs w:val="1"/>
          <w:u w:val="single" w:color="auto"/>
          <w:color w:val="auto"/>
        </w:rPr>
        <w:t>Section 83(b) Election</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right="20" w:firstLine="987"/>
        <w:spacing w:after="0" w:line="286" w:lineRule="auto"/>
        <w:tabs>
          <w:tab w:leader="none" w:pos="1236" w:val="left"/>
        </w:tabs>
        <w:numPr>
          <w:ilvl w:val="1"/>
          <w:numId w:val="282"/>
        </w:numPr>
        <w:rPr>
          <w:rFonts w:ascii="Arial" w:cs="Arial" w:eastAsia="Arial" w:hAnsi="Arial"/>
          <w:sz w:val="16"/>
          <w:szCs w:val="16"/>
          <w:color w:val="auto"/>
        </w:rPr>
      </w:pPr>
      <w:r>
        <w:rPr>
          <w:rFonts w:ascii="Arial" w:cs="Arial" w:eastAsia="Arial" w:hAnsi="Arial"/>
          <w:sz w:val="16"/>
          <w:szCs w:val="16"/>
          <w:color w:val="auto"/>
        </w:rPr>
        <w:t>Purchaser understands that Section 83(a)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taxes as ordinary income for a Nonstatutory Stock Option and as alternative minimum taxable income for an Incentive Stock Option the difference between the amount paid for the Shares and the Fair Market Value of the Shares as of the date any restrictions on the Shares lapse. In this context, “</w:t>
      </w:r>
      <w:r>
        <w:rPr>
          <w:rFonts w:ascii="Arial" w:cs="Arial" w:eastAsia="Arial" w:hAnsi="Arial"/>
          <w:sz w:val="16"/>
          <w:szCs w:val="16"/>
          <w:u w:val="single" w:color="auto"/>
          <w:color w:val="auto"/>
        </w:rPr>
        <w:t>restriction</w:t>
      </w:r>
      <w:r>
        <w:rPr>
          <w:rFonts w:ascii="Arial" w:cs="Arial" w:eastAsia="Arial" w:hAnsi="Arial"/>
          <w:sz w:val="16"/>
          <w:szCs w:val="16"/>
          <w:color w:val="auto"/>
        </w:rPr>
        <w:t>” means the right of the Company to buy back the Shares pursuant to the Repurchase Option set forth in Section 3(a) of this Agreement. Purchaser understands that Purchaser may elect to be taxed at the time the Shares are purchased, rather than when and as the Repurchase Option expires, by filing an election under Section 83(b) (an “</w:t>
      </w:r>
      <w:r>
        <w:rPr>
          <w:rFonts w:ascii="Arial" w:cs="Arial" w:eastAsia="Arial" w:hAnsi="Arial"/>
          <w:sz w:val="16"/>
          <w:szCs w:val="16"/>
          <w:u w:val="single" w:color="auto"/>
          <w:color w:val="auto"/>
        </w:rPr>
        <w:t>83(b) Election</w:t>
      </w:r>
      <w:r>
        <w:rPr>
          <w:rFonts w:ascii="Arial" w:cs="Arial" w:eastAsia="Arial" w:hAnsi="Arial"/>
          <w:sz w:val="16"/>
          <w:szCs w:val="16"/>
          <w:color w:val="auto"/>
        </w:rPr>
        <w:t>”) of the Code with the Internal Revenue Service within 30 days from the date of purchase. Even if the Fair Market Value of the Shares at the time of the execution of this Agreement equals the amount paid for the Shares, the election must be made to avoid income and alternative minimum tax treatment under Section 83(a) in the future. Purchaser understands that failure to file such an election in a timely manner may result in adverse tax consequences for Purchaser. Purchaser further understands that an additional copy of such election form should be filed with his or her federal income tax return for the calendar year in which the date of this Agreement falls. Purchaser acknowledges that the foregoing is only a summary of the effect of United States federal income taxation with respect to purchase of the Shares hereunder, does not purport to be complete, and is not intended or written to be used, and cannot be used, for the purposes of avoiding taxpayer penalties. Purchaser further acknowledges that the Company has directed Purchaser to seek independent advice regarding the applicable provisions of the Code, the income tax laws of any municipality, state or foreign country in which Purchaser may reside, and the tax consequences of Purchaser’s death, and Purchaser has consulted, and has been fully advised by, Purchaser’s own tax advisor regarding such tax laws and tax consequences or has knowingly chosen not to consult such a tax advisor.</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0" w:right="459" w:bottom="1440" w:gutter="0" w:footer="0" w:header="0"/>
        </w:sectPr>
      </w:pPr>
    </w:p>
    <w:bookmarkStart w:id="318" w:name="page319"/>
    <w:bookmarkEnd w:id="318"/>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Purchaser further acknowledges that neither the Company nor any subsidiary or representative of the Company has made any warranty or representation to Purchaser with respect to the tax consequences of Purchaser’s purchase of the Shares or of the making or failure to make an 83(b) Election.</w:t>
      </w:r>
    </w:p>
    <w:p>
      <w:pPr>
        <w:spacing w:after="0" w:line="255" w:lineRule="auto"/>
        <w:rPr>
          <w:sz w:val="20"/>
          <w:szCs w:val="20"/>
          <w:color w:val="auto"/>
        </w:rPr>
      </w:pPr>
      <w:r>
        <w:rPr>
          <w:rFonts w:ascii="Arial" w:cs="Arial" w:eastAsia="Arial" w:hAnsi="Arial"/>
          <w:sz w:val="18"/>
          <w:szCs w:val="18"/>
          <w:color w:val="auto"/>
        </w:rPr>
        <w:t>PURCHASER (AND NOT THE COMPANY, ITS AGENTS OR ANY OTHER PERSON) SHALL BE SOLELY RESPONSIBLE FOR APPROPRIATELY FILING SUCH FORM WITH THE IRS, EVEN IF PURCHASER REQUESTS THE COMPANY, ITS AGENTS OR ANY OTHER PERSON MAKE THIS FILING ON PURCHASER’S BEHALF.</w:t>
      </w:r>
    </w:p>
    <w:p>
      <w:pPr>
        <w:spacing w:after="0" w:line="82" w:lineRule="exact"/>
        <w:rPr>
          <w:sz w:val="20"/>
          <w:szCs w:val="20"/>
          <w:color w:val="auto"/>
        </w:rPr>
      </w:pPr>
    </w:p>
    <w:p>
      <w:pPr>
        <w:jc w:val="both"/>
        <w:ind w:firstLine="987"/>
        <w:spacing w:after="0" w:line="301" w:lineRule="auto"/>
        <w:tabs>
          <w:tab w:leader="none" w:pos="1246" w:val="left"/>
        </w:tabs>
        <w:numPr>
          <w:ilvl w:val="1"/>
          <w:numId w:val="283"/>
        </w:numPr>
        <w:rPr>
          <w:rFonts w:ascii="Arial" w:cs="Arial" w:eastAsia="Arial" w:hAnsi="Arial"/>
          <w:sz w:val="16"/>
          <w:szCs w:val="16"/>
          <w:color w:val="auto"/>
        </w:rPr>
      </w:pPr>
      <w:r>
        <w:rPr>
          <w:rFonts w:ascii="Arial" w:cs="Arial" w:eastAsia="Arial" w:hAnsi="Arial"/>
          <w:sz w:val="16"/>
          <w:szCs w:val="16"/>
          <w:color w:val="auto"/>
        </w:rPr>
        <w:t>Purchaser agrees that he or she will execute and deliver to the Company with this executed Agreement a copy of the Acknowledgment and Statement of Decision Regarding Section 83(b) Election (the “</w:t>
      </w:r>
      <w:r>
        <w:rPr>
          <w:rFonts w:ascii="Arial" w:cs="Arial" w:eastAsia="Arial" w:hAnsi="Arial"/>
          <w:sz w:val="16"/>
          <w:szCs w:val="16"/>
          <w:u w:val="single" w:color="auto"/>
          <w:color w:val="auto"/>
        </w:rPr>
        <w:t>Acknowledgment</w:t>
      </w:r>
      <w:r>
        <w:rPr>
          <w:rFonts w:ascii="Arial" w:cs="Arial" w:eastAsia="Arial" w:hAnsi="Arial"/>
          <w:sz w:val="16"/>
          <w:szCs w:val="16"/>
          <w:color w:val="auto"/>
        </w:rPr>
        <w:t xml:space="preserve">”) attached hereto as </w:t>
      </w:r>
      <w:r>
        <w:rPr>
          <w:rFonts w:ascii="Arial" w:cs="Arial" w:eastAsia="Arial" w:hAnsi="Arial"/>
          <w:sz w:val="16"/>
          <w:szCs w:val="16"/>
          <w:u w:val="single" w:color="auto"/>
          <w:color w:val="auto"/>
        </w:rPr>
        <w:t>Attachment B</w:t>
      </w:r>
      <w:r>
        <w:rPr>
          <w:rFonts w:ascii="Arial" w:cs="Arial" w:eastAsia="Arial" w:hAnsi="Arial"/>
          <w:sz w:val="16"/>
          <w:szCs w:val="16"/>
          <w:color w:val="auto"/>
        </w:rPr>
        <w:t xml:space="preserve">. Purchaser further agrees that he or she will execute and submit with the Acknowledgment a copy of the 83(b) Election attached hereto as </w:t>
      </w:r>
      <w:r>
        <w:rPr>
          <w:rFonts w:ascii="Arial" w:cs="Arial" w:eastAsia="Arial" w:hAnsi="Arial"/>
          <w:sz w:val="16"/>
          <w:szCs w:val="16"/>
          <w:u w:val="single" w:color="auto"/>
          <w:color w:val="auto"/>
        </w:rPr>
        <w:t>Attachment C</w:t>
      </w:r>
      <w:r>
        <w:rPr>
          <w:rFonts w:ascii="Arial" w:cs="Arial" w:eastAsia="Arial" w:hAnsi="Arial"/>
          <w:sz w:val="16"/>
          <w:szCs w:val="16"/>
          <w:color w:val="auto"/>
        </w:rPr>
        <w:t xml:space="preserve"> (for tax purposes in connection with the early exercise of an option) if Purchaser has indicated in the Acknowledgment his or her decision to make such an election.</w:t>
      </w:r>
    </w:p>
    <w:p>
      <w:pPr>
        <w:spacing w:after="0" w:line="45" w:lineRule="exact"/>
        <w:rPr>
          <w:rFonts w:ascii="Arial" w:cs="Arial" w:eastAsia="Arial" w:hAnsi="Arial"/>
          <w:sz w:val="16"/>
          <w:szCs w:val="16"/>
          <w:color w:val="auto"/>
        </w:rPr>
      </w:pPr>
    </w:p>
    <w:p>
      <w:pPr>
        <w:ind w:right="20" w:firstLine="436"/>
        <w:spacing w:after="0" w:line="282" w:lineRule="auto"/>
        <w:tabs>
          <w:tab w:leader="none" w:pos="710" w:val="left"/>
        </w:tabs>
        <w:numPr>
          <w:ilvl w:val="0"/>
          <w:numId w:val="284"/>
        </w:numPr>
        <w:rPr>
          <w:rFonts w:ascii="Arial" w:cs="Arial" w:eastAsia="Arial" w:hAnsi="Arial"/>
          <w:sz w:val="18"/>
          <w:szCs w:val="18"/>
          <w:color w:val="auto"/>
        </w:rPr>
      </w:pPr>
      <w:r>
        <w:rPr>
          <w:rFonts w:ascii="Arial" w:cs="Arial" w:eastAsia="Arial" w:hAnsi="Arial"/>
          <w:sz w:val="18"/>
          <w:szCs w:val="18"/>
          <w:b w:val="1"/>
          <w:bCs w:val="1"/>
          <w:u w:val="single" w:color="auto"/>
          <w:color w:val="auto"/>
        </w:rPr>
        <w:t>Lock-Up Agreement</w:t>
      </w:r>
      <w:r>
        <w:rPr>
          <w:rFonts w:ascii="Arial" w:cs="Arial" w:eastAsia="Arial" w:hAnsi="Arial"/>
          <w:sz w:val="18"/>
          <w:szCs w:val="18"/>
          <w:color w:val="auto"/>
        </w:rPr>
        <w:t>. The lock-up provisions set forth in Section 7 of the Option Agreement shall apply to the Shares issued upon exercise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Option hereunder and Purchaser reaffirms Purchaser’s obligations set forth therein.</w:t>
      </w:r>
    </w:p>
    <w:p>
      <w:pPr>
        <w:spacing w:after="0" w:line="53" w:lineRule="exact"/>
        <w:rPr>
          <w:rFonts w:ascii="Arial" w:cs="Arial" w:eastAsia="Arial" w:hAnsi="Arial"/>
          <w:sz w:val="18"/>
          <w:szCs w:val="18"/>
          <w:color w:val="auto"/>
        </w:rPr>
      </w:pPr>
    </w:p>
    <w:p>
      <w:pPr>
        <w:ind w:right="20" w:firstLine="436"/>
        <w:spacing w:after="0" w:line="287" w:lineRule="auto"/>
        <w:tabs>
          <w:tab w:leader="none" w:pos="703" w:val="left"/>
        </w:tabs>
        <w:numPr>
          <w:ilvl w:val="0"/>
          <w:numId w:val="284"/>
        </w:numPr>
        <w:rPr>
          <w:rFonts w:ascii="Arial" w:cs="Arial" w:eastAsia="Arial" w:hAnsi="Arial"/>
          <w:sz w:val="16"/>
          <w:szCs w:val="16"/>
          <w:color w:val="auto"/>
        </w:rPr>
      </w:pPr>
      <w:r>
        <w:rPr>
          <w:rFonts w:ascii="Arial" w:cs="Arial" w:eastAsia="Arial" w:hAnsi="Arial"/>
          <w:sz w:val="16"/>
          <w:szCs w:val="16"/>
          <w:b w:val="1"/>
          <w:bCs w:val="1"/>
          <w:u w:val="single" w:color="auto"/>
          <w:color w:val="auto"/>
        </w:rPr>
        <w:t>Waiver of Statutory Information Rights</w:t>
      </w:r>
      <w:r>
        <w:rPr>
          <w:rFonts w:ascii="Arial" w:cs="Arial" w:eastAsia="Arial" w:hAnsi="Arial"/>
          <w:sz w:val="16"/>
          <w:szCs w:val="16"/>
          <w:color w:val="auto"/>
        </w:rPr>
        <w:t>. Purchaser acknowledges and understands that, but for the waiver made herein, Purchaser would be</w:t>
      </w:r>
      <w:r>
        <w:rPr>
          <w:rFonts w:ascii="Arial" w:cs="Arial" w:eastAsia="Arial" w:hAnsi="Arial"/>
          <w:sz w:val="16"/>
          <w:szCs w:val="16"/>
          <w:b w:val="1"/>
          <w:bCs w:val="1"/>
          <w:color w:val="auto"/>
        </w:rPr>
        <w:t xml:space="preserve"> </w:t>
      </w:r>
      <w:r>
        <w:rPr>
          <w:rFonts w:ascii="Arial" w:cs="Arial" w:eastAsia="Arial" w:hAnsi="Arial"/>
          <w:sz w:val="16"/>
          <w:szCs w:val="16"/>
          <w:color w:val="auto"/>
        </w:rPr>
        <w:t>entitled, upon written demand under oath stating the purpose thereof, to inspect for any proper purpose, and to make copies and extracts from, the Company’s stock ledger, a list of its stockholders, and its other books and records, and the books and records of subsidiaries of the Company, if any, under the circumstances and in the manner provided in Section 220 of the General Corporation Law of Delaware (any and all such rights, and any and all such other rights of Purchaser as may be provided for in Section 220, the “</w:t>
      </w:r>
      <w:r>
        <w:rPr>
          <w:rFonts w:ascii="Arial" w:cs="Arial" w:eastAsia="Arial" w:hAnsi="Arial"/>
          <w:sz w:val="16"/>
          <w:szCs w:val="16"/>
          <w:u w:val="single" w:color="auto"/>
          <w:color w:val="auto"/>
        </w:rPr>
        <w:t>Inspection Rights</w:t>
      </w:r>
      <w:r>
        <w:rPr>
          <w:rFonts w:ascii="Arial" w:cs="Arial" w:eastAsia="Arial" w:hAnsi="Arial"/>
          <w:sz w:val="16"/>
          <w:szCs w:val="16"/>
          <w:color w:val="auto"/>
        </w:rPr>
        <w:t>”). In light of the foregoing, until the first sale of Company securities to the general public pursuant to a registration statement filed with and declared effective by the Securities and Exchange Commission under the Securities Act of 1933, as amended, Purchaser hereby unconditionally and irrevocably waives the Inspection Rights, whether such Inspection Rights would be exercised or pursued directly or indirectly pursuant to Section 220 or otherwise, and covenants and agrees never to directly or indirectly commence, voluntarily aid in any way, prosecute, assign, transfer, or cause to be commenced any claim, action, cause of action, or other proceeding to pursue or exercise the Inspection Rights. The foregoing waiver applies to the Inspection Rights of Purchaser in Purchaser’s capacity as a stockholder and shall not affect any rights of a director, in his or her capacity as such, under Section 220. The foregoing waiver shall not apply to any contractual inspection rights of Purchaser under any written agreement with the Company.</w:t>
      </w:r>
    </w:p>
    <w:p>
      <w:pPr>
        <w:spacing w:after="0" w:line="59" w:lineRule="exact"/>
        <w:rPr>
          <w:rFonts w:ascii="Arial" w:cs="Arial" w:eastAsia="Arial" w:hAnsi="Arial"/>
          <w:sz w:val="16"/>
          <w:szCs w:val="16"/>
          <w:color w:val="auto"/>
        </w:rPr>
      </w:pPr>
    </w:p>
    <w:p>
      <w:pPr>
        <w:ind w:left="700" w:hanging="264"/>
        <w:spacing w:after="0"/>
        <w:tabs>
          <w:tab w:leader="none" w:pos="700" w:val="left"/>
        </w:tabs>
        <w:numPr>
          <w:ilvl w:val="0"/>
          <w:numId w:val="284"/>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20" w:firstLine="987"/>
        <w:spacing w:after="0" w:line="298" w:lineRule="auto"/>
        <w:tabs>
          <w:tab w:leader="none" w:pos="1236" w:val="left"/>
        </w:tabs>
        <w:numPr>
          <w:ilvl w:val="1"/>
          <w:numId w:val="284"/>
        </w:numPr>
        <w:rPr>
          <w:rFonts w:ascii="Arial" w:cs="Arial" w:eastAsia="Arial" w:hAnsi="Arial"/>
          <w:sz w:val="16"/>
          <w:szCs w:val="16"/>
          <w:color w:val="auto"/>
        </w:rPr>
      </w:pPr>
      <w:r>
        <w:rPr>
          <w:rFonts w:ascii="Arial" w:cs="Arial" w:eastAsia="Arial" w:hAnsi="Arial"/>
          <w:sz w:val="16"/>
          <w:szCs w:val="16"/>
          <w:b w:val="1"/>
          <w:bCs w:val="1"/>
          <w:u w:val="single" w:color="auto"/>
          <w:color w:val="auto"/>
        </w:rPr>
        <w:t>Governing Law</w:t>
      </w:r>
      <w:r>
        <w:rPr>
          <w:rFonts w:ascii="Arial" w:cs="Arial" w:eastAsia="Arial" w:hAnsi="Arial"/>
          <w:sz w:val="16"/>
          <w:szCs w:val="16"/>
          <w:color w:val="auto"/>
        </w:rPr>
        <w:t>. The validity, interpretation, construction and performance of this Agreement and all acts and transactions pursuant</w:t>
      </w:r>
      <w:r>
        <w:rPr>
          <w:rFonts w:ascii="Arial" w:cs="Arial" w:eastAsia="Arial" w:hAnsi="Arial"/>
          <w:sz w:val="16"/>
          <w:szCs w:val="16"/>
          <w:b w:val="1"/>
          <w:bCs w:val="1"/>
          <w:color w:val="auto"/>
        </w:rPr>
        <w:t xml:space="preserve"> </w:t>
      </w:r>
      <w:r>
        <w:rPr>
          <w:rFonts w:ascii="Arial" w:cs="Arial" w:eastAsia="Arial" w:hAnsi="Arial"/>
          <w:sz w:val="16"/>
          <w:szCs w:val="16"/>
          <w:color w:val="auto"/>
        </w:rPr>
        <w:t>hereto and the rights and obligations of the parties hereto shall be governed, construed and interpreted in accordance with the laws of the State of California, without giving effect to principles of conflicts of law. For purposes of litigating any dispute that may arise directly or indirectly from this Agreement, the parties hereby submit and consent to the exclusive jurisdiction of the State of California and agree that any such litigation shall be conducted only in the courts of California or the federal courts of the United States located in California and no other courts.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319" w:name="page320"/>
    <w:bookmarkEnd w:id="319"/>
    <w:p>
      <w:pPr>
        <w:ind w:firstLine="987"/>
        <w:spacing w:after="0" w:line="277" w:lineRule="auto"/>
        <w:tabs>
          <w:tab w:leader="none" w:pos="1246" w:val="left"/>
        </w:tabs>
        <w:numPr>
          <w:ilvl w:val="0"/>
          <w:numId w:val="285"/>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Entire Agreement; Enforcement of Rights</w:t>
      </w:r>
      <w:r>
        <w:rPr>
          <w:rFonts w:ascii="Arial" w:cs="Arial" w:eastAsia="Arial" w:hAnsi="Arial"/>
          <w:sz w:val="17"/>
          <w:szCs w:val="17"/>
          <w:color w:val="auto"/>
        </w:rPr>
        <w:t>. This Agreement, together with the Option Agreement and the Plan, sets forth the entire</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and understanding of the parties relating to the subject matter herein and supersedes all prior or contemporaneous discussions, understandings and agreements, whether oral or written, between them related to the subject matter thereof. No modification of or amendment to this Agreement, nor any waiver of any rights under this Agreement, shall be effective unless in writing signed by the parties to this Agreement. The failure by either party to enforce any rights under this Agreement shall not be construed as a waiver of any rights of such party.</w:t>
      </w:r>
    </w:p>
    <w:p>
      <w:pPr>
        <w:spacing w:after="0" w:line="59" w:lineRule="exact"/>
        <w:rPr>
          <w:rFonts w:ascii="Arial" w:cs="Arial" w:eastAsia="Arial" w:hAnsi="Arial"/>
          <w:sz w:val="17"/>
          <w:szCs w:val="17"/>
          <w:color w:val="auto"/>
        </w:rPr>
      </w:pPr>
    </w:p>
    <w:p>
      <w:pPr>
        <w:ind w:right="80" w:firstLine="987"/>
        <w:spacing w:after="0" w:line="281" w:lineRule="auto"/>
        <w:tabs>
          <w:tab w:leader="none" w:pos="1236" w:val="left"/>
        </w:tabs>
        <w:numPr>
          <w:ilvl w:val="0"/>
          <w:numId w:val="285"/>
        </w:numPr>
        <w:rPr>
          <w:rFonts w:ascii="Arial" w:cs="Arial" w:eastAsia="Arial" w:hAnsi="Arial"/>
          <w:sz w:val="17"/>
          <w:szCs w:val="17"/>
          <w:color w:val="auto"/>
        </w:rPr>
      </w:pPr>
      <w:r>
        <w:rPr>
          <w:rFonts w:ascii="Arial" w:cs="Arial" w:eastAsia="Arial" w:hAnsi="Arial"/>
          <w:sz w:val="17"/>
          <w:szCs w:val="17"/>
          <w:b w:val="1"/>
          <w:bCs w:val="1"/>
          <w:u w:val="single" w:color="auto"/>
          <w:color w:val="auto"/>
        </w:rPr>
        <w:t>Severability</w:t>
      </w:r>
      <w:r>
        <w:rPr>
          <w:rFonts w:ascii="Arial" w:cs="Arial" w:eastAsia="Arial" w:hAnsi="Arial"/>
          <w:sz w:val="17"/>
          <w:szCs w:val="17"/>
          <w:color w:val="auto"/>
        </w:rPr>
        <w:t>. If one or more provisions of this Agreement are held to be unenforceable under Applicable Laws, the parties agree to</w:t>
      </w:r>
      <w:r>
        <w:rPr>
          <w:rFonts w:ascii="Arial" w:cs="Arial" w:eastAsia="Arial" w:hAnsi="Arial"/>
          <w:sz w:val="17"/>
          <w:szCs w:val="17"/>
          <w:b w:val="1"/>
          <w:bCs w:val="1"/>
          <w:color w:val="auto"/>
        </w:rPr>
        <w:t xml:space="preserve"> </w:t>
      </w:r>
      <w:r>
        <w:rPr>
          <w:rFonts w:ascii="Arial" w:cs="Arial" w:eastAsia="Arial" w:hAnsi="Arial"/>
          <w:sz w:val="17"/>
          <w:szCs w:val="17"/>
          <w:color w:val="auto"/>
        </w:rPr>
        <w:t>renegotiate such provision in good faith. In the event that the parties cannot reach a mutually agreeable and enforceable replacement for such provision, then (i) such provision shall be excluded from this Agreement, (ii) the balance of the Agreement shall be interpreted as if such provision were so excluded and (iii) the balance of the Agreement shall be enforceable in accordance with its terms.</w:t>
      </w:r>
    </w:p>
    <w:p>
      <w:pPr>
        <w:spacing w:after="0" w:line="56" w:lineRule="exact"/>
        <w:rPr>
          <w:rFonts w:ascii="Arial" w:cs="Arial" w:eastAsia="Arial" w:hAnsi="Arial"/>
          <w:sz w:val="17"/>
          <w:szCs w:val="17"/>
          <w:color w:val="auto"/>
        </w:rPr>
      </w:pPr>
    </w:p>
    <w:p>
      <w:pPr>
        <w:ind w:firstLine="987"/>
        <w:spacing w:after="0" w:line="258" w:lineRule="auto"/>
        <w:tabs>
          <w:tab w:leader="none" w:pos="1246" w:val="left"/>
        </w:tabs>
        <w:numPr>
          <w:ilvl w:val="0"/>
          <w:numId w:val="285"/>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Any notice required or permitted by this Agreement shall be in writing and shall be deemed sufficient when delivered</w:t>
      </w:r>
      <w:r>
        <w:rPr>
          <w:rFonts w:ascii="Arial" w:cs="Arial" w:eastAsia="Arial" w:hAnsi="Arial"/>
          <w:sz w:val="18"/>
          <w:szCs w:val="18"/>
          <w:b w:val="1"/>
          <w:bCs w:val="1"/>
          <w:color w:val="auto"/>
        </w:rPr>
        <w:t xml:space="preserve"> </w:t>
      </w:r>
      <w:r>
        <w:rPr>
          <w:rFonts w:ascii="Arial" w:cs="Arial" w:eastAsia="Arial" w:hAnsi="Arial"/>
          <w:sz w:val="18"/>
          <w:szCs w:val="18"/>
          <w:color w:val="auto"/>
        </w:rPr>
        <w:t>personally or by overnight courier or sent by email or fax (upon customary confirmation of receipt), or forty-eight (48) hours after being deposited in the U.S. mail as certified or registered mail with postage prepaid, addressed to the party to be notified at such party’s address or fax number as set forth on the signature page, as subsequently modified by written notice, or if no address is specified on the signature page, at the most recent address set forth in the Company’s books and records.</w:t>
      </w:r>
    </w:p>
    <w:p>
      <w:pPr>
        <w:spacing w:after="0" w:line="75" w:lineRule="exact"/>
        <w:rPr>
          <w:rFonts w:ascii="Arial" w:cs="Arial" w:eastAsia="Arial" w:hAnsi="Arial"/>
          <w:sz w:val="18"/>
          <w:szCs w:val="18"/>
          <w:color w:val="auto"/>
        </w:rPr>
      </w:pPr>
    </w:p>
    <w:p>
      <w:pPr>
        <w:ind w:right="340" w:firstLine="987"/>
        <w:spacing w:after="0" w:line="282" w:lineRule="auto"/>
        <w:tabs>
          <w:tab w:leader="none" w:pos="1236" w:val="left"/>
        </w:tabs>
        <w:numPr>
          <w:ilvl w:val="0"/>
          <w:numId w:val="285"/>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two or more counterparts, each of which shall be deemed an original and all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together shall constitute one instrument.</w:t>
      </w:r>
    </w:p>
    <w:p>
      <w:pPr>
        <w:spacing w:after="0" w:line="53" w:lineRule="exact"/>
        <w:rPr>
          <w:rFonts w:ascii="Arial" w:cs="Arial" w:eastAsia="Arial" w:hAnsi="Arial"/>
          <w:sz w:val="18"/>
          <w:szCs w:val="18"/>
          <w:color w:val="auto"/>
        </w:rPr>
      </w:pPr>
    </w:p>
    <w:p>
      <w:pPr>
        <w:ind w:right="120" w:firstLine="987"/>
        <w:spacing w:after="0" w:line="266" w:lineRule="auto"/>
        <w:tabs>
          <w:tab w:leader="none" w:pos="1216" w:val="left"/>
        </w:tabs>
        <w:numPr>
          <w:ilvl w:val="0"/>
          <w:numId w:val="285"/>
        </w:numPr>
        <w:rPr>
          <w:rFonts w:ascii="Arial" w:cs="Arial" w:eastAsia="Arial" w:hAnsi="Arial"/>
          <w:sz w:val="18"/>
          <w:szCs w:val="18"/>
          <w:color w:val="auto"/>
        </w:rPr>
      </w:pPr>
      <w:r>
        <w:rPr>
          <w:rFonts w:ascii="Arial" w:cs="Arial" w:eastAsia="Arial" w:hAnsi="Arial"/>
          <w:sz w:val="18"/>
          <w:szCs w:val="18"/>
          <w:b w:val="1"/>
          <w:bCs w:val="1"/>
          <w:u w:val="single" w:color="auto"/>
          <w:color w:val="auto"/>
        </w:rPr>
        <w:t>Successors and Assigns</w:t>
      </w:r>
      <w:r>
        <w:rPr>
          <w:rFonts w:ascii="Arial" w:cs="Arial" w:eastAsia="Arial" w:hAnsi="Arial"/>
          <w:sz w:val="18"/>
          <w:szCs w:val="18"/>
          <w:color w:val="auto"/>
        </w:rPr>
        <w:t>. The rights and benefits of this Agreement shall inure to the benefit of, and be enforceable by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successors and assigns. The rights and obligations of Purchaser under this Agreement may only be assigned with the prior written consent of the Company.</w:t>
      </w:r>
    </w:p>
    <w:p>
      <w:pPr>
        <w:spacing w:after="0" w:line="67" w:lineRule="exact"/>
        <w:rPr>
          <w:rFonts w:ascii="Arial" w:cs="Arial" w:eastAsia="Arial" w:hAnsi="Arial"/>
          <w:sz w:val="18"/>
          <w:szCs w:val="18"/>
          <w:color w:val="auto"/>
        </w:rPr>
      </w:pPr>
    </w:p>
    <w:p>
      <w:pPr>
        <w:ind w:firstLine="987"/>
        <w:spacing w:after="0" w:line="281" w:lineRule="auto"/>
        <w:tabs>
          <w:tab w:leader="none" w:pos="1246" w:val="left"/>
        </w:tabs>
        <w:numPr>
          <w:ilvl w:val="0"/>
          <w:numId w:val="285"/>
        </w:numPr>
        <w:rPr>
          <w:rFonts w:ascii="Arial" w:cs="Arial" w:eastAsia="Arial" w:hAnsi="Arial"/>
          <w:sz w:val="17"/>
          <w:szCs w:val="17"/>
          <w:color w:val="auto"/>
        </w:rPr>
      </w:pPr>
      <w:r>
        <w:rPr>
          <w:rFonts w:ascii="Arial" w:cs="Arial" w:eastAsia="Arial" w:hAnsi="Arial"/>
          <w:sz w:val="17"/>
          <w:szCs w:val="17"/>
          <w:b w:val="1"/>
          <w:bCs w:val="1"/>
          <w:u w:val="single" w:color="auto"/>
          <w:color w:val="auto"/>
        </w:rPr>
        <w:t>Electronic Delivery</w:t>
      </w:r>
      <w:r>
        <w:rPr>
          <w:rFonts w:ascii="Arial" w:cs="Arial" w:eastAsia="Arial" w:hAnsi="Arial"/>
          <w:sz w:val="17"/>
          <w:szCs w:val="17"/>
          <w:color w:val="auto"/>
        </w:rPr>
        <w:t>. The Company may, in its sole discretion, decide to deliver any documents related to this Agreement or any</w:t>
      </w:r>
      <w:r>
        <w:rPr>
          <w:rFonts w:ascii="Arial" w:cs="Arial" w:eastAsia="Arial" w:hAnsi="Arial"/>
          <w:sz w:val="17"/>
          <w:szCs w:val="17"/>
          <w:b w:val="1"/>
          <w:bCs w:val="1"/>
          <w:color w:val="auto"/>
        </w:rPr>
        <w:t xml:space="preserve"> </w:t>
      </w:r>
      <w:r>
        <w:rPr>
          <w:rFonts w:ascii="Arial" w:cs="Arial" w:eastAsia="Arial" w:hAnsi="Arial"/>
          <w:sz w:val="17"/>
          <w:szCs w:val="17"/>
          <w:color w:val="auto"/>
        </w:rPr>
        <w:t>notices required by Applicable Laws by email or any other electronic means. Purchaser hereby consents to (i) conduct business electronically (ii) receive such documents and notices by such electronic delivery and (iii) sign documents electronically and agrees to participate through an on-line or electronic system established and maintained by the Company or a third party designated by the Company.</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0" w:right="459" w:bottom="1440" w:gutter="0" w:footer="0" w:header="0"/>
        </w:sectPr>
      </w:pPr>
    </w:p>
    <w:bookmarkStart w:id="320" w:name="page321"/>
    <w:bookmarkEnd w:id="320"/>
    <w:p>
      <w:pPr>
        <w:ind w:left="-20" w:firstLine="987"/>
        <w:spacing w:after="0" w:line="274" w:lineRule="auto"/>
        <w:tabs>
          <w:tab w:leader="none" w:pos="1226" w:val="left"/>
        </w:tabs>
        <w:numPr>
          <w:ilvl w:val="0"/>
          <w:numId w:val="286"/>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California Corporate Securities Law</w:t>
      </w:r>
      <w:r>
        <w:rPr>
          <w:rFonts w:ascii="Arial" w:cs="Arial" w:eastAsia="Arial" w:hAnsi="Arial"/>
          <w:sz w:val="17"/>
          <w:szCs w:val="17"/>
          <w:color w:val="auto"/>
        </w:rPr>
        <w:t>. THE SALE OF THE SECURITIES WHICH ARE THE SUBJECT OF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HAS NOT BEEN QUALIFIED WITH THE COMMISSIONER OF CORPORATIONS OF THE STATE OF CALIFORNIA AND THE ISSUANCE OF THE SECURITIES OR THE PAYMENT OR RECEIPT OF ANY PART OF THE CONSIDERATION THEREFOR PRIOR TO THE QUALIFICATION IS UNLAWFUL, UNLESS THE SALE OF SECURITIES IS EXEMPT FROM QUALIFICATION BY SECTION 25100, 25102 OR 25105 OF THE CALIFORNIA CORPORATIONS CODE. THE RIGHTS OF ALL PARTIES TO THIS AGREEMENT ARE EXPRESSLY CONDITIONED UPON THE QUALIFICATION BEING OBTAINED, UNLESS THE SALE IS SO EXEMPT.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60" w:top="270" w:right="459" w:bottom="1440" w:gutter="0" w:footer="0" w:header="0"/>
        </w:sectPr>
      </w:pPr>
    </w:p>
    <w:bookmarkStart w:id="321" w:name="page322"/>
    <w:bookmarkEnd w:id="32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parties have executed this Early Exercise Notice and Restricted Stock Purchase Agreement as of the date first set forth above.</w:t>
      </w:r>
    </w:p>
    <w:p>
      <w:pPr>
        <w:spacing w:after="0" w:line="27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ASANA,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4678045</wp:posOffset>
            </wp:positionH>
            <wp:positionV relativeFrom="paragraph">
              <wp:posOffset>14605</wp:posOffset>
            </wp:positionV>
            <wp:extent cx="231457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6" w:lineRule="exact"/>
        <w:rPr>
          <w:sz w:val="20"/>
          <w:szCs w:val="20"/>
          <w:color w:val="auto"/>
        </w:rPr>
      </w:pPr>
    </w:p>
    <w:p>
      <w:pPr>
        <w:jc w:val="right"/>
        <w:ind w:right="41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4678045</wp:posOffset>
            </wp:positionH>
            <wp:positionV relativeFrom="paragraph">
              <wp:posOffset>14605</wp:posOffset>
            </wp:positionV>
            <wp:extent cx="231457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4678045</wp:posOffset>
            </wp:positionH>
            <wp:positionV relativeFrom="paragraph">
              <wp:posOffset>14605</wp:posOffset>
            </wp:positionV>
            <wp:extent cx="231457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2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OPTIONEE:</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288925</wp:posOffset>
            </wp:positionV>
            <wp:extent cx="279463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220345</wp:posOffset>
            </wp:positionV>
            <wp:extent cx="279463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374650</wp:posOffset>
            </wp:positionV>
            <wp:extent cx="279463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4678045</wp:posOffset>
            </wp:positionH>
            <wp:positionV relativeFrom="paragraph">
              <wp:posOffset>14605</wp:posOffset>
            </wp:positionV>
            <wp:extent cx="231457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4678045</wp:posOffset>
            </wp:positionH>
            <wp:positionV relativeFrom="paragraph">
              <wp:posOffset>14605</wp:posOffset>
            </wp:positionV>
            <wp:extent cx="231457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4678045</wp:posOffset>
            </wp:positionH>
            <wp:positionV relativeFrom="paragraph">
              <wp:posOffset>14605</wp:posOffset>
            </wp:positionV>
            <wp:extent cx="231457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6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019"/>
          </w:cols>
          <w:pgMar w:left="440" w:top="274" w:right="1440" w:bottom="1440" w:gutter="0" w:footer="0" w:header="0"/>
        </w:sectPr>
      </w:pPr>
    </w:p>
    <w:bookmarkStart w:id="322" w:name="page323"/>
    <w:bookmarkEnd w:id="322"/>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 ___________________, spouse of «Optionee» (“</w:t>
      </w:r>
      <w:r>
        <w:rPr>
          <w:rFonts w:ascii="Arial" w:cs="Arial" w:eastAsia="Arial" w:hAnsi="Arial"/>
          <w:sz w:val="17"/>
          <w:szCs w:val="17"/>
          <w:u w:val="single" w:color="auto"/>
          <w:color w:val="auto"/>
        </w:rPr>
        <w:t>Purchaser</w:t>
      </w:r>
      <w:r>
        <w:rPr>
          <w:rFonts w:ascii="Arial" w:cs="Arial" w:eastAsia="Arial" w:hAnsi="Arial"/>
          <w:sz w:val="17"/>
          <w:szCs w:val="17"/>
          <w:color w:val="auto"/>
        </w:rPr>
        <w:t>”), have read and hereby approve the foregoing Agreement. In consideration of the</w:t>
      </w:r>
    </w:p>
    <w:p>
      <w:pPr>
        <w:spacing w:after="0" w:line="3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Company’s granting my spouse the right to purchase the Shares as set forth in the Agreement, I hereby agree to be bound irrevocably by the Agreement and further agree that any community property or other such interest that I may have in the Shares shall hereby be similarly bound by the Agreement. I hereby appoint my spouse as my attorney-in-fact with respect to any amendment or exercise of any rights under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261620</wp:posOffset>
            </wp:positionV>
            <wp:extent cx="2794635"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Spouse of Purchaser (if applicable)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20"/>
          </w:cols>
          <w:pgMar w:left="440" w:top="274" w:right="539" w:bottom="1440" w:gutter="0" w:footer="0" w:header="0"/>
        </w:sectPr>
      </w:pPr>
    </w:p>
    <w:bookmarkStart w:id="323" w:name="page324"/>
    <w:bookmarkEnd w:id="323"/>
    <w:p>
      <w:pPr>
        <w:jc w:val="center"/>
        <w:ind w:right="-1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ATTACHMENT A</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ASSIGNMENT SEPARATE FROM CERTIFICATE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 VALUE RECEIVED and pursuant to that certain Early Exercise Notice and Restricted Stock Purchase Agreement between the undersigned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40" w:type="dxa"/>
            <w:vAlign w:val="bottom"/>
            <w:gridSpan w:val="7"/>
          </w:tcPr>
          <w:p>
            <w:pPr>
              <w:spacing w:after="0"/>
              <w:rPr>
                <w:sz w:val="20"/>
                <w:szCs w:val="20"/>
                <w:color w:val="auto"/>
              </w:rPr>
            </w:pPr>
            <w:r>
              <w:rPr>
                <w:rFonts w:ascii="Arial" w:cs="Arial" w:eastAsia="Arial" w:hAnsi="Arial"/>
                <w:sz w:val="18"/>
                <w:szCs w:val="18"/>
                <w:color w:val="auto"/>
                <w:w w:val="91"/>
              </w:rPr>
              <w:t>(“Purchaser”) and Asana, Inc., a Delaware corporation (the “Company”), dated</w:t>
            </w:r>
          </w:p>
        </w:tc>
        <w:tc>
          <w:tcPr>
            <w:tcW w:w="900" w:type="dxa"/>
            <w:vAlign w:val="bottom"/>
          </w:tcPr>
          <w:p>
            <w:pPr>
              <w:spacing w:after="0"/>
              <w:rPr>
                <w:sz w:val="17"/>
                <w:szCs w:val="17"/>
                <w:color w:val="auto"/>
              </w:rPr>
            </w:pPr>
          </w:p>
        </w:tc>
        <w:tc>
          <w:tcPr>
            <w:tcW w:w="4200" w:type="dxa"/>
            <w:vAlign w:val="bottom"/>
            <w:gridSpan w:val="3"/>
          </w:tcPr>
          <w:p>
            <w:pPr>
              <w:ind w:left="40"/>
              <w:spacing w:after="0"/>
              <w:rPr>
                <w:sz w:val="20"/>
                <w:szCs w:val="20"/>
                <w:color w:val="auto"/>
              </w:rPr>
            </w:pPr>
            <w:r>
              <w:rPr>
                <w:rFonts w:ascii="Arial" w:cs="Arial" w:eastAsia="Arial" w:hAnsi="Arial"/>
                <w:sz w:val="18"/>
                <w:szCs w:val="18"/>
                <w:color w:val="auto"/>
                <w:w w:val="93"/>
              </w:rPr>
              <w:t>(the “Agreement”), Purchaser hereby sells, assigns and</w:t>
            </w:r>
          </w:p>
        </w:tc>
      </w:tr>
      <w:tr>
        <w:trPr>
          <w:trHeight w:val="20"/>
        </w:trPr>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2040" w:type="dxa"/>
            <w:vAlign w:val="bottom"/>
            <w:gridSpan w:val="3"/>
          </w:tcPr>
          <w:p>
            <w:pPr>
              <w:spacing w:after="0" w:line="196" w:lineRule="exact"/>
              <w:rPr>
                <w:sz w:val="20"/>
                <w:szCs w:val="20"/>
                <w:color w:val="auto"/>
              </w:rPr>
            </w:pPr>
            <w:r>
              <w:rPr>
                <w:rFonts w:ascii="Arial" w:cs="Arial" w:eastAsia="Arial" w:hAnsi="Arial"/>
                <w:sz w:val="18"/>
                <w:szCs w:val="18"/>
                <w:color w:val="auto"/>
                <w:w w:val="90"/>
              </w:rPr>
              <w:t>transfers unto the Company</w:t>
            </w:r>
          </w:p>
        </w:tc>
        <w:tc>
          <w:tcPr>
            <w:tcW w:w="1440" w:type="dxa"/>
            <w:vAlign w:val="bottom"/>
            <w:tcBorders>
              <w:bottom w:val="single" w:sz="8" w:color="auto"/>
            </w:tcBorders>
          </w:tcPr>
          <w:p>
            <w:pPr>
              <w:spacing w:after="0"/>
              <w:rPr>
                <w:sz w:val="17"/>
                <w:szCs w:val="17"/>
                <w:color w:val="auto"/>
              </w:rPr>
            </w:pPr>
          </w:p>
        </w:tc>
        <w:tc>
          <w:tcPr>
            <w:tcW w:w="7360" w:type="dxa"/>
            <w:vAlign w:val="bottom"/>
            <w:gridSpan w:val="7"/>
          </w:tcPr>
          <w:p>
            <w:pPr>
              <w:ind w:left="40"/>
              <w:spacing w:after="0" w:line="196" w:lineRule="exact"/>
              <w:rPr>
                <w:sz w:val="20"/>
                <w:szCs w:val="20"/>
                <w:color w:val="auto"/>
              </w:rPr>
            </w:pPr>
            <w:r>
              <w:rPr>
                <w:rFonts w:ascii="Arial" w:cs="Arial" w:eastAsia="Arial" w:hAnsi="Arial"/>
                <w:sz w:val="18"/>
                <w:szCs w:val="18"/>
                <w:color w:val="auto"/>
                <w:w w:val="89"/>
              </w:rPr>
              <w:t>(____________) shares of the Class B Common Stock of the Company, standing in Purchaser’s name</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on the books of the Company and represented by Certificate No. ___, and does hereby irrevocably constitute and appoint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 to transfer said stock on the books of the Company with full power of substitution in the premises. THIS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ASSIGNMENT MAY ONLY BE USED AS AUTHORIZED BY THE AGREEMENT AND THE ATTACHMENTS THERETO.</w:t>
      </w:r>
    </w:p>
    <w:p>
      <w:pPr>
        <w:spacing w:after="0" w:line="234" w:lineRule="exact"/>
        <w:rPr>
          <w:sz w:val="20"/>
          <w:szCs w:val="20"/>
          <w:color w:val="auto"/>
        </w:rPr>
      </w:pPr>
    </w:p>
    <w:p>
      <w:pPr>
        <w:spacing w:after="0"/>
        <w:tabs>
          <w:tab w:leader="none" w:pos="46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b w:val="1"/>
          <w:bCs w:val="1"/>
          <w:color w:val="auto"/>
        </w:rPr>
        <w:t>PURCHASER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-7620</wp:posOffset>
            </wp:positionV>
            <wp:extent cx="114236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142365" cy="8255"/>
                    </a:xfrm>
                    <a:prstGeom prst="rect">
                      <a:avLst/>
                    </a:prstGeom>
                    <a:noFill/>
                  </pic:spPr>
                </pic:pic>
              </a:graphicData>
            </a:graphic>
          </wp:anchor>
        </w:drawing>
      </w:r>
    </w:p>
    <w:p>
      <w:pPr>
        <w:spacing w:after="0" w:line="20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2937510</wp:posOffset>
            </wp:positionH>
            <wp:positionV relativeFrom="paragraph">
              <wp:posOffset>288925</wp:posOffset>
            </wp:positionV>
            <wp:extent cx="405447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405447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2937510</wp:posOffset>
            </wp:positionH>
            <wp:positionV relativeFrom="paragraph">
              <wp:posOffset>92075</wp:posOffset>
            </wp:positionV>
            <wp:extent cx="405447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4054475" cy="8255"/>
                    </a:xfrm>
                    <a:prstGeom prst="rect">
                      <a:avLst/>
                    </a:prstGeom>
                    <a:noFill/>
                  </pic:spPr>
                </pic:pic>
              </a:graphicData>
            </a:graphic>
          </wp:anchor>
        </w:drawing>
      </w:r>
    </w:p>
    <w:p>
      <w:pPr>
        <w:spacing w:after="0" w:line="16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Spouse of Purchaser (if applicable)</w:t>
      </w:r>
    </w:p>
    <w:p>
      <w:pPr>
        <w:spacing w:after="0" w:line="23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Instruction</w:t>
      </w:r>
      <w:r>
        <w:rPr>
          <w:rFonts w:ascii="Arial" w:cs="Arial" w:eastAsia="Arial" w:hAnsi="Arial"/>
          <w:sz w:val="18"/>
          <w:szCs w:val="18"/>
          <w:color w:val="auto"/>
        </w:rPr>
        <w:t>: Please do not fill in any blanks other than the signature line. The purpose of this assignment is to enable the Company to exercise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Repurchase Option set forth in the Agreement without requiring additional signatures on the part of Purchaser.</w:t>
      </w:r>
    </w:p>
    <w:p>
      <w:pPr>
        <w:sectPr>
          <w:pgSz w:w="11900" w:h="16838" w:orient="portrait"/>
          <w:cols w:equalWidth="0" w:num="1">
            <w:col w:w="10880"/>
          </w:cols>
          <w:pgMar w:left="440" w:top="270" w:right="579" w:bottom="1440" w:gutter="0" w:footer="0" w:header="0"/>
        </w:sectPr>
      </w:pPr>
    </w:p>
    <w:bookmarkStart w:id="324" w:name="page325"/>
    <w:bookmarkEnd w:id="324"/>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ATTACHMENT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ACKNOWLEDGMENT AND STATEMENT OF DECISION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REGARDING SECTION 83(B) ELECTION</w:t>
      </w:r>
    </w:p>
    <w:p>
      <w:pPr>
        <w:spacing w:after="0" w:line="211"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The undersigned (the “</w:t>
      </w:r>
      <w:r>
        <w:rPr>
          <w:rFonts w:ascii="Arial" w:cs="Arial" w:eastAsia="Arial" w:hAnsi="Arial"/>
          <w:sz w:val="18"/>
          <w:szCs w:val="18"/>
          <w:u w:val="single" w:color="auto"/>
          <w:color w:val="auto"/>
        </w:rPr>
        <w:t>Purchaser</w:t>
      </w:r>
      <w:r>
        <w:rPr>
          <w:rFonts w:ascii="Arial" w:cs="Arial" w:eastAsia="Arial" w:hAnsi="Arial"/>
          <w:sz w:val="18"/>
          <w:szCs w:val="18"/>
          <w:color w:val="auto"/>
        </w:rPr>
        <w:t>”) has entered into a stock purchase agreement with Asana,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pursuant to which the undersigned is purchasing __________ shares of Class B Common Stock of the Company (the “</w:t>
      </w:r>
      <w:r>
        <w:rPr>
          <w:rFonts w:ascii="Arial" w:cs="Arial" w:eastAsia="Arial" w:hAnsi="Arial"/>
          <w:sz w:val="18"/>
          <w:szCs w:val="18"/>
          <w:u w:val="single" w:color="auto"/>
          <w:color w:val="auto"/>
        </w:rPr>
        <w:t>Shares</w:t>
      </w:r>
      <w:r>
        <w:rPr>
          <w:rFonts w:ascii="Arial" w:cs="Arial" w:eastAsia="Arial" w:hAnsi="Arial"/>
          <w:sz w:val="18"/>
          <w:szCs w:val="18"/>
          <w:color w:val="auto"/>
        </w:rPr>
        <w:t>”). In connection with the purchase of the Shares, the undersigned hereby represents as follows:</w:t>
      </w:r>
    </w:p>
    <w:p>
      <w:pPr>
        <w:spacing w:after="0" w:line="184" w:lineRule="exact"/>
        <w:rPr>
          <w:sz w:val="20"/>
          <w:szCs w:val="20"/>
          <w:color w:val="auto"/>
        </w:rPr>
      </w:pPr>
    </w:p>
    <w:p>
      <w:pPr>
        <w:ind w:left="620" w:hanging="184"/>
        <w:spacing w:after="0"/>
        <w:tabs>
          <w:tab w:leader="none" w:pos="620" w:val="left"/>
        </w:tabs>
        <w:numPr>
          <w:ilvl w:val="0"/>
          <w:numId w:val="287"/>
        </w:numPr>
        <w:rPr>
          <w:rFonts w:ascii="Arial" w:cs="Arial" w:eastAsia="Arial" w:hAnsi="Arial"/>
          <w:sz w:val="17"/>
          <w:szCs w:val="17"/>
          <w:color w:val="auto"/>
        </w:rPr>
      </w:pPr>
      <w:r>
        <w:rPr>
          <w:rFonts w:ascii="Arial" w:cs="Arial" w:eastAsia="Arial" w:hAnsi="Arial"/>
          <w:sz w:val="17"/>
          <w:szCs w:val="17"/>
          <w:color w:val="auto"/>
        </w:rPr>
        <w:t>The undersigned has carefully reviewed the stock purchase agreement pursuant to which the undersigned is purchasing the Shares.</w:t>
      </w:r>
    </w:p>
    <w:p>
      <w:pPr>
        <w:spacing w:after="0" w:line="236" w:lineRule="exact"/>
        <w:rPr>
          <w:rFonts w:ascii="Arial" w:cs="Arial" w:eastAsia="Arial" w:hAnsi="Arial"/>
          <w:sz w:val="17"/>
          <w:szCs w:val="17"/>
          <w:color w:val="auto"/>
        </w:rPr>
      </w:pPr>
    </w:p>
    <w:p>
      <w:pPr>
        <w:ind w:left="620" w:hanging="184"/>
        <w:spacing w:after="0"/>
        <w:tabs>
          <w:tab w:leader="none" w:pos="62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undersigned either [check and complete as applicable]:</w:t>
      </w:r>
    </w:p>
    <w:p>
      <w:pPr>
        <w:spacing w:after="0" w:line="117" w:lineRule="exact"/>
        <w:rPr>
          <w:rFonts w:ascii="Arial" w:cs="Arial" w:eastAsia="Arial" w:hAnsi="Arial"/>
          <w:sz w:val="18"/>
          <w:szCs w:val="18"/>
          <w:color w:val="auto"/>
        </w:rPr>
      </w:pPr>
    </w:p>
    <w:p>
      <w:pPr>
        <w:ind w:left="1100" w:hanging="241"/>
        <w:spacing w:after="0"/>
        <w:tabs>
          <w:tab w:leader="none" w:pos="1100" w:val="left"/>
        </w:tabs>
        <w:numPr>
          <w:ilvl w:val="1"/>
          <w:numId w:val="287"/>
        </w:numPr>
        <w:rPr>
          <w:rFonts w:ascii="Arial" w:cs="Arial" w:eastAsia="Arial" w:hAnsi="Arial"/>
          <w:sz w:val="16"/>
          <w:szCs w:val="16"/>
          <w:color w:val="auto"/>
        </w:rPr>
      </w:pPr>
      <w:r>
        <w:rPr>
          <w:rFonts w:ascii="Arial" w:cs="Arial" w:eastAsia="Arial" w:hAnsi="Arial"/>
          <w:sz w:val="16"/>
          <w:szCs w:val="16"/>
          <w:color w:val="auto"/>
        </w:rPr>
        <w:t>___ has consulted, and has been fully advised by, the undersigned’s own tax advisor, _______________, whose business address is</w:t>
      </w:r>
    </w:p>
    <w:p>
      <w:pPr>
        <w:spacing w:after="0" w:line="46" w:lineRule="exact"/>
        <w:rPr>
          <w:rFonts w:ascii="Arial" w:cs="Arial" w:eastAsia="Arial" w:hAnsi="Arial"/>
          <w:sz w:val="16"/>
          <w:szCs w:val="16"/>
          <w:color w:val="auto"/>
        </w:rPr>
      </w:pPr>
    </w:p>
    <w:p>
      <w:pPr>
        <w:ind w:left="440"/>
        <w:spacing w:after="0" w:line="255" w:lineRule="auto"/>
        <w:rPr>
          <w:rFonts w:ascii="Arial" w:cs="Arial" w:eastAsia="Arial" w:hAnsi="Arial"/>
          <w:sz w:val="16"/>
          <w:szCs w:val="16"/>
          <w:color w:val="auto"/>
        </w:rPr>
      </w:pPr>
      <w:r>
        <w:rPr>
          <w:rFonts w:ascii="Arial" w:cs="Arial" w:eastAsia="Arial" w:hAnsi="Arial"/>
          <w:sz w:val="18"/>
          <w:szCs w:val="18"/>
          <w:color w:val="auto"/>
        </w:rPr>
        <w:t>________________, regarding the federal, state and local tax consequences of purchasing the Shares, and particularly regarding the advisability of making elections pursuant to Section 83(b) of the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and pursuant to the corresponding provisions, if any, of applicable state law; or</w:t>
      </w:r>
    </w:p>
    <w:p>
      <w:pPr>
        <w:spacing w:after="0" w:line="81" w:lineRule="exact"/>
        <w:rPr>
          <w:rFonts w:ascii="Arial" w:cs="Arial" w:eastAsia="Arial" w:hAnsi="Arial"/>
          <w:sz w:val="16"/>
          <w:szCs w:val="16"/>
          <w:color w:val="auto"/>
        </w:rPr>
      </w:pPr>
    </w:p>
    <w:p>
      <w:pPr>
        <w:ind w:left="1120" w:hanging="261"/>
        <w:spacing w:after="0"/>
        <w:tabs>
          <w:tab w:leader="none" w:pos="1120" w:val="left"/>
        </w:tabs>
        <w:numPr>
          <w:ilvl w:val="1"/>
          <w:numId w:val="287"/>
        </w:numPr>
        <w:rPr>
          <w:rFonts w:ascii="Arial" w:cs="Arial" w:eastAsia="Arial" w:hAnsi="Arial"/>
          <w:sz w:val="18"/>
          <w:szCs w:val="18"/>
          <w:color w:val="auto"/>
        </w:rPr>
      </w:pPr>
      <w:r>
        <w:rPr>
          <w:rFonts w:ascii="Arial" w:cs="Arial" w:eastAsia="Arial" w:hAnsi="Arial"/>
          <w:sz w:val="18"/>
          <w:szCs w:val="18"/>
          <w:color w:val="auto"/>
        </w:rPr>
        <w:t>___ has knowingly chosen not to consult such a tax advisor.</w:t>
      </w:r>
    </w:p>
    <w:p>
      <w:pPr>
        <w:spacing w:after="0" w:line="225" w:lineRule="exact"/>
        <w:rPr>
          <w:rFonts w:ascii="Arial" w:cs="Arial" w:eastAsia="Arial" w:hAnsi="Arial"/>
          <w:sz w:val="18"/>
          <w:szCs w:val="18"/>
          <w:color w:val="auto"/>
        </w:rPr>
      </w:pPr>
    </w:p>
    <w:p>
      <w:pPr>
        <w:ind w:left="620" w:hanging="184"/>
        <w:spacing w:after="0"/>
        <w:tabs>
          <w:tab w:leader="none" w:pos="62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undersigned hereby states that the undersigned has decided [check as applicable]:</w:t>
      </w:r>
    </w:p>
    <w:p>
      <w:pPr>
        <w:spacing w:after="0" w:line="117" w:lineRule="exact"/>
        <w:rPr>
          <w:rFonts w:ascii="Arial" w:cs="Arial" w:eastAsia="Arial" w:hAnsi="Arial"/>
          <w:sz w:val="18"/>
          <w:szCs w:val="18"/>
          <w:color w:val="auto"/>
        </w:rPr>
      </w:pPr>
    </w:p>
    <w:p>
      <w:pPr>
        <w:ind w:left="440" w:right="560" w:firstLine="419"/>
        <w:spacing w:after="0" w:line="342" w:lineRule="auto"/>
        <w:tabs>
          <w:tab w:leader="none" w:pos="1108" w:val="left"/>
        </w:tabs>
        <w:numPr>
          <w:ilvl w:val="1"/>
          <w:numId w:val="287"/>
        </w:numPr>
        <w:rPr>
          <w:rFonts w:ascii="Arial" w:cs="Arial" w:eastAsia="Arial" w:hAnsi="Arial"/>
          <w:sz w:val="16"/>
          <w:szCs w:val="16"/>
          <w:color w:val="auto"/>
        </w:rPr>
      </w:pPr>
      <w:r>
        <w:rPr>
          <w:rFonts w:ascii="Arial" w:cs="Arial" w:eastAsia="Arial" w:hAnsi="Arial"/>
          <w:sz w:val="16"/>
          <w:szCs w:val="16"/>
          <w:color w:val="auto"/>
        </w:rPr>
        <w:t>___ to make an election pursuant to Section 83(b) of the Code, and is submitting to the Company, together with the undersigned’s executed stock purchase agreement, an executed form entitled “Election Under Section 83(b) of the Internal Revenue Code of 1986;” or</w:t>
      </w:r>
    </w:p>
    <w:p>
      <w:pPr>
        <w:spacing w:after="0" w:line="15" w:lineRule="exact"/>
        <w:rPr>
          <w:rFonts w:ascii="Arial" w:cs="Arial" w:eastAsia="Arial" w:hAnsi="Arial"/>
          <w:sz w:val="16"/>
          <w:szCs w:val="16"/>
          <w:color w:val="auto"/>
        </w:rPr>
      </w:pPr>
    </w:p>
    <w:p>
      <w:pPr>
        <w:ind w:left="1120" w:hanging="261"/>
        <w:spacing w:after="0"/>
        <w:tabs>
          <w:tab w:leader="none" w:pos="1120" w:val="left"/>
        </w:tabs>
        <w:numPr>
          <w:ilvl w:val="1"/>
          <w:numId w:val="287"/>
        </w:numPr>
        <w:rPr>
          <w:rFonts w:ascii="Arial" w:cs="Arial" w:eastAsia="Arial" w:hAnsi="Arial"/>
          <w:sz w:val="18"/>
          <w:szCs w:val="18"/>
          <w:color w:val="auto"/>
        </w:rPr>
      </w:pPr>
      <w:r>
        <w:rPr>
          <w:rFonts w:ascii="Arial" w:cs="Arial" w:eastAsia="Arial" w:hAnsi="Arial"/>
          <w:sz w:val="18"/>
          <w:szCs w:val="18"/>
          <w:color w:val="auto"/>
        </w:rPr>
        <w:t>___ not to make an election pursuant to Section 83(b) of the Code.</w:t>
      </w:r>
    </w:p>
    <w:p>
      <w:pPr>
        <w:spacing w:after="0" w:line="225"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4 Neither the Company nor any subsidiary or representative of the Company has made any warranty or representation to the undersigned with respect to the tax consequences of the undersigned’s purchase of the Shares or of the making or failure to make an election pursuant to Section 83(b) of the Code or the corresponding provisions, if any, of applicable state law.</w:t>
      </w:r>
    </w:p>
    <w:p>
      <w:pPr>
        <w:spacing w:after="0" w:line="207" w:lineRule="exact"/>
        <w:rPr>
          <w:sz w:val="20"/>
          <w:szCs w:val="20"/>
          <w:color w:val="auto"/>
        </w:rPr>
      </w:pPr>
    </w:p>
    <w:p>
      <w:pPr>
        <w:spacing w:after="0"/>
        <w:tabs>
          <w:tab w:leader="none" w:pos="46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b w:val="1"/>
          <w:bCs w:val="1"/>
          <w:color w:val="auto"/>
        </w:rPr>
        <w:t>PURCHASER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wp:posOffset>
            </wp:positionH>
            <wp:positionV relativeFrom="paragraph">
              <wp:posOffset>-7620</wp:posOffset>
            </wp:positionV>
            <wp:extent cx="117094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170940" cy="8890"/>
                    </a:xfrm>
                    <a:prstGeom prst="rect">
                      <a:avLst/>
                    </a:prstGeom>
                    <a:noFill/>
                  </pic:spPr>
                </pic:pic>
              </a:graphicData>
            </a:graphic>
          </wp:anchor>
        </w:drawing>
      </w:r>
    </w:p>
    <w:p>
      <w:pPr>
        <w:spacing w:after="0" w:line="20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2937510</wp:posOffset>
            </wp:positionH>
            <wp:positionV relativeFrom="paragraph">
              <wp:posOffset>288925</wp:posOffset>
            </wp:positionV>
            <wp:extent cx="405447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405447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2937510</wp:posOffset>
            </wp:positionH>
            <wp:positionV relativeFrom="paragraph">
              <wp:posOffset>160655</wp:posOffset>
            </wp:positionV>
            <wp:extent cx="405447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4054475" cy="8255"/>
                    </a:xfrm>
                    <a:prstGeom prst="rect">
                      <a:avLst/>
                    </a:prstGeom>
                    <a:noFill/>
                  </pic:spPr>
                </pic:pic>
              </a:graphicData>
            </a:graphic>
          </wp:anchor>
        </w:drawing>
      </w:r>
    </w:p>
    <w:p>
      <w:pPr>
        <w:spacing w:after="0" w:line="27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Spouse of Purchaser (if applicable)</w:t>
      </w:r>
    </w:p>
    <w:p>
      <w:pPr>
        <w:sectPr>
          <w:pgSz w:w="11900" w:h="16838" w:orient="portrait"/>
          <w:cols w:equalWidth="0" w:num="1">
            <w:col w:w="11000"/>
          </w:cols>
          <w:pgMar w:left="440" w:top="270" w:right="459" w:bottom="1440" w:gutter="0" w:footer="0" w:header="0"/>
        </w:sectPr>
      </w:pPr>
    </w:p>
    <w:bookmarkStart w:id="325" w:name="page326"/>
    <w:bookmarkEnd w:id="325"/>
    <w:p>
      <w:pPr>
        <w:jc w:val="center"/>
        <w:ind w:right="-10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ATTACHMENT C</w:t>
      </w:r>
    </w:p>
    <w:p>
      <w:pPr>
        <w:spacing w:after="0" w:line="225" w:lineRule="exact"/>
        <w:rPr>
          <w:sz w:val="20"/>
          <w:szCs w:val="20"/>
          <w:color w:val="auto"/>
        </w:rPr>
      </w:pPr>
    </w:p>
    <w:p>
      <w:pPr>
        <w:jc w:val="center"/>
        <w:ind w:right="-103"/>
        <w:spacing w:after="0"/>
        <w:rPr>
          <w:sz w:val="20"/>
          <w:szCs w:val="20"/>
          <w:color w:val="auto"/>
        </w:rPr>
      </w:pPr>
      <w:r>
        <w:rPr>
          <w:rFonts w:ascii="Arial" w:cs="Arial" w:eastAsia="Arial" w:hAnsi="Arial"/>
          <w:sz w:val="18"/>
          <w:szCs w:val="18"/>
          <w:b w:val="1"/>
          <w:bCs w:val="1"/>
          <w:color w:val="auto"/>
        </w:rPr>
        <w:t>ELECTION UNDER SECTION 83(B)</w:t>
      </w:r>
    </w:p>
    <w:p>
      <w:pPr>
        <w:spacing w:after="0" w:line="27" w:lineRule="exact"/>
        <w:rPr>
          <w:sz w:val="20"/>
          <w:szCs w:val="20"/>
          <w:color w:val="auto"/>
        </w:rPr>
      </w:pPr>
    </w:p>
    <w:p>
      <w:pPr>
        <w:jc w:val="center"/>
        <w:ind w:right="-103"/>
        <w:spacing w:after="0"/>
        <w:rPr>
          <w:sz w:val="20"/>
          <w:szCs w:val="20"/>
          <w:color w:val="auto"/>
        </w:rPr>
      </w:pPr>
      <w:r>
        <w:rPr>
          <w:rFonts w:ascii="Arial" w:cs="Arial" w:eastAsia="Arial" w:hAnsi="Arial"/>
          <w:sz w:val="18"/>
          <w:szCs w:val="18"/>
          <w:b w:val="1"/>
          <w:bCs w:val="1"/>
          <w:color w:val="auto"/>
        </w:rPr>
        <w:t>OF THE INTERNAL REVENUE CODE OF 1986</w:t>
      </w:r>
    </w:p>
    <w:p>
      <w:pPr>
        <w:spacing w:after="0" w:line="211" w:lineRule="exact"/>
        <w:rPr>
          <w:sz w:val="20"/>
          <w:szCs w:val="20"/>
          <w:color w:val="auto"/>
        </w:rPr>
      </w:pPr>
    </w:p>
    <w:p>
      <w:pPr>
        <w:jc w:val="both"/>
        <w:ind w:left="4" w:firstLine="440"/>
        <w:spacing w:after="0" w:line="263" w:lineRule="auto"/>
        <w:rPr>
          <w:sz w:val="20"/>
          <w:szCs w:val="20"/>
          <w:color w:val="auto"/>
        </w:rPr>
      </w:pPr>
      <w:r>
        <w:rPr>
          <w:rFonts w:ascii="Arial" w:cs="Arial" w:eastAsia="Arial" w:hAnsi="Arial"/>
          <w:sz w:val="18"/>
          <w:szCs w:val="18"/>
          <w:color w:val="auto"/>
        </w:rPr>
        <w:t>The undersigned taxpayer (the “</w:t>
      </w:r>
      <w:r>
        <w:rPr>
          <w:rFonts w:ascii="Arial" w:cs="Arial" w:eastAsia="Arial" w:hAnsi="Arial"/>
          <w:sz w:val="18"/>
          <w:szCs w:val="18"/>
          <w:u w:val="single" w:color="auto"/>
          <w:color w:val="auto"/>
        </w:rPr>
        <w:t>Purchaser</w:t>
      </w:r>
      <w:r>
        <w:rPr>
          <w:rFonts w:ascii="Arial" w:cs="Arial" w:eastAsia="Arial" w:hAnsi="Arial"/>
          <w:sz w:val="18"/>
          <w:szCs w:val="18"/>
          <w:color w:val="auto"/>
        </w:rPr>
        <w:t>”) hereby elects, pursuant to Section 83(b) of the Internal Revenue Code, to include in taxpayer’s gross income or alternative minimum taxable income, as applicable, for the current taxable year, the amount of any income that may be taxable to taxpayer in connection with taxpayer’s receipt of the property described below:</w:t>
      </w:r>
    </w:p>
    <w:p>
      <w:pPr>
        <w:spacing w:after="0" w:line="211" w:lineRule="exact"/>
        <w:rPr>
          <w:sz w:val="20"/>
          <w:szCs w:val="20"/>
          <w:color w:val="auto"/>
        </w:rPr>
      </w:pPr>
    </w:p>
    <w:p>
      <w:pPr>
        <w:ind w:left="444" w:right="3120" w:hanging="444"/>
        <w:spacing w:after="0" w:line="375" w:lineRule="auto"/>
        <w:tabs>
          <w:tab w:leader="none" w:pos="444"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The name, address, taxpayer identification number and taxable year of the undersigned are as follows: NAME OF TAXPAYER: «Optionee»</w:t>
      </w:r>
    </w:p>
    <w:p>
      <w:pPr>
        <w:spacing w:after="0" w:line="1" w:lineRule="exact"/>
        <w:rPr>
          <w:rFonts w:ascii="Arial" w:cs="Arial" w:eastAsia="Arial" w:hAnsi="Arial"/>
          <w:sz w:val="18"/>
          <w:szCs w:val="18"/>
          <w:color w:val="auto"/>
        </w:rPr>
      </w:pPr>
    </w:p>
    <w:p>
      <w:pPr>
        <w:ind w:left="444" w:right="8900"/>
        <w:spacing w:after="0" w:line="397" w:lineRule="auto"/>
        <w:rPr>
          <w:rFonts w:ascii="Arial" w:cs="Arial" w:eastAsia="Arial" w:hAnsi="Arial"/>
          <w:sz w:val="18"/>
          <w:szCs w:val="18"/>
          <w:color w:val="auto"/>
        </w:rPr>
      </w:pPr>
      <w:r>
        <w:rPr>
          <w:rFonts w:ascii="Arial" w:cs="Arial" w:eastAsia="Arial" w:hAnsi="Arial"/>
          <w:sz w:val="17"/>
          <w:szCs w:val="17"/>
          <w:color w:val="auto"/>
        </w:rPr>
        <w:t>NAME OF SPOUSE: ADDRESS:</w:t>
      </w:r>
    </w:p>
    <w:p>
      <w:pPr>
        <w:spacing w:after="0" w:line="1" w:lineRule="exact"/>
        <w:rPr>
          <w:rFonts w:ascii="Arial" w:cs="Arial" w:eastAsia="Arial" w:hAnsi="Arial"/>
          <w:sz w:val="18"/>
          <w:szCs w:val="18"/>
          <w:color w:val="auto"/>
        </w:rPr>
      </w:pPr>
    </w:p>
    <w:p>
      <w:pPr>
        <w:ind w:left="444" w:right="7420"/>
        <w:spacing w:after="0" w:line="375" w:lineRule="auto"/>
        <w:rPr>
          <w:rFonts w:ascii="Arial" w:cs="Arial" w:eastAsia="Arial" w:hAnsi="Arial"/>
          <w:sz w:val="18"/>
          <w:szCs w:val="18"/>
          <w:color w:val="auto"/>
        </w:rPr>
      </w:pPr>
      <w:r>
        <w:rPr>
          <w:rFonts w:ascii="Arial" w:cs="Arial" w:eastAsia="Arial" w:hAnsi="Arial"/>
          <w:sz w:val="18"/>
          <w:szCs w:val="18"/>
          <w:color w:val="auto"/>
        </w:rPr>
        <w:t>IDENTIFICATION NO. OF TAXPAYER: IDENTIFICATION NO. OF SPOUSE: TAXABLE YEAR:</w:t>
      </w:r>
    </w:p>
    <w:p>
      <w:pPr>
        <w:spacing w:after="0" w:line="1" w:lineRule="exact"/>
        <w:rPr>
          <w:rFonts w:ascii="Arial" w:cs="Arial" w:eastAsia="Arial" w:hAnsi="Arial"/>
          <w:sz w:val="18"/>
          <w:szCs w:val="18"/>
          <w:color w:val="auto"/>
        </w:rPr>
      </w:pPr>
    </w:p>
    <w:p>
      <w:pPr>
        <w:ind w:left="444" w:right="340" w:hanging="444"/>
        <w:spacing w:after="0" w:line="277" w:lineRule="auto"/>
        <w:tabs>
          <w:tab w:leader="none" w:pos="444"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The property with respect to which the election is made is described as follows: ________________ shares of the Class B Common Stock of Asana,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44" w:hanging="444"/>
        <w:spacing w:after="0"/>
        <w:tabs>
          <w:tab w:leader="none" w:pos="444"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The date on which the property was transferred is:</w:t>
      </w:r>
    </w:p>
    <w:p>
      <w:pPr>
        <w:spacing w:after="0" w:line="117" w:lineRule="exact"/>
        <w:rPr>
          <w:rFonts w:ascii="Arial" w:cs="Arial" w:eastAsia="Arial" w:hAnsi="Arial"/>
          <w:sz w:val="18"/>
          <w:szCs w:val="18"/>
          <w:color w:val="auto"/>
        </w:rPr>
      </w:pPr>
    </w:p>
    <w:p>
      <w:pPr>
        <w:ind w:left="444" w:hanging="444"/>
        <w:spacing w:after="0"/>
        <w:tabs>
          <w:tab w:leader="none" w:pos="444"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The property is subject to the following restrictions:</w:t>
      </w:r>
    </w:p>
    <w:p>
      <w:pPr>
        <w:spacing w:after="0" w:line="117"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Repurchase option at cost in favor of the Company upon termination of taxpayer’s employment or consulting relationship.</w:t>
      </w:r>
    </w:p>
    <w:p>
      <w:pPr>
        <w:spacing w:after="0" w:line="117" w:lineRule="exact"/>
        <w:rPr>
          <w:rFonts w:ascii="Arial" w:cs="Arial" w:eastAsia="Arial" w:hAnsi="Arial"/>
          <w:sz w:val="18"/>
          <w:szCs w:val="18"/>
          <w:color w:val="auto"/>
        </w:rPr>
      </w:pPr>
    </w:p>
    <w:p>
      <w:pPr>
        <w:ind w:left="444" w:hanging="444"/>
        <w:spacing w:after="0"/>
        <w:tabs>
          <w:tab w:leader="none" w:pos="444" w:val="left"/>
        </w:tabs>
        <w:numPr>
          <w:ilvl w:val="0"/>
          <w:numId w:val="288"/>
        </w:numPr>
        <w:rPr>
          <w:rFonts w:ascii="Arial" w:cs="Arial" w:eastAsia="Arial" w:hAnsi="Arial"/>
          <w:sz w:val="16"/>
          <w:szCs w:val="16"/>
          <w:color w:val="auto"/>
        </w:rPr>
      </w:pPr>
      <w:r>
        <w:rPr>
          <w:rFonts w:ascii="Arial" w:cs="Arial" w:eastAsia="Arial" w:hAnsi="Arial"/>
          <w:sz w:val="16"/>
          <w:szCs w:val="16"/>
          <w:color w:val="auto"/>
        </w:rPr>
        <w:t>The fair market value at the time of transfer, determined without regard to any restriction other than a restriction which by its terms will never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-1984375</wp:posOffset>
            </wp:positionV>
            <wp:extent cx="91376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913765" cy="8255"/>
                    </a:xfrm>
                    <a:prstGeom prst="rect">
                      <a:avLst/>
                    </a:prstGeom>
                    <a:noFill/>
                  </pic:spPr>
                </pic:pic>
              </a:graphicData>
            </a:graphic>
          </wp:anchor>
        </w:drawing>
        <w:drawing>
          <wp:anchor simplePos="0" relativeHeight="251657728" behindDoc="1" locked="0" layoutInCell="0" allowOverlap="1">
            <wp:simplePos x="0" y="0"/>
            <wp:positionH relativeFrom="column">
              <wp:posOffset>835025</wp:posOffset>
            </wp:positionH>
            <wp:positionV relativeFrom="paragraph">
              <wp:posOffset>-1778635</wp:posOffset>
            </wp:positionV>
            <wp:extent cx="548449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5484495" cy="8255"/>
                    </a:xfrm>
                    <a:prstGeom prst="rect">
                      <a:avLst/>
                    </a:prstGeom>
                    <a:noFill/>
                  </pic:spPr>
                </pic:pic>
              </a:graphicData>
            </a:graphic>
          </wp:anchor>
        </w:drawing>
        <w:drawing>
          <wp:anchor simplePos="0" relativeHeight="251657728" behindDoc="1" locked="0" layoutInCell="0" allowOverlap="1">
            <wp:simplePos x="0" y="0"/>
            <wp:positionH relativeFrom="column">
              <wp:posOffset>2249170</wp:posOffset>
            </wp:positionH>
            <wp:positionV relativeFrom="paragraph">
              <wp:posOffset>-1572895</wp:posOffset>
            </wp:positionV>
            <wp:extent cx="80010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800100" cy="8255"/>
                    </a:xfrm>
                    <a:prstGeom prst="rect">
                      <a:avLst/>
                    </a:prstGeom>
                    <a:noFill/>
                  </pic:spPr>
                </pic:pic>
              </a:graphicData>
            </a:graphic>
          </wp:anchor>
        </w:drawing>
        <w:drawing>
          <wp:anchor simplePos="0" relativeHeight="251657728" behindDoc="1" locked="0" layoutInCell="0" allowOverlap="1">
            <wp:simplePos x="0" y="0"/>
            <wp:positionH relativeFrom="column">
              <wp:posOffset>2066290</wp:posOffset>
            </wp:positionH>
            <wp:positionV relativeFrom="paragraph">
              <wp:posOffset>-1367155</wp:posOffset>
            </wp:positionV>
            <wp:extent cx="80010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800100" cy="8890"/>
                    </a:xfrm>
                    <a:prstGeom prst="rect">
                      <a:avLst/>
                    </a:prstGeom>
                    <a:noFill/>
                  </pic:spPr>
                </pic:pic>
              </a:graphicData>
            </a:graphic>
          </wp:anchor>
        </w:drawing>
        <w:drawing>
          <wp:anchor simplePos="0" relativeHeight="251657728" behindDoc="1" locked="0" layoutInCell="0" allowOverlap="1">
            <wp:simplePos x="0" y="0"/>
            <wp:positionH relativeFrom="column">
              <wp:posOffset>1206500</wp:posOffset>
            </wp:positionH>
            <wp:positionV relativeFrom="paragraph">
              <wp:posOffset>-1161415</wp:posOffset>
            </wp:positionV>
            <wp:extent cx="128524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85240" cy="825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-612775</wp:posOffset>
            </wp:positionV>
            <wp:extent cx="91376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913765" cy="8255"/>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207"/>
        </w:trPr>
        <w:tc>
          <w:tcPr>
            <w:tcW w:w="280" w:type="dxa"/>
            <w:vAlign w:val="bottom"/>
          </w:tcPr>
          <w:p>
            <w:pPr>
              <w:spacing w:after="0"/>
              <w:rPr>
                <w:sz w:val="17"/>
                <w:szCs w:val="17"/>
                <w:color w:val="auto"/>
              </w:rPr>
            </w:pPr>
          </w:p>
        </w:tc>
        <w:tc>
          <w:tcPr>
            <w:tcW w:w="2600" w:type="dxa"/>
            <w:vAlign w:val="bottom"/>
          </w:tcPr>
          <w:p>
            <w:pPr>
              <w:ind w:left="160"/>
              <w:spacing w:after="0"/>
              <w:rPr>
                <w:sz w:val="20"/>
                <w:szCs w:val="20"/>
                <w:color w:val="auto"/>
              </w:rPr>
            </w:pPr>
            <w:r>
              <w:rPr>
                <w:rFonts w:ascii="Arial" w:cs="Arial" w:eastAsia="Arial" w:hAnsi="Arial"/>
                <w:sz w:val="18"/>
                <w:szCs w:val="18"/>
                <w:color w:val="auto"/>
                <w:w w:val="91"/>
              </w:rPr>
              <w:t>lapse, of such property is: USD $</w:t>
            </w:r>
          </w:p>
        </w:tc>
        <w:tc>
          <w:tcPr>
            <w:tcW w:w="1260" w:type="dxa"/>
            <w:vAlign w:val="bottom"/>
          </w:tcPr>
          <w:p>
            <w:pPr>
              <w:spacing w:after="0"/>
              <w:rPr>
                <w:sz w:val="17"/>
                <w:szCs w:val="17"/>
                <w:color w:val="auto"/>
              </w:rPr>
            </w:pPr>
          </w:p>
        </w:tc>
        <w:tc>
          <w:tcPr>
            <w:tcW w:w="1280" w:type="dxa"/>
            <w:vAlign w:val="bottom"/>
            <w:gridSpan w:val="2"/>
          </w:tcPr>
          <w:p>
            <w:pPr>
              <w:jc w:val="right"/>
              <w:ind w:right="1150"/>
              <w:spacing w:after="0"/>
              <w:rPr>
                <w:sz w:val="20"/>
                <w:szCs w:val="20"/>
                <w:color w:val="auto"/>
              </w:rPr>
            </w:pPr>
            <w:r>
              <w:rPr>
                <w:rFonts w:ascii="Arial" w:cs="Arial" w:eastAsia="Arial" w:hAnsi="Arial"/>
                <w:sz w:val="10"/>
                <w:szCs w:val="10"/>
                <w:color w:val="auto"/>
                <w:w w:val="70"/>
              </w:rPr>
              <w:t>.</w:t>
            </w:r>
          </w:p>
        </w:tc>
        <w:tc>
          <w:tcPr>
            <w:tcW w:w="40" w:type="dxa"/>
            <w:vAlign w:val="bottom"/>
          </w:tcPr>
          <w:p>
            <w:pPr>
              <w:spacing w:after="0"/>
              <w:rPr>
                <w:sz w:val="17"/>
                <w:szCs w:val="17"/>
                <w:color w:val="auto"/>
              </w:rPr>
            </w:pPr>
          </w:p>
        </w:tc>
      </w:tr>
      <w:tr>
        <w:trPr>
          <w:trHeight w:val="20"/>
        </w:trPr>
        <w:tc>
          <w:tcPr>
            <w:tcW w:w="2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280" w:type="dxa"/>
            <w:vAlign w:val="bottom"/>
          </w:tcPr>
          <w:p>
            <w:pPr>
              <w:jc w:val="right"/>
              <w:ind w:right="50"/>
              <w:spacing w:after="0"/>
              <w:rPr>
                <w:sz w:val="20"/>
                <w:szCs w:val="20"/>
                <w:color w:val="auto"/>
              </w:rPr>
            </w:pPr>
            <w:r>
              <w:rPr>
                <w:rFonts w:ascii="Arial" w:cs="Arial" w:eastAsia="Arial" w:hAnsi="Arial"/>
                <w:sz w:val="18"/>
                <w:szCs w:val="18"/>
                <w:color w:val="auto"/>
                <w:w w:val="79"/>
              </w:rPr>
              <w:t>6.</w:t>
            </w:r>
          </w:p>
        </w:tc>
        <w:tc>
          <w:tcPr>
            <w:tcW w:w="3860" w:type="dxa"/>
            <w:vAlign w:val="bottom"/>
            <w:gridSpan w:val="2"/>
          </w:tcPr>
          <w:p>
            <w:pPr>
              <w:ind w:left="160"/>
              <w:spacing w:after="0"/>
              <w:rPr>
                <w:sz w:val="20"/>
                <w:szCs w:val="20"/>
                <w:color w:val="auto"/>
              </w:rPr>
            </w:pPr>
            <w:r>
              <w:rPr>
                <w:rFonts w:ascii="Arial" w:cs="Arial" w:eastAsia="Arial" w:hAnsi="Arial"/>
                <w:sz w:val="18"/>
                <w:szCs w:val="18"/>
                <w:color w:val="auto"/>
                <w:w w:val="91"/>
              </w:rPr>
              <w:t>The amount (if any) paid for such property: USD $</w:t>
            </w:r>
          </w:p>
        </w:tc>
        <w:tc>
          <w:tcPr>
            <w:tcW w:w="2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0924"/>
          </w:cols>
          <w:pgMar w:left="436" w:top="270" w:right="539" w:bottom="1440" w:gutter="0" w:footer="0" w:header="0"/>
        </w:sectPr>
      </w:pPr>
    </w:p>
    <w:bookmarkStart w:id="326" w:name="page327"/>
    <w:bookmarkEnd w:id="326"/>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undersigned has submitted a copy of this statement to the person for whom the services were performed in connection with the undersigned’s receipt of the above-described property. The transferee of such property is the person performing the services in connection with the transfer of said property.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undersigned understands that the foregoing election may not be revoked except with the consent of the Commissioner</w:t>
      </w:r>
      <w:r>
        <w:rPr>
          <w:rFonts w:ascii="Arial" w:cs="Arial" w:eastAsia="Arial" w:hAnsi="Arial"/>
          <w:sz w:val="18"/>
          <w:szCs w:val="18"/>
          <w:color w:val="auto"/>
        </w:rPr>
        <w:t>.</w:t>
      </w:r>
    </w:p>
    <w:p>
      <w:pPr>
        <w:spacing w:after="0" w:line="248" w:lineRule="exact"/>
        <w:rPr>
          <w:sz w:val="20"/>
          <w:szCs w:val="20"/>
          <w:color w:val="auto"/>
        </w:rPr>
      </w:pPr>
    </w:p>
    <w:p>
      <w:pPr>
        <w:spacing w:after="0"/>
        <w:tabs>
          <w:tab w:leader="none" w:pos="46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b w:val="1"/>
          <w:bCs w:val="1"/>
          <w:color w:val="auto"/>
        </w:rPr>
        <w:t>PURCHASER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wp:posOffset>
            </wp:positionH>
            <wp:positionV relativeFrom="paragraph">
              <wp:posOffset>-7620</wp:posOffset>
            </wp:positionV>
            <wp:extent cx="117094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20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2937510</wp:posOffset>
            </wp:positionH>
            <wp:positionV relativeFrom="paragraph">
              <wp:posOffset>288925</wp:posOffset>
            </wp:positionV>
            <wp:extent cx="4054475"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40544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2937510</wp:posOffset>
            </wp:positionH>
            <wp:positionV relativeFrom="paragraph">
              <wp:posOffset>160655</wp:posOffset>
            </wp:positionV>
            <wp:extent cx="4054475"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4054475" cy="8890"/>
                    </a:xfrm>
                    <a:prstGeom prst="rect">
                      <a:avLst/>
                    </a:prstGeom>
                    <a:noFill/>
                  </pic:spPr>
                </pic:pic>
              </a:graphicData>
            </a:graphic>
          </wp:anchor>
        </w:drawing>
      </w:r>
    </w:p>
    <w:p>
      <w:pPr>
        <w:spacing w:after="0" w:line="27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Spouse of Purchaser (if applicable)</w:t>
      </w:r>
    </w:p>
    <w:p>
      <w:pPr>
        <w:spacing w:after="0" w:line="17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640"/>
          </w:cols>
          <w:pgMar w:left="440" w:top="274" w:right="819" w:bottom="1440" w:gutter="0" w:footer="0" w:header="0"/>
        </w:sectPr>
      </w:pPr>
    </w:p>
    <w:bookmarkStart w:id="327" w:name="page328"/>
    <w:bookmarkEnd w:id="327"/>
    <w:p>
      <w:pPr>
        <w:jc w:val="center"/>
        <w:ind w:right="-4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ANNEX I</w:t>
      </w:r>
    </w:p>
    <w:p>
      <w:pPr>
        <w:spacing w:after="0" w:line="27"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Rule 506(d)(1)(i) to (viii) under the Securities Act of 1933, as amended</w:t>
      </w:r>
    </w:p>
    <w:p>
      <w:pPr>
        <w:spacing w:after="0" w:line="211" w:lineRule="exact"/>
        <w:rPr>
          <w:sz w:val="20"/>
          <w:szCs w:val="20"/>
          <w:color w:val="auto"/>
        </w:rPr>
      </w:pPr>
    </w:p>
    <w:p>
      <w:pPr>
        <w:ind w:left="4" w:right="120" w:hanging="4"/>
        <w:spacing w:after="0" w:line="277" w:lineRule="auto"/>
        <w:tabs>
          <w:tab w:leader="none" w:pos="219" w:val="left"/>
        </w:tabs>
        <w:numPr>
          <w:ilvl w:val="0"/>
          <w:numId w:val="289"/>
        </w:numPr>
        <w:rPr>
          <w:rFonts w:ascii="Arial" w:cs="Arial" w:eastAsia="Arial" w:hAnsi="Arial"/>
          <w:sz w:val="18"/>
          <w:szCs w:val="18"/>
          <w:color w:val="auto"/>
        </w:rPr>
      </w:pPr>
      <w:r>
        <w:rPr>
          <w:rFonts w:ascii="Arial" w:cs="Arial" w:eastAsia="Arial" w:hAnsi="Arial"/>
          <w:sz w:val="18"/>
          <w:szCs w:val="18"/>
          <w:color w:val="auto"/>
        </w:rPr>
        <w:t>Has been convicted, within ten years before such sale (or five years, in the case of issuers, their predecessors and affiliated issuers), of any felony or misdemeanor:</w:t>
      </w:r>
    </w:p>
    <w:p>
      <w:pPr>
        <w:spacing w:after="0" w:line="62" w:lineRule="exact"/>
        <w:rPr>
          <w:rFonts w:ascii="Arial" w:cs="Arial" w:eastAsia="Arial" w:hAnsi="Arial"/>
          <w:sz w:val="18"/>
          <w:szCs w:val="18"/>
          <w:color w:val="auto"/>
        </w:rPr>
      </w:pPr>
    </w:p>
    <w:p>
      <w:pPr>
        <w:ind w:left="744" w:hanging="304"/>
        <w:spacing w:after="0"/>
        <w:tabs>
          <w:tab w:leader="none" w:pos="744" w:val="left"/>
        </w:tabs>
        <w:numPr>
          <w:ilvl w:val="1"/>
          <w:numId w:val="289"/>
        </w:numPr>
        <w:rPr>
          <w:rFonts w:ascii="Arial" w:cs="Arial" w:eastAsia="Arial" w:hAnsi="Arial"/>
          <w:sz w:val="18"/>
          <w:szCs w:val="18"/>
          <w:color w:val="auto"/>
        </w:rPr>
      </w:pPr>
      <w:r>
        <w:rPr>
          <w:rFonts w:ascii="Arial" w:cs="Arial" w:eastAsia="Arial" w:hAnsi="Arial"/>
          <w:sz w:val="18"/>
          <w:szCs w:val="18"/>
          <w:color w:val="auto"/>
        </w:rPr>
        <w:t>In connection with the purchase or sale of any security;</w:t>
      </w:r>
    </w:p>
    <w:p>
      <w:pPr>
        <w:spacing w:after="0" w:line="117" w:lineRule="exact"/>
        <w:rPr>
          <w:rFonts w:ascii="Arial" w:cs="Arial" w:eastAsia="Arial" w:hAnsi="Arial"/>
          <w:sz w:val="18"/>
          <w:szCs w:val="18"/>
          <w:color w:val="auto"/>
        </w:rPr>
      </w:pPr>
    </w:p>
    <w:p>
      <w:pPr>
        <w:ind w:left="724" w:hanging="284"/>
        <w:spacing w:after="0"/>
        <w:tabs>
          <w:tab w:leader="none" w:pos="724" w:val="left"/>
        </w:tabs>
        <w:numPr>
          <w:ilvl w:val="1"/>
          <w:numId w:val="289"/>
        </w:numPr>
        <w:rPr>
          <w:rFonts w:ascii="Arial" w:cs="Arial" w:eastAsia="Arial" w:hAnsi="Arial"/>
          <w:sz w:val="18"/>
          <w:szCs w:val="18"/>
          <w:color w:val="auto"/>
        </w:rPr>
      </w:pPr>
      <w:r>
        <w:rPr>
          <w:rFonts w:ascii="Arial" w:cs="Arial" w:eastAsia="Arial" w:hAnsi="Arial"/>
          <w:sz w:val="18"/>
          <w:szCs w:val="18"/>
          <w:color w:val="auto"/>
        </w:rPr>
        <w:t>Involving the making of any false filing with the Commission; or</w:t>
      </w:r>
    </w:p>
    <w:p>
      <w:pPr>
        <w:spacing w:after="0" w:line="117" w:lineRule="exact"/>
        <w:rPr>
          <w:rFonts w:ascii="Arial" w:cs="Arial" w:eastAsia="Arial" w:hAnsi="Arial"/>
          <w:sz w:val="18"/>
          <w:szCs w:val="18"/>
          <w:color w:val="auto"/>
        </w:rPr>
      </w:pPr>
    </w:p>
    <w:p>
      <w:pPr>
        <w:ind w:left="444" w:right="60" w:hanging="4"/>
        <w:spacing w:after="0" w:line="277" w:lineRule="auto"/>
        <w:tabs>
          <w:tab w:leader="none" w:pos="719" w:val="left"/>
        </w:tabs>
        <w:numPr>
          <w:ilvl w:val="1"/>
          <w:numId w:val="289"/>
        </w:numPr>
        <w:rPr>
          <w:rFonts w:ascii="Arial" w:cs="Arial" w:eastAsia="Arial" w:hAnsi="Arial"/>
          <w:sz w:val="18"/>
          <w:szCs w:val="18"/>
          <w:color w:val="auto"/>
        </w:rPr>
      </w:pPr>
      <w:r>
        <w:rPr>
          <w:rFonts w:ascii="Arial" w:cs="Arial" w:eastAsia="Arial" w:hAnsi="Arial"/>
          <w:sz w:val="18"/>
          <w:szCs w:val="18"/>
          <w:color w:val="auto"/>
        </w:rPr>
        <w:t>Arising out of the conduct of the business of an underwriter, broker, dealer, municipal securities dealer, investment adviser or paid solicitor of purchasers of securities;</w:t>
      </w:r>
    </w:p>
    <w:p>
      <w:pPr>
        <w:spacing w:after="0" w:line="170" w:lineRule="exact"/>
        <w:rPr>
          <w:rFonts w:ascii="Arial" w:cs="Arial" w:eastAsia="Arial" w:hAnsi="Arial"/>
          <w:sz w:val="18"/>
          <w:szCs w:val="18"/>
          <w:color w:val="auto"/>
        </w:rPr>
      </w:pPr>
    </w:p>
    <w:p>
      <w:pPr>
        <w:ind w:left="4" w:right="20" w:hanging="4"/>
        <w:spacing w:after="0" w:line="277" w:lineRule="auto"/>
        <w:tabs>
          <w:tab w:leader="none" w:pos="269"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Is subject to any order, judgment or decree of any court of competent jurisdiction, entered within five years before such sale, that, at the time of such sale, restrains or enjoins such person from engaging or continuing to engage in any conduct or practice:</w:t>
      </w:r>
    </w:p>
    <w:p>
      <w:pPr>
        <w:spacing w:after="0" w:line="62" w:lineRule="exact"/>
        <w:rPr>
          <w:rFonts w:ascii="Arial" w:cs="Arial" w:eastAsia="Arial" w:hAnsi="Arial"/>
          <w:sz w:val="18"/>
          <w:szCs w:val="18"/>
          <w:color w:val="auto"/>
        </w:rPr>
      </w:pPr>
    </w:p>
    <w:p>
      <w:pPr>
        <w:ind w:left="744" w:hanging="304"/>
        <w:spacing w:after="0"/>
        <w:tabs>
          <w:tab w:leader="none" w:pos="744" w:val="left"/>
        </w:tabs>
        <w:numPr>
          <w:ilvl w:val="1"/>
          <w:numId w:val="289"/>
        </w:numPr>
        <w:rPr>
          <w:rFonts w:ascii="Arial" w:cs="Arial" w:eastAsia="Arial" w:hAnsi="Arial"/>
          <w:sz w:val="18"/>
          <w:szCs w:val="18"/>
          <w:color w:val="auto"/>
        </w:rPr>
      </w:pPr>
      <w:r>
        <w:rPr>
          <w:rFonts w:ascii="Arial" w:cs="Arial" w:eastAsia="Arial" w:hAnsi="Arial"/>
          <w:sz w:val="18"/>
          <w:szCs w:val="18"/>
          <w:color w:val="auto"/>
        </w:rPr>
        <w:t>In connection with the purchase or sale of any security;</w:t>
      </w:r>
    </w:p>
    <w:p>
      <w:pPr>
        <w:spacing w:after="0" w:line="117" w:lineRule="exact"/>
        <w:rPr>
          <w:rFonts w:ascii="Arial" w:cs="Arial" w:eastAsia="Arial" w:hAnsi="Arial"/>
          <w:sz w:val="18"/>
          <w:szCs w:val="18"/>
          <w:color w:val="auto"/>
        </w:rPr>
      </w:pPr>
    </w:p>
    <w:p>
      <w:pPr>
        <w:ind w:left="724" w:hanging="284"/>
        <w:spacing w:after="0"/>
        <w:tabs>
          <w:tab w:leader="none" w:pos="724" w:val="left"/>
        </w:tabs>
        <w:numPr>
          <w:ilvl w:val="1"/>
          <w:numId w:val="289"/>
        </w:numPr>
        <w:rPr>
          <w:rFonts w:ascii="Arial" w:cs="Arial" w:eastAsia="Arial" w:hAnsi="Arial"/>
          <w:sz w:val="18"/>
          <w:szCs w:val="18"/>
          <w:color w:val="auto"/>
        </w:rPr>
      </w:pPr>
      <w:r>
        <w:rPr>
          <w:rFonts w:ascii="Arial" w:cs="Arial" w:eastAsia="Arial" w:hAnsi="Arial"/>
          <w:sz w:val="18"/>
          <w:szCs w:val="18"/>
          <w:color w:val="auto"/>
        </w:rPr>
        <w:t>Involving the making of any false filing with the Commission; or</w:t>
      </w:r>
    </w:p>
    <w:p>
      <w:pPr>
        <w:spacing w:after="0" w:line="117" w:lineRule="exact"/>
        <w:rPr>
          <w:rFonts w:ascii="Arial" w:cs="Arial" w:eastAsia="Arial" w:hAnsi="Arial"/>
          <w:sz w:val="18"/>
          <w:szCs w:val="18"/>
          <w:color w:val="auto"/>
        </w:rPr>
      </w:pPr>
    </w:p>
    <w:p>
      <w:pPr>
        <w:ind w:left="444" w:right="60" w:hanging="4"/>
        <w:spacing w:after="0" w:line="277" w:lineRule="auto"/>
        <w:tabs>
          <w:tab w:leader="none" w:pos="719" w:val="left"/>
        </w:tabs>
        <w:numPr>
          <w:ilvl w:val="1"/>
          <w:numId w:val="289"/>
        </w:numPr>
        <w:rPr>
          <w:rFonts w:ascii="Arial" w:cs="Arial" w:eastAsia="Arial" w:hAnsi="Arial"/>
          <w:sz w:val="18"/>
          <w:szCs w:val="18"/>
          <w:color w:val="auto"/>
        </w:rPr>
      </w:pPr>
      <w:r>
        <w:rPr>
          <w:rFonts w:ascii="Arial" w:cs="Arial" w:eastAsia="Arial" w:hAnsi="Arial"/>
          <w:sz w:val="18"/>
          <w:szCs w:val="18"/>
          <w:color w:val="auto"/>
        </w:rPr>
        <w:t>Arising out of the conduct of the business of an underwriter, broker, dealer, municipal securities dealer, investment adviser or paid solicitor of purchasers of securities;</w:t>
      </w:r>
    </w:p>
    <w:p>
      <w:pPr>
        <w:spacing w:after="0" w:line="170" w:lineRule="exact"/>
        <w:rPr>
          <w:rFonts w:ascii="Arial" w:cs="Arial" w:eastAsia="Arial" w:hAnsi="Arial"/>
          <w:sz w:val="18"/>
          <w:szCs w:val="18"/>
          <w:color w:val="auto"/>
        </w:rPr>
      </w:pPr>
    </w:p>
    <w:p>
      <w:pPr>
        <w:ind w:left="324" w:hanging="324"/>
        <w:spacing w:after="0"/>
        <w:tabs>
          <w:tab w:leader="none" w:pos="324" w:val="left"/>
        </w:tabs>
        <w:numPr>
          <w:ilvl w:val="0"/>
          <w:numId w:val="289"/>
        </w:numPr>
        <w:rPr>
          <w:rFonts w:ascii="Arial" w:cs="Arial" w:eastAsia="Arial" w:hAnsi="Arial"/>
          <w:sz w:val="17"/>
          <w:szCs w:val="17"/>
          <w:color w:val="auto"/>
        </w:rPr>
      </w:pPr>
      <w:r>
        <w:rPr>
          <w:rFonts w:ascii="Arial" w:cs="Arial" w:eastAsia="Arial" w:hAnsi="Arial"/>
          <w:sz w:val="17"/>
          <w:szCs w:val="17"/>
          <w:color w:val="auto"/>
        </w:rPr>
        <w:t>Is subject to a final order of a state securities commission (or an agency or officer of a state performing like functions); a state authority that</w:t>
      </w:r>
    </w:p>
    <w:p>
      <w:pPr>
        <w:spacing w:after="0" w:line="34" w:lineRule="exact"/>
        <w:rPr>
          <w:rFonts w:ascii="Arial" w:cs="Arial" w:eastAsia="Arial" w:hAnsi="Arial"/>
          <w:sz w:val="17"/>
          <w:szCs w:val="17"/>
          <w:color w:val="auto"/>
        </w:rPr>
      </w:pPr>
    </w:p>
    <w:p>
      <w:pPr>
        <w:ind w:left="4"/>
        <w:spacing w:after="0" w:line="323" w:lineRule="auto"/>
        <w:rPr>
          <w:rFonts w:ascii="Arial" w:cs="Arial" w:eastAsia="Arial" w:hAnsi="Arial"/>
          <w:sz w:val="17"/>
          <w:szCs w:val="17"/>
          <w:color w:val="auto"/>
        </w:rPr>
      </w:pPr>
      <w:r>
        <w:rPr>
          <w:rFonts w:ascii="Arial" w:cs="Arial" w:eastAsia="Arial" w:hAnsi="Arial"/>
          <w:sz w:val="16"/>
          <w:szCs w:val="16"/>
          <w:color w:val="auto"/>
        </w:rPr>
        <w:t>supervises or examines banks, savings associations, or credit unions; a state insurance commission (or an agency or officer of a state performing like functions); an appropriate federal banking agency; the U.S. Commodity Futures Trading Commission; or the National Credit Union Administration that:</w:t>
      </w:r>
    </w:p>
    <w:p>
      <w:pPr>
        <w:spacing w:after="0" w:line="30" w:lineRule="exact"/>
        <w:rPr>
          <w:rFonts w:ascii="Arial" w:cs="Arial" w:eastAsia="Arial" w:hAnsi="Arial"/>
          <w:sz w:val="17"/>
          <w:szCs w:val="17"/>
          <w:color w:val="auto"/>
        </w:rPr>
      </w:pPr>
    </w:p>
    <w:p>
      <w:pPr>
        <w:ind w:left="744" w:hanging="304"/>
        <w:spacing w:after="0"/>
        <w:tabs>
          <w:tab w:leader="none" w:pos="744" w:val="left"/>
        </w:tabs>
        <w:numPr>
          <w:ilvl w:val="1"/>
          <w:numId w:val="289"/>
        </w:numPr>
        <w:rPr>
          <w:rFonts w:ascii="Arial" w:cs="Arial" w:eastAsia="Arial" w:hAnsi="Arial"/>
          <w:sz w:val="18"/>
          <w:szCs w:val="18"/>
          <w:color w:val="auto"/>
        </w:rPr>
      </w:pPr>
      <w:r>
        <w:rPr>
          <w:rFonts w:ascii="Arial" w:cs="Arial" w:eastAsia="Arial" w:hAnsi="Arial"/>
          <w:sz w:val="18"/>
          <w:szCs w:val="18"/>
          <w:color w:val="auto"/>
        </w:rPr>
        <w:t>At the time of such sale, bars the person from:</w:t>
      </w:r>
    </w:p>
    <w:p>
      <w:pPr>
        <w:spacing w:after="0" w:line="117" w:lineRule="exact"/>
        <w:rPr>
          <w:rFonts w:ascii="Arial" w:cs="Arial" w:eastAsia="Arial" w:hAnsi="Arial"/>
          <w:sz w:val="18"/>
          <w:szCs w:val="18"/>
          <w:color w:val="auto"/>
        </w:rPr>
      </w:pPr>
    </w:p>
    <w:p>
      <w:pPr>
        <w:ind w:left="1684" w:hanging="252"/>
        <w:spacing w:after="0"/>
        <w:tabs>
          <w:tab w:leader="none" w:pos="1684" w:val="left"/>
        </w:tabs>
        <w:numPr>
          <w:ilvl w:val="2"/>
          <w:numId w:val="289"/>
        </w:numPr>
        <w:rPr>
          <w:rFonts w:ascii="Arial" w:cs="Arial" w:eastAsia="Arial" w:hAnsi="Arial"/>
          <w:sz w:val="18"/>
          <w:szCs w:val="18"/>
          <w:color w:val="auto"/>
        </w:rPr>
      </w:pPr>
      <w:r>
        <w:rPr>
          <w:rFonts w:ascii="Arial" w:cs="Arial" w:eastAsia="Arial" w:hAnsi="Arial"/>
          <w:sz w:val="18"/>
          <w:szCs w:val="18"/>
          <w:color w:val="auto"/>
        </w:rPr>
        <w:t>Association with an entity regulated by such commission, authority, agency, or officer;</w:t>
      </w:r>
    </w:p>
    <w:p>
      <w:pPr>
        <w:spacing w:after="0" w:line="117" w:lineRule="exact"/>
        <w:rPr>
          <w:rFonts w:ascii="Arial" w:cs="Arial" w:eastAsia="Arial" w:hAnsi="Arial"/>
          <w:sz w:val="18"/>
          <w:szCs w:val="18"/>
          <w:color w:val="auto"/>
        </w:rPr>
      </w:pPr>
    </w:p>
    <w:p>
      <w:pPr>
        <w:ind w:left="1684" w:hanging="252"/>
        <w:spacing w:after="0"/>
        <w:tabs>
          <w:tab w:leader="none" w:pos="1684" w:val="left"/>
        </w:tabs>
        <w:numPr>
          <w:ilvl w:val="2"/>
          <w:numId w:val="289"/>
        </w:numPr>
        <w:rPr>
          <w:rFonts w:ascii="Arial" w:cs="Arial" w:eastAsia="Arial" w:hAnsi="Arial"/>
          <w:sz w:val="18"/>
          <w:szCs w:val="18"/>
          <w:color w:val="auto"/>
        </w:rPr>
      </w:pPr>
      <w:r>
        <w:rPr>
          <w:rFonts w:ascii="Arial" w:cs="Arial" w:eastAsia="Arial" w:hAnsi="Arial"/>
          <w:sz w:val="18"/>
          <w:szCs w:val="18"/>
          <w:color w:val="auto"/>
        </w:rPr>
        <w:t>Engaging in the business of securities, insurance or banking; or</w:t>
      </w:r>
    </w:p>
    <w:p>
      <w:pPr>
        <w:spacing w:after="0" w:line="117" w:lineRule="exact"/>
        <w:rPr>
          <w:rFonts w:ascii="Arial" w:cs="Arial" w:eastAsia="Arial" w:hAnsi="Arial"/>
          <w:sz w:val="18"/>
          <w:szCs w:val="18"/>
          <w:color w:val="auto"/>
        </w:rPr>
      </w:pPr>
    </w:p>
    <w:p>
      <w:pPr>
        <w:ind w:left="1684" w:hanging="252"/>
        <w:spacing w:after="0"/>
        <w:tabs>
          <w:tab w:leader="none" w:pos="1684" w:val="left"/>
        </w:tabs>
        <w:numPr>
          <w:ilvl w:val="2"/>
          <w:numId w:val="289"/>
        </w:numPr>
        <w:rPr>
          <w:rFonts w:ascii="Arial" w:cs="Arial" w:eastAsia="Arial" w:hAnsi="Arial"/>
          <w:sz w:val="18"/>
          <w:szCs w:val="18"/>
          <w:color w:val="auto"/>
        </w:rPr>
      </w:pPr>
      <w:r>
        <w:rPr>
          <w:rFonts w:ascii="Arial" w:cs="Arial" w:eastAsia="Arial" w:hAnsi="Arial"/>
          <w:sz w:val="18"/>
          <w:szCs w:val="18"/>
          <w:color w:val="auto"/>
        </w:rPr>
        <w:t>Engaging in savings association or credit union activities; or</w:t>
      </w:r>
    </w:p>
    <w:p>
      <w:pPr>
        <w:spacing w:after="0" w:line="117" w:lineRule="exact"/>
        <w:rPr>
          <w:rFonts w:ascii="Arial" w:cs="Arial" w:eastAsia="Arial" w:hAnsi="Arial"/>
          <w:sz w:val="18"/>
          <w:szCs w:val="18"/>
          <w:color w:val="auto"/>
        </w:rPr>
      </w:pPr>
    </w:p>
    <w:p>
      <w:pPr>
        <w:ind w:left="444" w:right="280" w:hanging="4"/>
        <w:spacing w:after="0" w:line="277" w:lineRule="auto"/>
        <w:tabs>
          <w:tab w:leader="none" w:pos="729" w:val="left"/>
        </w:tabs>
        <w:numPr>
          <w:ilvl w:val="1"/>
          <w:numId w:val="289"/>
        </w:numPr>
        <w:rPr>
          <w:rFonts w:ascii="Arial" w:cs="Arial" w:eastAsia="Arial" w:hAnsi="Arial"/>
          <w:sz w:val="18"/>
          <w:szCs w:val="18"/>
          <w:color w:val="auto"/>
        </w:rPr>
      </w:pPr>
      <w:r>
        <w:rPr>
          <w:rFonts w:ascii="Arial" w:cs="Arial" w:eastAsia="Arial" w:hAnsi="Arial"/>
          <w:sz w:val="18"/>
          <w:szCs w:val="18"/>
          <w:color w:val="auto"/>
        </w:rPr>
        <w:t>Constitutes a final order based on a violation of any law or regulation that prohibits fraudulent, manipulative, or deceptive conduct entered within ten years before such sale;</w:t>
      </w:r>
    </w:p>
    <w:p>
      <w:pPr>
        <w:spacing w:after="0" w:line="170" w:lineRule="exact"/>
        <w:rPr>
          <w:rFonts w:ascii="Arial" w:cs="Arial" w:eastAsia="Arial" w:hAnsi="Arial"/>
          <w:sz w:val="18"/>
          <w:szCs w:val="18"/>
          <w:color w:val="auto"/>
        </w:rPr>
      </w:pPr>
    </w:p>
    <w:p>
      <w:pPr>
        <w:ind w:left="304" w:hanging="304"/>
        <w:spacing w:after="0"/>
        <w:tabs>
          <w:tab w:leader="none" w:pos="304" w:val="left"/>
        </w:tabs>
        <w:numPr>
          <w:ilvl w:val="0"/>
          <w:numId w:val="289"/>
        </w:numPr>
        <w:rPr>
          <w:rFonts w:ascii="Arial" w:cs="Arial" w:eastAsia="Arial" w:hAnsi="Arial"/>
          <w:sz w:val="16"/>
          <w:szCs w:val="16"/>
          <w:color w:val="auto"/>
        </w:rPr>
      </w:pPr>
      <w:r>
        <w:rPr>
          <w:rFonts w:ascii="Arial" w:cs="Arial" w:eastAsia="Arial" w:hAnsi="Arial"/>
          <w:sz w:val="16"/>
          <w:szCs w:val="16"/>
          <w:color w:val="auto"/>
        </w:rPr>
        <w:t>Is subject to an order of the Commission entered pursuant to section 15(b) or 15B(c) of the Securities Exchange Act of 1934 (15 U.S.C. 78o(b) or</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78o-4(c)) or section 203(e) or (f) of the Investment Advisers Act of 1940 (15 U.S.C. 80b-3(e) or (f)) that, at the time of such sale:</w:t>
      </w:r>
    </w:p>
    <w:p>
      <w:pPr>
        <w:spacing w:after="0" w:line="102" w:lineRule="exact"/>
        <w:rPr>
          <w:rFonts w:ascii="Arial" w:cs="Arial" w:eastAsia="Arial" w:hAnsi="Arial"/>
          <w:sz w:val="16"/>
          <w:szCs w:val="16"/>
          <w:color w:val="auto"/>
        </w:rPr>
      </w:pPr>
    </w:p>
    <w:p>
      <w:pPr>
        <w:ind w:left="744" w:hanging="304"/>
        <w:spacing w:after="0"/>
        <w:tabs>
          <w:tab w:leader="none" w:pos="744" w:val="left"/>
        </w:tabs>
        <w:numPr>
          <w:ilvl w:val="1"/>
          <w:numId w:val="289"/>
        </w:numPr>
        <w:rPr>
          <w:rFonts w:ascii="Arial" w:cs="Arial" w:eastAsia="Arial" w:hAnsi="Arial"/>
          <w:sz w:val="18"/>
          <w:szCs w:val="18"/>
          <w:color w:val="auto"/>
        </w:rPr>
      </w:pPr>
      <w:r>
        <w:rPr>
          <w:rFonts w:ascii="Arial" w:cs="Arial" w:eastAsia="Arial" w:hAnsi="Arial"/>
          <w:sz w:val="18"/>
          <w:szCs w:val="18"/>
          <w:color w:val="auto"/>
        </w:rPr>
        <w:t>Suspends or revokes such person’s registration as a broker, dealer, municipal securities dealer or investment adviser;</w:t>
      </w:r>
    </w:p>
    <w:p>
      <w:pPr>
        <w:spacing w:after="0" w:line="117" w:lineRule="exact"/>
        <w:rPr>
          <w:rFonts w:ascii="Arial" w:cs="Arial" w:eastAsia="Arial" w:hAnsi="Arial"/>
          <w:sz w:val="18"/>
          <w:szCs w:val="18"/>
          <w:color w:val="auto"/>
        </w:rPr>
      </w:pPr>
    </w:p>
    <w:p>
      <w:pPr>
        <w:ind w:left="724" w:hanging="284"/>
        <w:spacing w:after="0"/>
        <w:tabs>
          <w:tab w:leader="none" w:pos="724" w:val="left"/>
        </w:tabs>
        <w:numPr>
          <w:ilvl w:val="1"/>
          <w:numId w:val="289"/>
        </w:numPr>
        <w:rPr>
          <w:rFonts w:ascii="Arial" w:cs="Arial" w:eastAsia="Arial" w:hAnsi="Arial"/>
          <w:sz w:val="18"/>
          <w:szCs w:val="18"/>
          <w:color w:val="auto"/>
        </w:rPr>
      </w:pPr>
      <w:r>
        <w:rPr>
          <w:rFonts w:ascii="Arial" w:cs="Arial" w:eastAsia="Arial" w:hAnsi="Arial"/>
          <w:sz w:val="18"/>
          <w:szCs w:val="18"/>
          <w:color w:val="auto"/>
        </w:rPr>
        <w:t>Places limitations on the activities, functions or operations of such person; or</w:t>
      </w:r>
    </w:p>
    <w:p>
      <w:pPr>
        <w:spacing w:after="0" w:line="117" w:lineRule="exact"/>
        <w:rPr>
          <w:rFonts w:ascii="Arial" w:cs="Arial" w:eastAsia="Arial" w:hAnsi="Arial"/>
          <w:sz w:val="18"/>
          <w:szCs w:val="18"/>
          <w:color w:val="auto"/>
        </w:rPr>
      </w:pPr>
    </w:p>
    <w:p>
      <w:pPr>
        <w:ind w:left="724" w:hanging="284"/>
        <w:spacing w:after="0"/>
        <w:tabs>
          <w:tab w:leader="none" w:pos="724" w:val="left"/>
        </w:tabs>
        <w:numPr>
          <w:ilvl w:val="1"/>
          <w:numId w:val="289"/>
        </w:numPr>
        <w:rPr>
          <w:rFonts w:ascii="Arial" w:cs="Arial" w:eastAsia="Arial" w:hAnsi="Arial"/>
          <w:sz w:val="18"/>
          <w:szCs w:val="18"/>
          <w:color w:val="auto"/>
        </w:rPr>
      </w:pPr>
      <w:r>
        <w:rPr>
          <w:rFonts w:ascii="Arial" w:cs="Arial" w:eastAsia="Arial" w:hAnsi="Arial"/>
          <w:sz w:val="18"/>
          <w:szCs w:val="18"/>
          <w:color w:val="auto"/>
        </w:rPr>
        <w:t>Bars such person from being associated with any entity or from participating in the offering of any penny stock;</w:t>
      </w:r>
    </w:p>
    <w:p>
      <w:pPr>
        <w:spacing w:after="0" w:line="225" w:lineRule="exact"/>
        <w:rPr>
          <w:rFonts w:ascii="Arial" w:cs="Arial" w:eastAsia="Arial" w:hAnsi="Arial"/>
          <w:sz w:val="18"/>
          <w:szCs w:val="18"/>
          <w:color w:val="auto"/>
        </w:rPr>
      </w:pPr>
    </w:p>
    <w:p>
      <w:pPr>
        <w:ind w:left="4" w:right="380" w:hanging="4"/>
        <w:spacing w:after="0" w:line="277" w:lineRule="auto"/>
        <w:tabs>
          <w:tab w:leader="none" w:pos="259"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Is subject to any order of the Commission entered within five years before such sale that, at the time of such sale, orders the person to cease and desist from committing or causing a violation or future violation of:</w:t>
      </w:r>
    </w:p>
    <w:p>
      <w:pPr>
        <w:spacing w:after="0" w:line="62" w:lineRule="exact"/>
        <w:rPr>
          <w:rFonts w:ascii="Arial" w:cs="Arial" w:eastAsia="Arial" w:hAnsi="Arial"/>
          <w:sz w:val="18"/>
          <w:szCs w:val="18"/>
          <w:color w:val="auto"/>
        </w:rPr>
      </w:pPr>
    </w:p>
    <w:p>
      <w:pPr>
        <w:ind w:left="444" w:right="200" w:hanging="4"/>
        <w:spacing w:after="0" w:line="259" w:lineRule="auto"/>
        <w:tabs>
          <w:tab w:leader="none" w:pos="729" w:val="left"/>
        </w:tabs>
        <w:numPr>
          <w:ilvl w:val="1"/>
          <w:numId w:val="289"/>
        </w:numPr>
        <w:rPr>
          <w:rFonts w:ascii="Arial" w:cs="Arial" w:eastAsia="Arial" w:hAnsi="Arial"/>
          <w:sz w:val="18"/>
          <w:szCs w:val="18"/>
          <w:color w:val="auto"/>
        </w:rPr>
      </w:pPr>
      <w:r>
        <w:rPr>
          <w:rFonts w:ascii="Arial" w:cs="Arial" w:eastAsia="Arial" w:hAnsi="Arial"/>
          <w:sz w:val="18"/>
          <w:szCs w:val="18"/>
          <w:color w:val="auto"/>
        </w:rPr>
        <w:t>Any scienter-based anti-fraud provision of the federal securities laws, including without limitation section 17(a)(1) of the Securities Act of 1933 (15 U.S.C. 77q(a)(1)), section 10(b) of the Securities Exchange Act of 1934 (15 U.S.C. 78j(b)) and 17 CFR 240.10b-5, section 15(c)(1) of the Securities Exchange Act of 1934 (15 U.S.C. 78o(c)(1)) and section 206(1) of the Investment Advisers Act of 1940 (15 U.S.C. 80b-6(1)), or any other rule or regulation thereunder; or</w:t>
      </w:r>
    </w:p>
    <w:p>
      <w:pPr>
        <w:sectPr>
          <w:pgSz w:w="11900" w:h="16838" w:orient="portrait"/>
          <w:cols w:equalWidth="0" w:num="1">
            <w:col w:w="10984"/>
          </w:cols>
          <w:pgMar w:left="436" w:top="270" w:right="479" w:bottom="1440" w:gutter="0" w:footer="0" w:header="0"/>
        </w:sectPr>
      </w:pPr>
    </w:p>
    <w:bookmarkStart w:id="328" w:name="page329"/>
    <w:bookmarkEnd w:id="328"/>
    <w:p>
      <w:pPr>
        <w:ind w:left="724" w:hanging="284"/>
        <w:spacing w:after="0"/>
        <w:tabs>
          <w:tab w:leader="none" w:pos="724" w:val="left"/>
        </w:tabs>
        <w:numPr>
          <w:ilvl w:val="1"/>
          <w:numId w:val="2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5 of the Securities Act of 1933 (15 U.S.C. 77e).</w:t>
      </w:r>
    </w:p>
    <w:p>
      <w:pPr>
        <w:spacing w:after="0" w:line="225" w:lineRule="exact"/>
        <w:rPr>
          <w:rFonts w:ascii="Arial" w:cs="Arial" w:eastAsia="Arial" w:hAnsi="Arial"/>
          <w:sz w:val="18"/>
          <w:szCs w:val="18"/>
          <w:color w:val="auto"/>
        </w:rPr>
      </w:pPr>
    </w:p>
    <w:p>
      <w:pPr>
        <w:ind w:left="4" w:hanging="4"/>
        <w:spacing w:after="0" w:line="263" w:lineRule="auto"/>
        <w:tabs>
          <w:tab w:leader="none" w:pos="309" w:val="left"/>
        </w:tabs>
        <w:numPr>
          <w:ilvl w:val="0"/>
          <w:numId w:val="291"/>
        </w:numPr>
        <w:rPr>
          <w:rFonts w:ascii="Arial" w:cs="Arial" w:eastAsia="Arial" w:hAnsi="Arial"/>
          <w:sz w:val="18"/>
          <w:szCs w:val="18"/>
          <w:color w:val="auto"/>
        </w:rPr>
      </w:pPr>
      <w:r>
        <w:rPr>
          <w:rFonts w:ascii="Arial" w:cs="Arial" w:eastAsia="Arial" w:hAnsi="Arial"/>
          <w:sz w:val="18"/>
          <w:szCs w:val="18"/>
          <w:color w:val="auto"/>
        </w:rPr>
        <w:t>Is suspended or expelled from membership in, or suspended or barred from association with a member of, a registered national securities exchange or a registered national or affiliated securities association for any act or omission to act constituting conduct inconsistent with just and equitable principles of trade;</w:t>
      </w:r>
    </w:p>
    <w:p>
      <w:pPr>
        <w:spacing w:after="0" w:line="183" w:lineRule="exact"/>
        <w:rPr>
          <w:rFonts w:ascii="Arial" w:cs="Arial" w:eastAsia="Arial" w:hAnsi="Arial"/>
          <w:sz w:val="18"/>
          <w:szCs w:val="18"/>
          <w:color w:val="auto"/>
        </w:rPr>
      </w:pPr>
    </w:p>
    <w:p>
      <w:pPr>
        <w:ind w:left="4" w:right="20" w:hanging="4"/>
        <w:spacing w:after="0" w:line="259" w:lineRule="auto"/>
        <w:tabs>
          <w:tab w:leader="none" w:pos="359" w:val="left"/>
        </w:tabs>
        <w:numPr>
          <w:ilvl w:val="0"/>
          <w:numId w:val="291"/>
        </w:numPr>
        <w:rPr>
          <w:rFonts w:ascii="Arial" w:cs="Arial" w:eastAsia="Arial" w:hAnsi="Arial"/>
          <w:sz w:val="18"/>
          <w:szCs w:val="18"/>
          <w:color w:val="auto"/>
        </w:rPr>
      </w:pPr>
      <w:r>
        <w:rPr>
          <w:rFonts w:ascii="Arial" w:cs="Arial" w:eastAsia="Arial" w:hAnsi="Arial"/>
          <w:sz w:val="18"/>
          <w:szCs w:val="18"/>
          <w:color w:val="auto"/>
        </w:rPr>
        <w:t>Has filed (as a registrant or issuer), or was or was named as an underwriter in, any registration statement or Regulation A offering statement filed with the Commission that, within five years before such sale, was the subject of a refusal order, stop order, or order suspending the Regulation A exemption, or is, at the time of such sale, the subject of an investigation or proceeding to determine whether a stop order or suspension order should be issued; or</w:t>
      </w:r>
    </w:p>
    <w:p>
      <w:pPr>
        <w:spacing w:after="0" w:line="186" w:lineRule="exact"/>
        <w:rPr>
          <w:rFonts w:ascii="Arial" w:cs="Arial" w:eastAsia="Arial" w:hAnsi="Arial"/>
          <w:sz w:val="18"/>
          <w:szCs w:val="18"/>
          <w:color w:val="auto"/>
        </w:rPr>
      </w:pPr>
    </w:p>
    <w:p>
      <w:pPr>
        <w:jc w:val="both"/>
        <w:ind w:left="4" w:right="280" w:hanging="4"/>
        <w:spacing w:after="0" w:line="286" w:lineRule="auto"/>
        <w:tabs>
          <w:tab w:leader="none" w:pos="409" w:val="left"/>
        </w:tabs>
        <w:numPr>
          <w:ilvl w:val="0"/>
          <w:numId w:val="291"/>
        </w:numPr>
        <w:rPr>
          <w:rFonts w:ascii="Arial" w:cs="Arial" w:eastAsia="Arial" w:hAnsi="Arial"/>
          <w:sz w:val="17"/>
          <w:szCs w:val="17"/>
          <w:color w:val="auto"/>
        </w:rPr>
      </w:pPr>
      <w:r>
        <w:rPr>
          <w:rFonts w:ascii="Arial" w:cs="Arial" w:eastAsia="Arial" w:hAnsi="Arial"/>
          <w:sz w:val="17"/>
          <w:szCs w:val="17"/>
          <w:color w:val="auto"/>
        </w:rPr>
        <w:t>Is subject to a United States Postal Service false representation order entered within five years before such sale, or is, at the time of such sale, subject to a temporary restraining order or preliminary injunction with respect to conduct alleged by the United States Postal Service to constitute a scheme or device for obtaining money or property through the mail by means of false representations.</w:t>
      </w:r>
    </w:p>
    <w:p>
      <w:pPr>
        <w:spacing w:after="0" w:line="98"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84"/>
          </w:cols>
          <w:pgMar w:left="436" w:top="274" w:right="579" w:bottom="1440" w:gutter="0" w:footer="0" w:header="0"/>
        </w:sectPr>
      </w:pPr>
    </w:p>
    <w:bookmarkStart w:id="329" w:name="page330"/>
    <w:bookmarkEnd w:id="329"/>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B</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ASANA,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 2012 STOCK PLAN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EXERCISE AGREEMENT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Exercise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is made as of __________, by and between Asana,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w:t>
      </w:r>
    </w:p>
    <w:p>
      <w:pPr>
        <w:spacing w:after="0" w:line="46"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and «Optionee» (“</w:t>
      </w:r>
      <w:r>
        <w:rPr>
          <w:rFonts w:ascii="Arial" w:cs="Arial" w:eastAsia="Arial" w:hAnsi="Arial"/>
          <w:sz w:val="18"/>
          <w:szCs w:val="18"/>
          <w:u w:val="single" w:color="auto"/>
          <w:color w:val="auto"/>
        </w:rPr>
        <w:t>Purchaser</w:t>
      </w:r>
      <w:r>
        <w:rPr>
          <w:rFonts w:ascii="Arial" w:cs="Arial" w:eastAsia="Arial" w:hAnsi="Arial"/>
          <w:sz w:val="18"/>
          <w:szCs w:val="18"/>
          <w:color w:val="auto"/>
        </w:rPr>
        <w:t>”). To the extent any capitalized terms used in this Agreement are not defined, they shall have the meaning ascribed to them in the Company’s Amended and Restated 2012 Stock Plan (the “</w:t>
      </w:r>
      <w:r>
        <w:rPr>
          <w:rFonts w:ascii="Arial" w:cs="Arial" w:eastAsia="Arial" w:hAnsi="Arial"/>
          <w:sz w:val="18"/>
          <w:szCs w:val="18"/>
          <w:u w:val="single" w:color="auto"/>
          <w:color w:val="auto"/>
        </w:rPr>
        <w:t>Plan</w:t>
      </w:r>
      <w:r>
        <w:rPr>
          <w:rFonts w:ascii="Arial" w:cs="Arial" w:eastAsia="Arial" w:hAnsi="Arial"/>
          <w:sz w:val="18"/>
          <w:szCs w:val="18"/>
          <w:color w:val="auto"/>
        </w:rPr>
        <w:t>”) and the Option Agreement (as defined below).</w:t>
      </w:r>
    </w:p>
    <w:p>
      <w:pPr>
        <w:spacing w:after="0" w:line="181" w:lineRule="exact"/>
        <w:rPr>
          <w:sz w:val="20"/>
          <w:szCs w:val="20"/>
          <w:color w:val="auto"/>
        </w:rPr>
      </w:pPr>
    </w:p>
    <w:p>
      <w:pPr>
        <w:ind w:left="620" w:hanging="184"/>
        <w:spacing w:after="0"/>
        <w:tabs>
          <w:tab w:leader="none" w:pos="620" w:val="left"/>
        </w:tabs>
        <w:numPr>
          <w:ilvl w:val="0"/>
          <w:numId w:val="292"/>
        </w:numPr>
        <w:rPr>
          <w:rFonts w:ascii="Arial" w:cs="Arial" w:eastAsia="Arial" w:hAnsi="Arial"/>
          <w:sz w:val="16"/>
          <w:szCs w:val="16"/>
          <w:color w:val="auto"/>
        </w:rPr>
      </w:pPr>
      <w:r>
        <w:rPr>
          <w:rFonts w:ascii="Arial" w:cs="Arial" w:eastAsia="Arial" w:hAnsi="Arial"/>
          <w:sz w:val="16"/>
          <w:szCs w:val="16"/>
          <w:b w:val="1"/>
          <w:bCs w:val="1"/>
          <w:u w:val="single" w:color="auto"/>
          <w:color w:val="auto"/>
        </w:rPr>
        <w:t>Exercise of Option</w:t>
      </w:r>
      <w:r>
        <w:rPr>
          <w:rFonts w:ascii="Arial" w:cs="Arial" w:eastAsia="Arial" w:hAnsi="Arial"/>
          <w:sz w:val="16"/>
          <w:szCs w:val="16"/>
          <w:color w:val="auto"/>
        </w:rPr>
        <w:t>. Subject to the terms and conditions hereof, Purchaser hereby elects to exercise his or her option to purchase __________</w:t>
      </w:r>
    </w:p>
    <w:p>
      <w:pPr>
        <w:spacing w:after="0" w:line="50" w:lineRule="exact"/>
        <w:rPr>
          <w:rFonts w:ascii="Arial" w:cs="Arial" w:eastAsia="Arial" w:hAnsi="Arial"/>
          <w:sz w:val="16"/>
          <w:szCs w:val="16"/>
          <w:color w:val="auto"/>
        </w:rPr>
      </w:pPr>
    </w:p>
    <w:p>
      <w:pPr>
        <w:ind w:right="40"/>
        <w:spacing w:after="0" w:line="252" w:lineRule="auto"/>
        <w:rPr>
          <w:rFonts w:ascii="Arial" w:cs="Arial" w:eastAsia="Arial" w:hAnsi="Arial"/>
          <w:sz w:val="16"/>
          <w:szCs w:val="16"/>
          <w:color w:val="auto"/>
        </w:rPr>
      </w:pPr>
      <w:r>
        <w:rPr>
          <w:rFonts w:ascii="Arial" w:cs="Arial" w:eastAsia="Arial" w:hAnsi="Arial"/>
          <w:sz w:val="18"/>
          <w:szCs w:val="18"/>
          <w:color w:val="auto"/>
        </w:rPr>
        <w:t>shares of the Class B Common Stock (the “</w:t>
      </w:r>
      <w:r>
        <w:rPr>
          <w:rFonts w:ascii="Arial" w:cs="Arial" w:eastAsia="Arial" w:hAnsi="Arial"/>
          <w:sz w:val="18"/>
          <w:szCs w:val="18"/>
          <w:u w:val="single" w:color="auto"/>
          <w:color w:val="auto"/>
        </w:rPr>
        <w:t>Shares</w:t>
      </w:r>
      <w:r>
        <w:rPr>
          <w:rFonts w:ascii="Arial" w:cs="Arial" w:eastAsia="Arial" w:hAnsi="Arial"/>
          <w:sz w:val="18"/>
          <w:szCs w:val="18"/>
          <w:color w:val="auto"/>
        </w:rPr>
        <w:t>”) of the Company subject to the option granted on «GrantDate» pursuant to the Plan and evidenced by a Notice of Stock Option Grant and Stock Option Agreement (the “</w:t>
      </w:r>
      <w:r>
        <w:rPr>
          <w:rFonts w:ascii="Arial" w:cs="Arial" w:eastAsia="Arial" w:hAnsi="Arial"/>
          <w:sz w:val="18"/>
          <w:szCs w:val="18"/>
          <w:u w:val="single" w:color="auto"/>
          <w:color w:val="auto"/>
        </w:rPr>
        <w:t>Option Agreement</w:t>
      </w:r>
      <w:r>
        <w:rPr>
          <w:rFonts w:ascii="Arial" w:cs="Arial" w:eastAsia="Arial" w:hAnsi="Arial"/>
          <w:sz w:val="18"/>
          <w:szCs w:val="18"/>
          <w:color w:val="auto"/>
        </w:rPr>
        <w:t>”). The purchase price for the Shares shall be USD $__________ per Share for a total purchase price of USD $__________. The term “</w:t>
      </w:r>
      <w:r>
        <w:rPr>
          <w:rFonts w:ascii="Arial" w:cs="Arial" w:eastAsia="Arial" w:hAnsi="Arial"/>
          <w:sz w:val="18"/>
          <w:szCs w:val="18"/>
          <w:u w:val="single" w:color="auto"/>
          <w:color w:val="auto"/>
        </w:rPr>
        <w:t>Shares</w:t>
      </w:r>
      <w:r>
        <w:rPr>
          <w:rFonts w:ascii="Arial" w:cs="Arial" w:eastAsia="Arial" w:hAnsi="Arial"/>
          <w:sz w:val="18"/>
          <w:szCs w:val="18"/>
          <w:color w:val="auto"/>
        </w:rPr>
        <w:t>” refers to the purchased Shares and all securities received in connection with the Shares pursuant to stock dividends or splits, all securities received in replacement of the Shares in a recapitalization, merger, reorganization, exchange or the like, and all new, substituted or additional securities or other property to which Purchaser is entitled by reason of Purchaser’s ownership of the Shares.</w:t>
      </w:r>
    </w:p>
    <w:p>
      <w:pPr>
        <w:spacing w:after="0" w:line="189" w:lineRule="exact"/>
        <w:rPr>
          <w:rFonts w:ascii="Arial" w:cs="Arial" w:eastAsia="Arial" w:hAnsi="Arial"/>
          <w:sz w:val="16"/>
          <w:szCs w:val="16"/>
          <w:color w:val="auto"/>
        </w:rPr>
      </w:pPr>
    </w:p>
    <w:p>
      <w:pPr>
        <w:ind w:right="20" w:firstLine="436"/>
        <w:spacing w:after="0" w:line="255" w:lineRule="auto"/>
        <w:tabs>
          <w:tab w:leader="none" w:pos="620" w:val="left"/>
        </w:tabs>
        <w:numPr>
          <w:ilvl w:val="0"/>
          <w:numId w:val="292"/>
        </w:numPr>
        <w:rPr>
          <w:rFonts w:ascii="Arial" w:cs="Arial" w:eastAsia="Arial" w:hAnsi="Arial"/>
          <w:sz w:val="18"/>
          <w:szCs w:val="18"/>
          <w:color w:val="auto"/>
        </w:rPr>
      </w:pPr>
      <w:r>
        <w:rPr>
          <w:rFonts w:ascii="Arial" w:cs="Arial" w:eastAsia="Arial" w:hAnsi="Arial"/>
          <w:sz w:val="18"/>
          <w:szCs w:val="18"/>
          <w:b w:val="1"/>
          <w:bCs w:val="1"/>
          <w:u w:val="single" w:color="auto"/>
          <w:color w:val="auto"/>
        </w:rPr>
        <w:t>Time and Place of Exercise</w:t>
      </w:r>
      <w:r>
        <w:rPr>
          <w:rFonts w:ascii="Arial" w:cs="Arial" w:eastAsia="Arial" w:hAnsi="Arial"/>
          <w:sz w:val="18"/>
          <w:szCs w:val="18"/>
          <w:color w:val="auto"/>
        </w:rPr>
        <w:t>. The purchase and sale of the Shares under this Agreement shall occur at the principal office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simultaneously with the execution and delivery of this Agreement, the payment of the aggregate exercise price by any method listed in Section 4 of the Option Agreement, and the satisfaction of any applicable tax, withholding, required deductions or other payments, all in accordance with the provisions of Section 3(b) of the Option Agreement. The Company shall issue the Shares to Purchaser by entering such Shares in Purchaser’s name as of such date in the books and records of the Company or, if applicable, a duly authorized transfer agent of the Company, against payment of the exercise price therefor by Purchaser. If applicable, the Company will deliver to Purchaser a certificate representing the Shares as soon as practicable following such date.</w:t>
      </w:r>
    </w:p>
    <w:p>
      <w:pPr>
        <w:spacing w:after="0" w:line="188" w:lineRule="exact"/>
        <w:rPr>
          <w:rFonts w:ascii="Arial" w:cs="Arial" w:eastAsia="Arial" w:hAnsi="Arial"/>
          <w:sz w:val="18"/>
          <w:szCs w:val="18"/>
          <w:color w:val="auto"/>
        </w:rPr>
      </w:pPr>
    </w:p>
    <w:p>
      <w:pPr>
        <w:ind w:right="100" w:firstLine="436"/>
        <w:spacing w:after="0" w:line="256" w:lineRule="auto"/>
        <w:tabs>
          <w:tab w:leader="none" w:pos="620" w:val="left"/>
        </w:tabs>
        <w:numPr>
          <w:ilvl w:val="0"/>
          <w:numId w:val="292"/>
        </w:numPr>
        <w:rPr>
          <w:rFonts w:ascii="Arial" w:cs="Arial" w:eastAsia="Arial" w:hAnsi="Arial"/>
          <w:sz w:val="18"/>
          <w:szCs w:val="18"/>
          <w:color w:val="auto"/>
        </w:rPr>
      </w:pPr>
      <w:r>
        <w:rPr>
          <w:rFonts w:ascii="Arial" w:cs="Arial" w:eastAsia="Arial" w:hAnsi="Arial"/>
          <w:sz w:val="18"/>
          <w:szCs w:val="18"/>
          <w:b w:val="1"/>
          <w:bCs w:val="1"/>
          <w:u w:val="single" w:color="auto"/>
          <w:color w:val="auto"/>
        </w:rPr>
        <w:t>Limitations on Transfer</w:t>
      </w:r>
      <w:r>
        <w:rPr>
          <w:rFonts w:ascii="Arial" w:cs="Arial" w:eastAsia="Arial" w:hAnsi="Arial"/>
          <w:sz w:val="18"/>
          <w:szCs w:val="18"/>
          <w:color w:val="auto"/>
        </w:rPr>
        <w:t>. Purchaser acknowledges and agrees that the Shares purchased under this Agreement are subject to (i) the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that apply to the Company’s Common Stock, as set forth in the Company’s Amended and Restated Bylaws, including (without limitation) certain transfer restrictions set forth in Article X of the Company’s Amended and Restated Bylaws, as may be in effect at the time of any proposed transfer (the “</w:t>
      </w:r>
      <w:r>
        <w:rPr>
          <w:rFonts w:ascii="Arial" w:cs="Arial" w:eastAsia="Arial" w:hAnsi="Arial"/>
          <w:sz w:val="18"/>
          <w:szCs w:val="18"/>
          <w:u w:val="single" w:color="auto"/>
          <w:color w:val="auto"/>
        </w:rPr>
        <w:t>Bylaw Restrictions</w:t>
      </w:r>
      <w:r>
        <w:rPr>
          <w:rFonts w:ascii="Arial" w:cs="Arial" w:eastAsia="Arial" w:hAnsi="Arial"/>
          <w:sz w:val="18"/>
          <w:szCs w:val="18"/>
          <w:color w:val="auto"/>
        </w:rPr>
        <w:t>”), and (ii) any other limitation or restriction on transfer created by Applicable Laws. Purchaser shall not assign, encumber or dispose of any interest in the Shares except to the extent permitted by, and in compliance with, the Bylaw Restrictions, Applicable Laws, and the provisions below.</w:t>
      </w:r>
    </w:p>
    <w:p>
      <w:pPr>
        <w:sectPr>
          <w:pgSz w:w="11900" w:h="16838" w:orient="portrait"/>
          <w:cols w:equalWidth="0" w:num="1">
            <w:col w:w="10940"/>
          </w:cols>
          <w:pgMar w:left="440" w:top="270" w:right="519" w:bottom="1440" w:gutter="0" w:footer="0" w:header="0"/>
        </w:sectPr>
      </w:pPr>
    </w:p>
    <w:bookmarkStart w:id="330" w:name="page331"/>
    <w:bookmarkEnd w:id="330"/>
    <w:p>
      <w:pPr>
        <w:ind w:left="4" w:right="20" w:firstLine="987"/>
        <w:spacing w:after="0" w:line="289" w:lineRule="auto"/>
        <w:tabs>
          <w:tab w:leader="none" w:pos="1240" w:val="left"/>
        </w:tabs>
        <w:numPr>
          <w:ilvl w:val="1"/>
          <w:numId w:val="293"/>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Transfer Restrictions; Right of First Refusal</w:t>
      </w:r>
      <w:r>
        <w:rPr>
          <w:rFonts w:ascii="Arial" w:cs="Arial" w:eastAsia="Arial" w:hAnsi="Arial"/>
          <w:sz w:val="16"/>
          <w:szCs w:val="16"/>
          <w:color w:val="auto"/>
        </w:rPr>
        <w:t>. Before any Shares held by Purchaser or any transferee of Purchaser (either being</w:t>
      </w:r>
      <w:r>
        <w:rPr>
          <w:rFonts w:ascii="Arial" w:cs="Arial" w:eastAsia="Arial" w:hAnsi="Arial"/>
          <w:sz w:val="16"/>
          <w:szCs w:val="16"/>
          <w:b w:val="1"/>
          <w:bCs w:val="1"/>
          <w:color w:val="auto"/>
        </w:rPr>
        <w:t xml:space="preserve"> </w:t>
      </w:r>
      <w:r>
        <w:rPr>
          <w:rFonts w:ascii="Arial" w:cs="Arial" w:eastAsia="Arial" w:hAnsi="Arial"/>
          <w:sz w:val="16"/>
          <w:szCs w:val="16"/>
          <w:color w:val="auto"/>
        </w:rPr>
        <w:t>sometimes referred to herein as the “</w:t>
      </w:r>
      <w:r>
        <w:rPr>
          <w:rFonts w:ascii="Arial" w:cs="Arial" w:eastAsia="Arial" w:hAnsi="Arial"/>
          <w:sz w:val="16"/>
          <w:szCs w:val="16"/>
          <w:u w:val="single" w:color="auto"/>
          <w:color w:val="auto"/>
        </w:rPr>
        <w:t>Holder</w:t>
      </w:r>
      <w:r>
        <w:rPr>
          <w:rFonts w:ascii="Arial" w:cs="Arial" w:eastAsia="Arial" w:hAnsi="Arial"/>
          <w:sz w:val="16"/>
          <w:szCs w:val="16"/>
          <w:color w:val="auto"/>
        </w:rPr>
        <w:t>”) may be sold or otherwise transferred (including transfer by gift or operation of law), the Company shall first have the right to approve such sale or transfer, in full or in part, and shall then have the right to purchase all or any part of the Shares proposed to be sold or transferred, in each case, in its sole and absolute discretion (the “</w:t>
      </w:r>
      <w:r>
        <w:rPr>
          <w:rFonts w:ascii="Arial" w:cs="Arial" w:eastAsia="Arial" w:hAnsi="Arial"/>
          <w:sz w:val="16"/>
          <w:szCs w:val="16"/>
          <w:u w:val="single" w:color="auto"/>
          <w:color w:val="auto"/>
        </w:rPr>
        <w:t>Right of First Refusal</w:t>
      </w:r>
      <w:r>
        <w:rPr>
          <w:rFonts w:ascii="Arial" w:cs="Arial" w:eastAsia="Arial" w:hAnsi="Arial"/>
          <w:sz w:val="16"/>
          <w:szCs w:val="16"/>
          <w:color w:val="auto"/>
        </w:rPr>
        <w:t>”). If the Holder would like to sell or transfer any Shares, the Holder must provide the Company or its assignee(s) with a Notice (as defined below) requesting approval to sell or transfer the Shares and offering the Company or its assignee(s) a Right of First Refusal on the terms and conditions set forth in this Section 3(a). The Company may either (1) exercise its Right of First Refusal in full or in part and purchase such Shares pursuant to this Section 3(a), (2) decline to exercise its Right of First Refusal in full or in part and permit the sale or transfer of such Shares to the Proposed Transferee (as defined below) in full or in part, or (3) decline to exercise its Right of First Refusal in full or in part and decline the request to sell or transfer the Shares in full or in part.</w:t>
      </w:r>
    </w:p>
    <w:p>
      <w:pPr>
        <w:spacing w:after="0" w:line="58" w:lineRule="exact"/>
        <w:rPr>
          <w:rFonts w:ascii="Arial" w:cs="Arial" w:eastAsia="Arial" w:hAnsi="Arial"/>
          <w:sz w:val="16"/>
          <w:szCs w:val="16"/>
          <w:color w:val="auto"/>
        </w:rPr>
      </w:pPr>
    </w:p>
    <w:p>
      <w:pPr>
        <w:ind w:left="1644" w:hanging="212"/>
        <w:spacing w:after="0"/>
        <w:tabs>
          <w:tab w:leader="none" w:pos="1644" w:val="left"/>
        </w:tabs>
        <w:numPr>
          <w:ilvl w:val="2"/>
          <w:numId w:val="293"/>
        </w:numPr>
        <w:rPr>
          <w:rFonts w:ascii="Arial" w:cs="Arial" w:eastAsia="Arial" w:hAnsi="Arial"/>
          <w:sz w:val="17"/>
          <w:szCs w:val="17"/>
          <w:color w:val="auto"/>
        </w:rPr>
      </w:pPr>
      <w:r>
        <w:rPr>
          <w:rFonts w:ascii="Arial" w:cs="Arial" w:eastAsia="Arial" w:hAnsi="Arial"/>
          <w:sz w:val="17"/>
          <w:szCs w:val="17"/>
          <w:b w:val="1"/>
          <w:bCs w:val="1"/>
          <w:u w:val="single" w:color="auto"/>
          <w:color w:val="auto"/>
        </w:rPr>
        <w:t>Notice of Proposed Transfer</w:t>
      </w:r>
      <w:r>
        <w:rPr>
          <w:rFonts w:ascii="Arial" w:cs="Arial" w:eastAsia="Arial" w:hAnsi="Arial"/>
          <w:sz w:val="17"/>
          <w:szCs w:val="17"/>
          <w:color w:val="auto"/>
        </w:rPr>
        <w:t>. The Holder of the Shares shall deliver to the Company a written notice (the “</w:t>
      </w:r>
      <w:r>
        <w:rPr>
          <w:rFonts w:ascii="Arial" w:cs="Arial" w:eastAsia="Arial" w:hAnsi="Arial"/>
          <w:sz w:val="17"/>
          <w:szCs w:val="17"/>
          <w:u w:val="single" w:color="auto"/>
          <w:color w:val="auto"/>
        </w:rPr>
        <w:t>Notice</w:t>
      </w:r>
      <w:r>
        <w:rPr>
          <w:rFonts w:ascii="Arial" w:cs="Arial" w:eastAsia="Arial" w:hAnsi="Arial"/>
          <w:sz w:val="17"/>
          <w:szCs w:val="17"/>
          <w:color w:val="auto"/>
        </w:rPr>
        <w:t>”) stating:</w:t>
      </w:r>
    </w:p>
    <w:p>
      <w:pPr>
        <w:spacing w:after="0" w:line="38" w:lineRule="exact"/>
        <w:rPr>
          <w:rFonts w:ascii="Arial" w:cs="Arial" w:eastAsia="Arial" w:hAnsi="Arial"/>
          <w:sz w:val="17"/>
          <w:szCs w:val="17"/>
          <w:color w:val="auto"/>
        </w:rPr>
      </w:pPr>
    </w:p>
    <w:p>
      <w:pPr>
        <w:ind w:left="304" w:hanging="304"/>
        <w:spacing w:after="0"/>
        <w:tabs>
          <w:tab w:leader="none" w:pos="304" w:val="left"/>
        </w:tabs>
        <w:numPr>
          <w:ilvl w:val="0"/>
          <w:numId w:val="294"/>
        </w:numPr>
        <w:rPr>
          <w:rFonts w:ascii="Arial" w:cs="Arial" w:eastAsia="Arial" w:hAnsi="Arial"/>
          <w:sz w:val="16"/>
          <w:szCs w:val="16"/>
          <w:color w:val="auto"/>
        </w:rPr>
      </w:pPr>
      <w:r>
        <w:rPr>
          <w:rFonts w:ascii="Arial" w:cs="Arial" w:eastAsia="Arial" w:hAnsi="Arial"/>
          <w:sz w:val="16"/>
          <w:szCs w:val="16"/>
          <w:color w:val="auto"/>
        </w:rPr>
        <w:t>the Holder’s desire to sell or otherwise transfer such Shares; (B) the name of each proposed purchaser or other transferee (“</w:t>
      </w:r>
      <w:r>
        <w:rPr>
          <w:rFonts w:ascii="Arial" w:cs="Arial" w:eastAsia="Arial" w:hAnsi="Arial"/>
          <w:sz w:val="16"/>
          <w:szCs w:val="16"/>
          <w:u w:val="single" w:color="auto"/>
          <w:color w:val="auto"/>
        </w:rPr>
        <w:t>Proposed Transferee</w:t>
      </w:r>
      <w:r>
        <w:rPr>
          <w:rFonts w:ascii="Arial" w:cs="Arial" w:eastAsia="Arial" w:hAnsi="Arial"/>
          <w:sz w:val="16"/>
          <w:szCs w:val="16"/>
          <w:color w:val="auto"/>
        </w:rPr>
        <w:t>”);</w:t>
      </w:r>
    </w:p>
    <w:p>
      <w:pPr>
        <w:spacing w:after="0" w:line="32" w:lineRule="exact"/>
        <w:rPr>
          <w:rFonts w:ascii="Arial" w:cs="Arial" w:eastAsia="Arial" w:hAnsi="Arial"/>
          <w:sz w:val="16"/>
          <w:szCs w:val="16"/>
          <w:color w:val="auto"/>
        </w:rPr>
      </w:pPr>
    </w:p>
    <w:p>
      <w:pPr>
        <w:ind w:left="4" w:right="40" w:hanging="4"/>
        <w:spacing w:after="0" w:line="277" w:lineRule="auto"/>
        <w:tabs>
          <w:tab w:leader="none" w:pos="289" w:val="left"/>
        </w:tabs>
        <w:numPr>
          <w:ilvl w:val="0"/>
          <w:numId w:val="295"/>
        </w:numPr>
        <w:rPr>
          <w:rFonts w:ascii="Arial" w:cs="Arial" w:eastAsia="Arial" w:hAnsi="Arial"/>
          <w:sz w:val="17"/>
          <w:szCs w:val="17"/>
          <w:color w:val="auto"/>
        </w:rPr>
      </w:pPr>
      <w:r>
        <w:rPr>
          <w:rFonts w:ascii="Arial" w:cs="Arial" w:eastAsia="Arial" w:hAnsi="Arial"/>
          <w:sz w:val="17"/>
          <w:szCs w:val="17"/>
          <w:color w:val="auto"/>
        </w:rPr>
        <w:t>the number of Shares to be sold or transferred to each Proposed Transferee; (D) the terms and conditions of each proposed sale or transfer, including (without limitation) the purchase price for such Shares (the “</w:t>
      </w:r>
      <w:r>
        <w:rPr>
          <w:rFonts w:ascii="Arial" w:cs="Arial" w:eastAsia="Arial" w:hAnsi="Arial"/>
          <w:sz w:val="17"/>
          <w:szCs w:val="17"/>
          <w:u w:val="single" w:color="auto"/>
          <w:color w:val="auto"/>
        </w:rPr>
        <w:t>Purchase Price</w:t>
      </w:r>
      <w:r>
        <w:rPr>
          <w:rFonts w:ascii="Arial" w:cs="Arial" w:eastAsia="Arial" w:hAnsi="Arial"/>
          <w:sz w:val="17"/>
          <w:szCs w:val="17"/>
          <w:color w:val="auto"/>
        </w:rPr>
        <w:t>”); and (E) the Holder’s offer to the Company or its assignee(s) to purchase the Shares at the Purchase Price and upon the same terms (or terms that are no less favorable to the Company).</w:t>
      </w:r>
    </w:p>
    <w:p>
      <w:pPr>
        <w:spacing w:after="0" w:line="60" w:lineRule="exact"/>
        <w:rPr>
          <w:rFonts w:ascii="Arial" w:cs="Arial" w:eastAsia="Arial" w:hAnsi="Arial"/>
          <w:sz w:val="17"/>
          <w:szCs w:val="17"/>
          <w:color w:val="auto"/>
        </w:rPr>
      </w:pPr>
    </w:p>
    <w:p>
      <w:pPr>
        <w:ind w:left="4" w:right="160" w:firstLine="1428"/>
        <w:spacing w:after="0" w:line="294" w:lineRule="auto"/>
        <w:tabs>
          <w:tab w:leader="none" w:pos="1701" w:val="left"/>
        </w:tabs>
        <w:numPr>
          <w:ilvl w:val="2"/>
          <w:numId w:val="295"/>
        </w:numPr>
        <w:rPr>
          <w:rFonts w:ascii="Arial" w:cs="Arial" w:eastAsia="Arial" w:hAnsi="Arial"/>
          <w:sz w:val="16"/>
          <w:szCs w:val="16"/>
          <w:color w:val="auto"/>
        </w:rPr>
      </w:pPr>
      <w:r>
        <w:rPr>
          <w:rFonts w:ascii="Arial" w:cs="Arial" w:eastAsia="Arial" w:hAnsi="Arial"/>
          <w:sz w:val="16"/>
          <w:szCs w:val="16"/>
          <w:b w:val="1"/>
          <w:bCs w:val="1"/>
          <w:u w:val="single" w:color="auto"/>
          <w:color w:val="auto"/>
        </w:rPr>
        <w:t>Exercise of Right of First Refusal</w:t>
      </w:r>
      <w:r>
        <w:rPr>
          <w:rFonts w:ascii="Arial" w:cs="Arial" w:eastAsia="Arial" w:hAnsi="Arial"/>
          <w:sz w:val="16"/>
          <w:szCs w:val="16"/>
          <w:color w:val="auto"/>
        </w:rPr>
        <w:t>. At any time within 30 days after receipt of the Notice, the Company and/or its assignee(s)</w:t>
      </w:r>
      <w:r>
        <w:rPr>
          <w:rFonts w:ascii="Arial" w:cs="Arial" w:eastAsia="Arial" w:hAnsi="Arial"/>
          <w:sz w:val="16"/>
          <w:szCs w:val="16"/>
          <w:b w:val="1"/>
          <w:bCs w:val="1"/>
          <w:color w:val="auto"/>
        </w:rPr>
        <w:t xml:space="preserve"> </w:t>
      </w:r>
      <w:r>
        <w:rPr>
          <w:rFonts w:ascii="Arial" w:cs="Arial" w:eastAsia="Arial" w:hAnsi="Arial"/>
          <w:sz w:val="16"/>
          <w:szCs w:val="16"/>
          <w:color w:val="auto"/>
        </w:rPr>
        <w:t>shall deliver a written notice to the Holder indicating whether the Company and/or its assignee(s) elect to permit or reject the proposed sale or transfer, in full or in part, and/or elect to accept or decline the offer to purchase any or all of the Shares proposed to be sold or transferred to any one or more of the Proposed Transferees, at the Purchase Price, provided that if the Purchase Price consists of no legal consideration (as, for example, in the case of a transfer by gift), the purchase price will be the fair market value of the Shares as determined in good faith by the Company. If the Purchase Price includes consideration other than cash, the cash equivalent value of the non-cash consideration shall be determined by the Company in good faith.</w:t>
      </w:r>
    </w:p>
    <w:p>
      <w:pPr>
        <w:spacing w:after="0" w:line="51" w:lineRule="exact"/>
        <w:rPr>
          <w:rFonts w:ascii="Arial" w:cs="Arial" w:eastAsia="Arial" w:hAnsi="Arial"/>
          <w:sz w:val="16"/>
          <w:szCs w:val="16"/>
          <w:color w:val="auto"/>
        </w:rPr>
      </w:pPr>
    </w:p>
    <w:p>
      <w:pPr>
        <w:ind w:left="4" w:right="20" w:firstLine="1428"/>
        <w:spacing w:after="0" w:line="266" w:lineRule="auto"/>
        <w:tabs>
          <w:tab w:leader="none" w:pos="1751" w:val="left"/>
        </w:tabs>
        <w:numPr>
          <w:ilvl w:val="2"/>
          <w:numId w:val="295"/>
        </w:numPr>
        <w:rPr>
          <w:rFonts w:ascii="Arial" w:cs="Arial" w:eastAsia="Arial" w:hAnsi="Arial"/>
          <w:sz w:val="18"/>
          <w:szCs w:val="18"/>
          <w:color w:val="auto"/>
        </w:rPr>
      </w:pPr>
      <w:r>
        <w:rPr>
          <w:rFonts w:ascii="Arial" w:cs="Arial" w:eastAsia="Arial" w:hAnsi="Arial"/>
          <w:sz w:val="18"/>
          <w:szCs w:val="18"/>
          <w:b w:val="1"/>
          <w:bCs w:val="1"/>
          <w:u w:val="single" w:color="auto"/>
          <w:color w:val="auto"/>
        </w:rPr>
        <w:t>Payment</w:t>
      </w:r>
      <w:r>
        <w:rPr>
          <w:rFonts w:ascii="Arial" w:cs="Arial" w:eastAsia="Arial" w:hAnsi="Arial"/>
          <w:sz w:val="18"/>
          <w:szCs w:val="18"/>
          <w:color w:val="auto"/>
        </w:rPr>
        <w:t>. Payment of the Purchase Price shall be made, at the election of the Company or its assignee(s), in cash (by check), by</w:t>
      </w:r>
      <w:r>
        <w:rPr>
          <w:rFonts w:ascii="Arial" w:cs="Arial" w:eastAsia="Arial" w:hAnsi="Arial"/>
          <w:sz w:val="18"/>
          <w:szCs w:val="18"/>
          <w:b w:val="1"/>
          <w:bCs w:val="1"/>
          <w:color w:val="auto"/>
        </w:rPr>
        <w:t xml:space="preserve"> </w:t>
      </w:r>
      <w:r>
        <w:rPr>
          <w:rFonts w:ascii="Arial" w:cs="Arial" w:eastAsia="Arial" w:hAnsi="Arial"/>
          <w:sz w:val="18"/>
          <w:szCs w:val="18"/>
          <w:color w:val="auto"/>
        </w:rPr>
        <w:t>cancellation of all or a portion of any outstanding indebtedness, or by any combination thereof within 60 days after receipt of the Notice or in the manner and at the times set forth in the Notice.</w:t>
      </w:r>
    </w:p>
    <w:p>
      <w:pPr>
        <w:spacing w:after="0" w:line="67" w:lineRule="exact"/>
        <w:rPr>
          <w:rFonts w:ascii="Arial" w:cs="Arial" w:eastAsia="Arial" w:hAnsi="Arial"/>
          <w:sz w:val="18"/>
          <w:szCs w:val="18"/>
          <w:color w:val="auto"/>
        </w:rPr>
      </w:pPr>
    </w:p>
    <w:p>
      <w:pPr>
        <w:ind w:left="4" w:firstLine="1428"/>
        <w:spacing w:after="0" w:line="273" w:lineRule="auto"/>
        <w:tabs>
          <w:tab w:leader="none" w:pos="1741" w:val="left"/>
        </w:tabs>
        <w:numPr>
          <w:ilvl w:val="2"/>
          <w:numId w:val="295"/>
        </w:numPr>
        <w:rPr>
          <w:rFonts w:ascii="Arial" w:cs="Arial" w:eastAsia="Arial" w:hAnsi="Arial"/>
          <w:sz w:val="17"/>
          <w:szCs w:val="17"/>
          <w:color w:val="auto"/>
        </w:rPr>
      </w:pPr>
      <w:r>
        <w:rPr>
          <w:rFonts w:ascii="Arial" w:cs="Arial" w:eastAsia="Arial" w:hAnsi="Arial"/>
          <w:sz w:val="17"/>
          <w:szCs w:val="17"/>
          <w:b w:val="1"/>
          <w:bCs w:val="1"/>
          <w:u w:val="single" w:color="auto"/>
          <w:color w:val="auto"/>
        </w:rPr>
        <w:t>Holder’s Right to Transfer</w:t>
      </w:r>
      <w:r>
        <w:rPr>
          <w:rFonts w:ascii="Arial" w:cs="Arial" w:eastAsia="Arial" w:hAnsi="Arial"/>
          <w:sz w:val="17"/>
          <w:szCs w:val="17"/>
          <w:color w:val="auto"/>
        </w:rPr>
        <w:t>. If any of the Shares proposed in the Notice to be sold or transferred to a given Proposed Transferee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are both (A) not purchased by the Company and/or its assignee(s) as provided in this Section 3(a) </w:t>
      </w:r>
      <w:r>
        <w:rPr>
          <w:rFonts w:ascii="Arial" w:cs="Arial" w:eastAsia="Arial" w:hAnsi="Arial"/>
          <w:sz w:val="17"/>
          <w:szCs w:val="17"/>
          <w:u w:val="single" w:color="auto"/>
          <w:color w:val="auto"/>
        </w:rPr>
        <w:t>and</w:t>
      </w:r>
      <w:r>
        <w:rPr>
          <w:rFonts w:ascii="Arial" w:cs="Arial" w:eastAsia="Arial" w:hAnsi="Arial"/>
          <w:sz w:val="17"/>
          <w:szCs w:val="17"/>
          <w:color w:val="auto"/>
        </w:rPr>
        <w:t xml:space="preserve"> (B) approved by the Company to be sold or transferred, then the Holder may sell or otherwise transfer any such Shares to the applicable Proposed Transferee at the Purchase Price or at a higher price, provided that such sale or other transfer is consummated within 120 days after the date of the Notice; provided that any such sale or other transfer is also effected in accordance with the Bylaw Restrictions and any Applicable Laws and the Proposed Transferee agrees in writing that the Plan, the Bylaw Restrictions, and the provisions of the Option Agreement and this Agreement, including this Section 3 and the waiver of statutory information rights in Section 9, shall continue to apply to the Shares in the hands of such Proposed Transferee.</w:t>
      </w:r>
    </w:p>
    <w:p>
      <w:pPr>
        <w:spacing w:after="0" w:line="10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0" w:right="459" w:bottom="1440" w:gutter="0" w:footer="0" w:header="0"/>
        </w:sectPr>
      </w:pPr>
    </w:p>
    <w:bookmarkStart w:id="331" w:name="page332"/>
    <w:bookmarkEnd w:id="331"/>
    <w:p>
      <w:pPr>
        <w:ind w:right="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Company, in consultation with its legal counsel, may require the Holder to provide an opinion of counsel evidencing compliance with Applicable Laws. If the Shares described in the Notice are not transferred to the Proposed Transferee within such period, or if the Holder proposes to change the price or other terms to make them more favorable to the Proposed Transferee, a new Notice shall be given to the Company, and the Company and/or its assignees shall again have the right to approve such transfer and be offered the Right of First Refusal.</w:t>
      </w:r>
    </w:p>
    <w:p>
      <w:pPr>
        <w:spacing w:after="0" w:line="59" w:lineRule="exact"/>
        <w:rPr>
          <w:sz w:val="20"/>
          <w:szCs w:val="20"/>
          <w:color w:val="auto"/>
        </w:rPr>
      </w:pPr>
    </w:p>
    <w:p>
      <w:pPr>
        <w:ind w:firstLine="1428"/>
        <w:spacing w:after="0" w:line="291" w:lineRule="auto"/>
        <w:tabs>
          <w:tab w:leader="none" w:pos="1687" w:val="left"/>
        </w:tabs>
        <w:numPr>
          <w:ilvl w:val="1"/>
          <w:numId w:val="296"/>
        </w:numPr>
        <w:rPr>
          <w:rFonts w:ascii="Arial" w:cs="Arial" w:eastAsia="Arial" w:hAnsi="Arial"/>
          <w:sz w:val="16"/>
          <w:szCs w:val="16"/>
          <w:color w:val="auto"/>
        </w:rPr>
      </w:pPr>
      <w:r>
        <w:rPr>
          <w:rFonts w:ascii="Arial" w:cs="Arial" w:eastAsia="Arial" w:hAnsi="Arial"/>
          <w:sz w:val="16"/>
          <w:szCs w:val="16"/>
          <w:b w:val="1"/>
          <w:bCs w:val="1"/>
          <w:u w:val="single" w:color="auto"/>
          <w:color w:val="auto"/>
        </w:rPr>
        <w:t>Exception for Certain Family Transfers</w:t>
      </w:r>
      <w:r>
        <w:rPr>
          <w:rFonts w:ascii="Arial" w:cs="Arial" w:eastAsia="Arial" w:hAnsi="Arial"/>
          <w:sz w:val="16"/>
          <w:szCs w:val="16"/>
          <w:color w:val="auto"/>
        </w:rPr>
        <w:t>. Anything to the contrary contained in this Section 3(a) notwithstanding, the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of any or all of the Shares during Holder’s lifetime or on Holder’s death by will or intestacy to Holder’s Immediate Family or a trust for the benefit of Holder’s Immediate Family shall be exempt from the provisions of this Section 3(a). “</w:t>
      </w:r>
      <w:r>
        <w:rPr>
          <w:rFonts w:ascii="Arial" w:cs="Arial" w:eastAsia="Arial" w:hAnsi="Arial"/>
          <w:sz w:val="16"/>
          <w:szCs w:val="16"/>
          <w:u w:val="single" w:color="auto"/>
          <w:color w:val="auto"/>
        </w:rPr>
        <w:t>Immediate Family</w:t>
      </w:r>
      <w:r>
        <w:rPr>
          <w:rFonts w:ascii="Arial" w:cs="Arial" w:eastAsia="Arial" w:hAnsi="Arial"/>
          <w:sz w:val="16"/>
          <w:szCs w:val="16"/>
          <w:color w:val="auto"/>
        </w:rPr>
        <w:t>” as used herein shall mean lineal descendant or antecedent, spouse (or spouse’s antecedents), father, mother, brother or sister (or their descendants), stepchild (or their antecedents or descendants), aunt or uncle (or their antecedents or descendants), brother-in-law or sister-in-law (or their antecedents or descendants) and shall include adoptive relationships. In such case, the transferee or other recipient shall receive and hold the Shares so transferred subject to the provisions of the Plan, the Bylaw Restrictions, and the provisions of the Option Agreement and this Agreement, including this Section 3 and Section 9, and there shall be no further transfer of such Shares except in accordance with the terms of this Section 3, the Plan and the Bylaw Restrictions.</w:t>
      </w:r>
    </w:p>
    <w:p>
      <w:pPr>
        <w:spacing w:after="0" w:line="51" w:lineRule="exact"/>
        <w:rPr>
          <w:rFonts w:ascii="Arial" w:cs="Arial" w:eastAsia="Arial" w:hAnsi="Arial"/>
          <w:sz w:val="16"/>
          <w:szCs w:val="16"/>
          <w:color w:val="auto"/>
        </w:rPr>
      </w:pPr>
    </w:p>
    <w:p>
      <w:pPr>
        <w:ind w:right="20" w:firstLine="987"/>
        <w:spacing w:after="0" w:line="256" w:lineRule="auto"/>
        <w:tabs>
          <w:tab w:leader="none" w:pos="1246" w:val="left"/>
        </w:tabs>
        <w:numPr>
          <w:ilvl w:val="0"/>
          <w:numId w:val="297"/>
        </w:numPr>
        <w:rPr>
          <w:rFonts w:ascii="Arial" w:cs="Arial" w:eastAsia="Arial" w:hAnsi="Arial"/>
          <w:sz w:val="18"/>
          <w:szCs w:val="18"/>
          <w:color w:val="auto"/>
        </w:rPr>
      </w:pPr>
      <w:r>
        <w:rPr>
          <w:rFonts w:ascii="Arial" w:cs="Arial" w:eastAsia="Arial" w:hAnsi="Arial"/>
          <w:sz w:val="18"/>
          <w:szCs w:val="18"/>
          <w:b w:val="1"/>
          <w:bCs w:val="1"/>
          <w:u w:val="single" w:color="auto"/>
          <w:color w:val="auto"/>
        </w:rPr>
        <w:t>Company’s Right to Purchase upon Involuntary Transfer</w:t>
      </w:r>
      <w:r>
        <w:rPr>
          <w:rFonts w:ascii="Arial" w:cs="Arial" w:eastAsia="Arial" w:hAnsi="Arial"/>
          <w:sz w:val="18"/>
          <w:szCs w:val="18"/>
          <w:color w:val="auto"/>
        </w:rPr>
        <w:t>. In the event of any transfer by operation of law or other involuntary</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(including death or divorce, but excluding a transfer to Immediate Family as set forth in Section 3(a)(v) above) of all or a portion of the Shares by the record holder thereof, the Company shall have an option to purchase any or all of the Shares transferred at the Fair Market Value of the Shares on the date of transfer (as determined by the Company in its sole discretion). Upon such a transfer, the Holder shall promptly notify the Secretary of the Company of such transfer. The right to purchase such Shares shall be provided to the Company for a period of 30 days following receipt by the Company of written notice from the Holder.</w:t>
      </w:r>
    </w:p>
    <w:p>
      <w:pPr>
        <w:spacing w:after="0" w:line="79" w:lineRule="exact"/>
        <w:rPr>
          <w:rFonts w:ascii="Arial" w:cs="Arial" w:eastAsia="Arial" w:hAnsi="Arial"/>
          <w:sz w:val="18"/>
          <w:szCs w:val="18"/>
          <w:color w:val="auto"/>
        </w:rPr>
      </w:pPr>
    </w:p>
    <w:p>
      <w:pPr>
        <w:ind w:right="40" w:firstLine="987"/>
        <w:spacing w:after="0" w:line="282" w:lineRule="auto"/>
        <w:tabs>
          <w:tab w:leader="none" w:pos="1236" w:val="left"/>
        </w:tabs>
        <w:numPr>
          <w:ilvl w:val="0"/>
          <w:numId w:val="297"/>
        </w:numPr>
        <w:rPr>
          <w:rFonts w:ascii="Arial" w:cs="Arial" w:eastAsia="Arial" w:hAnsi="Arial"/>
          <w:sz w:val="18"/>
          <w:szCs w:val="18"/>
          <w:color w:val="auto"/>
        </w:rPr>
      </w:pPr>
      <w:r>
        <w:rPr>
          <w:rFonts w:ascii="Arial" w:cs="Arial" w:eastAsia="Arial" w:hAnsi="Arial"/>
          <w:sz w:val="18"/>
          <w:szCs w:val="18"/>
          <w:b w:val="1"/>
          <w:bCs w:val="1"/>
          <w:u w:val="single" w:color="auto"/>
          <w:color w:val="auto"/>
        </w:rPr>
        <w:t>Assignment</w:t>
      </w:r>
      <w:r>
        <w:rPr>
          <w:rFonts w:ascii="Arial" w:cs="Arial" w:eastAsia="Arial" w:hAnsi="Arial"/>
          <w:sz w:val="18"/>
          <w:szCs w:val="18"/>
          <w:color w:val="auto"/>
        </w:rPr>
        <w:t>. The right of the Company to purchase any part of the Shares may be assigned in whole or in part to any holder or holders</w:t>
      </w:r>
      <w:r>
        <w:rPr>
          <w:rFonts w:ascii="Arial" w:cs="Arial" w:eastAsia="Arial" w:hAnsi="Arial"/>
          <w:sz w:val="18"/>
          <w:szCs w:val="18"/>
          <w:b w:val="1"/>
          <w:bCs w:val="1"/>
          <w:color w:val="auto"/>
        </w:rPr>
        <w:t xml:space="preserve"> </w:t>
      </w:r>
      <w:r>
        <w:rPr>
          <w:rFonts w:ascii="Arial" w:cs="Arial" w:eastAsia="Arial" w:hAnsi="Arial"/>
          <w:sz w:val="18"/>
          <w:szCs w:val="18"/>
          <w:color w:val="auto"/>
        </w:rPr>
        <w:t>of capital stock of the Company or other persons or organizations.</w:t>
      </w:r>
    </w:p>
    <w:p>
      <w:pPr>
        <w:spacing w:after="0" w:line="53" w:lineRule="exact"/>
        <w:rPr>
          <w:rFonts w:ascii="Arial" w:cs="Arial" w:eastAsia="Arial" w:hAnsi="Arial"/>
          <w:sz w:val="18"/>
          <w:szCs w:val="18"/>
          <w:color w:val="auto"/>
        </w:rPr>
      </w:pPr>
    </w:p>
    <w:p>
      <w:pPr>
        <w:ind w:right="100" w:firstLine="987"/>
        <w:spacing w:after="0" w:line="261" w:lineRule="auto"/>
        <w:tabs>
          <w:tab w:leader="none" w:pos="1246" w:val="left"/>
        </w:tabs>
        <w:numPr>
          <w:ilvl w:val="0"/>
          <w:numId w:val="297"/>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Restrictions Binding on Transferees</w:t>
      </w:r>
      <w:r>
        <w:rPr>
          <w:rFonts w:ascii="Arial" w:cs="Arial" w:eastAsia="Arial" w:hAnsi="Arial"/>
          <w:sz w:val="18"/>
          <w:szCs w:val="18"/>
          <w:color w:val="auto"/>
        </w:rPr>
        <w:t>. All transferees of Shares or any interest therein will receive and hold such Shares or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Plan, the Bylaw Restrictions, and the provisions of the Option Agreement and this Agreement, including, without limitation, Section 7 of the Option Agreement and Sections 3 and 9 of this Agreement. Any sale or transfer of the Shares shall be void unless the provisions of this Agreement are satisfied.</w:t>
      </w:r>
    </w:p>
    <w:p>
      <w:pPr>
        <w:spacing w:after="0" w:line="71" w:lineRule="exact"/>
        <w:rPr>
          <w:rFonts w:ascii="Arial" w:cs="Arial" w:eastAsia="Arial" w:hAnsi="Arial"/>
          <w:sz w:val="18"/>
          <w:szCs w:val="18"/>
          <w:color w:val="auto"/>
        </w:rPr>
      </w:pPr>
    </w:p>
    <w:p>
      <w:pPr>
        <w:ind w:right="60" w:firstLine="987"/>
        <w:spacing w:after="0" w:line="273" w:lineRule="auto"/>
        <w:tabs>
          <w:tab w:leader="none" w:pos="1236" w:val="left"/>
        </w:tabs>
        <w:numPr>
          <w:ilvl w:val="0"/>
          <w:numId w:val="297"/>
        </w:numPr>
        <w:rPr>
          <w:rFonts w:ascii="Arial" w:cs="Arial" w:eastAsia="Arial" w:hAnsi="Arial"/>
          <w:sz w:val="17"/>
          <w:szCs w:val="17"/>
          <w:color w:val="auto"/>
        </w:rPr>
      </w:pPr>
      <w:r>
        <w:rPr>
          <w:rFonts w:ascii="Arial" w:cs="Arial" w:eastAsia="Arial" w:hAnsi="Arial"/>
          <w:sz w:val="17"/>
          <w:szCs w:val="17"/>
          <w:b w:val="1"/>
          <w:bCs w:val="1"/>
          <w:u w:val="single" w:color="auto"/>
          <w:color w:val="auto"/>
        </w:rPr>
        <w:t>Termination of Rights</w:t>
      </w:r>
      <w:r>
        <w:rPr>
          <w:rFonts w:ascii="Arial" w:cs="Arial" w:eastAsia="Arial" w:hAnsi="Arial"/>
          <w:sz w:val="17"/>
          <w:szCs w:val="17"/>
          <w:color w:val="auto"/>
        </w:rPr>
        <w:t>. The transfer restrictions set forth in Section 3(a) above, the Right of First Refusal granted the Company by</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3(a) above and the option to repurchase the Shares in the event of an involuntary transfer granted the Company by Section 3(b) above shall terminate upon (i) the first sale of Common Stock of the Company to the general public pursuant to a registration statement filed with and declared effective by the Securities and Exchange Commission under the Securities Act (other than a registration statement relating solely to the issuance of Common Stock pursuant to a business combination or an employee incentive or benefit plan) or (ii) any transfer or conversion of Shares made pursuant to a statutory merger or statutory consolidation of the Company with or into another corporation or corporations if the common stock of the surviving corporation or any direct or indirect parent corporation thereof is registered under the Exchange Act.</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332" w:name="page333"/>
    <w:bookmarkEnd w:id="332"/>
    <w:p>
      <w:pPr>
        <w:jc w:val="both"/>
        <w:ind w:right="2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Upon termination of such transfer restrictions, the Company will remove any stop-transfer notices referred to in Section 6(b) below and related to the restrictions in this Section 3 and, if certificates are issued, a new certificate or certificates representing the Shares not repurchased shall be issued, on request, without the legend referred to in Section 6(a)(ii) below and delivered to Holder.</w:t>
      </w:r>
    </w:p>
    <w:p>
      <w:pPr>
        <w:spacing w:after="0" w:line="180" w:lineRule="exact"/>
        <w:rPr>
          <w:sz w:val="20"/>
          <w:szCs w:val="20"/>
          <w:color w:val="auto"/>
        </w:rPr>
      </w:pPr>
    </w:p>
    <w:p>
      <w:pPr>
        <w:ind w:left="620" w:hanging="184"/>
        <w:spacing w:after="0"/>
        <w:tabs>
          <w:tab w:leader="none" w:pos="620" w:val="left"/>
        </w:tabs>
        <w:numPr>
          <w:ilvl w:val="0"/>
          <w:numId w:val="298"/>
        </w:numPr>
        <w:rPr>
          <w:rFonts w:ascii="Arial" w:cs="Arial" w:eastAsia="Arial" w:hAnsi="Arial"/>
          <w:sz w:val="16"/>
          <w:szCs w:val="16"/>
          <w:color w:val="auto"/>
        </w:rPr>
      </w:pPr>
      <w:r>
        <w:rPr>
          <w:rFonts w:ascii="Arial" w:cs="Arial" w:eastAsia="Arial" w:hAnsi="Arial"/>
          <w:sz w:val="16"/>
          <w:szCs w:val="16"/>
          <w:b w:val="1"/>
          <w:bCs w:val="1"/>
          <w:u w:val="single" w:color="auto"/>
          <w:color w:val="auto"/>
        </w:rPr>
        <w:t>Investment and Taxation Representations</w:t>
      </w:r>
      <w:r>
        <w:rPr>
          <w:rFonts w:ascii="Arial" w:cs="Arial" w:eastAsia="Arial" w:hAnsi="Arial"/>
          <w:sz w:val="16"/>
          <w:szCs w:val="16"/>
          <w:color w:val="auto"/>
        </w:rPr>
        <w:t>. In connection with the purchase of the Shares, Purchaser represents to the Company the following:</w:t>
      </w:r>
    </w:p>
    <w:p>
      <w:pPr>
        <w:spacing w:after="0" w:line="144" w:lineRule="exact"/>
        <w:rPr>
          <w:rFonts w:ascii="Arial" w:cs="Arial" w:eastAsia="Arial" w:hAnsi="Arial"/>
          <w:sz w:val="16"/>
          <w:szCs w:val="16"/>
          <w:color w:val="auto"/>
        </w:rPr>
      </w:pPr>
    </w:p>
    <w:p>
      <w:pPr>
        <w:ind w:right="220" w:firstLine="987"/>
        <w:spacing w:after="0" w:line="301" w:lineRule="auto"/>
        <w:tabs>
          <w:tab w:leader="none" w:pos="1236" w:val="left"/>
        </w:tabs>
        <w:numPr>
          <w:ilvl w:val="1"/>
          <w:numId w:val="298"/>
        </w:numPr>
        <w:rPr>
          <w:rFonts w:ascii="Arial" w:cs="Arial" w:eastAsia="Arial" w:hAnsi="Arial"/>
          <w:sz w:val="16"/>
          <w:szCs w:val="16"/>
          <w:color w:val="auto"/>
        </w:rPr>
      </w:pPr>
      <w:r>
        <w:rPr>
          <w:rFonts w:ascii="Arial" w:cs="Arial" w:eastAsia="Arial" w:hAnsi="Arial"/>
          <w:sz w:val="16"/>
          <w:szCs w:val="16"/>
          <w:color w:val="auto"/>
        </w:rPr>
        <w:t>Purchaser is aware of the Company’s business affairs and financial condition and has acquired sufficient information about the Company to reach an informed and knowledgeable decision to acquire the Shares. Purchaser is purchasing the Shares for investment for Purchaser’s own account only and not with a view to, or for resale in connection with, any “distribution” thereof within the meaning of the Securities Act or under any applicable provision of state law. Purchaser does not have any present intention to transfer the Shares to any other person or entity.</w:t>
      </w:r>
    </w:p>
    <w:p>
      <w:pPr>
        <w:spacing w:after="0" w:line="49" w:lineRule="exact"/>
        <w:rPr>
          <w:rFonts w:ascii="Arial" w:cs="Arial" w:eastAsia="Arial" w:hAnsi="Arial"/>
          <w:sz w:val="16"/>
          <w:szCs w:val="16"/>
          <w:color w:val="auto"/>
        </w:rPr>
      </w:pPr>
    </w:p>
    <w:p>
      <w:pPr>
        <w:ind w:right="220" w:firstLine="987"/>
        <w:spacing w:after="0" w:line="308" w:lineRule="auto"/>
        <w:tabs>
          <w:tab w:leader="none" w:pos="1246" w:val="left"/>
        </w:tabs>
        <w:numPr>
          <w:ilvl w:val="1"/>
          <w:numId w:val="298"/>
        </w:numPr>
        <w:rPr>
          <w:rFonts w:ascii="Arial" w:cs="Arial" w:eastAsia="Arial" w:hAnsi="Arial"/>
          <w:sz w:val="17"/>
          <w:szCs w:val="17"/>
          <w:color w:val="auto"/>
        </w:rPr>
      </w:pPr>
      <w:r>
        <w:rPr>
          <w:rFonts w:ascii="Arial" w:cs="Arial" w:eastAsia="Arial" w:hAnsi="Arial"/>
          <w:sz w:val="17"/>
          <w:szCs w:val="17"/>
          <w:color w:val="auto"/>
        </w:rPr>
        <w:t>Purchaser understands that the Shares have not been registered under the Securities Act by reason of a specific exemption therefrom, which exemption depends upon, among other things, the bona fide nature of Purchaser’s investment intent as expressed herein.</w:t>
      </w:r>
    </w:p>
    <w:p>
      <w:pPr>
        <w:spacing w:after="0" w:line="38" w:lineRule="exact"/>
        <w:rPr>
          <w:rFonts w:ascii="Arial" w:cs="Arial" w:eastAsia="Arial" w:hAnsi="Arial"/>
          <w:sz w:val="17"/>
          <w:szCs w:val="17"/>
          <w:color w:val="auto"/>
        </w:rPr>
      </w:pPr>
    </w:p>
    <w:p>
      <w:pPr>
        <w:ind w:right="40" w:firstLine="987"/>
        <w:spacing w:after="0" w:line="263" w:lineRule="auto"/>
        <w:tabs>
          <w:tab w:leader="none" w:pos="1236" w:val="left"/>
        </w:tabs>
        <w:numPr>
          <w:ilvl w:val="1"/>
          <w:numId w:val="298"/>
        </w:numPr>
        <w:rPr>
          <w:rFonts w:ascii="Arial" w:cs="Arial" w:eastAsia="Arial" w:hAnsi="Arial"/>
          <w:sz w:val="18"/>
          <w:szCs w:val="18"/>
          <w:color w:val="auto"/>
        </w:rPr>
      </w:pPr>
      <w:r>
        <w:rPr>
          <w:rFonts w:ascii="Arial" w:cs="Arial" w:eastAsia="Arial" w:hAnsi="Arial"/>
          <w:sz w:val="18"/>
          <w:szCs w:val="18"/>
          <w:color w:val="auto"/>
        </w:rPr>
        <w:t>Purchaser further acknowledges and understands that the securities must be held indefinitely unless they are subsequently registered under the Securities Act or an exemption from such registration is available. Purchaser further acknowledges and understands that the Company is under no obligation to register the securities.</w:t>
      </w:r>
    </w:p>
    <w:p>
      <w:pPr>
        <w:spacing w:after="0" w:line="75" w:lineRule="exact"/>
        <w:rPr>
          <w:rFonts w:ascii="Arial" w:cs="Arial" w:eastAsia="Arial" w:hAnsi="Arial"/>
          <w:sz w:val="18"/>
          <w:szCs w:val="18"/>
          <w:color w:val="auto"/>
        </w:rPr>
      </w:pPr>
    </w:p>
    <w:p>
      <w:pPr>
        <w:ind w:firstLine="987"/>
        <w:spacing w:after="0" w:line="291" w:lineRule="auto"/>
        <w:tabs>
          <w:tab w:leader="none" w:pos="1246" w:val="left"/>
        </w:tabs>
        <w:numPr>
          <w:ilvl w:val="1"/>
          <w:numId w:val="298"/>
        </w:numPr>
        <w:rPr>
          <w:rFonts w:ascii="Arial" w:cs="Arial" w:eastAsia="Arial" w:hAnsi="Arial"/>
          <w:sz w:val="16"/>
          <w:szCs w:val="16"/>
          <w:color w:val="auto"/>
        </w:rPr>
      </w:pPr>
      <w:r>
        <w:rPr>
          <w:rFonts w:ascii="Arial" w:cs="Arial" w:eastAsia="Arial" w:hAnsi="Arial"/>
          <w:sz w:val="16"/>
          <w:szCs w:val="16"/>
          <w:color w:val="auto"/>
        </w:rPr>
        <w:t>Purchaser is familiar with the provisions of Rule 144, promulgated under the Securities Act, which, in substance, permits limited public resale of “restricted securities” acquired, directly or indirectly, from the issuer of the securities (or from an affiliate of such issuer), in a non-public offering subject to the satisfaction of certain conditions. Purchaser understands that the Company provides no assurances as to whether he or she will be able to resell any or all of the Shares pursuant to Rule 144, which rule requires, among other things, that the Company be subject to the reporting requirements of the Securities Exchange Act of 1934, as amended, that resales of securities take place only after the holder of the Shares has held the Shares for certain specified time periods, and under certain circumstances, that resales of securities be limited in volume and take place only pursuant to brokered transactions. Notwithstanding this Section 4(d), Purchaser acknowledges and agrees to the restrictions set forth in Section 4(e) below.</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333" w:name="page334"/>
    <w:bookmarkEnd w:id="333"/>
    <w:p>
      <w:pPr>
        <w:ind w:left="4" w:firstLine="987"/>
        <w:spacing w:after="0" w:line="255" w:lineRule="auto"/>
        <w:tabs>
          <w:tab w:leader="none" w:pos="1240" w:val="left"/>
        </w:tabs>
        <w:numPr>
          <w:ilvl w:val="2"/>
          <w:numId w:val="2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Purchaser further understands that in the event all of the applicable requirements of Rule 144 are not satisfied, registration under the Securities Act, compliance with Regulation A, or some other registration exemption will be required; and that, notwithstanding the fact that Rule 144 is not exclusive, the Staff of the Securities and Exchange Commission has expressed its opinion that persons proposing to sell private placement securities other than in a registered offering and otherwise than pursuant to Rule 144 will have a substantial burden of proof in establishing that an exemption from registration is available for such offers or sales, and that such persons and their respective brokers who participate in such transactions do so at their own risk.</w:t>
      </w:r>
    </w:p>
    <w:p>
      <w:pPr>
        <w:spacing w:after="0" w:line="84" w:lineRule="exact"/>
        <w:rPr>
          <w:rFonts w:ascii="Arial" w:cs="Arial" w:eastAsia="Arial" w:hAnsi="Arial"/>
          <w:sz w:val="18"/>
          <w:szCs w:val="18"/>
          <w:color w:val="auto"/>
        </w:rPr>
      </w:pPr>
    </w:p>
    <w:p>
      <w:pPr>
        <w:ind w:left="1224" w:hanging="233"/>
        <w:spacing w:after="0"/>
        <w:tabs>
          <w:tab w:leader="none" w:pos="1224" w:val="left"/>
        </w:tabs>
        <w:numPr>
          <w:ilvl w:val="2"/>
          <w:numId w:val="299"/>
        </w:numPr>
        <w:rPr>
          <w:rFonts w:ascii="Arial" w:cs="Arial" w:eastAsia="Arial" w:hAnsi="Arial"/>
          <w:sz w:val="17"/>
          <w:szCs w:val="17"/>
          <w:color w:val="auto"/>
        </w:rPr>
      </w:pPr>
      <w:r>
        <w:rPr>
          <w:rFonts w:ascii="Arial" w:cs="Arial" w:eastAsia="Arial" w:hAnsi="Arial"/>
          <w:sz w:val="17"/>
          <w:szCs w:val="17"/>
          <w:color w:val="auto"/>
        </w:rPr>
        <w:t>Purchaser represents that Purchaser is not subject to any of the “Bad Actor” disqualifications described in Rule 506(d)(1)(i) to</w:t>
      </w:r>
    </w:p>
    <w:p>
      <w:pPr>
        <w:spacing w:after="0" w:line="34" w:lineRule="exact"/>
        <w:rPr>
          <w:rFonts w:ascii="Arial" w:cs="Arial" w:eastAsia="Arial" w:hAnsi="Arial"/>
          <w:sz w:val="17"/>
          <w:szCs w:val="17"/>
          <w:color w:val="auto"/>
        </w:rPr>
      </w:pPr>
    </w:p>
    <w:p>
      <w:pPr>
        <w:ind w:left="404" w:hanging="404"/>
        <w:spacing w:after="0"/>
        <w:tabs>
          <w:tab w:leader="none" w:pos="404" w:val="left"/>
        </w:tabs>
        <w:numPr>
          <w:ilvl w:val="0"/>
          <w:numId w:val="300"/>
        </w:numPr>
        <w:rPr>
          <w:rFonts w:ascii="Arial" w:cs="Arial" w:eastAsia="Arial" w:hAnsi="Arial"/>
          <w:sz w:val="18"/>
          <w:szCs w:val="18"/>
          <w:color w:val="auto"/>
        </w:rPr>
      </w:pPr>
      <w:r>
        <w:rPr>
          <w:rFonts w:ascii="Arial" w:cs="Arial" w:eastAsia="Arial" w:hAnsi="Arial"/>
          <w:sz w:val="18"/>
          <w:szCs w:val="18"/>
          <w:color w:val="auto"/>
        </w:rPr>
        <w:t xml:space="preserve">under the Securities Act (attached hereto as </w:t>
      </w:r>
      <w:r>
        <w:rPr>
          <w:rFonts w:ascii="Arial" w:cs="Arial" w:eastAsia="Arial" w:hAnsi="Arial"/>
          <w:sz w:val="18"/>
          <w:szCs w:val="18"/>
          <w:u w:val="single" w:color="auto"/>
          <w:color w:val="auto"/>
        </w:rPr>
        <w:t>Annex I</w:t>
      </w:r>
      <w:r>
        <w:rPr>
          <w:rFonts w:ascii="Arial" w:cs="Arial" w:eastAsia="Arial" w:hAnsi="Arial"/>
          <w:sz w:val="18"/>
          <w:szCs w:val="18"/>
          <w:color w:val="auto"/>
        </w:rPr>
        <w:t>).</w:t>
      </w:r>
    </w:p>
    <w:p>
      <w:pPr>
        <w:spacing w:after="0" w:line="102" w:lineRule="exact"/>
        <w:rPr>
          <w:rFonts w:ascii="Arial" w:cs="Arial" w:eastAsia="Arial" w:hAnsi="Arial"/>
          <w:sz w:val="18"/>
          <w:szCs w:val="18"/>
          <w:color w:val="auto"/>
        </w:rPr>
      </w:pPr>
    </w:p>
    <w:p>
      <w:pPr>
        <w:ind w:left="4" w:right="100" w:firstLine="987"/>
        <w:spacing w:after="0" w:line="263" w:lineRule="auto"/>
        <w:tabs>
          <w:tab w:leader="none" w:pos="1250" w:val="left"/>
        </w:tabs>
        <w:numPr>
          <w:ilvl w:val="2"/>
          <w:numId w:val="300"/>
        </w:numPr>
        <w:rPr>
          <w:rFonts w:ascii="Arial" w:cs="Arial" w:eastAsia="Arial" w:hAnsi="Arial"/>
          <w:sz w:val="18"/>
          <w:szCs w:val="18"/>
          <w:color w:val="auto"/>
        </w:rPr>
      </w:pPr>
      <w:r>
        <w:rPr>
          <w:rFonts w:ascii="Arial" w:cs="Arial" w:eastAsia="Arial" w:hAnsi="Arial"/>
          <w:sz w:val="18"/>
          <w:szCs w:val="18"/>
          <w:color w:val="auto"/>
        </w:rPr>
        <w:t>Purchaser understands that Purchaser may suffer adverse tax consequences as a result of Purchaser’s purchase or disposition of the Shares. Purchaser represents that Purchaser has consulted any tax consultants Purchaser deems advisable in connection with the purchase or disposition of the Shares and that Purchaser is not relying on the Company for any tax advice.</w:t>
      </w:r>
    </w:p>
    <w:p>
      <w:pPr>
        <w:spacing w:after="0" w:line="179" w:lineRule="exact"/>
        <w:rPr>
          <w:rFonts w:ascii="Arial" w:cs="Arial" w:eastAsia="Arial" w:hAnsi="Arial"/>
          <w:sz w:val="18"/>
          <w:szCs w:val="18"/>
          <w:color w:val="auto"/>
        </w:rPr>
      </w:pPr>
    </w:p>
    <w:p>
      <w:pPr>
        <w:ind w:left="4" w:right="100" w:firstLine="436"/>
        <w:spacing w:after="0" w:line="261" w:lineRule="auto"/>
        <w:tabs>
          <w:tab w:leader="none" w:pos="624" w:val="left"/>
        </w:tabs>
        <w:numPr>
          <w:ilvl w:val="1"/>
          <w:numId w:val="300"/>
        </w:numPr>
        <w:rPr>
          <w:rFonts w:ascii="Arial" w:cs="Arial" w:eastAsia="Arial" w:hAnsi="Arial"/>
          <w:sz w:val="18"/>
          <w:szCs w:val="18"/>
          <w:color w:val="auto"/>
        </w:rPr>
      </w:pPr>
      <w:r>
        <w:rPr>
          <w:rFonts w:ascii="Arial" w:cs="Arial" w:eastAsia="Arial" w:hAnsi="Arial"/>
          <w:sz w:val="18"/>
          <w:szCs w:val="18"/>
          <w:b w:val="1"/>
          <w:bCs w:val="1"/>
          <w:u w:val="single" w:color="auto"/>
          <w:color w:val="auto"/>
        </w:rPr>
        <w:t>Voting Agreement</w:t>
      </w:r>
      <w:r>
        <w:rPr>
          <w:rFonts w:ascii="Arial" w:cs="Arial" w:eastAsia="Arial" w:hAnsi="Arial"/>
          <w:sz w:val="18"/>
          <w:szCs w:val="18"/>
          <w:color w:val="auto"/>
        </w:rPr>
        <w:t>. As a condition precedent to entering into this Agreement, Purchaser must execute and deliver a counterpart signature page</w:t>
      </w:r>
      <w:r>
        <w:rPr>
          <w:rFonts w:ascii="Arial" w:cs="Arial" w:eastAsia="Arial" w:hAnsi="Arial"/>
          <w:sz w:val="18"/>
          <w:szCs w:val="18"/>
          <w:b w:val="1"/>
          <w:bCs w:val="1"/>
          <w:color w:val="auto"/>
        </w:rPr>
        <w:t xml:space="preserve"> </w:t>
      </w:r>
      <w:r>
        <w:rPr>
          <w:rFonts w:ascii="Arial" w:cs="Arial" w:eastAsia="Arial" w:hAnsi="Arial"/>
          <w:sz w:val="18"/>
          <w:szCs w:val="18"/>
          <w:color w:val="auto"/>
        </w:rPr>
        <w:t>to that certain Amended and Restated Voting Agreement dated July 18, 2012, by and among the Company and certain of its stockholders (as may be amended or restated from time to time) (the “</w:t>
      </w:r>
      <w:r>
        <w:rPr>
          <w:rFonts w:ascii="Arial" w:cs="Arial" w:eastAsia="Arial" w:hAnsi="Arial"/>
          <w:sz w:val="18"/>
          <w:szCs w:val="18"/>
          <w:u w:val="single" w:color="auto"/>
          <w:color w:val="auto"/>
        </w:rPr>
        <w:t>Voting Agreement</w:t>
      </w:r>
      <w:r>
        <w:rPr>
          <w:rFonts w:ascii="Arial" w:cs="Arial" w:eastAsia="Arial" w:hAnsi="Arial"/>
          <w:sz w:val="18"/>
          <w:szCs w:val="18"/>
          <w:color w:val="auto"/>
        </w:rPr>
        <w:t>”) so as to become a party thereto, and to be bound by the terms and conditions thereof, as a 1% Holder (as defined in the Voting Agreement).</w:t>
      </w:r>
    </w:p>
    <w:p>
      <w:pPr>
        <w:spacing w:after="0" w:line="179" w:lineRule="exact"/>
        <w:rPr>
          <w:rFonts w:ascii="Arial" w:cs="Arial" w:eastAsia="Arial" w:hAnsi="Arial"/>
          <w:sz w:val="18"/>
          <w:szCs w:val="18"/>
          <w:color w:val="auto"/>
        </w:rPr>
      </w:pPr>
    </w:p>
    <w:p>
      <w:pPr>
        <w:ind w:left="624" w:hanging="184"/>
        <w:spacing w:after="0"/>
        <w:tabs>
          <w:tab w:leader="none" w:pos="624" w:val="left"/>
        </w:tabs>
        <w:numPr>
          <w:ilvl w:val="1"/>
          <w:numId w:val="300"/>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Restrictive Legends and Stop-Transfer Orders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 w:right="60" w:firstLine="987"/>
        <w:spacing w:after="0" w:line="277" w:lineRule="auto"/>
        <w:tabs>
          <w:tab w:leader="none" w:pos="1240" w:val="left"/>
        </w:tabs>
        <w:numPr>
          <w:ilvl w:val="2"/>
          <w:numId w:val="301"/>
        </w:numPr>
        <w:rPr>
          <w:rFonts w:ascii="Arial" w:cs="Arial" w:eastAsia="Arial" w:hAnsi="Arial"/>
          <w:sz w:val="18"/>
          <w:szCs w:val="18"/>
          <w:color w:val="auto"/>
        </w:rPr>
      </w:pPr>
      <w:r>
        <w:rPr>
          <w:rFonts w:ascii="Arial" w:cs="Arial" w:eastAsia="Arial" w:hAnsi="Arial"/>
          <w:sz w:val="18"/>
          <w:szCs w:val="18"/>
          <w:u w:val="single" w:color="auto"/>
          <w:color w:val="auto"/>
        </w:rPr>
        <w:t>Legends</w:t>
      </w:r>
      <w:r>
        <w:rPr>
          <w:rFonts w:ascii="Arial" w:cs="Arial" w:eastAsia="Arial" w:hAnsi="Arial"/>
          <w:sz w:val="18"/>
          <w:szCs w:val="18"/>
          <w:color w:val="auto"/>
        </w:rPr>
        <w:t>. Any certificate or certificates representing the Shares shall bear the following legends (as well as any legends required by the Company or applicable state and federal corporate and securities laws):</w:t>
      </w:r>
    </w:p>
    <w:p>
      <w:pPr>
        <w:spacing w:after="0" w:line="62" w:lineRule="exact"/>
        <w:rPr>
          <w:rFonts w:ascii="Arial" w:cs="Arial" w:eastAsia="Arial" w:hAnsi="Arial"/>
          <w:sz w:val="18"/>
          <w:szCs w:val="18"/>
          <w:color w:val="auto"/>
        </w:rPr>
      </w:pPr>
    </w:p>
    <w:p>
      <w:pPr>
        <w:ind w:left="4" w:right="20" w:firstLine="1428"/>
        <w:spacing w:after="0" w:line="257" w:lineRule="auto"/>
        <w:tabs>
          <w:tab w:leader="none" w:pos="1651" w:val="left"/>
        </w:tabs>
        <w:numPr>
          <w:ilvl w:val="3"/>
          <w:numId w:val="301"/>
        </w:numPr>
        <w:rPr>
          <w:rFonts w:ascii="Arial" w:cs="Arial" w:eastAsia="Arial" w:hAnsi="Arial"/>
          <w:sz w:val="18"/>
          <w:szCs w:val="18"/>
          <w:color w:val="auto"/>
        </w:rPr>
      </w:pPr>
      <w:r>
        <w:rPr>
          <w:rFonts w:ascii="Arial" w:cs="Arial" w:eastAsia="Arial" w:hAnsi="Arial"/>
          <w:sz w:val="18"/>
          <w:szCs w:val="18"/>
          <w:color w:val="auto"/>
        </w:rPr>
        <w:t>THE SHARES REPRESENTED BY THIS CERTIFICATE HAVE NOT BEEN REGISTERED UNDER THE SECURITIES ACT OF 1933, AND HAVE BEEN ACQUIRED FOR INVESTMENT AND NOT WITH A VIEW TO, OR IN CONNECTION WITH, THE SALE OR DISTRIBUTION THEREOF. NO SUCH SALE OR DISTRIBUTION MAY BE EFFECTED WITHOUT AN EFFECTIVE REGISTRATION STATEMENT RELATED THERETO OR AN OPINION OF COUNSEL FOR THE COMPANY THAT SUCH REGISTRATION IS NOT REQUIRED UNDER THE SECURITIES ACT OF 1933.</w:t>
      </w:r>
    </w:p>
    <w:p>
      <w:pPr>
        <w:spacing w:after="0" w:line="79" w:lineRule="exact"/>
        <w:rPr>
          <w:rFonts w:ascii="Arial" w:cs="Arial" w:eastAsia="Arial" w:hAnsi="Arial"/>
          <w:sz w:val="18"/>
          <w:szCs w:val="18"/>
          <w:color w:val="auto"/>
        </w:rPr>
      </w:pPr>
    </w:p>
    <w:p>
      <w:pPr>
        <w:ind w:left="4" w:right="20" w:firstLine="1428"/>
        <w:spacing w:after="0" w:line="263" w:lineRule="auto"/>
        <w:tabs>
          <w:tab w:leader="none" w:pos="1701" w:val="left"/>
        </w:tabs>
        <w:numPr>
          <w:ilvl w:val="3"/>
          <w:numId w:val="301"/>
        </w:numPr>
        <w:rPr>
          <w:rFonts w:ascii="Arial" w:cs="Arial" w:eastAsia="Arial" w:hAnsi="Arial"/>
          <w:sz w:val="18"/>
          <w:szCs w:val="18"/>
          <w:color w:val="auto"/>
        </w:rPr>
      </w:pPr>
      <w:r>
        <w:rPr>
          <w:rFonts w:ascii="Arial" w:cs="Arial" w:eastAsia="Arial" w:hAnsi="Arial"/>
          <w:sz w:val="18"/>
          <w:szCs w:val="18"/>
          <w:color w:val="auto"/>
        </w:rPr>
        <w:t>THE SHARES REPRESENTED BY THIS CERTIFICATE MAY BE TRANSFERRED ONLY IN ACCORDANCE WITH THE TERMS OF AN AGREEMENT BETWEEN THE COMPANY AND THE HOLDER, A COPY OF WHICH IS ON FILE WITH AND MAY BE OBTAINED FROM THE SECRETARY OF THE COMPANY AT NO CHARGE.</w:t>
      </w:r>
    </w:p>
    <w:p>
      <w:pPr>
        <w:spacing w:after="0" w:line="75" w:lineRule="exact"/>
        <w:rPr>
          <w:rFonts w:ascii="Arial" w:cs="Arial" w:eastAsia="Arial" w:hAnsi="Arial"/>
          <w:sz w:val="18"/>
          <w:szCs w:val="18"/>
          <w:color w:val="auto"/>
        </w:rPr>
      </w:pPr>
    </w:p>
    <w:p>
      <w:pPr>
        <w:ind w:left="4" w:right="60" w:firstLine="1428"/>
        <w:spacing w:after="0" w:line="255" w:lineRule="auto"/>
        <w:tabs>
          <w:tab w:leader="none" w:pos="1751" w:val="left"/>
        </w:tabs>
        <w:numPr>
          <w:ilvl w:val="3"/>
          <w:numId w:val="301"/>
        </w:numPr>
        <w:rPr>
          <w:rFonts w:ascii="Arial" w:cs="Arial" w:eastAsia="Arial" w:hAnsi="Arial"/>
          <w:sz w:val="18"/>
          <w:szCs w:val="18"/>
          <w:color w:val="auto"/>
        </w:rPr>
      </w:pPr>
      <w:r>
        <w:rPr>
          <w:rFonts w:ascii="Arial" w:cs="Arial" w:eastAsia="Arial" w:hAnsi="Arial"/>
          <w:sz w:val="18"/>
          <w:szCs w:val="18"/>
          <w:color w:val="auto"/>
        </w:rPr>
        <w:t>THE TRANSFER OF THE SHARES REPRESENTED BY THIS CERTIFICATE IS SUBJECT TO RESTRICTIONS REQUIRING APPROVAL OF THE BOARD OF DIRECTORS PURSUANT TO AND IN ACCORDANCE WITH ARTICLE X OF THE AMENDED AND RESTATED BYLAWS OF THE COMPANY, COPIES OF WHICH MAY BE OBTAINED UPON WRITTEN REQUEST TO THE COMPANY AT ITS PRINCIPAL PLACE OF BUSINESS. THE COMPANY SHALL NOT REGISTER OR OTHERWISE RECOGNIZE OR GIVE EFFECT TO ANY PURPORTED TRANSFER OF SHARES OF STOCK THAT DOES NOT COMPLY WITH ARTICLE X OF THE AMENDED AND RESTATED BYLAWS OF THE COMPANY.</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334" w:name="page335"/>
    <w:bookmarkEnd w:id="334"/>
    <w:p>
      <w:pPr>
        <w:ind w:left="1740" w:hanging="312"/>
        <w:spacing w:after="0"/>
        <w:tabs>
          <w:tab w:leader="none" w:pos="1740" w:val="left"/>
        </w:tabs>
        <w:numPr>
          <w:ilvl w:val="2"/>
          <w:numId w:val="3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 legend required by the Voting Agreement, as applicable.</w:t>
      </w:r>
    </w:p>
    <w:p>
      <w:pPr>
        <w:spacing w:after="0" w:line="113" w:lineRule="exact"/>
        <w:rPr>
          <w:rFonts w:ascii="Arial" w:cs="Arial" w:eastAsia="Arial" w:hAnsi="Arial"/>
          <w:sz w:val="18"/>
          <w:szCs w:val="18"/>
          <w:color w:val="auto"/>
        </w:rPr>
      </w:pPr>
    </w:p>
    <w:p>
      <w:pPr>
        <w:ind w:right="60" w:firstLine="987"/>
        <w:spacing w:after="0" w:line="266" w:lineRule="auto"/>
        <w:tabs>
          <w:tab w:leader="none" w:pos="1246" w:val="left"/>
        </w:tabs>
        <w:numPr>
          <w:ilvl w:val="1"/>
          <w:numId w:val="303"/>
        </w:numPr>
        <w:rPr>
          <w:rFonts w:ascii="Arial" w:cs="Arial" w:eastAsia="Arial" w:hAnsi="Arial"/>
          <w:sz w:val="18"/>
          <w:szCs w:val="18"/>
          <w:color w:val="auto"/>
        </w:rPr>
      </w:pPr>
      <w:r>
        <w:rPr>
          <w:rFonts w:ascii="Arial" w:cs="Arial" w:eastAsia="Arial" w:hAnsi="Arial"/>
          <w:sz w:val="18"/>
          <w:szCs w:val="18"/>
          <w:b w:val="1"/>
          <w:bCs w:val="1"/>
          <w:u w:val="single" w:color="auto"/>
          <w:color w:val="auto"/>
        </w:rPr>
        <w:t>Stop-Transfer Notices</w:t>
      </w:r>
      <w:r>
        <w:rPr>
          <w:rFonts w:ascii="Arial" w:cs="Arial" w:eastAsia="Arial" w:hAnsi="Arial"/>
          <w:sz w:val="18"/>
          <w:szCs w:val="18"/>
          <w:color w:val="auto"/>
        </w:rPr>
        <w:t>. Purchaser agrees that, in order to ensure compliance with the restrictions referred to herein, the Company may</w:t>
      </w:r>
      <w:r>
        <w:rPr>
          <w:rFonts w:ascii="Arial" w:cs="Arial" w:eastAsia="Arial" w:hAnsi="Arial"/>
          <w:sz w:val="18"/>
          <w:szCs w:val="18"/>
          <w:b w:val="1"/>
          <w:bCs w:val="1"/>
          <w:color w:val="auto"/>
        </w:rPr>
        <w:t xml:space="preserve"> </w:t>
      </w:r>
      <w:r>
        <w:rPr>
          <w:rFonts w:ascii="Arial" w:cs="Arial" w:eastAsia="Arial" w:hAnsi="Arial"/>
          <w:sz w:val="18"/>
          <w:szCs w:val="18"/>
          <w:color w:val="auto"/>
        </w:rPr>
        <w:t>issue appropriate “stop transfer” instructions to its transfer agent, if any, and that, if the Company transfers its own securities, it may make appropriate notations to the same effect in its own records.</w:t>
      </w:r>
    </w:p>
    <w:p>
      <w:pPr>
        <w:spacing w:after="0" w:line="67" w:lineRule="exact"/>
        <w:rPr>
          <w:rFonts w:ascii="Arial" w:cs="Arial" w:eastAsia="Arial" w:hAnsi="Arial"/>
          <w:sz w:val="18"/>
          <w:szCs w:val="18"/>
          <w:color w:val="auto"/>
        </w:rPr>
      </w:pPr>
    </w:p>
    <w:p>
      <w:pPr>
        <w:ind w:right="120" w:firstLine="987"/>
        <w:spacing w:after="0" w:line="266" w:lineRule="auto"/>
        <w:tabs>
          <w:tab w:leader="none" w:pos="1236" w:val="left"/>
        </w:tabs>
        <w:numPr>
          <w:ilvl w:val="1"/>
          <w:numId w:val="303"/>
        </w:numPr>
        <w:rPr>
          <w:rFonts w:ascii="Arial" w:cs="Arial" w:eastAsia="Arial" w:hAnsi="Arial"/>
          <w:sz w:val="18"/>
          <w:szCs w:val="18"/>
          <w:color w:val="auto"/>
        </w:rPr>
      </w:pPr>
      <w:r>
        <w:rPr>
          <w:rFonts w:ascii="Arial" w:cs="Arial" w:eastAsia="Arial" w:hAnsi="Arial"/>
          <w:sz w:val="18"/>
          <w:szCs w:val="18"/>
          <w:b w:val="1"/>
          <w:bCs w:val="1"/>
          <w:u w:val="single" w:color="auto"/>
          <w:color w:val="auto"/>
        </w:rPr>
        <w:t>Refusal to Transfer</w:t>
      </w:r>
      <w:r>
        <w:rPr>
          <w:rFonts w:ascii="Arial" w:cs="Arial" w:eastAsia="Arial" w:hAnsi="Arial"/>
          <w:sz w:val="18"/>
          <w:szCs w:val="18"/>
          <w:color w:val="auto"/>
        </w:rPr>
        <w:t>. The Company shall not be required (i) to transfer on its books any Shares that have been sold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transferred in violation of any of the provisions of this Agreement or (ii) to treat as owner of such Shares or to accord the right to vote or pay dividends to any purchaser or other transferee to whom such Shares shall have been so transferred.</w:t>
      </w:r>
    </w:p>
    <w:p>
      <w:pPr>
        <w:spacing w:after="0" w:line="67" w:lineRule="exact"/>
        <w:rPr>
          <w:rFonts w:ascii="Arial" w:cs="Arial" w:eastAsia="Arial" w:hAnsi="Arial"/>
          <w:sz w:val="18"/>
          <w:szCs w:val="18"/>
          <w:color w:val="auto"/>
        </w:rPr>
      </w:pPr>
    </w:p>
    <w:p>
      <w:pPr>
        <w:ind w:firstLine="987"/>
        <w:spacing w:after="0" w:line="254" w:lineRule="auto"/>
        <w:tabs>
          <w:tab w:leader="none" w:pos="1246" w:val="left"/>
        </w:tabs>
        <w:numPr>
          <w:ilvl w:val="1"/>
          <w:numId w:val="303"/>
        </w:numPr>
        <w:rPr>
          <w:rFonts w:ascii="Arial" w:cs="Arial" w:eastAsia="Arial" w:hAnsi="Arial"/>
          <w:sz w:val="18"/>
          <w:szCs w:val="18"/>
          <w:color w:val="auto"/>
        </w:rPr>
      </w:pPr>
      <w:r>
        <w:rPr>
          <w:rFonts w:ascii="Arial" w:cs="Arial" w:eastAsia="Arial" w:hAnsi="Arial"/>
          <w:sz w:val="18"/>
          <w:szCs w:val="18"/>
          <w:b w:val="1"/>
          <w:bCs w:val="1"/>
          <w:u w:val="single" w:color="auto"/>
          <w:color w:val="auto"/>
        </w:rPr>
        <w:t>Required Notices</w:t>
      </w:r>
      <w:r>
        <w:rPr>
          <w:rFonts w:ascii="Arial" w:cs="Arial" w:eastAsia="Arial" w:hAnsi="Arial"/>
          <w:sz w:val="18"/>
          <w:szCs w:val="18"/>
          <w:color w:val="auto"/>
        </w:rPr>
        <w:t>. Purchaser acknowledges that the Shares are issued and shall be held subject to all the provisions of this Section 6,</w:t>
      </w:r>
      <w:r>
        <w:rPr>
          <w:rFonts w:ascii="Arial" w:cs="Arial" w:eastAsia="Arial" w:hAnsi="Arial"/>
          <w:sz w:val="18"/>
          <w:szCs w:val="18"/>
          <w:b w:val="1"/>
          <w:bCs w:val="1"/>
          <w:color w:val="auto"/>
        </w:rPr>
        <w:t xml:space="preserve"> </w:t>
      </w:r>
      <w:r>
        <w:rPr>
          <w:rFonts w:ascii="Arial" w:cs="Arial" w:eastAsia="Arial" w:hAnsi="Arial"/>
          <w:sz w:val="18"/>
          <w:szCs w:val="18"/>
          <w:color w:val="auto"/>
        </w:rPr>
        <w:t>the Certificate of Incorporation and the Amended and Restated Bylaws of the Company and any amendments thereto, copies of which are on file at the principal office of the Company. A statement of all of the rights, preferences, privileges and restrictions granted to or imposed upon the respective classes and/or series of shares of stock of the Company and upon the holders thereof may be obtained by any stockholder upon request and without charge, at the principal office of the Company, and the Company will furnish any stockholder, upon request and without charge, a copy of such statement. Purchaser acknowledges that the provisions of this Section 6 shall constitute the notices required by Sections 151(f) and 202(a) of the Delaware General Corporation Law and the Purchaser hereby expressly waives the requirement of Section 151(f) of the Delaware General Corporation Law that it receive the written notice provided for in Sections 151(f) and 202(a) of the Delaware General Corporation Law within a reasonable time after the issuance of the Shares.</w:t>
      </w:r>
    </w:p>
    <w:p>
      <w:pPr>
        <w:spacing w:after="0" w:line="188" w:lineRule="exact"/>
        <w:rPr>
          <w:rFonts w:ascii="Arial" w:cs="Arial" w:eastAsia="Arial" w:hAnsi="Arial"/>
          <w:sz w:val="18"/>
          <w:szCs w:val="18"/>
          <w:color w:val="auto"/>
        </w:rPr>
      </w:pPr>
    </w:p>
    <w:p>
      <w:pPr>
        <w:ind w:right="60" w:firstLine="436"/>
        <w:spacing w:after="0" w:line="266" w:lineRule="auto"/>
        <w:tabs>
          <w:tab w:leader="none" w:pos="620" w:val="left"/>
        </w:tabs>
        <w:numPr>
          <w:ilvl w:val="0"/>
          <w:numId w:val="304"/>
        </w:numPr>
        <w:rPr>
          <w:rFonts w:ascii="Arial" w:cs="Arial" w:eastAsia="Arial" w:hAnsi="Arial"/>
          <w:sz w:val="18"/>
          <w:szCs w:val="18"/>
          <w:color w:val="auto"/>
        </w:rPr>
      </w:pPr>
      <w:r>
        <w:rPr>
          <w:rFonts w:ascii="Arial" w:cs="Arial" w:eastAsia="Arial" w:hAnsi="Arial"/>
          <w:sz w:val="18"/>
          <w:szCs w:val="18"/>
          <w:b w:val="1"/>
          <w:bCs w:val="1"/>
          <w:u w:val="single" w:color="auto"/>
          <w:color w:val="auto"/>
        </w:rPr>
        <w:t>No Employment Rights</w:t>
      </w:r>
      <w:r>
        <w:rPr>
          <w:rFonts w:ascii="Arial" w:cs="Arial" w:eastAsia="Arial" w:hAnsi="Arial"/>
          <w:sz w:val="18"/>
          <w:szCs w:val="18"/>
          <w:color w:val="auto"/>
        </w:rPr>
        <w:t>. Nothing in this Agreement shall affect in any manner whatsoever the right or power of the Company, or a parent,</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or affiliate of the Company, to terminate Purchaser’s employment or consulting relationship, for any reason, with or without cause, subject to Applicable Laws.</w:t>
      </w:r>
    </w:p>
    <w:p>
      <w:pPr>
        <w:spacing w:after="0" w:line="175" w:lineRule="exact"/>
        <w:rPr>
          <w:rFonts w:ascii="Arial" w:cs="Arial" w:eastAsia="Arial" w:hAnsi="Arial"/>
          <w:sz w:val="18"/>
          <w:szCs w:val="18"/>
          <w:color w:val="auto"/>
        </w:rPr>
      </w:pPr>
    </w:p>
    <w:p>
      <w:pPr>
        <w:ind w:right="120" w:firstLine="436"/>
        <w:spacing w:after="0" w:line="282" w:lineRule="auto"/>
        <w:tabs>
          <w:tab w:leader="none" w:pos="620" w:val="left"/>
        </w:tabs>
        <w:numPr>
          <w:ilvl w:val="0"/>
          <w:numId w:val="304"/>
        </w:numPr>
        <w:rPr>
          <w:rFonts w:ascii="Arial" w:cs="Arial" w:eastAsia="Arial" w:hAnsi="Arial"/>
          <w:sz w:val="18"/>
          <w:szCs w:val="18"/>
          <w:color w:val="auto"/>
        </w:rPr>
      </w:pPr>
      <w:r>
        <w:rPr>
          <w:rFonts w:ascii="Arial" w:cs="Arial" w:eastAsia="Arial" w:hAnsi="Arial"/>
          <w:sz w:val="18"/>
          <w:szCs w:val="18"/>
          <w:b w:val="1"/>
          <w:bCs w:val="1"/>
          <w:u w:val="single" w:color="auto"/>
          <w:color w:val="auto"/>
        </w:rPr>
        <w:t>Lock-Up Agreement</w:t>
      </w:r>
      <w:r>
        <w:rPr>
          <w:rFonts w:ascii="Arial" w:cs="Arial" w:eastAsia="Arial" w:hAnsi="Arial"/>
          <w:sz w:val="18"/>
          <w:szCs w:val="18"/>
          <w:color w:val="auto"/>
        </w:rPr>
        <w:t>. The lock-up provisions set forth in Section 7 of the Option Agreement shall apply to the Shares issued upon exercise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Option hereunder and Purchaser reaffirms Purchaser’s obligations set forth therein.</w:t>
      </w:r>
    </w:p>
    <w:p>
      <w:pPr>
        <w:spacing w:after="0" w:line="161" w:lineRule="exact"/>
        <w:rPr>
          <w:rFonts w:ascii="Arial" w:cs="Arial" w:eastAsia="Arial" w:hAnsi="Arial"/>
          <w:sz w:val="18"/>
          <w:szCs w:val="18"/>
          <w:color w:val="auto"/>
        </w:rPr>
      </w:pPr>
    </w:p>
    <w:p>
      <w:pPr>
        <w:ind w:right="120" w:firstLine="436"/>
        <w:spacing w:after="0" w:line="277" w:lineRule="auto"/>
        <w:tabs>
          <w:tab w:leader="none" w:pos="620" w:val="left"/>
        </w:tabs>
        <w:numPr>
          <w:ilvl w:val="0"/>
          <w:numId w:val="304"/>
        </w:numPr>
        <w:rPr>
          <w:rFonts w:ascii="Arial" w:cs="Arial" w:eastAsia="Arial" w:hAnsi="Arial"/>
          <w:sz w:val="17"/>
          <w:szCs w:val="17"/>
          <w:color w:val="auto"/>
        </w:rPr>
      </w:pPr>
      <w:r>
        <w:rPr>
          <w:rFonts w:ascii="Arial" w:cs="Arial" w:eastAsia="Arial" w:hAnsi="Arial"/>
          <w:sz w:val="17"/>
          <w:szCs w:val="17"/>
          <w:b w:val="1"/>
          <w:bCs w:val="1"/>
          <w:u w:val="single" w:color="auto"/>
          <w:color w:val="auto"/>
        </w:rPr>
        <w:t>Waiver of Statutory Information Rights</w:t>
      </w:r>
      <w:r>
        <w:rPr>
          <w:rFonts w:ascii="Arial" w:cs="Arial" w:eastAsia="Arial" w:hAnsi="Arial"/>
          <w:sz w:val="17"/>
          <w:szCs w:val="17"/>
          <w:color w:val="auto"/>
        </w:rPr>
        <w:t>. Purchaser acknowledges and understands that, but for the waiver made herein, Purchaser would be</w:t>
      </w:r>
      <w:r>
        <w:rPr>
          <w:rFonts w:ascii="Arial" w:cs="Arial" w:eastAsia="Arial" w:hAnsi="Arial"/>
          <w:sz w:val="17"/>
          <w:szCs w:val="17"/>
          <w:b w:val="1"/>
          <w:bCs w:val="1"/>
          <w:color w:val="auto"/>
        </w:rPr>
        <w:t xml:space="preserve"> </w:t>
      </w:r>
      <w:r>
        <w:rPr>
          <w:rFonts w:ascii="Arial" w:cs="Arial" w:eastAsia="Arial" w:hAnsi="Arial"/>
          <w:sz w:val="17"/>
          <w:szCs w:val="17"/>
          <w:color w:val="auto"/>
        </w:rPr>
        <w:t>entitled, upon written demand under oath stating the purpose thereof, to inspect for any proper purpose, and to make copies and extracts from, the Company’s stock ledger, a list of its stockholders, and its other books and records, and the books and records of subsidiaries of the Company, if any, under the circumstances and in the manner provided in Section 220 of the General Corporation Law of Delaware (any and all such rights, and any and all such other rights of Purchaser as may be provided for in Section 220, the “</w:t>
      </w:r>
      <w:r>
        <w:rPr>
          <w:rFonts w:ascii="Arial" w:cs="Arial" w:eastAsia="Arial" w:hAnsi="Arial"/>
          <w:sz w:val="17"/>
          <w:szCs w:val="17"/>
          <w:u w:val="single" w:color="auto"/>
          <w:color w:val="auto"/>
        </w:rPr>
        <w:t>Inspection Rights</w:t>
      </w:r>
      <w:r>
        <w:rPr>
          <w:rFonts w:ascii="Arial" w:cs="Arial" w:eastAsia="Arial" w:hAnsi="Arial"/>
          <w:sz w:val="17"/>
          <w:szCs w:val="17"/>
          <w:color w:val="auto"/>
        </w:rPr>
        <w: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335" w:name="page336"/>
    <w:bookmarkEnd w:id="335"/>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light of the foregoing, until the first sale of Company securities to the general public pursuant to a registration statement filed with and declared effective by the Securities and Exchange Commission under the Securities Act of 1933, as amended, Purchaser hereby unconditionally and irrevocably waives the Inspection Rights, whether such Inspection Rights would be exercised or pursued directly or indirectly pursuant to Section 220 or otherwise, and covenants and agrees never to directly or indirectly commence, voluntarily aid in any way, prosecute, assign, transfer, or cause to be commenced any claim, action, cause of action, or other proceeding to pursue or exercise the Inspection Rights. The foregoing waiver applies to the Inspection Rights of Purchaser in Purchaser’s capacity as a stockholder and shall not affect any rights of a director, in his or her capacity as such, under Section 220. The foregoing waiver shall not apply to any contractual inspection rights of Purchaser under any written agreement with the Company.</w:t>
      </w:r>
    </w:p>
    <w:p>
      <w:pPr>
        <w:spacing w:after="0" w:line="162" w:lineRule="exact"/>
        <w:rPr>
          <w:sz w:val="20"/>
          <w:szCs w:val="20"/>
          <w:color w:val="auto"/>
        </w:rPr>
      </w:pPr>
    </w:p>
    <w:p>
      <w:pPr>
        <w:ind w:left="700" w:hanging="264"/>
        <w:spacing w:after="0"/>
        <w:tabs>
          <w:tab w:leader="none" w:pos="700" w:val="left"/>
        </w:tabs>
        <w:numPr>
          <w:ilvl w:val="0"/>
          <w:numId w:val="305"/>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40" w:firstLine="987"/>
        <w:spacing w:after="0" w:line="298" w:lineRule="auto"/>
        <w:tabs>
          <w:tab w:leader="none" w:pos="1236" w:val="left"/>
        </w:tabs>
        <w:numPr>
          <w:ilvl w:val="1"/>
          <w:numId w:val="305"/>
        </w:numPr>
        <w:rPr>
          <w:rFonts w:ascii="Arial" w:cs="Arial" w:eastAsia="Arial" w:hAnsi="Arial"/>
          <w:sz w:val="16"/>
          <w:szCs w:val="16"/>
          <w:color w:val="auto"/>
        </w:rPr>
      </w:pPr>
      <w:r>
        <w:rPr>
          <w:rFonts w:ascii="Arial" w:cs="Arial" w:eastAsia="Arial" w:hAnsi="Arial"/>
          <w:sz w:val="16"/>
          <w:szCs w:val="16"/>
          <w:b w:val="1"/>
          <w:bCs w:val="1"/>
          <w:u w:val="single" w:color="auto"/>
          <w:color w:val="auto"/>
        </w:rPr>
        <w:t>Governing Law</w:t>
      </w:r>
      <w:r>
        <w:rPr>
          <w:rFonts w:ascii="Arial" w:cs="Arial" w:eastAsia="Arial" w:hAnsi="Arial"/>
          <w:sz w:val="16"/>
          <w:szCs w:val="16"/>
          <w:color w:val="auto"/>
        </w:rPr>
        <w:t>. The validity, interpretation, construction and performance of this Agreement and all acts and transactions pursuant</w:t>
      </w:r>
      <w:r>
        <w:rPr>
          <w:rFonts w:ascii="Arial" w:cs="Arial" w:eastAsia="Arial" w:hAnsi="Arial"/>
          <w:sz w:val="16"/>
          <w:szCs w:val="16"/>
          <w:b w:val="1"/>
          <w:bCs w:val="1"/>
          <w:color w:val="auto"/>
        </w:rPr>
        <w:t xml:space="preserve"> </w:t>
      </w:r>
      <w:r>
        <w:rPr>
          <w:rFonts w:ascii="Arial" w:cs="Arial" w:eastAsia="Arial" w:hAnsi="Arial"/>
          <w:sz w:val="16"/>
          <w:szCs w:val="16"/>
          <w:color w:val="auto"/>
        </w:rPr>
        <w:t>hereto and the rights and obligations of the parties hereto shall be governed, construed and interpreted in accordance with the laws of the State of California, without giving effect to principles of conflicts of law. For purposes of litigating any dispute that may arise directly or indirectly from this Agreement, the parties hereby submit and consent to the exclusive jurisdiction of the State of California and agree that any such litigation shall be conducted only in the courts of California or the federal courts of the United States located in California and no other courts.</w:t>
      </w:r>
    </w:p>
    <w:p>
      <w:pPr>
        <w:spacing w:after="0" w:line="45" w:lineRule="exact"/>
        <w:rPr>
          <w:rFonts w:ascii="Arial" w:cs="Arial" w:eastAsia="Arial" w:hAnsi="Arial"/>
          <w:sz w:val="16"/>
          <w:szCs w:val="16"/>
          <w:color w:val="auto"/>
        </w:rPr>
      </w:pPr>
    </w:p>
    <w:p>
      <w:pPr>
        <w:ind w:firstLine="987"/>
        <w:spacing w:after="0" w:line="277" w:lineRule="auto"/>
        <w:tabs>
          <w:tab w:leader="none" w:pos="1246" w:val="left"/>
        </w:tabs>
        <w:numPr>
          <w:ilvl w:val="1"/>
          <w:numId w:val="305"/>
        </w:numPr>
        <w:rPr>
          <w:rFonts w:ascii="Arial" w:cs="Arial" w:eastAsia="Arial" w:hAnsi="Arial"/>
          <w:sz w:val="17"/>
          <w:szCs w:val="17"/>
          <w:color w:val="auto"/>
        </w:rPr>
      </w:pPr>
      <w:r>
        <w:rPr>
          <w:rFonts w:ascii="Arial" w:cs="Arial" w:eastAsia="Arial" w:hAnsi="Arial"/>
          <w:sz w:val="17"/>
          <w:szCs w:val="17"/>
          <w:b w:val="1"/>
          <w:bCs w:val="1"/>
          <w:u w:val="single" w:color="auto"/>
          <w:color w:val="auto"/>
        </w:rPr>
        <w:t>Entire Agreement; Enforcement of Rights</w:t>
      </w:r>
      <w:r>
        <w:rPr>
          <w:rFonts w:ascii="Arial" w:cs="Arial" w:eastAsia="Arial" w:hAnsi="Arial"/>
          <w:sz w:val="17"/>
          <w:szCs w:val="17"/>
          <w:color w:val="auto"/>
        </w:rPr>
        <w:t>. This Agreement, together with the Option Agreement and the Plan, sets forth the entire</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and understanding of the parties relating to the subject matter herein and supersedes all prior or contemporaneous discussions, understandings and agreements, whether oral or written, between them related to the subject matter thereof. No modification of or amendment to this Agreement, nor any waiver of any rights under this Agreement, shall be effective unless in writing signed by the parties to this Agreement. The failure by either party to enforce any rights under this Agreement shall not be construed as a waiver of any rights of such party.</w:t>
      </w:r>
    </w:p>
    <w:p>
      <w:pPr>
        <w:spacing w:after="0" w:line="59" w:lineRule="exact"/>
        <w:rPr>
          <w:rFonts w:ascii="Arial" w:cs="Arial" w:eastAsia="Arial" w:hAnsi="Arial"/>
          <w:sz w:val="17"/>
          <w:szCs w:val="17"/>
          <w:color w:val="auto"/>
        </w:rPr>
      </w:pPr>
    </w:p>
    <w:p>
      <w:pPr>
        <w:ind w:right="80" w:firstLine="987"/>
        <w:spacing w:after="0" w:line="281" w:lineRule="auto"/>
        <w:tabs>
          <w:tab w:leader="none" w:pos="1236" w:val="left"/>
        </w:tabs>
        <w:numPr>
          <w:ilvl w:val="1"/>
          <w:numId w:val="305"/>
        </w:numPr>
        <w:rPr>
          <w:rFonts w:ascii="Arial" w:cs="Arial" w:eastAsia="Arial" w:hAnsi="Arial"/>
          <w:sz w:val="17"/>
          <w:szCs w:val="17"/>
          <w:color w:val="auto"/>
        </w:rPr>
      </w:pPr>
      <w:r>
        <w:rPr>
          <w:rFonts w:ascii="Arial" w:cs="Arial" w:eastAsia="Arial" w:hAnsi="Arial"/>
          <w:sz w:val="17"/>
          <w:szCs w:val="17"/>
          <w:b w:val="1"/>
          <w:bCs w:val="1"/>
          <w:u w:val="single" w:color="auto"/>
          <w:color w:val="auto"/>
        </w:rPr>
        <w:t>Severability</w:t>
      </w:r>
      <w:r>
        <w:rPr>
          <w:rFonts w:ascii="Arial" w:cs="Arial" w:eastAsia="Arial" w:hAnsi="Arial"/>
          <w:sz w:val="17"/>
          <w:szCs w:val="17"/>
          <w:color w:val="auto"/>
        </w:rPr>
        <w:t>. If one or more provisions of this Agreement are held to be unenforceable under Applicable Laws, the parties agree to</w:t>
      </w:r>
      <w:r>
        <w:rPr>
          <w:rFonts w:ascii="Arial" w:cs="Arial" w:eastAsia="Arial" w:hAnsi="Arial"/>
          <w:sz w:val="17"/>
          <w:szCs w:val="17"/>
          <w:b w:val="1"/>
          <w:bCs w:val="1"/>
          <w:color w:val="auto"/>
        </w:rPr>
        <w:t xml:space="preserve"> </w:t>
      </w:r>
      <w:r>
        <w:rPr>
          <w:rFonts w:ascii="Arial" w:cs="Arial" w:eastAsia="Arial" w:hAnsi="Arial"/>
          <w:sz w:val="17"/>
          <w:szCs w:val="17"/>
          <w:color w:val="auto"/>
        </w:rPr>
        <w:t>renegotiate such provision in good faith. In the event that the parties cannot reach a mutually agreeable and enforceable replacement for such provision, then (i) such provision shall be excluded from this Agreement, (ii) the balance of the Agreement shall be interpreted as if such provision were so excluded and (iii) the balance of the Agreement shall be enforceable in accordance with its terms.</w:t>
      </w:r>
    </w:p>
    <w:p>
      <w:pPr>
        <w:spacing w:after="0" w:line="56" w:lineRule="exact"/>
        <w:rPr>
          <w:rFonts w:ascii="Arial" w:cs="Arial" w:eastAsia="Arial" w:hAnsi="Arial"/>
          <w:sz w:val="17"/>
          <w:szCs w:val="17"/>
          <w:color w:val="auto"/>
        </w:rPr>
      </w:pPr>
    </w:p>
    <w:p>
      <w:pPr>
        <w:ind w:firstLine="987"/>
        <w:spacing w:after="0" w:line="258" w:lineRule="auto"/>
        <w:tabs>
          <w:tab w:leader="none" w:pos="1246" w:val="left"/>
        </w:tabs>
        <w:numPr>
          <w:ilvl w:val="1"/>
          <w:numId w:val="305"/>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Any notice required or permitted by this Agreement shall be in writing and shall be deemed sufficient when delivered</w:t>
      </w:r>
      <w:r>
        <w:rPr>
          <w:rFonts w:ascii="Arial" w:cs="Arial" w:eastAsia="Arial" w:hAnsi="Arial"/>
          <w:sz w:val="18"/>
          <w:szCs w:val="18"/>
          <w:b w:val="1"/>
          <w:bCs w:val="1"/>
          <w:color w:val="auto"/>
        </w:rPr>
        <w:t xml:space="preserve"> </w:t>
      </w:r>
      <w:r>
        <w:rPr>
          <w:rFonts w:ascii="Arial" w:cs="Arial" w:eastAsia="Arial" w:hAnsi="Arial"/>
          <w:sz w:val="18"/>
          <w:szCs w:val="18"/>
          <w:color w:val="auto"/>
        </w:rPr>
        <w:t>personally or by overnight courier or sent by email or fax (upon customary confirmation of receipt), or forty-eight (48) hours after being deposited in the U.S. mail as certified or registered mail with postage prepaid, addressed to the party to be notified at such party’s address or fax number as set forth on the signature page, as subsequently modified by written notice, or if no address is specified on the signature page, at the most recent address set forth in the Company’s books and records.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336" w:name="page337"/>
    <w:bookmarkEnd w:id="336"/>
    <w:p>
      <w:pPr>
        <w:ind w:right="320" w:firstLine="987"/>
        <w:spacing w:after="0" w:line="282" w:lineRule="auto"/>
        <w:tabs>
          <w:tab w:leader="none" w:pos="1236" w:val="left"/>
        </w:tabs>
        <w:numPr>
          <w:ilvl w:val="0"/>
          <w:numId w:val="306"/>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Counterparts</w:t>
      </w:r>
      <w:r>
        <w:rPr>
          <w:rFonts w:ascii="Arial" w:cs="Arial" w:eastAsia="Arial" w:hAnsi="Arial"/>
          <w:sz w:val="18"/>
          <w:szCs w:val="18"/>
          <w:color w:val="auto"/>
        </w:rPr>
        <w:t>. This Agreement may be executed in two or more counterparts, each of which shall be deemed an original and all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together shall constitute one instrument.</w:t>
      </w:r>
    </w:p>
    <w:p>
      <w:pPr>
        <w:spacing w:after="0" w:line="53" w:lineRule="exact"/>
        <w:rPr>
          <w:rFonts w:ascii="Arial" w:cs="Arial" w:eastAsia="Arial" w:hAnsi="Arial"/>
          <w:sz w:val="18"/>
          <w:szCs w:val="18"/>
          <w:color w:val="auto"/>
        </w:rPr>
      </w:pPr>
    </w:p>
    <w:p>
      <w:pPr>
        <w:ind w:right="140" w:firstLine="987"/>
        <w:spacing w:after="0" w:line="266" w:lineRule="auto"/>
        <w:tabs>
          <w:tab w:leader="none" w:pos="1216" w:val="left"/>
        </w:tabs>
        <w:numPr>
          <w:ilvl w:val="0"/>
          <w:numId w:val="306"/>
        </w:numPr>
        <w:rPr>
          <w:rFonts w:ascii="Arial" w:cs="Arial" w:eastAsia="Arial" w:hAnsi="Arial"/>
          <w:sz w:val="18"/>
          <w:szCs w:val="18"/>
          <w:color w:val="auto"/>
        </w:rPr>
      </w:pPr>
      <w:r>
        <w:rPr>
          <w:rFonts w:ascii="Arial" w:cs="Arial" w:eastAsia="Arial" w:hAnsi="Arial"/>
          <w:sz w:val="18"/>
          <w:szCs w:val="18"/>
          <w:b w:val="1"/>
          <w:bCs w:val="1"/>
          <w:u w:val="single" w:color="auto"/>
          <w:color w:val="auto"/>
        </w:rPr>
        <w:t>Successors and Assigns</w:t>
      </w:r>
      <w:r>
        <w:rPr>
          <w:rFonts w:ascii="Arial" w:cs="Arial" w:eastAsia="Arial" w:hAnsi="Arial"/>
          <w:sz w:val="18"/>
          <w:szCs w:val="18"/>
          <w:color w:val="auto"/>
        </w:rPr>
        <w:t>. The rights and benefits of this Agreement shall inure to the benefit of, and be enforceable by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successors and assigns. The rights and obligations of Purchaser under this Agreement may only be assigned with the prior written consent of the Company.</w:t>
      </w:r>
    </w:p>
    <w:p>
      <w:pPr>
        <w:spacing w:after="0" w:line="67" w:lineRule="exact"/>
        <w:rPr>
          <w:rFonts w:ascii="Arial" w:cs="Arial" w:eastAsia="Arial" w:hAnsi="Arial"/>
          <w:sz w:val="18"/>
          <w:szCs w:val="18"/>
          <w:color w:val="auto"/>
        </w:rPr>
      </w:pPr>
    </w:p>
    <w:p>
      <w:pPr>
        <w:ind w:firstLine="987"/>
        <w:spacing w:after="0" w:line="281" w:lineRule="auto"/>
        <w:tabs>
          <w:tab w:leader="none" w:pos="1246" w:val="left"/>
        </w:tabs>
        <w:numPr>
          <w:ilvl w:val="0"/>
          <w:numId w:val="306"/>
        </w:numPr>
        <w:rPr>
          <w:rFonts w:ascii="Arial" w:cs="Arial" w:eastAsia="Arial" w:hAnsi="Arial"/>
          <w:sz w:val="17"/>
          <w:szCs w:val="17"/>
          <w:color w:val="auto"/>
        </w:rPr>
      </w:pPr>
      <w:r>
        <w:rPr>
          <w:rFonts w:ascii="Arial" w:cs="Arial" w:eastAsia="Arial" w:hAnsi="Arial"/>
          <w:sz w:val="17"/>
          <w:szCs w:val="17"/>
          <w:b w:val="1"/>
          <w:bCs w:val="1"/>
          <w:u w:val="single" w:color="auto"/>
          <w:color w:val="auto"/>
        </w:rPr>
        <w:t>Electronic Delivery</w:t>
      </w:r>
      <w:r>
        <w:rPr>
          <w:rFonts w:ascii="Arial" w:cs="Arial" w:eastAsia="Arial" w:hAnsi="Arial"/>
          <w:sz w:val="17"/>
          <w:szCs w:val="17"/>
          <w:color w:val="auto"/>
        </w:rPr>
        <w:t>. The Company may, in its sole discretion, decide to deliver any documents related to this Agreement or any</w:t>
      </w:r>
      <w:r>
        <w:rPr>
          <w:rFonts w:ascii="Arial" w:cs="Arial" w:eastAsia="Arial" w:hAnsi="Arial"/>
          <w:sz w:val="17"/>
          <w:szCs w:val="17"/>
          <w:b w:val="1"/>
          <w:bCs w:val="1"/>
          <w:color w:val="auto"/>
        </w:rPr>
        <w:t xml:space="preserve"> </w:t>
      </w:r>
      <w:r>
        <w:rPr>
          <w:rFonts w:ascii="Arial" w:cs="Arial" w:eastAsia="Arial" w:hAnsi="Arial"/>
          <w:sz w:val="17"/>
          <w:szCs w:val="17"/>
          <w:color w:val="auto"/>
        </w:rPr>
        <w:t>notices required by Applicable Laws by email or any other electronic means. Purchaser hereby consents to (i) conduct business electronically (ii) receive such documents and notices by such electronic delivery and (iii) sign documents electronically and agrees to participate through an on-line or electronic system established and maintained by the Company or a third party designated by the Company.</w:t>
      </w:r>
    </w:p>
    <w:p>
      <w:pPr>
        <w:spacing w:after="0" w:line="56" w:lineRule="exact"/>
        <w:rPr>
          <w:rFonts w:ascii="Arial" w:cs="Arial" w:eastAsia="Arial" w:hAnsi="Arial"/>
          <w:sz w:val="17"/>
          <w:szCs w:val="17"/>
          <w:color w:val="auto"/>
        </w:rPr>
      </w:pPr>
    </w:p>
    <w:p>
      <w:pPr>
        <w:ind w:firstLine="987"/>
        <w:spacing w:after="0" w:line="274" w:lineRule="auto"/>
        <w:tabs>
          <w:tab w:leader="none" w:pos="1246" w:val="left"/>
        </w:tabs>
        <w:numPr>
          <w:ilvl w:val="0"/>
          <w:numId w:val="306"/>
        </w:numPr>
        <w:rPr>
          <w:rFonts w:ascii="Arial" w:cs="Arial" w:eastAsia="Arial" w:hAnsi="Arial"/>
          <w:sz w:val="17"/>
          <w:szCs w:val="17"/>
          <w:color w:val="auto"/>
        </w:rPr>
      </w:pPr>
      <w:r>
        <w:rPr>
          <w:rFonts w:ascii="Arial" w:cs="Arial" w:eastAsia="Arial" w:hAnsi="Arial"/>
          <w:sz w:val="17"/>
          <w:szCs w:val="17"/>
          <w:b w:val="1"/>
          <w:bCs w:val="1"/>
          <w:u w:val="single" w:color="auto"/>
          <w:color w:val="auto"/>
        </w:rPr>
        <w:t>California Corporate Securities Law</w:t>
      </w:r>
      <w:r>
        <w:rPr>
          <w:rFonts w:ascii="Arial" w:cs="Arial" w:eastAsia="Arial" w:hAnsi="Arial"/>
          <w:sz w:val="17"/>
          <w:szCs w:val="17"/>
          <w:color w:val="auto"/>
        </w:rPr>
        <w:t>. THE SALE OF THE SECURITIES WHICH ARE THE SUBJECT OF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HAS NOT BEEN QUALIFIED WITH THE COMMISSIONER OF CORPORATIONS OF THE STATE OF CALIFORNIA AND THE ISSUANCE OF THE SECURITIES OR THE PAYMENT OR RECEIPT OF ANY PART OF THE CONSIDERATION THEREFOR PRIOR TO THE QUALIFICATION IS UNLAWFUL, UNLESS THE SALE OF SECURITIES IS EXEMPT FROM QUALIFICATION BY SECTION 25100, 25102 OR 25105 OF THE CALIFORNIA CORPORATIONS CODE. THE RIGHTS OF ALL PARTIES TO THIS AGREEMENT ARE EXPRESSLY CONDITIONED UPON THE QUALIFICATION BEING OBTAINED, UNLESS THE SALE IS SO EXEMPT.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0" w:right="459" w:bottom="1440" w:gutter="0" w:footer="0" w:header="0"/>
        </w:sectPr>
      </w:pPr>
    </w:p>
    <w:bookmarkStart w:id="337" w:name="page338"/>
    <w:bookmarkEnd w:id="3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parties have executed this Exercise Agreement as of the date first set forth above.</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THE COMPANY</w:t>
      </w:r>
      <w:r>
        <w:rPr>
          <w:rFonts w:ascii="Arial" w:cs="Arial" w:eastAsia="Arial" w:hAnsi="Arial"/>
          <w:sz w:val="18"/>
          <w:szCs w:val="18"/>
          <w:color w:val="auto"/>
        </w:rPr>
        <w:t>:</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ASANA, INC.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4398645</wp:posOffset>
            </wp:positionH>
            <wp:positionV relativeFrom="paragraph">
              <wp:posOffset>14605</wp:posOffset>
            </wp:positionV>
            <wp:extent cx="2314575"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6" w:lineRule="exact"/>
        <w:rPr>
          <w:sz w:val="20"/>
          <w:szCs w:val="20"/>
          <w:color w:val="auto"/>
        </w:rPr>
      </w:pPr>
    </w:p>
    <w:p>
      <w:pPr>
        <w:jc w:val="right"/>
        <w:ind w:right="419"/>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4398645</wp:posOffset>
            </wp:positionH>
            <wp:positionV relativeFrom="paragraph">
              <wp:posOffset>5715</wp:posOffset>
            </wp:positionV>
            <wp:extent cx="2314575"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4398645</wp:posOffset>
            </wp:positionH>
            <wp:positionV relativeFrom="paragraph">
              <wp:posOffset>14605</wp:posOffset>
            </wp:positionV>
            <wp:extent cx="2314575"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2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151765</wp:posOffset>
            </wp:positionV>
            <wp:extent cx="2794635"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2794635" cy="8890"/>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306070</wp:posOffset>
            </wp:positionV>
            <wp:extent cx="2794635"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PURCHASER</w:t>
      </w:r>
      <w:r>
        <w:rPr>
          <w:rFonts w:ascii="Arial" w:cs="Arial" w:eastAsia="Arial" w:hAnsi="Arial"/>
          <w:sz w:val="18"/>
          <w:szCs w:val="18"/>
          <w:color w:val="auto"/>
        </w:rPr>
        <w:t>:</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288925</wp:posOffset>
            </wp:positionV>
            <wp:extent cx="2794635"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151765</wp:posOffset>
            </wp:positionV>
            <wp:extent cx="2794635"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306070</wp:posOffset>
            </wp:positionV>
            <wp:extent cx="279463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4398645</wp:posOffset>
            </wp:positionH>
            <wp:positionV relativeFrom="paragraph">
              <wp:posOffset>14605</wp:posOffset>
            </wp:positionV>
            <wp:extent cx="231457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4398645</wp:posOffset>
            </wp:positionH>
            <wp:positionV relativeFrom="paragraph">
              <wp:posOffset>14605</wp:posOffset>
            </wp:positionV>
            <wp:extent cx="231457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4398645</wp:posOffset>
            </wp:positionH>
            <wp:positionV relativeFrom="paragraph">
              <wp:posOffset>14605</wp:posOffset>
            </wp:positionV>
            <wp:extent cx="231457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65"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9579"/>
          </w:cols>
          <w:pgMar w:left="880" w:top="274" w:right="1440" w:bottom="1440" w:gutter="0" w:footer="0" w:header="0"/>
        </w:sectPr>
      </w:pPr>
    </w:p>
    <w:bookmarkStart w:id="338" w:name="page339"/>
    <w:bookmarkEnd w:id="338"/>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 ___________, spouse of «Optionee» (“</w:t>
      </w:r>
      <w:r>
        <w:rPr>
          <w:rFonts w:ascii="Arial" w:cs="Arial" w:eastAsia="Arial" w:hAnsi="Arial"/>
          <w:sz w:val="16"/>
          <w:szCs w:val="16"/>
          <w:u w:val="single" w:color="auto"/>
          <w:color w:val="auto"/>
        </w:rPr>
        <w:t>Purchaser</w:t>
      </w:r>
      <w:r>
        <w:rPr>
          <w:rFonts w:ascii="Arial" w:cs="Arial" w:eastAsia="Arial" w:hAnsi="Arial"/>
          <w:sz w:val="16"/>
          <w:szCs w:val="16"/>
          <w:color w:val="auto"/>
        </w:rPr>
        <w:t>”), have read and hereby approve the foregoing Agreement. In consideration of the Company’s</w:t>
      </w:r>
    </w:p>
    <w:p>
      <w:pPr>
        <w:spacing w:after="0" w:line="46"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color w:val="auto"/>
        </w:rPr>
        <w:t>granting my spouse the right to purchase the Shares as set forth in the Agreement, I hereby agree to be bound irrevocably by the Agreement and further agree that any community property or other such interest that I may have in the Shares shall hereby be similarly bound by the Agreement. I hereby appoint my spouse as my attorney-in-fact with respect to any amendment or exercise of any rights under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273050</wp:posOffset>
            </wp:positionV>
            <wp:extent cx="2794635"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Spouse of Purchaser (if applicable)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440" w:top="274" w:right="519" w:bottom="1440" w:gutter="0" w:footer="0" w:header="0"/>
        </w:sectPr>
      </w:pPr>
    </w:p>
    <w:bookmarkStart w:id="339" w:name="page340"/>
    <w:bookmarkEnd w:id="339"/>
    <w:p>
      <w:pPr>
        <w:jc w:val="center"/>
        <w:ind w:right="-4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ANNEX I</w:t>
      </w:r>
    </w:p>
    <w:p>
      <w:pPr>
        <w:spacing w:after="0" w:line="27"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Rule 506(d)(1)(i) to (viii) under the Securities Act of 1933, as amended</w:t>
      </w:r>
    </w:p>
    <w:p>
      <w:pPr>
        <w:spacing w:after="0" w:line="103" w:lineRule="exact"/>
        <w:rPr>
          <w:sz w:val="20"/>
          <w:szCs w:val="20"/>
          <w:color w:val="auto"/>
        </w:rPr>
      </w:pPr>
    </w:p>
    <w:p>
      <w:pPr>
        <w:ind w:left="4" w:right="120" w:hanging="4"/>
        <w:spacing w:after="0" w:line="277" w:lineRule="auto"/>
        <w:tabs>
          <w:tab w:leader="none" w:pos="219" w:val="left"/>
        </w:tabs>
        <w:numPr>
          <w:ilvl w:val="0"/>
          <w:numId w:val="307"/>
        </w:numPr>
        <w:rPr>
          <w:rFonts w:ascii="Arial" w:cs="Arial" w:eastAsia="Arial" w:hAnsi="Arial"/>
          <w:sz w:val="18"/>
          <w:szCs w:val="18"/>
          <w:color w:val="auto"/>
        </w:rPr>
      </w:pPr>
      <w:r>
        <w:rPr>
          <w:rFonts w:ascii="Arial" w:cs="Arial" w:eastAsia="Arial" w:hAnsi="Arial"/>
          <w:sz w:val="18"/>
          <w:szCs w:val="18"/>
          <w:color w:val="auto"/>
        </w:rPr>
        <w:t>Has been convicted, within ten years before such sale (or five years, in the case of issuers, their predecessors and affiliated issuers), of any felony or misdemeanor:</w:t>
      </w:r>
    </w:p>
    <w:p>
      <w:pPr>
        <w:spacing w:after="0" w:line="62" w:lineRule="exact"/>
        <w:rPr>
          <w:rFonts w:ascii="Arial" w:cs="Arial" w:eastAsia="Arial" w:hAnsi="Arial"/>
          <w:sz w:val="18"/>
          <w:szCs w:val="18"/>
          <w:color w:val="auto"/>
        </w:rPr>
      </w:pPr>
    </w:p>
    <w:p>
      <w:pPr>
        <w:ind w:left="744" w:hanging="304"/>
        <w:spacing w:after="0"/>
        <w:tabs>
          <w:tab w:leader="none" w:pos="744" w:val="left"/>
        </w:tabs>
        <w:numPr>
          <w:ilvl w:val="1"/>
          <w:numId w:val="307"/>
        </w:numPr>
        <w:rPr>
          <w:rFonts w:ascii="Arial" w:cs="Arial" w:eastAsia="Arial" w:hAnsi="Arial"/>
          <w:sz w:val="18"/>
          <w:szCs w:val="18"/>
          <w:color w:val="auto"/>
        </w:rPr>
      </w:pPr>
      <w:r>
        <w:rPr>
          <w:rFonts w:ascii="Arial" w:cs="Arial" w:eastAsia="Arial" w:hAnsi="Arial"/>
          <w:sz w:val="18"/>
          <w:szCs w:val="18"/>
          <w:color w:val="auto"/>
        </w:rPr>
        <w:t>In connection with the purchase or sale of any security;</w:t>
      </w:r>
    </w:p>
    <w:p>
      <w:pPr>
        <w:spacing w:after="0" w:line="117" w:lineRule="exact"/>
        <w:rPr>
          <w:rFonts w:ascii="Arial" w:cs="Arial" w:eastAsia="Arial" w:hAnsi="Arial"/>
          <w:sz w:val="18"/>
          <w:szCs w:val="18"/>
          <w:color w:val="auto"/>
        </w:rPr>
      </w:pPr>
    </w:p>
    <w:p>
      <w:pPr>
        <w:ind w:left="724" w:hanging="284"/>
        <w:spacing w:after="0"/>
        <w:tabs>
          <w:tab w:leader="none" w:pos="724" w:val="left"/>
        </w:tabs>
        <w:numPr>
          <w:ilvl w:val="1"/>
          <w:numId w:val="307"/>
        </w:numPr>
        <w:rPr>
          <w:rFonts w:ascii="Arial" w:cs="Arial" w:eastAsia="Arial" w:hAnsi="Arial"/>
          <w:sz w:val="18"/>
          <w:szCs w:val="18"/>
          <w:color w:val="auto"/>
        </w:rPr>
      </w:pPr>
      <w:r>
        <w:rPr>
          <w:rFonts w:ascii="Arial" w:cs="Arial" w:eastAsia="Arial" w:hAnsi="Arial"/>
          <w:sz w:val="18"/>
          <w:szCs w:val="18"/>
          <w:color w:val="auto"/>
        </w:rPr>
        <w:t>Involving the making of any false filing with the Commission; or</w:t>
      </w:r>
    </w:p>
    <w:p>
      <w:pPr>
        <w:spacing w:after="0" w:line="117" w:lineRule="exact"/>
        <w:rPr>
          <w:rFonts w:ascii="Arial" w:cs="Arial" w:eastAsia="Arial" w:hAnsi="Arial"/>
          <w:sz w:val="18"/>
          <w:szCs w:val="18"/>
          <w:color w:val="auto"/>
        </w:rPr>
      </w:pPr>
    </w:p>
    <w:p>
      <w:pPr>
        <w:ind w:left="444" w:right="60" w:hanging="4"/>
        <w:spacing w:after="0" w:line="277" w:lineRule="auto"/>
        <w:tabs>
          <w:tab w:leader="none" w:pos="719" w:val="left"/>
        </w:tabs>
        <w:numPr>
          <w:ilvl w:val="1"/>
          <w:numId w:val="307"/>
        </w:numPr>
        <w:rPr>
          <w:rFonts w:ascii="Arial" w:cs="Arial" w:eastAsia="Arial" w:hAnsi="Arial"/>
          <w:sz w:val="18"/>
          <w:szCs w:val="18"/>
          <w:color w:val="auto"/>
        </w:rPr>
      </w:pPr>
      <w:r>
        <w:rPr>
          <w:rFonts w:ascii="Arial" w:cs="Arial" w:eastAsia="Arial" w:hAnsi="Arial"/>
          <w:sz w:val="18"/>
          <w:szCs w:val="18"/>
          <w:color w:val="auto"/>
        </w:rPr>
        <w:t>Arising out of the conduct of the business of an underwriter, broker, dealer, municipal securities dealer, investment adviser or paid solicitor of purchasers of securities;</w:t>
      </w:r>
    </w:p>
    <w:p>
      <w:pPr>
        <w:spacing w:after="0" w:line="62" w:lineRule="exact"/>
        <w:rPr>
          <w:rFonts w:ascii="Arial" w:cs="Arial" w:eastAsia="Arial" w:hAnsi="Arial"/>
          <w:sz w:val="18"/>
          <w:szCs w:val="18"/>
          <w:color w:val="auto"/>
        </w:rPr>
      </w:pPr>
    </w:p>
    <w:p>
      <w:pPr>
        <w:ind w:left="4" w:right="20" w:hanging="4"/>
        <w:spacing w:after="0" w:line="277" w:lineRule="auto"/>
        <w:tabs>
          <w:tab w:leader="none" w:pos="269" w:val="left"/>
        </w:tabs>
        <w:numPr>
          <w:ilvl w:val="0"/>
          <w:numId w:val="307"/>
        </w:numPr>
        <w:rPr>
          <w:rFonts w:ascii="Arial" w:cs="Arial" w:eastAsia="Arial" w:hAnsi="Arial"/>
          <w:sz w:val="18"/>
          <w:szCs w:val="18"/>
          <w:color w:val="auto"/>
        </w:rPr>
      </w:pPr>
      <w:r>
        <w:rPr>
          <w:rFonts w:ascii="Arial" w:cs="Arial" w:eastAsia="Arial" w:hAnsi="Arial"/>
          <w:sz w:val="18"/>
          <w:szCs w:val="18"/>
          <w:color w:val="auto"/>
        </w:rPr>
        <w:t>Is subject to any order, judgment or decree of any court of competent jurisdiction, entered within five years before such sale, that, at the time of such sale, restrains or enjoins such person from engaging or continuing to engage in any conduct or practice:</w:t>
      </w:r>
    </w:p>
    <w:p>
      <w:pPr>
        <w:spacing w:after="0" w:line="62" w:lineRule="exact"/>
        <w:rPr>
          <w:rFonts w:ascii="Arial" w:cs="Arial" w:eastAsia="Arial" w:hAnsi="Arial"/>
          <w:sz w:val="18"/>
          <w:szCs w:val="18"/>
          <w:color w:val="auto"/>
        </w:rPr>
      </w:pPr>
    </w:p>
    <w:p>
      <w:pPr>
        <w:ind w:left="744" w:hanging="304"/>
        <w:spacing w:after="0"/>
        <w:tabs>
          <w:tab w:leader="none" w:pos="744" w:val="left"/>
        </w:tabs>
        <w:numPr>
          <w:ilvl w:val="1"/>
          <w:numId w:val="307"/>
        </w:numPr>
        <w:rPr>
          <w:rFonts w:ascii="Arial" w:cs="Arial" w:eastAsia="Arial" w:hAnsi="Arial"/>
          <w:sz w:val="18"/>
          <w:szCs w:val="18"/>
          <w:color w:val="auto"/>
        </w:rPr>
      </w:pPr>
      <w:r>
        <w:rPr>
          <w:rFonts w:ascii="Arial" w:cs="Arial" w:eastAsia="Arial" w:hAnsi="Arial"/>
          <w:sz w:val="18"/>
          <w:szCs w:val="18"/>
          <w:color w:val="auto"/>
        </w:rPr>
        <w:t>In connection with the purchase or sale of any security;</w:t>
      </w:r>
    </w:p>
    <w:p>
      <w:pPr>
        <w:spacing w:after="0" w:line="117" w:lineRule="exact"/>
        <w:rPr>
          <w:rFonts w:ascii="Arial" w:cs="Arial" w:eastAsia="Arial" w:hAnsi="Arial"/>
          <w:sz w:val="18"/>
          <w:szCs w:val="18"/>
          <w:color w:val="auto"/>
        </w:rPr>
      </w:pPr>
    </w:p>
    <w:p>
      <w:pPr>
        <w:ind w:left="724" w:hanging="284"/>
        <w:spacing w:after="0"/>
        <w:tabs>
          <w:tab w:leader="none" w:pos="724" w:val="left"/>
        </w:tabs>
        <w:numPr>
          <w:ilvl w:val="1"/>
          <w:numId w:val="307"/>
        </w:numPr>
        <w:rPr>
          <w:rFonts w:ascii="Arial" w:cs="Arial" w:eastAsia="Arial" w:hAnsi="Arial"/>
          <w:sz w:val="18"/>
          <w:szCs w:val="18"/>
          <w:color w:val="auto"/>
        </w:rPr>
      </w:pPr>
      <w:r>
        <w:rPr>
          <w:rFonts w:ascii="Arial" w:cs="Arial" w:eastAsia="Arial" w:hAnsi="Arial"/>
          <w:sz w:val="18"/>
          <w:szCs w:val="18"/>
          <w:color w:val="auto"/>
        </w:rPr>
        <w:t>Involving the making of any false filing with the Commission; or</w:t>
      </w:r>
    </w:p>
    <w:p>
      <w:pPr>
        <w:spacing w:after="0" w:line="117" w:lineRule="exact"/>
        <w:rPr>
          <w:rFonts w:ascii="Arial" w:cs="Arial" w:eastAsia="Arial" w:hAnsi="Arial"/>
          <w:sz w:val="18"/>
          <w:szCs w:val="18"/>
          <w:color w:val="auto"/>
        </w:rPr>
      </w:pPr>
    </w:p>
    <w:p>
      <w:pPr>
        <w:ind w:left="444" w:right="60" w:hanging="4"/>
        <w:spacing w:after="0" w:line="277" w:lineRule="auto"/>
        <w:tabs>
          <w:tab w:leader="none" w:pos="719" w:val="left"/>
        </w:tabs>
        <w:numPr>
          <w:ilvl w:val="1"/>
          <w:numId w:val="307"/>
        </w:numPr>
        <w:rPr>
          <w:rFonts w:ascii="Arial" w:cs="Arial" w:eastAsia="Arial" w:hAnsi="Arial"/>
          <w:sz w:val="18"/>
          <w:szCs w:val="18"/>
          <w:color w:val="auto"/>
        </w:rPr>
      </w:pPr>
      <w:r>
        <w:rPr>
          <w:rFonts w:ascii="Arial" w:cs="Arial" w:eastAsia="Arial" w:hAnsi="Arial"/>
          <w:sz w:val="18"/>
          <w:szCs w:val="18"/>
          <w:color w:val="auto"/>
        </w:rPr>
        <w:t>Arising out of the conduct of the business of an underwriter, broker, dealer, municipal securities dealer, investment adviser or paid solicitor of purchasers of securities;</w:t>
      </w:r>
    </w:p>
    <w:p>
      <w:pPr>
        <w:spacing w:after="0" w:line="62" w:lineRule="exact"/>
        <w:rPr>
          <w:rFonts w:ascii="Arial" w:cs="Arial" w:eastAsia="Arial" w:hAnsi="Arial"/>
          <w:sz w:val="18"/>
          <w:szCs w:val="18"/>
          <w:color w:val="auto"/>
        </w:rPr>
      </w:pPr>
    </w:p>
    <w:p>
      <w:pPr>
        <w:ind w:left="324" w:hanging="324"/>
        <w:spacing w:after="0"/>
        <w:tabs>
          <w:tab w:leader="none" w:pos="324" w:val="left"/>
        </w:tabs>
        <w:numPr>
          <w:ilvl w:val="0"/>
          <w:numId w:val="307"/>
        </w:numPr>
        <w:rPr>
          <w:rFonts w:ascii="Arial" w:cs="Arial" w:eastAsia="Arial" w:hAnsi="Arial"/>
          <w:sz w:val="17"/>
          <w:szCs w:val="17"/>
          <w:color w:val="auto"/>
        </w:rPr>
      </w:pPr>
      <w:r>
        <w:rPr>
          <w:rFonts w:ascii="Arial" w:cs="Arial" w:eastAsia="Arial" w:hAnsi="Arial"/>
          <w:sz w:val="17"/>
          <w:szCs w:val="17"/>
          <w:color w:val="auto"/>
        </w:rPr>
        <w:t>Is subject to a final order of a state securities commission (or an agency or officer of a state performing like functions); a state authority that</w:t>
      </w:r>
    </w:p>
    <w:p>
      <w:pPr>
        <w:spacing w:after="0" w:line="34" w:lineRule="exact"/>
        <w:rPr>
          <w:rFonts w:ascii="Arial" w:cs="Arial" w:eastAsia="Arial" w:hAnsi="Arial"/>
          <w:sz w:val="17"/>
          <w:szCs w:val="17"/>
          <w:color w:val="auto"/>
        </w:rPr>
      </w:pPr>
    </w:p>
    <w:p>
      <w:pPr>
        <w:ind w:left="4"/>
        <w:spacing w:after="0" w:line="323" w:lineRule="auto"/>
        <w:rPr>
          <w:rFonts w:ascii="Arial" w:cs="Arial" w:eastAsia="Arial" w:hAnsi="Arial"/>
          <w:sz w:val="17"/>
          <w:szCs w:val="17"/>
          <w:color w:val="auto"/>
        </w:rPr>
      </w:pPr>
      <w:r>
        <w:rPr>
          <w:rFonts w:ascii="Arial" w:cs="Arial" w:eastAsia="Arial" w:hAnsi="Arial"/>
          <w:sz w:val="16"/>
          <w:szCs w:val="16"/>
          <w:color w:val="auto"/>
        </w:rPr>
        <w:t>supervises or examines banks, savings associations, or credit unions; a state insurance commission (or an agency or officer of a state performing like functions); an appropriate federal banking agency; the U.S. Commodity Futures Trading Commission; or the National Credit Union Administration that:</w:t>
      </w:r>
    </w:p>
    <w:p>
      <w:pPr>
        <w:spacing w:after="0" w:line="30" w:lineRule="exact"/>
        <w:rPr>
          <w:rFonts w:ascii="Arial" w:cs="Arial" w:eastAsia="Arial" w:hAnsi="Arial"/>
          <w:sz w:val="17"/>
          <w:szCs w:val="17"/>
          <w:color w:val="auto"/>
        </w:rPr>
      </w:pPr>
    </w:p>
    <w:p>
      <w:pPr>
        <w:ind w:left="744" w:hanging="304"/>
        <w:spacing w:after="0"/>
        <w:tabs>
          <w:tab w:leader="none" w:pos="744" w:val="left"/>
        </w:tabs>
        <w:numPr>
          <w:ilvl w:val="1"/>
          <w:numId w:val="307"/>
        </w:numPr>
        <w:rPr>
          <w:rFonts w:ascii="Arial" w:cs="Arial" w:eastAsia="Arial" w:hAnsi="Arial"/>
          <w:sz w:val="18"/>
          <w:szCs w:val="18"/>
          <w:color w:val="auto"/>
        </w:rPr>
      </w:pPr>
      <w:r>
        <w:rPr>
          <w:rFonts w:ascii="Arial" w:cs="Arial" w:eastAsia="Arial" w:hAnsi="Arial"/>
          <w:sz w:val="18"/>
          <w:szCs w:val="18"/>
          <w:color w:val="auto"/>
        </w:rPr>
        <w:t>At the time of such sale, bars the person from:</w:t>
      </w:r>
    </w:p>
    <w:p>
      <w:pPr>
        <w:spacing w:after="0" w:line="117" w:lineRule="exact"/>
        <w:rPr>
          <w:rFonts w:ascii="Arial" w:cs="Arial" w:eastAsia="Arial" w:hAnsi="Arial"/>
          <w:sz w:val="18"/>
          <w:szCs w:val="18"/>
          <w:color w:val="auto"/>
        </w:rPr>
      </w:pPr>
    </w:p>
    <w:p>
      <w:pPr>
        <w:ind w:left="1684" w:hanging="252"/>
        <w:spacing w:after="0"/>
        <w:tabs>
          <w:tab w:leader="none" w:pos="1684" w:val="left"/>
        </w:tabs>
        <w:numPr>
          <w:ilvl w:val="2"/>
          <w:numId w:val="307"/>
        </w:numPr>
        <w:rPr>
          <w:rFonts w:ascii="Arial" w:cs="Arial" w:eastAsia="Arial" w:hAnsi="Arial"/>
          <w:sz w:val="18"/>
          <w:szCs w:val="18"/>
          <w:color w:val="auto"/>
        </w:rPr>
      </w:pPr>
      <w:r>
        <w:rPr>
          <w:rFonts w:ascii="Arial" w:cs="Arial" w:eastAsia="Arial" w:hAnsi="Arial"/>
          <w:sz w:val="18"/>
          <w:szCs w:val="18"/>
          <w:color w:val="auto"/>
        </w:rPr>
        <w:t>Association with an entity regulated by such commission, authority, agency, or officer;</w:t>
      </w:r>
    </w:p>
    <w:p>
      <w:pPr>
        <w:spacing w:after="0" w:line="117" w:lineRule="exact"/>
        <w:rPr>
          <w:rFonts w:ascii="Arial" w:cs="Arial" w:eastAsia="Arial" w:hAnsi="Arial"/>
          <w:sz w:val="18"/>
          <w:szCs w:val="18"/>
          <w:color w:val="auto"/>
        </w:rPr>
      </w:pPr>
    </w:p>
    <w:p>
      <w:pPr>
        <w:ind w:left="1684" w:hanging="252"/>
        <w:spacing w:after="0"/>
        <w:tabs>
          <w:tab w:leader="none" w:pos="1684" w:val="left"/>
        </w:tabs>
        <w:numPr>
          <w:ilvl w:val="2"/>
          <w:numId w:val="307"/>
        </w:numPr>
        <w:rPr>
          <w:rFonts w:ascii="Arial" w:cs="Arial" w:eastAsia="Arial" w:hAnsi="Arial"/>
          <w:sz w:val="18"/>
          <w:szCs w:val="18"/>
          <w:color w:val="auto"/>
        </w:rPr>
      </w:pPr>
      <w:r>
        <w:rPr>
          <w:rFonts w:ascii="Arial" w:cs="Arial" w:eastAsia="Arial" w:hAnsi="Arial"/>
          <w:sz w:val="18"/>
          <w:szCs w:val="18"/>
          <w:color w:val="auto"/>
        </w:rPr>
        <w:t>Engaging in the business of securities, insurance or banking; or</w:t>
      </w:r>
    </w:p>
    <w:p>
      <w:pPr>
        <w:spacing w:after="0" w:line="117" w:lineRule="exact"/>
        <w:rPr>
          <w:rFonts w:ascii="Arial" w:cs="Arial" w:eastAsia="Arial" w:hAnsi="Arial"/>
          <w:sz w:val="18"/>
          <w:szCs w:val="18"/>
          <w:color w:val="auto"/>
        </w:rPr>
      </w:pPr>
    </w:p>
    <w:p>
      <w:pPr>
        <w:ind w:left="1684" w:hanging="252"/>
        <w:spacing w:after="0"/>
        <w:tabs>
          <w:tab w:leader="none" w:pos="1684" w:val="left"/>
        </w:tabs>
        <w:numPr>
          <w:ilvl w:val="2"/>
          <w:numId w:val="307"/>
        </w:numPr>
        <w:rPr>
          <w:rFonts w:ascii="Arial" w:cs="Arial" w:eastAsia="Arial" w:hAnsi="Arial"/>
          <w:sz w:val="18"/>
          <w:szCs w:val="18"/>
          <w:color w:val="auto"/>
        </w:rPr>
      </w:pPr>
      <w:r>
        <w:rPr>
          <w:rFonts w:ascii="Arial" w:cs="Arial" w:eastAsia="Arial" w:hAnsi="Arial"/>
          <w:sz w:val="18"/>
          <w:szCs w:val="18"/>
          <w:color w:val="auto"/>
        </w:rPr>
        <w:t>Engaging in savings association or credit union activities; or</w:t>
      </w:r>
    </w:p>
    <w:p>
      <w:pPr>
        <w:spacing w:after="0" w:line="117" w:lineRule="exact"/>
        <w:rPr>
          <w:rFonts w:ascii="Arial" w:cs="Arial" w:eastAsia="Arial" w:hAnsi="Arial"/>
          <w:sz w:val="18"/>
          <w:szCs w:val="18"/>
          <w:color w:val="auto"/>
        </w:rPr>
      </w:pPr>
    </w:p>
    <w:p>
      <w:pPr>
        <w:ind w:left="444" w:right="280" w:hanging="4"/>
        <w:spacing w:after="0" w:line="277" w:lineRule="auto"/>
        <w:tabs>
          <w:tab w:leader="none" w:pos="729" w:val="left"/>
        </w:tabs>
        <w:numPr>
          <w:ilvl w:val="1"/>
          <w:numId w:val="307"/>
        </w:numPr>
        <w:rPr>
          <w:rFonts w:ascii="Arial" w:cs="Arial" w:eastAsia="Arial" w:hAnsi="Arial"/>
          <w:sz w:val="18"/>
          <w:szCs w:val="18"/>
          <w:color w:val="auto"/>
        </w:rPr>
      </w:pPr>
      <w:r>
        <w:rPr>
          <w:rFonts w:ascii="Arial" w:cs="Arial" w:eastAsia="Arial" w:hAnsi="Arial"/>
          <w:sz w:val="18"/>
          <w:szCs w:val="18"/>
          <w:color w:val="auto"/>
        </w:rPr>
        <w:t>Constitutes a final order based on a violation of any law or regulation that prohibits fraudulent, manipulative, or deceptive conduct entered within ten years before such sale;</w:t>
      </w:r>
    </w:p>
    <w:p>
      <w:pPr>
        <w:spacing w:after="0" w:line="62" w:lineRule="exact"/>
        <w:rPr>
          <w:rFonts w:ascii="Arial" w:cs="Arial" w:eastAsia="Arial" w:hAnsi="Arial"/>
          <w:sz w:val="18"/>
          <w:szCs w:val="18"/>
          <w:color w:val="auto"/>
        </w:rPr>
      </w:pPr>
    </w:p>
    <w:p>
      <w:pPr>
        <w:ind w:left="304" w:hanging="304"/>
        <w:spacing w:after="0"/>
        <w:tabs>
          <w:tab w:leader="none" w:pos="304" w:val="left"/>
        </w:tabs>
        <w:numPr>
          <w:ilvl w:val="0"/>
          <w:numId w:val="307"/>
        </w:numPr>
        <w:rPr>
          <w:rFonts w:ascii="Arial" w:cs="Arial" w:eastAsia="Arial" w:hAnsi="Arial"/>
          <w:sz w:val="16"/>
          <w:szCs w:val="16"/>
          <w:color w:val="auto"/>
        </w:rPr>
      </w:pPr>
      <w:r>
        <w:rPr>
          <w:rFonts w:ascii="Arial" w:cs="Arial" w:eastAsia="Arial" w:hAnsi="Arial"/>
          <w:sz w:val="16"/>
          <w:szCs w:val="16"/>
          <w:color w:val="auto"/>
        </w:rPr>
        <w:t>Is subject to an order of the Commission entered pursuant to section 15(b) or 15B(c) of the Securities Exchange Act of 1934 (15 U.S.C. 78o(b) or</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78o-4(c)) or section 203(e) or (f) of the Investment Advisers Act of 1940 (15 U.S.C. 80b-3(e) or (f)) that, at the time of such sale:</w:t>
      </w:r>
    </w:p>
    <w:p>
      <w:pPr>
        <w:spacing w:after="0" w:line="102" w:lineRule="exact"/>
        <w:rPr>
          <w:rFonts w:ascii="Arial" w:cs="Arial" w:eastAsia="Arial" w:hAnsi="Arial"/>
          <w:sz w:val="16"/>
          <w:szCs w:val="16"/>
          <w:color w:val="auto"/>
        </w:rPr>
      </w:pPr>
    </w:p>
    <w:p>
      <w:pPr>
        <w:ind w:left="744" w:hanging="304"/>
        <w:spacing w:after="0"/>
        <w:tabs>
          <w:tab w:leader="none" w:pos="744" w:val="left"/>
        </w:tabs>
        <w:numPr>
          <w:ilvl w:val="1"/>
          <w:numId w:val="307"/>
        </w:numPr>
        <w:rPr>
          <w:rFonts w:ascii="Arial" w:cs="Arial" w:eastAsia="Arial" w:hAnsi="Arial"/>
          <w:sz w:val="18"/>
          <w:szCs w:val="18"/>
          <w:color w:val="auto"/>
        </w:rPr>
      </w:pPr>
      <w:r>
        <w:rPr>
          <w:rFonts w:ascii="Arial" w:cs="Arial" w:eastAsia="Arial" w:hAnsi="Arial"/>
          <w:sz w:val="18"/>
          <w:szCs w:val="18"/>
          <w:color w:val="auto"/>
        </w:rPr>
        <w:t>Suspends or revokes such person’s registration as a broker, dealer, municipal securities dealer or investment adviser;</w:t>
      </w:r>
    </w:p>
    <w:p>
      <w:pPr>
        <w:spacing w:after="0" w:line="117" w:lineRule="exact"/>
        <w:rPr>
          <w:rFonts w:ascii="Arial" w:cs="Arial" w:eastAsia="Arial" w:hAnsi="Arial"/>
          <w:sz w:val="18"/>
          <w:szCs w:val="18"/>
          <w:color w:val="auto"/>
        </w:rPr>
      </w:pPr>
    </w:p>
    <w:p>
      <w:pPr>
        <w:ind w:left="724" w:hanging="284"/>
        <w:spacing w:after="0"/>
        <w:tabs>
          <w:tab w:leader="none" w:pos="724" w:val="left"/>
        </w:tabs>
        <w:numPr>
          <w:ilvl w:val="1"/>
          <w:numId w:val="307"/>
        </w:numPr>
        <w:rPr>
          <w:rFonts w:ascii="Arial" w:cs="Arial" w:eastAsia="Arial" w:hAnsi="Arial"/>
          <w:sz w:val="18"/>
          <w:szCs w:val="18"/>
          <w:color w:val="auto"/>
        </w:rPr>
      </w:pPr>
      <w:r>
        <w:rPr>
          <w:rFonts w:ascii="Arial" w:cs="Arial" w:eastAsia="Arial" w:hAnsi="Arial"/>
          <w:sz w:val="18"/>
          <w:szCs w:val="18"/>
          <w:color w:val="auto"/>
        </w:rPr>
        <w:t>Places limitations on the activities, functions or operations of such person; or</w:t>
      </w:r>
    </w:p>
    <w:p>
      <w:pPr>
        <w:spacing w:after="0" w:line="117" w:lineRule="exact"/>
        <w:rPr>
          <w:rFonts w:ascii="Arial" w:cs="Arial" w:eastAsia="Arial" w:hAnsi="Arial"/>
          <w:sz w:val="18"/>
          <w:szCs w:val="18"/>
          <w:color w:val="auto"/>
        </w:rPr>
      </w:pPr>
    </w:p>
    <w:p>
      <w:pPr>
        <w:ind w:left="724" w:hanging="284"/>
        <w:spacing w:after="0"/>
        <w:tabs>
          <w:tab w:leader="none" w:pos="724" w:val="left"/>
        </w:tabs>
        <w:numPr>
          <w:ilvl w:val="1"/>
          <w:numId w:val="307"/>
        </w:numPr>
        <w:rPr>
          <w:rFonts w:ascii="Arial" w:cs="Arial" w:eastAsia="Arial" w:hAnsi="Arial"/>
          <w:sz w:val="18"/>
          <w:szCs w:val="18"/>
          <w:color w:val="auto"/>
        </w:rPr>
      </w:pPr>
      <w:r>
        <w:rPr>
          <w:rFonts w:ascii="Arial" w:cs="Arial" w:eastAsia="Arial" w:hAnsi="Arial"/>
          <w:sz w:val="18"/>
          <w:szCs w:val="18"/>
          <w:color w:val="auto"/>
        </w:rPr>
        <w:t>Bars such person from being associated with any entity or from participating in the offering of any penny stock;</w:t>
      </w:r>
    </w:p>
    <w:p>
      <w:pPr>
        <w:spacing w:after="0" w:line="117" w:lineRule="exact"/>
        <w:rPr>
          <w:rFonts w:ascii="Arial" w:cs="Arial" w:eastAsia="Arial" w:hAnsi="Arial"/>
          <w:sz w:val="18"/>
          <w:szCs w:val="18"/>
          <w:color w:val="auto"/>
        </w:rPr>
      </w:pPr>
    </w:p>
    <w:p>
      <w:pPr>
        <w:ind w:left="4" w:right="380" w:hanging="4"/>
        <w:spacing w:after="0" w:line="277" w:lineRule="auto"/>
        <w:tabs>
          <w:tab w:leader="none" w:pos="259" w:val="left"/>
        </w:tabs>
        <w:numPr>
          <w:ilvl w:val="0"/>
          <w:numId w:val="307"/>
        </w:numPr>
        <w:rPr>
          <w:rFonts w:ascii="Arial" w:cs="Arial" w:eastAsia="Arial" w:hAnsi="Arial"/>
          <w:sz w:val="18"/>
          <w:szCs w:val="18"/>
          <w:color w:val="auto"/>
        </w:rPr>
      </w:pPr>
      <w:r>
        <w:rPr>
          <w:rFonts w:ascii="Arial" w:cs="Arial" w:eastAsia="Arial" w:hAnsi="Arial"/>
          <w:sz w:val="18"/>
          <w:szCs w:val="18"/>
          <w:color w:val="auto"/>
        </w:rPr>
        <w:t>Is subject to any order of the Commission entered within five years before such sale that, at the time of such sale, orders the person to cease and desist from committing or causing a violation or future violation of:</w:t>
      </w:r>
    </w:p>
    <w:p>
      <w:pPr>
        <w:spacing w:after="0" w:line="62" w:lineRule="exact"/>
        <w:rPr>
          <w:rFonts w:ascii="Arial" w:cs="Arial" w:eastAsia="Arial" w:hAnsi="Arial"/>
          <w:sz w:val="18"/>
          <w:szCs w:val="18"/>
          <w:color w:val="auto"/>
        </w:rPr>
      </w:pPr>
    </w:p>
    <w:p>
      <w:pPr>
        <w:ind w:left="444" w:right="200" w:hanging="4"/>
        <w:spacing w:after="0" w:line="259" w:lineRule="auto"/>
        <w:tabs>
          <w:tab w:leader="none" w:pos="729" w:val="left"/>
        </w:tabs>
        <w:numPr>
          <w:ilvl w:val="1"/>
          <w:numId w:val="307"/>
        </w:numPr>
        <w:rPr>
          <w:rFonts w:ascii="Arial" w:cs="Arial" w:eastAsia="Arial" w:hAnsi="Arial"/>
          <w:sz w:val="18"/>
          <w:szCs w:val="18"/>
          <w:color w:val="auto"/>
        </w:rPr>
      </w:pPr>
      <w:r>
        <w:rPr>
          <w:rFonts w:ascii="Arial" w:cs="Arial" w:eastAsia="Arial" w:hAnsi="Arial"/>
          <w:sz w:val="18"/>
          <w:szCs w:val="18"/>
          <w:color w:val="auto"/>
        </w:rPr>
        <w:t>Any scienter-based anti-fraud provision of the federal securities laws, including without limitation section 17(a)(1) of the Securities Act of 1933 (15 U.S.C. 77q(a)(1)), section 10(b) of the Securities Exchange Act of 1934 (15 U.S.C. 78j(b)) and 17 CFR 240.10b-5, section 15(c)(1) of the Securities Exchange Act of 1934 (15 U.S.C. 78o(c)(1)) and section 206(1) of the Investment Advisers Act of 1940 (15 U.S.C. 80b-6(1)), or any other rule or regulation thereunder; or</w:t>
      </w:r>
    </w:p>
    <w:p>
      <w:pPr>
        <w:spacing w:after="0" w:line="11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4"/>
          </w:cols>
          <w:pgMar w:left="436" w:top="270" w:right="479" w:bottom="1440" w:gutter="0" w:footer="0" w:header="0"/>
        </w:sectPr>
      </w:pPr>
    </w:p>
    <w:bookmarkStart w:id="340" w:name="page341"/>
    <w:bookmarkEnd w:id="340"/>
    <w:p>
      <w:pPr>
        <w:ind w:left="724" w:hanging="284"/>
        <w:spacing w:after="0"/>
        <w:tabs>
          <w:tab w:leader="none" w:pos="724" w:val="left"/>
        </w:tabs>
        <w:numPr>
          <w:ilvl w:val="1"/>
          <w:numId w:val="3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5 of the Securities Act of 1933 (15 U.S.C. 77e).</w:t>
      </w:r>
    </w:p>
    <w:p>
      <w:pPr>
        <w:spacing w:after="0" w:line="117" w:lineRule="exact"/>
        <w:rPr>
          <w:rFonts w:ascii="Arial" w:cs="Arial" w:eastAsia="Arial" w:hAnsi="Arial"/>
          <w:sz w:val="18"/>
          <w:szCs w:val="18"/>
          <w:color w:val="auto"/>
        </w:rPr>
      </w:pPr>
    </w:p>
    <w:p>
      <w:pPr>
        <w:ind w:left="4" w:hanging="4"/>
        <w:spacing w:after="0" w:line="263" w:lineRule="auto"/>
        <w:tabs>
          <w:tab w:leader="none" w:pos="309" w:val="left"/>
        </w:tabs>
        <w:numPr>
          <w:ilvl w:val="0"/>
          <w:numId w:val="309"/>
        </w:numPr>
        <w:rPr>
          <w:rFonts w:ascii="Arial" w:cs="Arial" w:eastAsia="Arial" w:hAnsi="Arial"/>
          <w:sz w:val="18"/>
          <w:szCs w:val="18"/>
          <w:color w:val="auto"/>
        </w:rPr>
      </w:pPr>
      <w:r>
        <w:rPr>
          <w:rFonts w:ascii="Arial" w:cs="Arial" w:eastAsia="Arial" w:hAnsi="Arial"/>
          <w:sz w:val="18"/>
          <w:szCs w:val="18"/>
          <w:color w:val="auto"/>
        </w:rPr>
        <w:t>Is suspended or expelled from membership in, or suspended or barred from association with a member of, a registered national securities exchange or a registered national or affiliated securities association for any act or omission to act constituting conduct inconsistent with just and equitable principles of trade;</w:t>
      </w:r>
    </w:p>
    <w:p>
      <w:pPr>
        <w:spacing w:after="0" w:line="75" w:lineRule="exact"/>
        <w:rPr>
          <w:rFonts w:ascii="Arial" w:cs="Arial" w:eastAsia="Arial" w:hAnsi="Arial"/>
          <w:sz w:val="18"/>
          <w:szCs w:val="18"/>
          <w:color w:val="auto"/>
        </w:rPr>
      </w:pPr>
    </w:p>
    <w:p>
      <w:pPr>
        <w:ind w:left="4" w:right="20" w:hanging="4"/>
        <w:spacing w:after="0" w:line="259" w:lineRule="auto"/>
        <w:tabs>
          <w:tab w:leader="none" w:pos="359" w:val="left"/>
        </w:tabs>
        <w:numPr>
          <w:ilvl w:val="0"/>
          <w:numId w:val="309"/>
        </w:numPr>
        <w:rPr>
          <w:rFonts w:ascii="Arial" w:cs="Arial" w:eastAsia="Arial" w:hAnsi="Arial"/>
          <w:sz w:val="18"/>
          <w:szCs w:val="18"/>
          <w:color w:val="auto"/>
        </w:rPr>
      </w:pPr>
      <w:r>
        <w:rPr>
          <w:rFonts w:ascii="Arial" w:cs="Arial" w:eastAsia="Arial" w:hAnsi="Arial"/>
          <w:sz w:val="18"/>
          <w:szCs w:val="18"/>
          <w:color w:val="auto"/>
        </w:rPr>
        <w:t>Has filed (as a registrant or issuer), or was or was named as an underwriter in, any registration statement or Regulation A offering statement filed with the Commission that, within five years before such sale, was the subject of a refusal order, stop order, or order suspending the Regulation A exemption, or is, at the time of such sale, the subject of an investigation or proceeding to determine whether a stop order or suspension order should be issued; or</w:t>
      </w:r>
    </w:p>
    <w:p>
      <w:pPr>
        <w:spacing w:after="0" w:line="78" w:lineRule="exact"/>
        <w:rPr>
          <w:rFonts w:ascii="Arial" w:cs="Arial" w:eastAsia="Arial" w:hAnsi="Arial"/>
          <w:sz w:val="18"/>
          <w:szCs w:val="18"/>
          <w:color w:val="auto"/>
        </w:rPr>
      </w:pPr>
    </w:p>
    <w:p>
      <w:pPr>
        <w:jc w:val="both"/>
        <w:ind w:left="4" w:right="280" w:hanging="4"/>
        <w:spacing w:after="0" w:line="286" w:lineRule="auto"/>
        <w:tabs>
          <w:tab w:leader="none" w:pos="409" w:val="left"/>
        </w:tabs>
        <w:numPr>
          <w:ilvl w:val="0"/>
          <w:numId w:val="309"/>
        </w:numPr>
        <w:rPr>
          <w:rFonts w:ascii="Arial" w:cs="Arial" w:eastAsia="Arial" w:hAnsi="Arial"/>
          <w:sz w:val="17"/>
          <w:szCs w:val="17"/>
          <w:color w:val="auto"/>
        </w:rPr>
      </w:pPr>
      <w:r>
        <w:rPr>
          <w:rFonts w:ascii="Arial" w:cs="Arial" w:eastAsia="Arial" w:hAnsi="Arial"/>
          <w:sz w:val="17"/>
          <w:szCs w:val="17"/>
          <w:color w:val="auto"/>
        </w:rPr>
        <w:t>Is subject to a United States Postal Service false representation order entered within five years before such sale, or is, at the time of such sale, subject to a temporary restraining order or preliminary injunction with respect to conduct alleged by the United States Postal Service to constitute a scheme or device for obtaining money or property through the mail by means of false representations.</w:t>
      </w:r>
    </w:p>
    <w:p>
      <w:pPr>
        <w:spacing w:after="0" w:line="98"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884"/>
          </w:cols>
          <w:pgMar w:left="436" w:top="274" w:right="579" w:bottom="1440" w:gutter="0" w:footer="0" w:header="0"/>
        </w:sectPr>
      </w:pPr>
    </w:p>
    <w:bookmarkStart w:id="341" w:name="page342"/>
    <w:bookmarkEnd w:id="34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ASANA,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 2012 STOCK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PLAN NOTICE OF STOCK OPTION GRANT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«Optionee»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You have been granted an option to purchase Class B Common Stock of Asana,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as follows:</w:t>
      </w:r>
    </w:p>
    <w:p>
      <w:pPr>
        <w:sectPr>
          <w:pgSz w:w="11900" w:h="16838" w:orient="portrait"/>
          <w:cols w:equalWidth="0" w:num="1">
            <w:col w:w="11000"/>
          </w:cols>
          <w:pgMar w:left="440" w:top="270" w:right="459" w:bottom="1440" w:gutter="0" w:footer="0" w:header="0"/>
        </w:sect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Date of Grant:</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«GrantDate»</w:t>
      </w:r>
    </w:p>
    <w:p>
      <w:pPr>
        <w:spacing w:after="0" w:line="140" w:lineRule="exact"/>
        <w:rPr>
          <w:sz w:val="20"/>
          <w:szCs w:val="20"/>
          <w:color w:val="auto"/>
        </w:rPr>
      </w:pPr>
    </w:p>
    <w:p>
      <w:pPr>
        <w:sectPr>
          <w:pgSz w:w="11900" w:h="16838" w:orient="portrait"/>
          <w:cols w:equalWidth="0" w:num="2">
            <w:col w:w="1820" w:space="720"/>
            <w:col w:w="8460"/>
          </w:cols>
          <w:pgMar w:left="440" w:top="270" w:right="459" w:bottom="1440" w:gutter="0" w:footer="0" w:header="0"/>
          <w:type w:val="continuous"/>
        </w:sectPr>
      </w:pPr>
    </w:p>
    <w:p>
      <w:pPr>
        <w:spacing w:after="0"/>
        <w:rPr>
          <w:sz w:val="20"/>
          <w:szCs w:val="20"/>
          <w:color w:val="auto"/>
        </w:rPr>
      </w:pPr>
      <w:r>
        <w:rPr>
          <w:rFonts w:ascii="Arial" w:cs="Arial" w:eastAsia="Arial" w:hAnsi="Arial"/>
          <w:sz w:val="15"/>
          <w:szCs w:val="15"/>
          <w:color w:val="auto"/>
        </w:rPr>
        <w:t>Exercise Price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USD $«ExercisePrice»</w:t>
      </w:r>
    </w:p>
    <w:p>
      <w:pPr>
        <w:spacing w:after="0" w:line="140" w:lineRule="exact"/>
        <w:rPr>
          <w:sz w:val="20"/>
          <w:szCs w:val="20"/>
          <w:color w:val="auto"/>
        </w:rPr>
      </w:pPr>
    </w:p>
    <w:p>
      <w:pPr>
        <w:sectPr>
          <w:pgSz w:w="11900" w:h="16838" w:orient="portrait"/>
          <w:cols w:equalWidth="0" w:num="2">
            <w:col w:w="1820" w:space="720"/>
            <w:col w:w="8460"/>
          </w:cols>
          <w:pgMar w:left="440" w:top="270" w:right="459" w:bottom="1440" w:gutter="0" w:footer="0" w:header="0"/>
          <w:type w:val="continuous"/>
        </w:sectPr>
      </w:pPr>
    </w:p>
    <w:p>
      <w:pPr>
        <w:spacing w:after="0"/>
        <w:rPr>
          <w:sz w:val="20"/>
          <w:szCs w:val="20"/>
          <w:color w:val="auto"/>
        </w:rPr>
      </w:pPr>
      <w:r>
        <w:rPr>
          <w:rFonts w:ascii="Arial" w:cs="Arial" w:eastAsia="Arial" w:hAnsi="Arial"/>
          <w:sz w:val="16"/>
          <w:szCs w:val="16"/>
          <w:color w:val="auto"/>
        </w:rPr>
        <w:t>Total Number of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«NoOfShares»</w:t>
      </w:r>
    </w:p>
    <w:p>
      <w:pPr>
        <w:spacing w:after="0" w:line="140" w:lineRule="exact"/>
        <w:rPr>
          <w:sz w:val="20"/>
          <w:szCs w:val="20"/>
          <w:color w:val="auto"/>
        </w:rPr>
      </w:pPr>
    </w:p>
    <w:p>
      <w:pPr>
        <w:sectPr>
          <w:pgSz w:w="11900" w:h="16838" w:orient="portrait"/>
          <w:cols w:equalWidth="0" w:num="2">
            <w:col w:w="1820" w:space="720"/>
            <w:col w:w="8460"/>
          </w:cols>
          <w:pgMar w:left="440" w:top="270" w:right="459" w:bottom="1440" w:gutter="0" w:footer="0" w:header="0"/>
          <w:type w:val="continuous"/>
        </w:sectPr>
      </w:pPr>
    </w:p>
    <w:p>
      <w:pPr>
        <w:spacing w:after="0"/>
        <w:rPr>
          <w:sz w:val="20"/>
          <w:szCs w:val="20"/>
          <w:color w:val="auto"/>
        </w:rPr>
      </w:pPr>
      <w:r>
        <w:rPr>
          <w:rFonts w:ascii="Arial" w:cs="Arial" w:eastAsia="Arial" w:hAnsi="Arial"/>
          <w:sz w:val="16"/>
          <w:szCs w:val="16"/>
          <w:color w:val="auto"/>
        </w:rPr>
        <w:t>Total Exercise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USD $«TotalExercisePrice»</w:t>
      </w:r>
    </w:p>
    <w:p>
      <w:pPr>
        <w:spacing w:after="0" w:line="140" w:lineRule="exact"/>
        <w:rPr>
          <w:sz w:val="20"/>
          <w:szCs w:val="20"/>
          <w:color w:val="auto"/>
        </w:rPr>
      </w:pPr>
    </w:p>
    <w:p>
      <w:pPr>
        <w:sectPr>
          <w:pgSz w:w="11900" w:h="16838" w:orient="portrait"/>
          <w:cols w:equalWidth="0" w:num="2">
            <w:col w:w="1820" w:space="720"/>
            <w:col w:w="8460"/>
          </w:cols>
          <w:pgMar w:left="440" w:top="270" w:right="459" w:bottom="1440" w:gutter="0" w:footer="0" w:header="0"/>
          <w:type w:val="continuous"/>
        </w:sectPr>
      </w:pPr>
    </w:p>
    <w:p>
      <w:pPr>
        <w:spacing w:after="0"/>
        <w:rPr>
          <w:sz w:val="20"/>
          <w:szCs w:val="20"/>
          <w:color w:val="auto"/>
        </w:rPr>
      </w:pPr>
      <w:r>
        <w:rPr>
          <w:rFonts w:ascii="Arial" w:cs="Arial" w:eastAsia="Arial" w:hAnsi="Arial"/>
          <w:sz w:val="16"/>
          <w:szCs w:val="16"/>
          <w:color w:val="auto"/>
        </w:rPr>
        <w:t>Type of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«ISO» Shares Incentive Stock Option</w:t>
      </w:r>
    </w:p>
    <w:p>
      <w:pPr>
        <w:spacing w:after="0" w:line="154" w:lineRule="exact"/>
        <w:rPr>
          <w:sz w:val="20"/>
          <w:szCs w:val="20"/>
          <w:color w:val="auto"/>
        </w:rPr>
      </w:pPr>
    </w:p>
    <w:p>
      <w:pPr>
        <w:sectPr>
          <w:pgSz w:w="11900" w:h="16838" w:orient="portrait"/>
          <w:cols w:equalWidth="0" w:num="2">
            <w:col w:w="1820" w:space="720"/>
            <w:col w:w="8460"/>
          </w:cols>
          <w:pgMar w:left="440" w:top="270" w:right="459" w:bottom="1440" w:gutter="0" w:footer="0" w:header="0"/>
          <w:type w:val="continuous"/>
        </w:sectPr>
      </w:pPr>
    </w:p>
    <w:p>
      <w:pPr>
        <w:ind w:left="2540"/>
        <w:spacing w:after="0"/>
        <w:rPr>
          <w:sz w:val="20"/>
          <w:szCs w:val="20"/>
          <w:color w:val="auto"/>
        </w:rPr>
      </w:pPr>
      <w:r>
        <w:rPr>
          <w:rFonts w:ascii="Arial" w:cs="Arial" w:eastAsia="Arial" w:hAnsi="Arial"/>
          <w:sz w:val="16"/>
          <w:szCs w:val="16"/>
          <w:color w:val="auto"/>
        </w:rPr>
        <w:t>«NSO» Shares Nonstatutory Stock Option</w:t>
      </w:r>
    </w:p>
    <w:p>
      <w:pPr>
        <w:sectPr>
          <w:pgSz w:w="11900" w:h="16838" w:orient="portrait"/>
          <w:cols w:equalWidth="0" w:num="1">
            <w:col w:w="11000"/>
          </w:cols>
          <w:pgMar w:left="440" w:top="270" w:right="45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Expiration Date:</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«ExpirDate»</w:t>
      </w:r>
    </w:p>
    <w:p>
      <w:pPr>
        <w:spacing w:after="0" w:line="140" w:lineRule="exact"/>
        <w:rPr>
          <w:sz w:val="20"/>
          <w:szCs w:val="20"/>
          <w:color w:val="auto"/>
        </w:rPr>
      </w:pPr>
    </w:p>
    <w:p>
      <w:pPr>
        <w:sectPr>
          <w:pgSz w:w="11900" w:h="16838" w:orient="portrait"/>
          <w:cols w:equalWidth="0" w:num="2">
            <w:col w:w="1820" w:space="720"/>
            <w:col w:w="8460"/>
          </w:cols>
          <w:pgMar w:left="440" w:top="270" w:right="459" w:bottom="1440" w:gutter="0" w:footer="0" w:header="0"/>
          <w:type w:val="continuous"/>
        </w:sectPr>
      </w:pPr>
    </w:p>
    <w:p>
      <w:pPr>
        <w:spacing w:after="0"/>
        <w:rPr>
          <w:sz w:val="20"/>
          <w:szCs w:val="20"/>
          <w:color w:val="auto"/>
        </w:rPr>
      </w:pPr>
      <w:r>
        <w:rPr>
          <w:rFonts w:ascii="Arial" w:cs="Arial" w:eastAsia="Arial" w:hAnsi="Arial"/>
          <w:sz w:val="16"/>
          <w:szCs w:val="16"/>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«VestingCommencementDate»</w:t>
      </w:r>
    </w:p>
    <w:p>
      <w:pPr>
        <w:spacing w:after="0" w:line="140" w:lineRule="exact"/>
        <w:rPr>
          <w:sz w:val="20"/>
          <w:szCs w:val="20"/>
          <w:color w:val="auto"/>
        </w:rPr>
      </w:pPr>
    </w:p>
    <w:p>
      <w:pPr>
        <w:sectPr>
          <w:pgSz w:w="11900" w:h="16838" w:orient="portrait"/>
          <w:cols w:equalWidth="0" w:num="2">
            <w:col w:w="2200" w:space="340"/>
            <w:col w:w="8460"/>
          </w:cols>
          <w:pgMar w:left="440" w:top="270" w:right="459" w:bottom="1440" w:gutter="0" w:footer="0" w:header="0"/>
          <w:type w:val="continuous"/>
        </w:sectPr>
      </w:pPr>
    </w:p>
    <w:p>
      <w:pPr>
        <w:spacing w:after="0"/>
        <w:rPr>
          <w:sz w:val="20"/>
          <w:szCs w:val="20"/>
          <w:color w:val="auto"/>
        </w:rPr>
      </w:pPr>
      <w:r>
        <w:rPr>
          <w:rFonts w:ascii="Arial" w:cs="Arial" w:eastAsia="Arial" w:hAnsi="Arial"/>
          <w:sz w:val="16"/>
          <w:szCs w:val="16"/>
          <w:color w:val="auto"/>
        </w:rPr>
        <w:t>Vesting/Exercise Schedule:</w:t>
      </w:r>
    </w:p>
    <w:p>
      <w:pPr>
        <w:spacing w:after="0" w:line="20" w:lineRule="exact"/>
        <w:rPr>
          <w:sz w:val="20"/>
          <w:szCs w:val="20"/>
          <w:color w:val="auto"/>
        </w:rPr>
      </w:pPr>
      <w:r>
        <w:rPr>
          <w:sz w:val="20"/>
          <w:szCs w:val="20"/>
          <w:color w:val="auto"/>
        </w:rPr>
        <w:br w:type="column"/>
      </w:r>
    </w:p>
    <w:p>
      <w:pPr>
        <w:jc w:val="both"/>
        <w:spacing w:after="0" w:line="286" w:lineRule="auto"/>
        <w:rPr>
          <w:sz w:val="20"/>
          <w:szCs w:val="20"/>
          <w:color w:val="auto"/>
        </w:rPr>
      </w:pPr>
      <w:r>
        <w:rPr>
          <w:rFonts w:ascii="Arial" w:cs="Arial" w:eastAsia="Arial" w:hAnsi="Arial"/>
          <w:sz w:val="17"/>
          <w:szCs w:val="17"/>
          <w:color w:val="auto"/>
        </w:rPr>
        <w:t>So long as your Continuous Service Status does not terminate (and provided that only vested shares may be exercised following your Termination Date, as defined in Section 5 of the Stock Option Agreement), the Shares underlying this Option shall vest and become exercisable in accordance with the following schedule: «Vesting»</w:t>
      </w:r>
    </w:p>
    <w:p>
      <w:pPr>
        <w:spacing w:after="0" w:line="57" w:lineRule="exact"/>
        <w:rPr>
          <w:sz w:val="20"/>
          <w:szCs w:val="20"/>
          <w:color w:val="auto"/>
        </w:rPr>
      </w:pPr>
    </w:p>
    <w:p>
      <w:pPr>
        <w:sectPr>
          <w:pgSz w:w="11900" w:h="16838" w:orient="portrait"/>
          <w:cols w:equalWidth="0" w:num="2">
            <w:col w:w="1960" w:space="580"/>
            <w:col w:w="8460"/>
          </w:cols>
          <w:pgMar w:left="440" w:top="270" w:right="459" w:bottom="1440" w:gutter="0" w:footer="0" w:header="0"/>
          <w:type w:val="continuous"/>
        </w:sectPr>
      </w:pPr>
    </w:p>
    <w:p>
      <w:pPr>
        <w:spacing w:after="0"/>
        <w:rPr>
          <w:sz w:val="20"/>
          <w:szCs w:val="20"/>
          <w:color w:val="auto"/>
        </w:rPr>
      </w:pPr>
      <w:r>
        <w:rPr>
          <w:rFonts w:ascii="Arial" w:cs="Arial" w:eastAsia="Arial" w:hAnsi="Arial"/>
          <w:sz w:val="16"/>
          <w:szCs w:val="16"/>
          <w:color w:val="auto"/>
        </w:rPr>
        <w:t>Termination Period:</w:t>
      </w:r>
    </w:p>
    <w:p>
      <w:pPr>
        <w:spacing w:after="0" w:line="20" w:lineRule="exact"/>
        <w:rPr>
          <w:sz w:val="20"/>
          <w:szCs w:val="20"/>
          <w:color w:val="auto"/>
        </w:rPr>
      </w:pPr>
      <w:r>
        <w:rPr>
          <w:sz w:val="20"/>
          <w:szCs w:val="20"/>
          <w:color w:val="auto"/>
        </w:rPr>
        <w:br w:type="column"/>
      </w:r>
    </w:p>
    <w:p>
      <w:pPr>
        <w:spacing w:after="0" w:line="263" w:lineRule="auto"/>
        <w:rPr>
          <w:sz w:val="20"/>
          <w:szCs w:val="20"/>
          <w:color w:val="auto"/>
        </w:rPr>
      </w:pPr>
      <w:r>
        <w:rPr>
          <w:rFonts w:ascii="Arial" w:cs="Arial" w:eastAsia="Arial" w:hAnsi="Arial"/>
          <w:sz w:val="18"/>
          <w:szCs w:val="18"/>
          <w:color w:val="auto"/>
        </w:rPr>
        <w:t>You may exercise this Option until the Expiration Date, provided this Option may terminate earlier than the Expiration Date (and no longer be exercisable) pursuant to the Asana, Inc. Amended and Restated 2012 Stock Plan or Section 5 of the Stock Option Agreement.</w:t>
      </w:r>
    </w:p>
    <w:p>
      <w:pPr>
        <w:spacing w:after="0" w:line="76" w:lineRule="exact"/>
        <w:rPr>
          <w:sz w:val="20"/>
          <w:szCs w:val="20"/>
          <w:color w:val="auto"/>
        </w:rPr>
      </w:pPr>
    </w:p>
    <w:p>
      <w:pPr>
        <w:sectPr>
          <w:pgSz w:w="11900" w:h="16838" w:orient="portrait"/>
          <w:cols w:equalWidth="0" w:num="2">
            <w:col w:w="1820" w:space="720"/>
            <w:col w:w="8460"/>
          </w:cols>
          <w:pgMar w:left="440" w:top="270" w:right="459" w:bottom="1440" w:gutter="0" w:footer="0" w:header="0"/>
          <w:type w:val="continuous"/>
        </w:sectPr>
      </w:pPr>
    </w:p>
    <w:p>
      <w:pPr>
        <w:spacing w:after="0"/>
        <w:rPr>
          <w:sz w:val="20"/>
          <w:szCs w:val="20"/>
          <w:color w:val="auto"/>
        </w:rPr>
      </w:pPr>
      <w:r>
        <w:rPr>
          <w:rFonts w:ascii="Arial" w:cs="Arial" w:eastAsia="Arial" w:hAnsi="Arial"/>
          <w:sz w:val="16"/>
          <w:szCs w:val="16"/>
          <w:color w:val="auto"/>
        </w:rPr>
        <w:t>Transferability:</w:t>
      </w:r>
    </w:p>
    <w:p>
      <w:pPr>
        <w:spacing w:after="0" w:line="20" w:lineRule="exact"/>
        <w:rPr>
          <w:sz w:val="20"/>
          <w:szCs w:val="20"/>
          <w:color w:val="auto"/>
        </w:rPr>
      </w:pPr>
      <w:r>
        <w:rPr>
          <w:sz w:val="20"/>
          <w:szCs w:val="20"/>
          <w:color w:val="auto"/>
        </w:rPr>
        <w:br w:type="column"/>
      </w:r>
    </w:p>
    <w:p>
      <w:pPr>
        <w:ind w:right="140"/>
        <w:spacing w:after="0" w:line="263" w:lineRule="auto"/>
        <w:rPr>
          <w:sz w:val="20"/>
          <w:szCs w:val="20"/>
          <w:color w:val="auto"/>
        </w:rPr>
      </w:pPr>
      <w:r>
        <w:rPr>
          <w:rFonts w:ascii="Arial" w:cs="Arial" w:eastAsia="Arial" w:hAnsi="Arial"/>
          <w:sz w:val="18"/>
          <w:szCs w:val="18"/>
          <w:color w:val="auto"/>
        </w:rPr>
        <w:t>You may not transfer this Option except as set forth in Section 6 of the Stock Option Agreement (subject to compliance with Applicable Laws). You must obtain Company approval prior to any transfer of the Shares received upon exercise of this Option</w:t>
      </w:r>
    </w:p>
    <w:p>
      <w:pPr>
        <w:spacing w:after="0" w:line="184" w:lineRule="exact"/>
        <w:rPr>
          <w:sz w:val="20"/>
          <w:szCs w:val="20"/>
          <w:color w:val="auto"/>
        </w:rPr>
      </w:pPr>
    </w:p>
    <w:p>
      <w:pPr>
        <w:sectPr>
          <w:pgSz w:w="11900" w:h="16838" w:orient="portrait"/>
          <w:cols w:equalWidth="0" w:num="2">
            <w:col w:w="1820" w:space="720"/>
            <w:col w:w="8460"/>
          </w:cols>
          <w:pgMar w:left="440" w:top="270" w:right="45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[Signature Page Follows]</w:t>
      </w:r>
    </w:p>
    <w:p>
      <w:pPr>
        <w:sectPr>
          <w:pgSz w:w="11900" w:h="16838" w:orient="portrait"/>
          <w:cols w:equalWidth="0" w:num="1">
            <w:col w:w="11000"/>
          </w:cols>
          <w:pgMar w:left="440" w:top="270" w:right="459" w:bottom="1440" w:gutter="0" w:footer="0" w:header="0"/>
          <w:type w:val="continuous"/>
        </w:sectPr>
      </w:pPr>
    </w:p>
    <w:bookmarkStart w:id="342" w:name="page343"/>
    <w:bookmarkEnd w:id="342"/>
    <w:p>
      <w:pPr>
        <w:ind w:right="80"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By your signature and the signature of the Company’s representative below or by otherwise accepting this grant, you and the Company agree that this Option is granted under and governed by the terms and conditions of this Notice and the Asana, Inc. Amended and Restated 2012 Stock Plan and Stock Option Agreement (which includes the Country-Specific Addendum), both of which are attached to and made a part of this Notice.</w:t>
      </w:r>
    </w:p>
    <w:p>
      <w:pPr>
        <w:spacing w:after="0" w:line="149"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In addition, you agree and acknowledge that your rights to any Shares underlying this Option will vest only as you provide services to the Company over time, that the grant of this Option is not as consideration for services you rendered to the Company prior to your date of hire, and that nothing in this Notice or the attached documents confers upon you any right to continue your employment or consulting relationship with the Company for any period of time, nor does it interfere in any way with your right or the Company’s right to terminate that relationship at any time, for any reason, with or without cause, subject to Applicable Laws. Also, to the extent applicable, the Exercise Price Per Share has been set in good faith compliance with the applicable guidance issued by the IRS under Section 409A of the Code. However, there is no guarantee that the IRS will agree with the valuation, and by signing below, you agree and acknowledge that the Company, its Board, officers, employees, agents and stockholders shall not be held liable for any applicable costs, taxes, or penalties associated with this Option if, in fact, the IRS or any other person (including, without limitation, a successor corporation or an acquirer in a Change of Control) were to determine that this Option constitutes deferred compensation under Section 409A of the Code. You should consult with your own tax advisor concerning the tax consequences of such a determination by the IRS. For purposes of this paragraph, the term “Company” will be interpreted to include any Parent, Subsidiary or Affiliate.</w:t>
      </w:r>
    </w:p>
    <w:p>
      <w:pPr>
        <w:spacing w:after="0" w:line="200" w:lineRule="exact"/>
        <w:rPr>
          <w:sz w:val="20"/>
          <w:szCs w:val="20"/>
          <w:color w:val="auto"/>
        </w:rPr>
      </w:pP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THE COMPANY</w:t>
      </w:r>
      <w:r>
        <w:rPr>
          <w:rFonts w:ascii="Arial" w:cs="Arial" w:eastAsia="Arial" w:hAnsi="Arial"/>
          <w:sz w:val="18"/>
          <w:szCs w:val="18"/>
          <w:color w:val="auto"/>
        </w:rPr>
        <w:t>:</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ASANA,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5715</wp:posOffset>
            </wp:positionV>
            <wp:extent cx="242570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22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OPTIONEE</w:t>
      </w:r>
      <w:r>
        <w:rPr>
          <w:rFonts w:ascii="Arial" w:cs="Arial" w:eastAsia="Arial" w:hAnsi="Arial"/>
          <w:sz w:val="18"/>
          <w:szCs w:val="18"/>
          <w:color w:val="auto"/>
        </w:rPr>
        <w:t>:</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«OPTIONEE»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142875</wp:posOffset>
            </wp:positionV>
            <wp:extent cx="2794635"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2794635" cy="889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297180</wp:posOffset>
            </wp:positionV>
            <wp:extent cx="2794635"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451485</wp:posOffset>
            </wp:positionV>
            <wp:extent cx="279463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343" w:name="page344"/>
    <w:bookmarkEnd w:id="34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ASANA,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2012 STOCK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AGREEMENT</w:t>
      </w:r>
    </w:p>
    <w:p>
      <w:pPr>
        <w:spacing w:after="0" w:line="117" w:lineRule="exact"/>
        <w:rPr>
          <w:sz w:val="20"/>
          <w:szCs w:val="20"/>
          <w:color w:val="auto"/>
        </w:rPr>
      </w:pPr>
    </w:p>
    <w:p>
      <w:pPr>
        <w:ind w:right="20" w:firstLine="436"/>
        <w:spacing w:after="0" w:line="256" w:lineRule="auto"/>
        <w:tabs>
          <w:tab w:leader="none" w:pos="620" w:val="left"/>
        </w:tabs>
        <w:numPr>
          <w:ilvl w:val="0"/>
          <w:numId w:val="310"/>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 of Option</w:t>
      </w:r>
      <w:r>
        <w:rPr>
          <w:rFonts w:ascii="Arial" w:cs="Arial" w:eastAsia="Arial" w:hAnsi="Arial"/>
          <w:sz w:val="18"/>
          <w:szCs w:val="18"/>
          <w:color w:val="auto"/>
        </w:rPr>
        <w:t>. Asana,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hereby grants to the person (“</w:t>
      </w:r>
      <w:r>
        <w:rPr>
          <w:rFonts w:ascii="Arial" w:cs="Arial" w:eastAsia="Arial" w:hAnsi="Arial"/>
          <w:sz w:val="18"/>
          <w:szCs w:val="18"/>
          <w:u w:val="single" w:color="auto"/>
          <w:color w:val="auto"/>
        </w:rPr>
        <w:t>Optionee</w:t>
      </w:r>
      <w:r>
        <w:rPr>
          <w:rFonts w:ascii="Arial" w:cs="Arial" w:eastAsia="Arial" w:hAnsi="Arial"/>
          <w:sz w:val="18"/>
          <w:szCs w:val="18"/>
          <w:color w:val="auto"/>
        </w:rPr>
        <w:t>”) named in the Notice of Stock</w:t>
      </w:r>
      <w:r>
        <w:rPr>
          <w:rFonts w:ascii="Arial" w:cs="Arial" w:eastAsia="Arial" w:hAnsi="Arial"/>
          <w:sz w:val="18"/>
          <w:szCs w:val="18"/>
          <w:b w:val="1"/>
          <w:bCs w:val="1"/>
          <w:color w:val="auto"/>
        </w:rPr>
        <w:t xml:space="preserve"> </w:t>
      </w:r>
      <w:r>
        <w:rPr>
          <w:rFonts w:ascii="Arial" w:cs="Arial" w:eastAsia="Arial" w:hAnsi="Arial"/>
          <w:sz w:val="18"/>
          <w:szCs w:val="18"/>
          <w:color w:val="auto"/>
        </w:rPr>
        <w:t>Option Grant (the “</w:t>
      </w:r>
      <w:r>
        <w:rPr>
          <w:rFonts w:ascii="Arial" w:cs="Arial" w:eastAsia="Arial" w:hAnsi="Arial"/>
          <w:sz w:val="18"/>
          <w:szCs w:val="18"/>
          <w:u w:val="single" w:color="auto"/>
          <w:color w:val="auto"/>
        </w:rPr>
        <w:t>Notice</w:t>
      </w:r>
      <w:r>
        <w:rPr>
          <w:rFonts w:ascii="Arial" w:cs="Arial" w:eastAsia="Arial" w:hAnsi="Arial"/>
          <w:sz w:val="18"/>
          <w:szCs w:val="18"/>
          <w:color w:val="auto"/>
        </w:rPr>
        <w:t>”), an option (the “</w:t>
      </w:r>
      <w:r>
        <w:rPr>
          <w:rFonts w:ascii="Arial" w:cs="Arial" w:eastAsia="Arial" w:hAnsi="Arial"/>
          <w:sz w:val="18"/>
          <w:szCs w:val="18"/>
          <w:u w:val="single" w:color="auto"/>
          <w:color w:val="auto"/>
        </w:rPr>
        <w:t>Option</w:t>
      </w:r>
      <w:r>
        <w:rPr>
          <w:rFonts w:ascii="Arial" w:cs="Arial" w:eastAsia="Arial" w:hAnsi="Arial"/>
          <w:sz w:val="18"/>
          <w:szCs w:val="18"/>
          <w:color w:val="auto"/>
        </w:rPr>
        <w:t>”) to purchase the total number of shares of Class B Common Stock (the “</w:t>
      </w:r>
      <w:r>
        <w:rPr>
          <w:rFonts w:ascii="Arial" w:cs="Arial" w:eastAsia="Arial" w:hAnsi="Arial"/>
          <w:sz w:val="18"/>
          <w:szCs w:val="18"/>
          <w:u w:val="single" w:color="auto"/>
          <w:color w:val="auto"/>
        </w:rPr>
        <w:t>Shares</w:t>
      </w:r>
      <w:r>
        <w:rPr>
          <w:rFonts w:ascii="Arial" w:cs="Arial" w:eastAsia="Arial" w:hAnsi="Arial"/>
          <w:sz w:val="18"/>
          <w:szCs w:val="18"/>
          <w:color w:val="auto"/>
        </w:rPr>
        <w:t>”) set forth in the Notice at the exercise price per Share set forth in the Notice (the “Exercise Price”) subject to the terms, definitions and provisions of the Asana, Inc. Amended and Restated 2012 Stock Plan (the “</w:t>
      </w:r>
      <w:r>
        <w:rPr>
          <w:rFonts w:ascii="Arial" w:cs="Arial" w:eastAsia="Arial" w:hAnsi="Arial"/>
          <w:sz w:val="18"/>
          <w:szCs w:val="18"/>
          <w:u w:val="single" w:color="auto"/>
          <w:color w:val="auto"/>
        </w:rPr>
        <w:t>Plan</w:t>
      </w:r>
      <w:r>
        <w:rPr>
          <w:rFonts w:ascii="Arial" w:cs="Arial" w:eastAsia="Arial" w:hAnsi="Arial"/>
          <w:sz w:val="18"/>
          <w:szCs w:val="18"/>
          <w:color w:val="auto"/>
        </w:rPr>
        <w:t>”) adopted by the Company, which is incorporated in this Stock Option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by reference. Unless otherwise defined in this Agreement, the terms used in this Agreement or the Notice shall have the meanings defined in the Plan.</w:t>
      </w:r>
    </w:p>
    <w:p>
      <w:pPr>
        <w:spacing w:after="0" w:line="79" w:lineRule="exact"/>
        <w:rPr>
          <w:rFonts w:ascii="Arial" w:cs="Arial" w:eastAsia="Arial" w:hAnsi="Arial"/>
          <w:sz w:val="18"/>
          <w:szCs w:val="18"/>
          <w:color w:val="auto"/>
        </w:rPr>
      </w:pPr>
    </w:p>
    <w:p>
      <w:pPr>
        <w:ind w:right="60" w:firstLine="436"/>
        <w:spacing w:after="0" w:line="266" w:lineRule="auto"/>
        <w:tabs>
          <w:tab w:leader="none" w:pos="620" w:val="left"/>
        </w:tabs>
        <w:numPr>
          <w:ilvl w:val="0"/>
          <w:numId w:val="310"/>
        </w:numPr>
        <w:rPr>
          <w:rFonts w:ascii="Arial" w:cs="Arial" w:eastAsia="Arial" w:hAnsi="Arial"/>
          <w:sz w:val="18"/>
          <w:szCs w:val="18"/>
          <w:color w:val="auto"/>
        </w:rPr>
      </w:pPr>
      <w:r>
        <w:rPr>
          <w:rFonts w:ascii="Arial" w:cs="Arial" w:eastAsia="Arial" w:hAnsi="Arial"/>
          <w:sz w:val="18"/>
          <w:szCs w:val="18"/>
          <w:b w:val="1"/>
          <w:bCs w:val="1"/>
          <w:u w:val="single" w:color="auto"/>
          <w:color w:val="auto"/>
        </w:rPr>
        <w:t>Designation of Option</w:t>
      </w:r>
      <w:r>
        <w:rPr>
          <w:rFonts w:ascii="Arial" w:cs="Arial" w:eastAsia="Arial" w:hAnsi="Arial"/>
          <w:sz w:val="18"/>
          <w:szCs w:val="18"/>
          <w:color w:val="auto"/>
        </w:rPr>
        <w:t>. This Option is intended to be an Incentive Stock Option as defined in Section 422 of the Code only to the extent so</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designated in the Notice, and to the extent it is not so designated or to the extent this Option does not qualify as an Incentive Stock Option, it is intended to be a Nonstatutory Stock Option.</w:t>
      </w:r>
    </w:p>
    <w:p>
      <w:pPr>
        <w:spacing w:after="0" w:line="72"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Notwithstanding the above, if designated as an Incentive Stock Option, in the event that the Shares subject to this Option (and all other incentive stock options granted to Optionee by the Company or any Parent or Subsidiary, including under other plans) that first become exercisable in any calendar year have an aggregate fair market value (determined for each Share as of the date of grant of the option covering such Share) in excess of USD $100,000, the Shares in excess of USD $100,000 shall be treated as subject to a nonstatutory stock option, in accordance with Section 5(c) of the Plan.</w:t>
      </w:r>
    </w:p>
    <w:p>
      <w:pPr>
        <w:spacing w:after="0" w:line="45" w:lineRule="exact"/>
        <w:rPr>
          <w:sz w:val="20"/>
          <w:szCs w:val="20"/>
          <w:color w:val="auto"/>
        </w:rPr>
      </w:pPr>
    </w:p>
    <w:p>
      <w:pPr>
        <w:ind w:right="300" w:firstLine="436"/>
        <w:spacing w:after="0" w:line="282" w:lineRule="auto"/>
        <w:tabs>
          <w:tab w:leader="none" w:pos="620" w:val="left"/>
        </w:tabs>
        <w:numPr>
          <w:ilvl w:val="0"/>
          <w:numId w:val="311"/>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 of Option</w:t>
      </w:r>
      <w:r>
        <w:rPr>
          <w:rFonts w:ascii="Arial" w:cs="Arial" w:eastAsia="Arial" w:hAnsi="Arial"/>
          <w:sz w:val="18"/>
          <w:szCs w:val="18"/>
          <w:color w:val="auto"/>
        </w:rPr>
        <w:t>. This Option shall be exercisable during its term in accordance with the Vesting/Exercise Schedule set out in the Notice,</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provisions of Section 7(c) of the Plan and as follows:</w:t>
      </w:r>
    </w:p>
    <w:p>
      <w:pPr>
        <w:spacing w:after="0" w:line="53" w:lineRule="exact"/>
        <w:rPr>
          <w:rFonts w:ascii="Arial" w:cs="Arial" w:eastAsia="Arial" w:hAnsi="Arial"/>
          <w:sz w:val="18"/>
          <w:szCs w:val="18"/>
          <w:color w:val="auto"/>
        </w:rPr>
      </w:pPr>
    </w:p>
    <w:p>
      <w:pPr>
        <w:ind w:left="1240" w:hanging="253"/>
        <w:spacing w:after="0"/>
        <w:tabs>
          <w:tab w:leader="none" w:pos="1240" w:val="left"/>
        </w:tabs>
        <w:numPr>
          <w:ilvl w:val="1"/>
          <w:numId w:val="311"/>
        </w:numPr>
        <w:rPr>
          <w:rFonts w:ascii="Arial" w:cs="Arial" w:eastAsia="Arial" w:hAnsi="Arial"/>
          <w:sz w:val="18"/>
          <w:szCs w:val="18"/>
          <w:color w:val="auto"/>
        </w:rPr>
      </w:pPr>
      <w:r>
        <w:rPr>
          <w:rFonts w:ascii="Arial" w:cs="Arial" w:eastAsia="Arial" w:hAnsi="Arial"/>
          <w:sz w:val="18"/>
          <w:szCs w:val="18"/>
          <w:b w:val="1"/>
          <w:bCs w:val="1"/>
          <w:u w:val="single" w:color="auto"/>
          <w:color w:val="auto"/>
        </w:rPr>
        <w:t>Right to Exercise</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1640" w:hanging="212"/>
        <w:spacing w:after="0"/>
        <w:tabs>
          <w:tab w:leader="none" w:pos="1640" w:val="left"/>
        </w:tabs>
        <w:numPr>
          <w:ilvl w:val="2"/>
          <w:numId w:val="311"/>
        </w:numPr>
        <w:rPr>
          <w:rFonts w:ascii="Arial" w:cs="Arial" w:eastAsia="Arial" w:hAnsi="Arial"/>
          <w:sz w:val="18"/>
          <w:szCs w:val="18"/>
          <w:color w:val="auto"/>
        </w:rPr>
      </w:pPr>
      <w:r>
        <w:rPr>
          <w:rFonts w:ascii="Arial" w:cs="Arial" w:eastAsia="Arial" w:hAnsi="Arial"/>
          <w:sz w:val="18"/>
          <w:szCs w:val="18"/>
          <w:color w:val="auto"/>
        </w:rPr>
        <w:t>This Option may not be exercised for a fraction of a share.</w:t>
      </w:r>
    </w:p>
    <w:p>
      <w:pPr>
        <w:spacing w:after="0" w:line="117" w:lineRule="exact"/>
        <w:rPr>
          <w:rFonts w:ascii="Arial" w:cs="Arial" w:eastAsia="Arial" w:hAnsi="Arial"/>
          <w:sz w:val="18"/>
          <w:szCs w:val="18"/>
          <w:color w:val="auto"/>
        </w:rPr>
      </w:pPr>
    </w:p>
    <w:p>
      <w:pPr>
        <w:ind w:right="260" w:firstLine="1428"/>
        <w:spacing w:after="0" w:line="277" w:lineRule="auto"/>
        <w:tabs>
          <w:tab w:leader="none" w:pos="1697" w:val="left"/>
        </w:tabs>
        <w:numPr>
          <w:ilvl w:val="2"/>
          <w:numId w:val="311"/>
        </w:numPr>
        <w:rPr>
          <w:rFonts w:ascii="Arial" w:cs="Arial" w:eastAsia="Arial" w:hAnsi="Arial"/>
          <w:sz w:val="18"/>
          <w:szCs w:val="18"/>
          <w:color w:val="auto"/>
        </w:rPr>
      </w:pPr>
      <w:r>
        <w:rPr>
          <w:rFonts w:ascii="Arial" w:cs="Arial" w:eastAsia="Arial" w:hAnsi="Arial"/>
          <w:sz w:val="18"/>
          <w:szCs w:val="18"/>
          <w:color w:val="auto"/>
        </w:rPr>
        <w:t>In the event of Optionee’s termination of Continuous Service Status, the exercisability of this Option is governed by Section 5 below, subject to the limitations contained in this Section 3.</w:t>
      </w:r>
    </w:p>
    <w:p>
      <w:pPr>
        <w:spacing w:after="0" w:line="62" w:lineRule="exact"/>
        <w:rPr>
          <w:rFonts w:ascii="Arial" w:cs="Arial" w:eastAsia="Arial" w:hAnsi="Arial"/>
          <w:sz w:val="18"/>
          <w:szCs w:val="18"/>
          <w:color w:val="auto"/>
        </w:rPr>
      </w:pPr>
    </w:p>
    <w:p>
      <w:pPr>
        <w:ind w:left="1740" w:hanging="312"/>
        <w:spacing w:after="0"/>
        <w:tabs>
          <w:tab w:leader="none" w:pos="1740" w:val="left"/>
        </w:tabs>
        <w:numPr>
          <w:ilvl w:val="2"/>
          <w:numId w:val="311"/>
        </w:numPr>
        <w:rPr>
          <w:rFonts w:ascii="Arial" w:cs="Arial" w:eastAsia="Arial" w:hAnsi="Arial"/>
          <w:sz w:val="18"/>
          <w:szCs w:val="18"/>
          <w:color w:val="auto"/>
        </w:rPr>
      </w:pPr>
      <w:r>
        <w:rPr>
          <w:rFonts w:ascii="Arial" w:cs="Arial" w:eastAsia="Arial" w:hAnsi="Arial"/>
          <w:sz w:val="18"/>
          <w:szCs w:val="18"/>
          <w:color w:val="auto"/>
        </w:rPr>
        <w:t>In no event may this Option be exercised after the Expiration Date set forth in the Notice.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270" w:right="439" w:bottom="1440" w:gutter="0" w:footer="0" w:header="0"/>
        </w:sectPr>
      </w:pPr>
    </w:p>
    <w:bookmarkStart w:id="344" w:name="page345"/>
    <w:bookmarkEnd w:id="344"/>
    <w:p>
      <w:pPr>
        <w:ind w:left="1240" w:hanging="253"/>
        <w:spacing w:after="0"/>
        <w:tabs>
          <w:tab w:leader="none" w:pos="1240" w:val="left"/>
        </w:tabs>
        <w:numPr>
          <w:ilvl w:val="0"/>
          <w:numId w:val="312"/>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Method of Exercise</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firstLine="1428"/>
        <w:spacing w:after="0" w:line="273" w:lineRule="auto"/>
        <w:tabs>
          <w:tab w:leader="none" w:pos="1647" w:val="left"/>
        </w:tabs>
        <w:numPr>
          <w:ilvl w:val="1"/>
          <w:numId w:val="312"/>
        </w:numPr>
        <w:rPr>
          <w:rFonts w:ascii="Arial" w:cs="Arial" w:eastAsia="Arial" w:hAnsi="Arial"/>
          <w:sz w:val="17"/>
          <w:szCs w:val="17"/>
          <w:color w:val="auto"/>
        </w:rPr>
      </w:pPr>
      <w:r>
        <w:rPr>
          <w:rFonts w:ascii="Arial" w:cs="Arial" w:eastAsia="Arial" w:hAnsi="Arial"/>
          <w:sz w:val="17"/>
          <w:szCs w:val="17"/>
          <w:color w:val="auto"/>
        </w:rPr>
        <w:t xml:space="preserve">This Option shall be exercisable by execution and delivery of the Exercise Agreement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or of any other form of written notice approved for such purpose by the Company which shall state Optionee’s election to exercise this Option, the number of Shares in respect of which this Option is being exercised, and such other representations and agreements as to the holder’s investment intent with respect to such Shares as may be required by the Company pursuant to the provisions of the Plan. Such written notice shall be signed by Optionee and shall be delivered to the Company by such means as are determined by the Company in its discretion to constitute adequate delivery. The written notice shall be accompanied by payment of the aggregate Exercise Price for the purchased Shares.</w:t>
      </w:r>
    </w:p>
    <w:p>
      <w:pPr>
        <w:spacing w:after="0" w:line="177" w:lineRule="exact"/>
        <w:rPr>
          <w:rFonts w:ascii="Arial" w:cs="Arial" w:eastAsia="Arial" w:hAnsi="Arial"/>
          <w:sz w:val="17"/>
          <w:szCs w:val="17"/>
          <w:color w:val="auto"/>
        </w:rPr>
      </w:pPr>
    </w:p>
    <w:p>
      <w:pPr>
        <w:ind w:right="40" w:firstLine="1428"/>
        <w:spacing w:after="0" w:line="284" w:lineRule="auto"/>
        <w:tabs>
          <w:tab w:leader="none" w:pos="1697" w:val="left"/>
        </w:tabs>
        <w:numPr>
          <w:ilvl w:val="1"/>
          <w:numId w:val="312"/>
        </w:numPr>
        <w:rPr>
          <w:rFonts w:ascii="Arial" w:cs="Arial" w:eastAsia="Arial" w:hAnsi="Arial"/>
          <w:sz w:val="16"/>
          <w:szCs w:val="16"/>
          <w:color w:val="auto"/>
        </w:rPr>
      </w:pPr>
      <w:r>
        <w:rPr>
          <w:rFonts w:ascii="Arial" w:cs="Arial" w:eastAsia="Arial" w:hAnsi="Arial"/>
          <w:sz w:val="16"/>
          <w:szCs w:val="16"/>
          <w:color w:val="auto"/>
        </w:rPr>
        <w:t>As a condition to the grant, vesting and exercise of this Option and as further set forth in Section 9 of the Plan, Optionee hereby agrees to make adequate provision for the satisfaction of (and will indemnify the Company and any Subsidiary or Affiliate for) any applicable taxes or tax withholdings, social contributions, required deductions, or other payments, if any (“</w:t>
      </w:r>
      <w:r>
        <w:rPr>
          <w:rFonts w:ascii="Arial" w:cs="Arial" w:eastAsia="Arial" w:hAnsi="Arial"/>
          <w:sz w:val="16"/>
          <w:szCs w:val="16"/>
          <w:u w:val="single" w:color="auto"/>
          <w:color w:val="auto"/>
        </w:rPr>
        <w:t>Tax-Related Items</w:t>
      </w:r>
      <w:r>
        <w:rPr>
          <w:rFonts w:ascii="Arial" w:cs="Arial" w:eastAsia="Arial" w:hAnsi="Arial"/>
          <w:sz w:val="16"/>
          <w:szCs w:val="16"/>
          <w:color w:val="auto"/>
        </w:rPr>
        <w:t>”), which arise upon the grant, vesting or exercise of this Option, ownership or disposition of Shares, receipt of dividends, if any, or otherwise in connection with this Option or the Shares, whether by withholding (from payroll or any payment of any kind otherwise due to Optionee), direct payment to the Company, or otherwise as determined by the Company in its sole discretion. Regardless of any action the Company or any Subsidiary or Affiliate takes with respect to any or all applicable Tax-Related Items, Optionee acknowledges and agrees that the ultimate liability for all Tax-Related Items is and remains Optionee’s responsibility and may exceed any amount actually withheld by the Company or any Subsidiary or Affiliate. Optionee further acknowledges and agrees that Optionee is solely responsible for filing all relevant documentation that may be required in relation to this Option or any Tax-Related Items other than filings or documentation that is the specific obligation of the Company or any Subsidiary or Affiliate pursuant to Applicable Law, such as but not limited to personal income tax returns or reporting statements in relation to the grant, vesting or exercise of this Option, the holding of Shares or any bank or brokerage account, the subsequent sale of Shares, and the receipt of any dividends. Optionee further acknowledges that the Company makes no representations or undertakings regarding the treatment of any Tax-Related Items and does not commit to and is under no obligation to structure the terms or any aspect of the Option to reduce or eliminate Optionee’s liability for Tax-Related Items or achieve any particular tax result. Optionee also understands that Applicable Laws may require varying Share or Option valuation methods for purposes of calculating Tax-Related Items, and the Company assumes no responsibility or liability in relation to any such valuation or for any calculation or reporting of income or Tax-Related Items that may be required of Optionee under Applicable Laws. Further, if Optionee has become subject to Tax-Related Items in more than one jurisdiction, Optionee acknowledges that the Company or any Subsidiary or Affiliate may be required to withhold or account for Tax-Related Items in more than one jurisdiction. The Company is not obligated, and will have no liability for failure, to issue or deliver any Shares upon exercise of this Option unless such issuance or delivery would comply with the Applicable Laws, with such compliance determined by the Company in consultation with its legal counsel. Furthermore, Optionee understands that the Applicable Laws of the country in which Optionee is residing or working at the time of grant, vesting, and/or exercise of this Option (including any rules or regulations governing securities, foreign exchange, tax, labor or other matters) may restrict or prevent exercise of this Option and neither the Company nor any Parent, Subsidiary or Affiliate assumes any liability in relation to this Option in such case. This Option may not be exercised until such time as the Plan has been approved by the holders of capital stock of the Company, or if the issuance of such Shares upon such exercise or the method of payment of consideration for such Shares would constitute a violation of any Applicable Laws, including any applicable U.S. federal or state securities laws or any other law or regulation, including any rule under Part 221 of Title 12 of the Code of Federal Regulations as promulgated by the Federal Reserve Board.</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345" w:name="page346"/>
    <w:bookmarkEnd w:id="345"/>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 a condition to the exercise of this Option, the Company may require Optionee to make any representation and warranty to the Company as may be required by the Applicable Laws. Assuming such compliance, for income tax purposes the Shares shall be considered transferred to Optionee on the date on which this Option is exercised with respect to such Shares, subject to Applicable Laws.</w:t>
      </w:r>
    </w:p>
    <w:p>
      <w:pPr>
        <w:spacing w:after="0" w:line="76" w:lineRule="exact"/>
        <w:rPr>
          <w:sz w:val="20"/>
          <w:szCs w:val="20"/>
          <w:color w:val="auto"/>
        </w:rPr>
      </w:pPr>
    </w:p>
    <w:p>
      <w:pPr>
        <w:jc w:val="both"/>
        <w:ind w:right="120" w:firstLine="1428"/>
        <w:spacing w:after="0" w:line="259" w:lineRule="auto"/>
        <w:tabs>
          <w:tab w:leader="none" w:pos="1747" w:val="left"/>
        </w:tabs>
        <w:numPr>
          <w:ilvl w:val="1"/>
          <w:numId w:val="313"/>
        </w:numPr>
        <w:rPr>
          <w:rFonts w:ascii="Arial" w:cs="Arial" w:eastAsia="Arial" w:hAnsi="Arial"/>
          <w:sz w:val="18"/>
          <w:szCs w:val="18"/>
          <w:color w:val="auto"/>
        </w:rPr>
      </w:pPr>
      <w:r>
        <w:rPr>
          <w:rFonts w:ascii="Arial" w:cs="Arial" w:eastAsia="Arial" w:hAnsi="Arial"/>
          <w:sz w:val="18"/>
          <w:szCs w:val="18"/>
          <w:color w:val="auto"/>
        </w:rPr>
        <w:t>Subject to compliance with Applicable Laws, this Option shall be deemed to be exercised upon receipt by the Company of the appropriate written notice of exercise accompanied by the Exercise Price and the satisfaction of any applicable obligations described in Section 3(b)(ii) above and any other requirements or restrictions that may be imposed by the Company to comply with Applicable Laws or facilitate administration of the Plan.</w:t>
      </w:r>
    </w:p>
    <w:p>
      <w:pPr>
        <w:spacing w:after="0" w:line="78" w:lineRule="exact"/>
        <w:rPr>
          <w:rFonts w:ascii="Arial" w:cs="Arial" w:eastAsia="Arial" w:hAnsi="Arial"/>
          <w:sz w:val="18"/>
          <w:szCs w:val="18"/>
          <w:color w:val="auto"/>
        </w:rPr>
      </w:pPr>
    </w:p>
    <w:p>
      <w:pPr>
        <w:ind w:right="420" w:firstLine="1428"/>
        <w:spacing w:after="0" w:line="259" w:lineRule="auto"/>
        <w:tabs>
          <w:tab w:leader="none" w:pos="1737" w:val="left"/>
        </w:tabs>
        <w:numPr>
          <w:ilvl w:val="1"/>
          <w:numId w:val="313"/>
        </w:numPr>
        <w:rPr>
          <w:rFonts w:ascii="Arial" w:cs="Arial" w:eastAsia="Arial" w:hAnsi="Arial"/>
          <w:sz w:val="18"/>
          <w:szCs w:val="18"/>
          <w:color w:val="auto"/>
        </w:rPr>
      </w:pPr>
      <w:r>
        <w:rPr>
          <w:rFonts w:ascii="Arial" w:cs="Arial" w:eastAsia="Arial" w:hAnsi="Arial"/>
          <w:sz w:val="18"/>
          <w:szCs w:val="18"/>
          <w:color w:val="auto"/>
        </w:rPr>
        <w:t>As a condition to exercise of this Option, Optionee must execute and deliver a counterpart signature page to that certain Amended and Restated Voting Agreement dated July 18, 2012, by and among the Company and certain of its stockholders (as may be amended or restated from time to time) (the “</w:t>
      </w:r>
      <w:r>
        <w:rPr>
          <w:rFonts w:ascii="Arial" w:cs="Arial" w:eastAsia="Arial" w:hAnsi="Arial"/>
          <w:sz w:val="18"/>
          <w:szCs w:val="18"/>
          <w:u w:val="single" w:color="auto"/>
          <w:color w:val="auto"/>
        </w:rPr>
        <w:t>Voting Agreement</w:t>
      </w:r>
      <w:r>
        <w:rPr>
          <w:rFonts w:ascii="Arial" w:cs="Arial" w:eastAsia="Arial" w:hAnsi="Arial"/>
          <w:sz w:val="18"/>
          <w:szCs w:val="18"/>
          <w:color w:val="auto"/>
        </w:rPr>
        <w:t>”) so as to become a party thereto, and to be bound by the terms and conditions thereof, as a 1% Holder (as defined in the Voting Agreement).</w:t>
      </w:r>
    </w:p>
    <w:p>
      <w:pPr>
        <w:spacing w:after="0" w:line="78" w:lineRule="exact"/>
        <w:rPr>
          <w:rFonts w:ascii="Arial" w:cs="Arial" w:eastAsia="Arial" w:hAnsi="Arial"/>
          <w:sz w:val="18"/>
          <w:szCs w:val="18"/>
          <w:color w:val="auto"/>
        </w:rPr>
      </w:pPr>
    </w:p>
    <w:p>
      <w:pPr>
        <w:ind w:right="360" w:firstLine="1428"/>
        <w:spacing w:after="0" w:line="259" w:lineRule="auto"/>
        <w:tabs>
          <w:tab w:leader="none" w:pos="1687" w:val="left"/>
        </w:tabs>
        <w:numPr>
          <w:ilvl w:val="1"/>
          <w:numId w:val="313"/>
        </w:numPr>
        <w:rPr>
          <w:rFonts w:ascii="Arial" w:cs="Arial" w:eastAsia="Arial" w:hAnsi="Arial"/>
          <w:sz w:val="18"/>
          <w:szCs w:val="18"/>
          <w:color w:val="auto"/>
        </w:rPr>
      </w:pPr>
      <w:r>
        <w:rPr>
          <w:rFonts w:ascii="Arial" w:cs="Arial" w:eastAsia="Arial" w:hAnsi="Arial"/>
          <w:sz w:val="18"/>
          <w:szCs w:val="18"/>
          <w:color w:val="auto"/>
        </w:rPr>
        <w:t>Optionee acknowledges that any Shares issued to Optionee upon exercise of this Option will be subject to a restriction on transfer as described in Article X of the Amended and Restated Bylaws of the Company, that any such Shares shall constitute Restricted Shares (as defined in the Amended and Restated Bylaws of the Company), and that the approval of the Company’s Board of Directors must be obtained before Optionee can transfer any such Shares.</w:t>
      </w:r>
    </w:p>
    <w:p>
      <w:pPr>
        <w:spacing w:after="0" w:line="182" w:lineRule="exact"/>
        <w:rPr>
          <w:rFonts w:ascii="Arial" w:cs="Arial" w:eastAsia="Arial" w:hAnsi="Arial"/>
          <w:sz w:val="18"/>
          <w:szCs w:val="18"/>
          <w:color w:val="auto"/>
        </w:rPr>
      </w:pPr>
    </w:p>
    <w:p>
      <w:pPr>
        <w:ind w:right="20" w:firstLine="436"/>
        <w:spacing w:after="0" w:line="269" w:lineRule="auto"/>
        <w:tabs>
          <w:tab w:leader="none" w:pos="620" w:val="left"/>
        </w:tabs>
        <w:numPr>
          <w:ilvl w:val="0"/>
          <w:numId w:val="314"/>
        </w:numPr>
        <w:rPr>
          <w:rFonts w:ascii="Arial" w:cs="Arial" w:eastAsia="Arial" w:hAnsi="Arial"/>
          <w:sz w:val="17"/>
          <w:szCs w:val="17"/>
          <w:color w:val="auto"/>
        </w:rPr>
      </w:pPr>
      <w:r>
        <w:rPr>
          <w:rFonts w:ascii="Arial" w:cs="Arial" w:eastAsia="Arial" w:hAnsi="Arial"/>
          <w:sz w:val="17"/>
          <w:szCs w:val="17"/>
          <w:b w:val="1"/>
          <w:bCs w:val="1"/>
          <w:u w:val="single" w:color="auto"/>
          <w:color w:val="auto"/>
        </w:rPr>
        <w:t>Method of Payment</w:t>
      </w:r>
      <w:r>
        <w:rPr>
          <w:rFonts w:ascii="Arial" w:cs="Arial" w:eastAsia="Arial" w:hAnsi="Arial"/>
          <w:sz w:val="17"/>
          <w:szCs w:val="17"/>
          <w:color w:val="auto"/>
        </w:rPr>
        <w:t>. Unless otherwise specified by the Company in its sole discretion to comply with Applicable Laws or facilitate the</w:t>
      </w:r>
      <w:r>
        <w:rPr>
          <w:rFonts w:ascii="Arial" w:cs="Arial" w:eastAsia="Arial" w:hAnsi="Arial"/>
          <w:sz w:val="17"/>
          <w:szCs w:val="17"/>
          <w:b w:val="1"/>
          <w:bCs w:val="1"/>
          <w:color w:val="auto"/>
        </w:rPr>
        <w:t xml:space="preserve"> </w:t>
      </w:r>
      <w:r>
        <w:rPr>
          <w:rFonts w:ascii="Arial" w:cs="Arial" w:eastAsia="Arial" w:hAnsi="Arial"/>
          <w:sz w:val="17"/>
          <w:szCs w:val="17"/>
          <w:color w:val="auto"/>
        </w:rPr>
        <w:t>administration of the Plan, payment of the Exercise Price shall be by cash or check or, following the initial public offering of the Company’s securities, by Cashless Exercise pursuant to which the Optionee delivers an irrevocable direction to a securities broker (on a form prescribed by the Company and according to a procedure established by the Company). Optionee understands and agrees that, unless otherwise permitted by the Company or Applicable Laws, any cross- border cash remittance made to exercise this Option or transfer proceeds received upon the sale of Shares must be made through a locally authorized financial institution or registered foreign exchange agency and may require Optionee to provide to such entity certain information regarding the transaction. Moreover, Optionee understands and agrees that the future value of the underlying Shares is unknown and cannot be predicted with certainty and may decrease in value, even below the Exercise Price. Optionee understands that neither the Company nor any Subsidiary or Affiliate is responsible for any foreign exchange fluctuation between local currency and the United States Dollar or the selection by the Company or any Subsidiary or Affiliate in its sole discretion of an applicable foreign currency exchange rate that may affect the value of the Option (or the calculation of income or Tax-Related Items thereunder).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346" w:name="page347"/>
    <w:bookmarkEnd w:id="346"/>
    <w:p>
      <w:pPr>
        <w:ind w:left="-60" w:firstLine="436"/>
        <w:spacing w:after="0" w:line="291" w:lineRule="auto"/>
        <w:tabs>
          <w:tab w:leader="none" w:pos="560" w:val="left"/>
        </w:tabs>
        <w:numPr>
          <w:ilvl w:val="0"/>
          <w:numId w:val="315"/>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Termination of Relationship</w:t>
      </w:r>
      <w:r>
        <w:rPr>
          <w:rFonts w:ascii="Arial" w:cs="Arial" w:eastAsia="Arial" w:hAnsi="Arial"/>
          <w:sz w:val="16"/>
          <w:szCs w:val="16"/>
          <w:color w:val="auto"/>
        </w:rPr>
        <w:t>. Following the date of termination of Optionee’s Continuous Service Status for any reason (the “</w:t>
      </w:r>
      <w:r>
        <w:rPr>
          <w:rFonts w:ascii="Arial" w:cs="Arial" w:eastAsia="Arial" w:hAnsi="Arial"/>
          <w:sz w:val="16"/>
          <w:szCs w:val="16"/>
          <w:u w:val="single" w:color="auto"/>
          <w:color w:val="auto"/>
        </w:rPr>
        <w:t>Termination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Optionee may exercise this Option only as set forth in the Notice and this Section 5. If Optionee does not exercise this Option within the Termination Period set forth in the Notice or the termination periods set forth below, this Option shall terminate in its entirety. In no event, may any Option be exercised after the Expiration Date of this Option as set forth in the Notice. For the avoidance of doubt and for purposes of this Option only, termination of Continuous Service Status and the Termination Date will be deemed to occur as of the date Optionee is no longer actively providing services as an Employee or Consultant (except, in certain circumstances at the sole discretion of the Company, to the extent Optionee is on a Company-approved leave of absence and subject to any Company policy or Applicable Laws regarding such leaves) and will not be extended by any notice period or “garden leave” that may be required contractually or under Applicable Laws, unless otherwise determined by the Company in its sole discretion.</w:t>
      </w:r>
    </w:p>
    <w:p>
      <w:pPr>
        <w:spacing w:after="0" w:line="51" w:lineRule="exact"/>
        <w:rPr>
          <w:rFonts w:ascii="Arial" w:cs="Arial" w:eastAsia="Arial" w:hAnsi="Arial"/>
          <w:sz w:val="16"/>
          <w:szCs w:val="16"/>
          <w:color w:val="auto"/>
        </w:rPr>
      </w:pPr>
    </w:p>
    <w:p>
      <w:pPr>
        <w:ind w:left="-60" w:right="280" w:firstLine="1428"/>
        <w:spacing w:after="0" w:line="347" w:lineRule="auto"/>
        <w:tabs>
          <w:tab w:leader="none" w:pos="1617" w:val="left"/>
        </w:tabs>
        <w:numPr>
          <w:ilvl w:val="1"/>
          <w:numId w:val="315"/>
        </w:numPr>
        <w:rPr>
          <w:rFonts w:ascii="Arial" w:cs="Arial" w:eastAsia="Arial" w:hAnsi="Arial"/>
          <w:sz w:val="16"/>
          <w:szCs w:val="16"/>
          <w:color w:val="auto"/>
        </w:rPr>
      </w:pPr>
      <w:r>
        <w:rPr>
          <w:rFonts w:ascii="Arial" w:cs="Arial" w:eastAsia="Arial" w:hAnsi="Arial"/>
          <w:sz w:val="16"/>
          <w:szCs w:val="16"/>
          <w:b w:val="1"/>
          <w:bCs w:val="1"/>
          <w:u w:val="single" w:color="auto"/>
          <w:color w:val="auto"/>
        </w:rPr>
        <w:t>General Termination</w:t>
      </w:r>
      <w:r>
        <w:rPr>
          <w:rFonts w:ascii="Arial" w:cs="Arial" w:eastAsia="Arial" w:hAnsi="Arial"/>
          <w:sz w:val="16"/>
          <w:szCs w:val="16"/>
          <w:color w:val="auto"/>
        </w:rPr>
        <w:t>. In the event of termination of Optionee’s Continuous Service Status other than for Cause, this Option</w:t>
      </w:r>
      <w:r>
        <w:rPr>
          <w:rFonts w:ascii="Arial" w:cs="Arial" w:eastAsia="Arial" w:hAnsi="Arial"/>
          <w:sz w:val="16"/>
          <w:szCs w:val="16"/>
          <w:b w:val="1"/>
          <w:bCs w:val="1"/>
          <w:color w:val="auto"/>
        </w:rPr>
        <w:t xml:space="preserve"> </w:t>
      </w:r>
      <w:r>
        <w:rPr>
          <w:rFonts w:ascii="Arial" w:cs="Arial" w:eastAsia="Arial" w:hAnsi="Arial"/>
          <w:sz w:val="16"/>
          <w:szCs w:val="16"/>
          <w:color w:val="auto"/>
        </w:rPr>
        <w:t>shall terminate with respect to the unvested Shares subject to this Option on the date that is 3 months following Optionee’s Termination Date.</w:t>
      </w:r>
    </w:p>
    <w:p>
      <w:pPr>
        <w:spacing w:after="0" w:line="7" w:lineRule="exact"/>
        <w:rPr>
          <w:rFonts w:ascii="Arial" w:cs="Arial" w:eastAsia="Arial" w:hAnsi="Arial"/>
          <w:sz w:val="16"/>
          <w:szCs w:val="16"/>
          <w:color w:val="auto"/>
        </w:rPr>
      </w:pPr>
    </w:p>
    <w:p>
      <w:pPr>
        <w:ind w:left="-60" w:right="240" w:firstLine="1428"/>
        <w:spacing w:after="0" w:line="303" w:lineRule="auto"/>
        <w:tabs>
          <w:tab w:leader="none" w:pos="1627" w:val="left"/>
        </w:tabs>
        <w:numPr>
          <w:ilvl w:val="1"/>
          <w:numId w:val="315"/>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for Cause</w:t>
      </w:r>
      <w:r>
        <w:rPr>
          <w:rFonts w:ascii="Arial" w:cs="Arial" w:eastAsia="Arial" w:hAnsi="Arial"/>
          <w:sz w:val="16"/>
          <w:szCs w:val="16"/>
          <w:color w:val="auto"/>
        </w:rPr>
        <w:t>. In the event of termination of Optionee’s Continuous Service Status for Cause, this Option shall</w:t>
      </w:r>
      <w:r>
        <w:rPr>
          <w:rFonts w:ascii="Arial" w:cs="Arial" w:eastAsia="Arial" w:hAnsi="Arial"/>
          <w:sz w:val="16"/>
          <w:szCs w:val="16"/>
          <w:b w:val="1"/>
          <w:bCs w:val="1"/>
          <w:color w:val="auto"/>
        </w:rPr>
        <w:t xml:space="preserve"> </w:t>
      </w:r>
      <w:r>
        <w:rPr>
          <w:rFonts w:ascii="Arial" w:cs="Arial" w:eastAsia="Arial" w:hAnsi="Arial"/>
          <w:sz w:val="16"/>
          <w:szCs w:val="16"/>
          <w:color w:val="auto"/>
        </w:rPr>
        <w:t>immediately terminate in its entirety (including any vested portion thereof) upon first notification to Optionee of such termination for Cause. If Optionee’s Continuous Service Status is suspended pending an investigation of whether Optionee’s Continuous Service Status will be terminated for Cause, all Optionee’s rights under this Option, including the right to exercise this Option, shall be suspended during the investigation period.</w:t>
      </w:r>
    </w:p>
    <w:p>
      <w:pPr>
        <w:spacing w:after="0" w:line="150" w:lineRule="exact"/>
        <w:rPr>
          <w:rFonts w:ascii="Arial" w:cs="Arial" w:eastAsia="Arial" w:hAnsi="Arial"/>
          <w:sz w:val="16"/>
          <w:szCs w:val="16"/>
          <w:color w:val="auto"/>
        </w:rPr>
      </w:pPr>
    </w:p>
    <w:p>
      <w:pPr>
        <w:ind w:left="-60" w:right="360" w:firstLine="436"/>
        <w:spacing w:after="0" w:line="266" w:lineRule="auto"/>
        <w:tabs>
          <w:tab w:leader="none" w:pos="560" w:val="left"/>
        </w:tabs>
        <w:numPr>
          <w:ilvl w:val="0"/>
          <w:numId w:val="315"/>
        </w:numPr>
        <w:rPr>
          <w:rFonts w:ascii="Arial" w:cs="Arial" w:eastAsia="Arial" w:hAnsi="Arial"/>
          <w:sz w:val="18"/>
          <w:szCs w:val="18"/>
          <w:color w:val="auto"/>
        </w:rPr>
      </w:pPr>
      <w:r>
        <w:rPr>
          <w:rFonts w:ascii="Arial" w:cs="Arial" w:eastAsia="Arial" w:hAnsi="Arial"/>
          <w:sz w:val="18"/>
          <w:szCs w:val="18"/>
          <w:b w:val="1"/>
          <w:bCs w:val="1"/>
          <w:u w:val="single" w:color="auto"/>
          <w:color w:val="auto"/>
        </w:rPr>
        <w:t>Non-Transferability of Option</w:t>
      </w:r>
      <w:r>
        <w:rPr>
          <w:rFonts w:ascii="Arial" w:cs="Arial" w:eastAsia="Arial" w:hAnsi="Arial"/>
          <w:sz w:val="18"/>
          <w:szCs w:val="18"/>
          <w:color w:val="auto"/>
        </w:rPr>
        <w:t>. This Option may not be transferred in any manner otherwise than by will or by the laws of descent or</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 and may be exercised during the lifetime of Optionee only by him or her. The terms of this Option shall be binding upon the executors, administrators, heirs, successors and assigns of Optionee.</w:t>
      </w:r>
    </w:p>
    <w:p>
      <w:pPr>
        <w:spacing w:after="0" w:line="175" w:lineRule="exact"/>
        <w:rPr>
          <w:rFonts w:ascii="Arial" w:cs="Arial" w:eastAsia="Arial" w:hAnsi="Arial"/>
          <w:sz w:val="18"/>
          <w:szCs w:val="18"/>
          <w:color w:val="auto"/>
        </w:rPr>
      </w:pPr>
    </w:p>
    <w:p>
      <w:pPr>
        <w:ind w:left="-60" w:right="20" w:firstLine="436"/>
        <w:spacing w:after="0" w:line="269" w:lineRule="auto"/>
        <w:tabs>
          <w:tab w:leader="none" w:pos="560" w:val="left"/>
        </w:tabs>
        <w:numPr>
          <w:ilvl w:val="0"/>
          <w:numId w:val="315"/>
        </w:numPr>
        <w:rPr>
          <w:rFonts w:ascii="Arial" w:cs="Arial" w:eastAsia="Arial" w:hAnsi="Arial"/>
          <w:sz w:val="17"/>
          <w:szCs w:val="17"/>
          <w:color w:val="auto"/>
        </w:rPr>
      </w:pPr>
      <w:r>
        <w:rPr>
          <w:rFonts w:ascii="Arial" w:cs="Arial" w:eastAsia="Arial" w:hAnsi="Arial"/>
          <w:sz w:val="17"/>
          <w:szCs w:val="17"/>
          <w:b w:val="1"/>
          <w:bCs w:val="1"/>
          <w:u w:val="single" w:color="auto"/>
          <w:color w:val="auto"/>
        </w:rPr>
        <w:t>Lock-Up Agreement</w:t>
      </w:r>
      <w:r>
        <w:rPr>
          <w:rFonts w:ascii="Arial" w:cs="Arial" w:eastAsia="Arial" w:hAnsi="Arial"/>
          <w:sz w:val="17"/>
          <w:szCs w:val="17"/>
          <w:color w:val="auto"/>
        </w:rPr>
        <w:t>. In connection with the initial public offering of the Company’s securities and upon request of the Company or the</w:t>
      </w:r>
      <w:r>
        <w:rPr>
          <w:rFonts w:ascii="Arial" w:cs="Arial" w:eastAsia="Arial" w:hAnsi="Arial"/>
          <w:sz w:val="17"/>
          <w:szCs w:val="17"/>
          <w:b w:val="1"/>
          <w:bCs w:val="1"/>
          <w:color w:val="auto"/>
        </w:rPr>
        <w:t xml:space="preserve"> </w:t>
      </w:r>
      <w:r>
        <w:rPr>
          <w:rFonts w:ascii="Arial" w:cs="Arial" w:eastAsia="Arial" w:hAnsi="Arial"/>
          <w:sz w:val="17"/>
          <w:szCs w:val="17"/>
          <w:color w:val="auto"/>
        </w:rPr>
        <w:t>underwriters managing such offering of the Company’s securities, Optionee hereby agrees not to sell, make any short sale of, loan, grant any option for the purchase of, or otherwise dispose of any securities of the Company however or whenever acquired (other than those included in the registration) without the prior written consent of the Company or such underwriters, as the case may be, for such period of time (not to exceed 180 days) from the effective date of such registration as may be requested by the Company or such managing underwriters and to execute an agreement reflecting the foregoing as may be requested by the underwriters at the time of the Company’s initial public offering. Notwithstanding the foregoing, if during the last 17 days of the restricted period, the Company issues an earnings release or material news or a material event relating to the Company occurs, or prior to the expiration of the restricted period the Company announces that it will release earnings results during the 16-day period beginning on the last day of the restricted period, then, upon the request of the managing underwriter, to the extent required by any FINRA rules, the restrictions imposed by this subsection shall continue to apply until the end of the third trading day following the expiration of the 15-day period beginning on the issuance of the earnings release or the occurrence of the material news or material event. In no event will the restricted period extend beyond 216 days after the effective date of the registration statement.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80"/>
          </w:cols>
          <w:pgMar w:left="500" w:top="270" w:right="519" w:bottom="1440" w:gutter="0" w:footer="0" w:header="0"/>
        </w:sectPr>
      </w:pPr>
    </w:p>
    <w:bookmarkStart w:id="347" w:name="page348"/>
    <w:bookmarkEnd w:id="347"/>
    <w:p>
      <w:pPr>
        <w:ind w:right="20" w:firstLine="436"/>
        <w:spacing w:after="0" w:line="277" w:lineRule="auto"/>
        <w:tabs>
          <w:tab w:leader="none" w:pos="620" w:val="left"/>
        </w:tabs>
        <w:numPr>
          <w:ilvl w:val="0"/>
          <w:numId w:val="316"/>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Effect of Agreement</w:t>
      </w:r>
      <w:r>
        <w:rPr>
          <w:rFonts w:ascii="Arial" w:cs="Arial" w:eastAsia="Arial" w:hAnsi="Arial"/>
          <w:sz w:val="17"/>
          <w:szCs w:val="17"/>
          <w:color w:val="auto"/>
        </w:rPr>
        <w:t>. Optionee acknowledges receipt of a copy of the Plan and represents that he or she is familiar with the terms and</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provisions thereof (and has had an opportunity to consult counsel regarding the Option terms), and hereby accepts this Option and agrees to be bound by its contractual terms as set forth herein and in the Plan. Optionee hereby agrees to accept as binding, conclusive and final all decisions and interpretations of the Administrator regarding any questions relating to this Option. In the event of a conflict between the terms and provisions of the Plan and the terms and provisions of the Notice and this Agreement, the Plan terms and provisions shall prevail.</w:t>
      </w:r>
    </w:p>
    <w:p>
      <w:pPr>
        <w:spacing w:after="0" w:line="167" w:lineRule="exact"/>
        <w:rPr>
          <w:rFonts w:ascii="Arial" w:cs="Arial" w:eastAsia="Arial" w:hAnsi="Arial"/>
          <w:sz w:val="17"/>
          <w:szCs w:val="17"/>
          <w:color w:val="auto"/>
        </w:rPr>
      </w:pPr>
    </w:p>
    <w:p>
      <w:pPr>
        <w:ind w:firstLine="436"/>
        <w:spacing w:after="0" w:line="287" w:lineRule="auto"/>
        <w:tabs>
          <w:tab w:leader="none" w:pos="620" w:val="left"/>
        </w:tabs>
        <w:numPr>
          <w:ilvl w:val="0"/>
          <w:numId w:val="316"/>
        </w:numPr>
        <w:rPr>
          <w:rFonts w:ascii="Arial" w:cs="Arial" w:eastAsia="Arial" w:hAnsi="Arial"/>
          <w:sz w:val="16"/>
          <w:szCs w:val="16"/>
          <w:color w:val="auto"/>
        </w:rPr>
      </w:pPr>
      <w:r>
        <w:rPr>
          <w:rFonts w:ascii="Arial" w:cs="Arial" w:eastAsia="Arial" w:hAnsi="Arial"/>
          <w:sz w:val="16"/>
          <w:szCs w:val="16"/>
          <w:b w:val="1"/>
          <w:bCs w:val="1"/>
          <w:u w:val="single" w:color="auto"/>
          <w:color w:val="auto"/>
        </w:rPr>
        <w:t>Imposition of Other Requirements</w:t>
      </w:r>
      <w:r>
        <w:rPr>
          <w:rFonts w:ascii="Arial" w:cs="Arial" w:eastAsia="Arial" w:hAnsi="Arial"/>
          <w:sz w:val="16"/>
          <w:szCs w:val="16"/>
          <w:color w:val="auto"/>
        </w:rPr>
        <w:t>. The Company reserves the right to impose other requirements on Optionee’s participation in the Plan, on</w:t>
      </w:r>
      <w:r>
        <w:rPr>
          <w:rFonts w:ascii="Arial" w:cs="Arial" w:eastAsia="Arial" w:hAnsi="Arial"/>
          <w:sz w:val="16"/>
          <w:szCs w:val="16"/>
          <w:b w:val="1"/>
          <w:bCs w:val="1"/>
          <w:color w:val="auto"/>
        </w:rPr>
        <w:t xml:space="preserve"> </w:t>
      </w:r>
      <w:r>
        <w:rPr>
          <w:rFonts w:ascii="Arial" w:cs="Arial" w:eastAsia="Arial" w:hAnsi="Arial"/>
          <w:sz w:val="16"/>
          <w:szCs w:val="16"/>
          <w:color w:val="auto"/>
        </w:rPr>
        <w:t>the Option and on any Award or Shares acquired under the Plan, or take any other action, to the extent the Company determines it is necessary or advisable in order to comply with Applicable Laws or facilitate the administration of the Plan. Optionee agrees to sign any additional agreements or undertakings that may be necessary to accomplish the foregoing. Furthermore, Optionee acknowledges that the Applicable Laws of the country in which Optionee is residing or working at the time of grant, vesting and exercise of the Option or the ownership or sale of Shares received pursuant to this Agreement (including any rules or regulations governing securities, foreign exchange, tax, labor, or other matters) may subject Optionee to additional procedural or regulatory requirements that Optionee is and will be solely responsible for and must fulfill. Such requirements may be outlined in but are not limited to the Country-Specific Addendum (the “</w:t>
      </w:r>
      <w:r>
        <w:rPr>
          <w:rFonts w:ascii="Arial" w:cs="Arial" w:eastAsia="Arial" w:hAnsi="Arial"/>
          <w:sz w:val="16"/>
          <w:szCs w:val="16"/>
          <w:u w:val="single" w:color="auto"/>
          <w:color w:val="auto"/>
        </w:rPr>
        <w:t>Addendum</w:t>
      </w:r>
      <w:r>
        <w:rPr>
          <w:rFonts w:ascii="Arial" w:cs="Arial" w:eastAsia="Arial" w:hAnsi="Arial"/>
          <w:sz w:val="16"/>
          <w:szCs w:val="16"/>
          <w:color w:val="auto"/>
        </w:rPr>
        <w:t>”) attached hereto, which forms part of this Agreement. Notwithstanding any provision herein, Optionee’s participation in the Plan shall be subject to any applicable special terms and conditions or disclosures as set forth in the Addendum. The Optionee also understands and agrees that if the Optionee works, resides, moves to, or otherwise is or becomes subject to Applicable Laws or Company policies of another jurisdiction at any time, certain country-specific notices, disclaimers and/or terms and conditions may apply to him as from the date of grant, unless otherwise determined by the Company in its sole discretion.</w:t>
      </w:r>
    </w:p>
    <w:p>
      <w:pPr>
        <w:spacing w:after="0" w:line="167" w:lineRule="exact"/>
        <w:rPr>
          <w:rFonts w:ascii="Arial" w:cs="Arial" w:eastAsia="Arial" w:hAnsi="Arial"/>
          <w:sz w:val="16"/>
          <w:szCs w:val="16"/>
          <w:color w:val="auto"/>
        </w:rPr>
      </w:pPr>
    </w:p>
    <w:p>
      <w:pPr>
        <w:ind w:firstLine="436"/>
        <w:spacing w:after="0" w:line="272" w:lineRule="auto"/>
        <w:tabs>
          <w:tab w:leader="none" w:pos="710" w:val="left"/>
        </w:tabs>
        <w:numPr>
          <w:ilvl w:val="0"/>
          <w:numId w:val="316"/>
        </w:numPr>
        <w:rPr>
          <w:rFonts w:ascii="Arial" w:cs="Arial" w:eastAsia="Arial" w:hAnsi="Arial"/>
          <w:sz w:val="17"/>
          <w:szCs w:val="17"/>
          <w:color w:val="auto"/>
        </w:rPr>
      </w:pPr>
      <w:r>
        <w:rPr>
          <w:rFonts w:ascii="Arial" w:cs="Arial" w:eastAsia="Arial" w:hAnsi="Arial"/>
          <w:sz w:val="17"/>
          <w:szCs w:val="17"/>
          <w:b w:val="1"/>
          <w:bCs w:val="1"/>
          <w:u w:val="single" w:color="auto"/>
          <w:color w:val="auto"/>
        </w:rPr>
        <w:t>Electronic Delivery and Translation</w:t>
      </w:r>
      <w:r>
        <w:rPr>
          <w:rFonts w:ascii="Arial" w:cs="Arial" w:eastAsia="Arial" w:hAnsi="Arial"/>
          <w:sz w:val="17"/>
          <w:szCs w:val="17"/>
          <w:color w:val="auto"/>
        </w:rPr>
        <w:t>. The Company may, in its sole discretion, decide to deliver any documents related to Optionee’s current</w:t>
      </w:r>
      <w:r>
        <w:rPr>
          <w:rFonts w:ascii="Arial" w:cs="Arial" w:eastAsia="Arial" w:hAnsi="Arial"/>
          <w:sz w:val="17"/>
          <w:szCs w:val="17"/>
          <w:b w:val="1"/>
          <w:bCs w:val="1"/>
          <w:color w:val="auto"/>
        </w:rPr>
        <w:t xml:space="preserve"> </w:t>
      </w:r>
      <w:r>
        <w:rPr>
          <w:rFonts w:ascii="Arial" w:cs="Arial" w:eastAsia="Arial" w:hAnsi="Arial"/>
          <w:sz w:val="17"/>
          <w:szCs w:val="17"/>
          <w:color w:val="auto"/>
        </w:rPr>
        <w:t>or future participation in the Plan, this Option, the Shares subject to this Option, any other Company Securities or any other Company-related documents by electronic means. By accepting this Option, whether electronically or otherwise, Optionee hereby (i) consents to receive such documents by electronic means, and (ii) consents to the use of electronic signatures, and (iii) if applicable, agrees to participate in the Plan and/or receive any such documents through an on-line or electronic system established and maintained by the Company or a third party designated by the Company, including but not limited to the use of electronic signatures or click-through electronic acceptance of terms and conditions. To the extent Optionee has been provided with a copy of this Agreement, the Plan, or any other documents relating to this Option in a language other than English, the English language documents will prevail in case of any ambiguities or divergences as a result of translation.</w:t>
      </w:r>
    </w:p>
    <w:p>
      <w:pPr>
        <w:spacing w:after="0" w:line="171" w:lineRule="exact"/>
        <w:rPr>
          <w:rFonts w:ascii="Arial" w:cs="Arial" w:eastAsia="Arial" w:hAnsi="Arial"/>
          <w:sz w:val="17"/>
          <w:szCs w:val="17"/>
          <w:color w:val="auto"/>
        </w:rPr>
      </w:pPr>
    </w:p>
    <w:p>
      <w:pPr>
        <w:ind w:right="100" w:firstLine="436"/>
        <w:spacing w:after="0" w:line="258" w:lineRule="auto"/>
        <w:tabs>
          <w:tab w:leader="none" w:pos="703" w:val="left"/>
        </w:tabs>
        <w:numPr>
          <w:ilvl w:val="0"/>
          <w:numId w:val="316"/>
        </w:numPr>
        <w:rPr>
          <w:rFonts w:ascii="Arial" w:cs="Arial" w:eastAsia="Arial" w:hAnsi="Arial"/>
          <w:sz w:val="18"/>
          <w:szCs w:val="18"/>
          <w:color w:val="auto"/>
        </w:rPr>
      </w:pPr>
      <w:r>
        <w:rPr>
          <w:rFonts w:ascii="Arial" w:cs="Arial" w:eastAsia="Arial" w:hAnsi="Arial"/>
          <w:sz w:val="18"/>
          <w:szCs w:val="18"/>
          <w:b w:val="1"/>
          <w:bCs w:val="1"/>
          <w:u w:val="single" w:color="auto"/>
          <w:color w:val="auto"/>
        </w:rPr>
        <w:t>No Acquired Rights or Employment Rights</w:t>
      </w:r>
      <w:r>
        <w:rPr>
          <w:rFonts w:ascii="Arial" w:cs="Arial" w:eastAsia="Arial" w:hAnsi="Arial"/>
          <w:sz w:val="18"/>
          <w:szCs w:val="18"/>
          <w:color w:val="auto"/>
        </w:rPr>
        <w:t>. In accepting the Option, Optionee acknowledges that the Plan is established voluntarily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is discretionary in nature, and may be modified, amended, suspended or terminated by the Company at any time. The grant of the Option is voluntary and occasional and does not create any contractual or other right to receive future grants of Options or any other Awards or benefits in lieu of Options, even if Options have been granted repeatedly in the past. All decisions with respect to future grants of Options or other Awards, if any, will be at the sole discretion of the Company.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0" w:right="459" w:bottom="1440" w:gutter="0" w:footer="0" w:header="0"/>
        </w:sectPr>
      </w:pPr>
    </w:p>
    <w:bookmarkStart w:id="348" w:name="page349"/>
    <w:bookmarkEnd w:id="348"/>
    <w:p>
      <w:pPr>
        <w:ind w:right="2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addition, Optionee’s participation in the Plan is voluntary, and the Option and the Shares subject to the Option are extraordinary items that do not constitute regular compensation for services rendered to the Company or any Subsidiary or Affiliate and are outside the scope of Optionee’s employment contract, if any. The Option and the Shares subject to the Option are not intended to replace any pension rights or compensation and are not part of normal or expected salary or compensation for any purpose, including but not limited to calculating severance payments, if any, upon termination.</w:t>
      </w:r>
    </w:p>
    <w:p>
      <w:pPr>
        <w:spacing w:after="0" w:line="188"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Nothing contained in this Agreement is intended to constitute or create a contract of employment, nor shall it constitute or create the right to remain associated with or in the employ of the Company or any Subsidiary or Affiliate for any particular period of time. This Agreement shall not interfere in any way with the right of the Company or any Subsidiary or Affiliate to terminate Optionee’s employment or service at any time, subject to Applicable Laws.</w:t>
      </w:r>
    </w:p>
    <w:p>
      <w:pPr>
        <w:spacing w:after="0" w:line="183" w:lineRule="exact"/>
        <w:rPr>
          <w:sz w:val="20"/>
          <w:szCs w:val="20"/>
          <w:color w:val="auto"/>
        </w:rPr>
      </w:pPr>
    </w:p>
    <w:p>
      <w:pPr>
        <w:ind w:firstLine="436"/>
        <w:spacing w:after="0" w:line="298" w:lineRule="auto"/>
        <w:tabs>
          <w:tab w:leader="none" w:pos="710" w:val="left"/>
        </w:tabs>
        <w:numPr>
          <w:ilvl w:val="0"/>
          <w:numId w:val="317"/>
        </w:numPr>
        <w:rPr>
          <w:rFonts w:ascii="Arial" w:cs="Arial" w:eastAsia="Arial" w:hAnsi="Arial"/>
          <w:sz w:val="16"/>
          <w:szCs w:val="16"/>
          <w:color w:val="auto"/>
        </w:rPr>
      </w:pPr>
      <w:r>
        <w:rPr>
          <w:rFonts w:ascii="Arial" w:cs="Arial" w:eastAsia="Arial" w:hAnsi="Arial"/>
          <w:sz w:val="16"/>
          <w:szCs w:val="16"/>
          <w:b w:val="1"/>
          <w:bCs w:val="1"/>
          <w:u w:val="single" w:color="auto"/>
          <w:color w:val="auto"/>
        </w:rPr>
        <w:t>Data Privacy</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Optionee hereby explicitly and unambiguously consents to the collection, use and transfer, whether in electronic or other</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form, of Optionee’s Personal Data (as described below) by and among, as applicable, the Company and any Subsidiary or Affiliate or third parties as may be selected by the Company, for the exclusive purpose of implementing, administering, and managing Optionee’s participation in the Plan. Optionee understands that refusal or withdrawal of consent will affect Optionee’s ability to participate in the Plan; without providing consent, Optionee will not be able to participate in the Plan or to realize benefits (if any) from the Option.</w:t>
      </w:r>
    </w:p>
    <w:p>
      <w:pPr>
        <w:spacing w:after="0" w:line="266" w:lineRule="exact"/>
        <w:rPr>
          <w:sz w:val="20"/>
          <w:szCs w:val="20"/>
          <w:color w:val="auto"/>
        </w:rPr>
      </w:pPr>
    </w:p>
    <w:p>
      <w:pPr>
        <w:ind w:right="20" w:firstLine="440"/>
        <w:spacing w:after="0" w:line="289" w:lineRule="auto"/>
        <w:rPr>
          <w:sz w:val="20"/>
          <w:szCs w:val="20"/>
          <w:color w:val="auto"/>
        </w:rPr>
      </w:pPr>
      <w:r>
        <w:rPr>
          <w:rFonts w:ascii="Arial" w:cs="Arial" w:eastAsia="Arial" w:hAnsi="Arial"/>
          <w:sz w:val="16"/>
          <w:szCs w:val="16"/>
          <w:b w:val="1"/>
          <w:bCs w:val="1"/>
          <w:i w:val="1"/>
          <w:iCs w:val="1"/>
          <w:color w:val="auto"/>
        </w:rPr>
        <w:t>Optionee understands that the Company and any Subsidiary or Affiliate or designated third parties may hold personal information about Optionee, including, but not limited to, Optionee’s name, home address and telephone number, date of birth, social insurance number or other identification number, salary, nationality, job title, any shares of stock or directorships held in the Company or any Subsidiary or Affiliate, details of all Options or any other entitlement to Shares awarded, canceled, exercised, vested, unvested or outstanding in Optionee’s favor (“</w:t>
      </w:r>
      <w:r>
        <w:rPr>
          <w:rFonts w:ascii="Arial" w:cs="Arial" w:eastAsia="Arial" w:hAnsi="Arial"/>
          <w:sz w:val="16"/>
          <w:szCs w:val="16"/>
          <w:b w:val="1"/>
          <w:bCs w:val="1"/>
          <w:i w:val="1"/>
          <w:iCs w:val="1"/>
          <w:u w:val="single" w:color="auto"/>
          <w:color w:val="auto"/>
        </w:rPr>
        <w:t>Personal Data</w:t>
      </w:r>
      <w:r>
        <w:rPr>
          <w:rFonts w:ascii="Arial" w:cs="Arial" w:eastAsia="Arial" w:hAnsi="Arial"/>
          <w:sz w:val="16"/>
          <w:szCs w:val="16"/>
          <w:b w:val="1"/>
          <w:bCs w:val="1"/>
          <w:i w:val="1"/>
          <w:iCs w:val="1"/>
          <w:color w:val="auto"/>
        </w:rPr>
        <w:t>”). Optionee understands that Personal Data may be transferred to any Subsidiary or Affiliate or third parties assisting in the implementation, administration and management of the Plan, that these recipients may be located in the United States, Optionee’s country, or elsewhere, and that the recipient’s country may have different data privacy laws and protections than Optionee’s country. In particular, the Company may transfer Personal Data to the broker or stock plan administrator assisting with the Plan, to its legal counsel and tax/accounting advisor, and to the Subsidiary or Affiliate that is Optionee’s employer and its payroll provider.</w:t>
      </w:r>
    </w:p>
    <w:p>
      <w:pPr>
        <w:spacing w:after="0" w:line="162" w:lineRule="exact"/>
        <w:rPr>
          <w:sz w:val="20"/>
          <w:szCs w:val="20"/>
          <w:color w:val="auto"/>
        </w:rPr>
      </w:pPr>
    </w:p>
    <w:p>
      <w:pPr>
        <w:ind w:left="700" w:hanging="264"/>
        <w:spacing w:after="0"/>
        <w:tabs>
          <w:tab w:leader="none" w:pos="700" w:val="left"/>
        </w:tabs>
        <w:numPr>
          <w:ilvl w:val="0"/>
          <w:numId w:val="318"/>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00" w:firstLine="1428"/>
        <w:spacing w:after="0" w:line="298" w:lineRule="auto"/>
        <w:tabs>
          <w:tab w:leader="none" w:pos="1677" w:val="left"/>
        </w:tabs>
        <w:numPr>
          <w:ilvl w:val="1"/>
          <w:numId w:val="318"/>
        </w:numPr>
        <w:rPr>
          <w:rFonts w:ascii="Arial" w:cs="Arial" w:eastAsia="Arial" w:hAnsi="Arial"/>
          <w:sz w:val="16"/>
          <w:szCs w:val="16"/>
          <w:color w:val="auto"/>
        </w:rPr>
      </w:pPr>
      <w:r>
        <w:rPr>
          <w:rFonts w:ascii="Arial" w:cs="Arial" w:eastAsia="Arial" w:hAnsi="Arial"/>
          <w:sz w:val="16"/>
          <w:szCs w:val="16"/>
          <w:b w:val="1"/>
          <w:bCs w:val="1"/>
          <w:u w:val="single" w:color="auto"/>
          <w:color w:val="auto"/>
        </w:rPr>
        <w:t>Governing Law</w:t>
      </w:r>
      <w:r>
        <w:rPr>
          <w:rFonts w:ascii="Arial" w:cs="Arial" w:eastAsia="Arial" w:hAnsi="Arial"/>
          <w:sz w:val="16"/>
          <w:szCs w:val="16"/>
          <w:color w:val="auto"/>
        </w:rPr>
        <w:t>. The validity, interpretation, construction and performance of this Agreement and all acts and transactions</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hereto and the rights and obligations of the parties hereto shall be governed, construed and interpreted in accordance with the laws of the State of California, without giving effect to principles of conflicts of law. For purposes of litigating any dispute that may arise directly or indirectly from this Agreement, the parties hereby submit and consent to the exclusive jurisdiction of the State of California and agree that any such litigation shall be conducted only in the courts of California or the federal courts of the United States located in California and no other courts.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349" w:name="page350"/>
    <w:bookmarkEnd w:id="349"/>
    <w:p>
      <w:pPr>
        <w:ind w:right="80" w:firstLine="1428"/>
        <w:spacing w:after="0" w:line="256" w:lineRule="auto"/>
        <w:tabs>
          <w:tab w:leader="none" w:pos="1687" w:val="left"/>
        </w:tabs>
        <w:numPr>
          <w:ilvl w:val="0"/>
          <w:numId w:val="319"/>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Entire Agreement; Enforcement of Rights</w:t>
      </w:r>
      <w:r>
        <w:rPr>
          <w:rFonts w:ascii="Arial" w:cs="Arial" w:eastAsia="Arial" w:hAnsi="Arial"/>
          <w:sz w:val="18"/>
          <w:szCs w:val="18"/>
          <w:color w:val="auto"/>
        </w:rPr>
        <w:t>. This Agreement, together with the Notice to which this Agreement is attached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sets forth the entire agreement and understanding of the parties relating to the subject matter herein and therein and supercedes all prior or contemporaneous discussions, understandings and agreements, whether oral or written, between the parties related to the subject matter hereof. Except as contemplated under the Plan, no modification of or amendment to this Agreement, nor any waiver of any rights under this Agreement, shall be effective unless in writing signed by the parties to this Agreement. The failure by either party to enforce any rights under this Agreement shall not be construed as a waiver of any rights of such party.</w:t>
      </w:r>
    </w:p>
    <w:p>
      <w:pPr>
        <w:spacing w:after="0" w:line="79" w:lineRule="exact"/>
        <w:rPr>
          <w:rFonts w:ascii="Arial" w:cs="Arial" w:eastAsia="Arial" w:hAnsi="Arial"/>
          <w:sz w:val="18"/>
          <w:szCs w:val="18"/>
          <w:color w:val="auto"/>
        </w:rPr>
      </w:pPr>
    </w:p>
    <w:p>
      <w:pPr>
        <w:ind w:firstLine="1428"/>
        <w:spacing w:after="0" w:line="261" w:lineRule="auto"/>
        <w:tabs>
          <w:tab w:leader="none" w:pos="1677" w:val="left"/>
        </w:tabs>
        <w:numPr>
          <w:ilvl w:val="0"/>
          <w:numId w:val="319"/>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If one or more provisions of this Agreement are held to be unenforceable under Applicable Laws, the parties agree</w:t>
      </w:r>
      <w:r>
        <w:rPr>
          <w:rFonts w:ascii="Arial" w:cs="Arial" w:eastAsia="Arial" w:hAnsi="Arial"/>
          <w:sz w:val="18"/>
          <w:szCs w:val="18"/>
          <w:b w:val="1"/>
          <w:bCs w:val="1"/>
          <w:color w:val="auto"/>
        </w:rPr>
        <w:t xml:space="preserve"> </w:t>
      </w:r>
      <w:r>
        <w:rPr>
          <w:rFonts w:ascii="Arial" w:cs="Arial" w:eastAsia="Arial" w:hAnsi="Arial"/>
          <w:sz w:val="18"/>
          <w:szCs w:val="18"/>
          <w:color w:val="auto"/>
        </w:rPr>
        <w:t>to renegotiate such provision in good faith. In the event that the parties cannot reach a mutually agreeable and enforceable replacement for such provision, then (i) such provision shall be excluded from this Agreement, (ii) the balance of this Agreement shall be interpreted as if such provision were so excluded and (iii) the balance of this Agreement shall be enforceable in accordance with its terms.</w:t>
      </w:r>
    </w:p>
    <w:p>
      <w:pPr>
        <w:spacing w:after="0" w:line="71" w:lineRule="exact"/>
        <w:rPr>
          <w:rFonts w:ascii="Arial" w:cs="Arial" w:eastAsia="Arial" w:hAnsi="Arial"/>
          <w:sz w:val="18"/>
          <w:szCs w:val="18"/>
          <w:color w:val="auto"/>
        </w:rPr>
      </w:pPr>
    </w:p>
    <w:p>
      <w:pPr>
        <w:ind w:firstLine="1428"/>
        <w:spacing w:after="0" w:line="261" w:lineRule="auto"/>
        <w:tabs>
          <w:tab w:leader="none" w:pos="1687" w:val="left"/>
        </w:tabs>
        <w:numPr>
          <w:ilvl w:val="0"/>
          <w:numId w:val="319"/>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Any notice required or permitted by this Agreement shall be in writing and shall be deemed sufficient when delivered</w:t>
      </w:r>
      <w:r>
        <w:rPr>
          <w:rFonts w:ascii="Arial" w:cs="Arial" w:eastAsia="Arial" w:hAnsi="Arial"/>
          <w:sz w:val="18"/>
          <w:szCs w:val="18"/>
          <w:b w:val="1"/>
          <w:bCs w:val="1"/>
          <w:color w:val="auto"/>
        </w:rPr>
        <w:t xml:space="preserve"> </w:t>
      </w:r>
      <w:r>
        <w:rPr>
          <w:rFonts w:ascii="Arial" w:cs="Arial" w:eastAsia="Arial" w:hAnsi="Arial"/>
          <w:sz w:val="18"/>
          <w:szCs w:val="18"/>
          <w:color w:val="auto"/>
        </w:rPr>
        <w:t>personally or by overnight courier or sent by email or fax (upon customary confirmation of receipt), or forty-eight (48) hours after being deposited in the U.S. mail as certified or registered mail with postage prepaid, addressed to the party to be notified at such party’s last known address or fax number, as subsequently modified by written notice.</w:t>
      </w:r>
    </w:p>
    <w:p>
      <w:pPr>
        <w:spacing w:after="0" w:line="71" w:lineRule="exact"/>
        <w:rPr>
          <w:rFonts w:ascii="Arial" w:cs="Arial" w:eastAsia="Arial" w:hAnsi="Arial"/>
          <w:sz w:val="18"/>
          <w:szCs w:val="18"/>
          <w:color w:val="auto"/>
        </w:rPr>
      </w:pPr>
    </w:p>
    <w:p>
      <w:pPr>
        <w:ind w:right="80" w:firstLine="1428"/>
        <w:spacing w:after="0" w:line="282" w:lineRule="auto"/>
        <w:tabs>
          <w:tab w:leader="none" w:pos="1677" w:val="left"/>
        </w:tabs>
        <w:numPr>
          <w:ilvl w:val="0"/>
          <w:numId w:val="319"/>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two or more counterparts, each of which shall be deemed an original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of which together shall constitute one instrument.</w:t>
      </w:r>
    </w:p>
    <w:p>
      <w:pPr>
        <w:spacing w:after="0" w:line="53" w:lineRule="exact"/>
        <w:rPr>
          <w:rFonts w:ascii="Arial" w:cs="Arial" w:eastAsia="Arial" w:hAnsi="Arial"/>
          <w:sz w:val="18"/>
          <w:szCs w:val="18"/>
          <w:color w:val="auto"/>
        </w:rPr>
      </w:pPr>
    </w:p>
    <w:p>
      <w:pPr>
        <w:ind w:right="120" w:firstLine="1428"/>
        <w:spacing w:after="0" w:line="266" w:lineRule="auto"/>
        <w:tabs>
          <w:tab w:leader="none" w:pos="1657" w:val="left"/>
        </w:tabs>
        <w:numPr>
          <w:ilvl w:val="0"/>
          <w:numId w:val="319"/>
        </w:numPr>
        <w:rPr>
          <w:rFonts w:ascii="Arial" w:cs="Arial" w:eastAsia="Arial" w:hAnsi="Arial"/>
          <w:sz w:val="18"/>
          <w:szCs w:val="18"/>
          <w:color w:val="auto"/>
        </w:rPr>
      </w:pPr>
      <w:r>
        <w:rPr>
          <w:rFonts w:ascii="Arial" w:cs="Arial" w:eastAsia="Arial" w:hAnsi="Arial"/>
          <w:sz w:val="18"/>
          <w:szCs w:val="18"/>
          <w:b w:val="1"/>
          <w:bCs w:val="1"/>
          <w:u w:val="single" w:color="auto"/>
          <w:color w:val="auto"/>
        </w:rPr>
        <w:t>Successors and Assigns</w:t>
      </w:r>
      <w:r>
        <w:rPr>
          <w:rFonts w:ascii="Arial" w:cs="Arial" w:eastAsia="Arial" w:hAnsi="Arial"/>
          <w:sz w:val="18"/>
          <w:szCs w:val="18"/>
          <w:color w:val="auto"/>
        </w:rPr>
        <w:t>. The rights and benefits of this Agreement shall inure to the benefit of, and be enforceable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successors and assigns. The rights and obligations of Optionee under this Agreement may not be assigned without the prior written consent of the Company.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0" w:right="459" w:bottom="1440" w:gutter="0" w:footer="0" w:header="0"/>
        </w:sectPr>
      </w:pPr>
    </w:p>
    <w:bookmarkStart w:id="350" w:name="page351"/>
    <w:bookmarkEnd w:id="35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Country-Specific Addendum</w:t>
      </w:r>
    </w:p>
    <w:p>
      <w:pPr>
        <w:spacing w:after="0" w:line="229"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This Addendum includes additional country-specific notices, disclaimers, and/or terms and conditions that apply to individuals who work or reside in the countries listed below and that may be material to Optionee’s participation in the Plan. Such notices, disclaimers, and/or terms and conditions may also apply, as from the date of grant, if Optionee moves to or otherwise is or becomes subject to the Applicable Laws or Company policies of the country listed. However, because foreign exchange regulations and other local laws are subject to frequent change, Optionee is advised to seek advice from his or her own personal legal and tax advisor prior to accepting or exercising an Option or holding or selling Shares acquired under the Plan. The Company is not providing any tax, legal or financial advice, nor is the Company making any recommendations regarding Optionee’s acceptance of the Option or participation in the Plan. Unless otherwise noted below, capitalized terms shall have the same meaning assigned to them under the Plan, the Notice of Stock Option Grant and the Stock Option Agreement. This Addendum forms part of the Stock Option Agreement and should be read in conjunction with the Stock Option Agreement and the Plan.</w:t>
      </w:r>
    </w:p>
    <w:p>
      <w:pPr>
        <w:spacing w:after="0" w:line="177"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Securities Law Notice</w:t>
      </w:r>
      <w:r>
        <w:rPr>
          <w:rFonts w:ascii="Arial" w:cs="Arial" w:eastAsia="Arial" w:hAnsi="Arial"/>
          <w:sz w:val="18"/>
          <w:szCs w:val="18"/>
          <w:color w:val="auto"/>
        </w:rPr>
        <w:t>: Unless otherwise noted, neither the Company nor the Shares are registered with any local stock exchange or under the control of</w:t>
      </w:r>
      <w:r>
        <w:rPr>
          <w:rFonts w:ascii="Arial" w:cs="Arial" w:eastAsia="Arial" w:hAnsi="Arial"/>
          <w:sz w:val="18"/>
          <w:szCs w:val="18"/>
          <w:b w:val="1"/>
          <w:bCs w:val="1"/>
          <w:color w:val="auto"/>
        </w:rPr>
        <w:t xml:space="preserve"> </w:t>
      </w:r>
      <w:r>
        <w:rPr>
          <w:rFonts w:ascii="Arial" w:cs="Arial" w:eastAsia="Arial" w:hAnsi="Arial"/>
          <w:sz w:val="18"/>
          <w:szCs w:val="18"/>
          <w:color w:val="auto"/>
        </w:rPr>
        <w:t>any local securities regulator outside the United States. The Stock Option Agreement (of which this Addendum is a part), the Notice of Stock Option Grant, the Plan, and any other communications or materials that Optionee may receive regarding participation in the Plan do not constitute advertising or an offering of securities outside the United States, and the issuance of securities described in any Plan-related documents is not intended for public offering or circulation in Optionee’s jurisdiction.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European</w:t>
            </w:r>
          </w:p>
        </w:tc>
        <w:tc>
          <w:tcPr>
            <w:tcW w:w="10100" w:type="dxa"/>
            <w:vAlign w:val="bottom"/>
            <w:tcBorders>
              <w:top w:val="single" w:sz="8" w:color="auto"/>
            </w:tcBorders>
          </w:tcPr>
          <w:p>
            <w:pPr>
              <w:ind w:left="180"/>
              <w:spacing w:after="0"/>
              <w:rPr>
                <w:sz w:val="20"/>
                <w:szCs w:val="20"/>
                <w:color w:val="auto"/>
              </w:rPr>
            </w:pPr>
            <w:r>
              <w:rPr>
                <w:rFonts w:ascii="Arial" w:cs="Arial" w:eastAsia="Arial" w:hAnsi="Arial"/>
                <w:sz w:val="18"/>
                <w:szCs w:val="18"/>
                <w:b w:val="1"/>
                <w:bCs w:val="1"/>
                <w:i w:val="1"/>
                <w:iCs w:val="1"/>
                <w:color w:val="auto"/>
                <w:w w:val="90"/>
              </w:rPr>
              <w:t>Data Privacy</w:t>
            </w:r>
            <w:r>
              <w:rPr>
                <w:rFonts w:ascii="Arial" w:cs="Arial" w:eastAsia="Arial" w:hAnsi="Arial"/>
                <w:sz w:val="18"/>
                <w:szCs w:val="18"/>
                <w:color w:val="auto"/>
                <w:w w:val="90"/>
              </w:rPr>
              <w:t>.</w:t>
            </w:r>
            <w:r>
              <w:rPr>
                <w:rFonts w:ascii="Arial" w:cs="Arial" w:eastAsia="Arial" w:hAnsi="Arial"/>
                <w:sz w:val="18"/>
                <w:szCs w:val="18"/>
                <w:b w:val="1"/>
                <w:bCs w:val="1"/>
                <w:i w:val="1"/>
                <w:iCs w:val="1"/>
                <w:color w:val="auto"/>
                <w:w w:val="90"/>
              </w:rPr>
              <w:t xml:space="preserve"> Where Optionee is a resident of the EU, the following provision applies and supplements Section 12 of the Option</w:t>
            </w:r>
          </w:p>
        </w:tc>
      </w:t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Union</w:t>
            </w:r>
          </w:p>
        </w:tc>
        <w:tc>
          <w:tcPr>
            <w:tcW w:w="1010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Agreement. Optionee understands and acknowledges that:</w:t>
            </w:r>
          </w:p>
        </w:tc>
      </w:tr>
    </w:tbl>
    <w:p>
      <w:pPr>
        <w:spacing w:after="0" w:line="107" w:lineRule="exact"/>
        <w:rPr>
          <w:sz w:val="20"/>
          <w:szCs w:val="20"/>
          <w:color w:val="auto"/>
        </w:rPr>
      </w:pPr>
    </w:p>
    <w:p>
      <w:pPr>
        <w:ind w:left="1460" w:right="20" w:hanging="267"/>
        <w:spacing w:after="0" w:line="342" w:lineRule="auto"/>
        <w:tabs>
          <w:tab w:leader="none" w:pos="1444" w:val="left"/>
        </w:tabs>
        <w:numPr>
          <w:ilvl w:val="0"/>
          <w:numId w:val="32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The data controller is the Company; queries or requests regarding the Optionee’s Personal Data should be made in writing to the Company’s representative relating to the Plan or Option matters, who may be contacted at: </w:t>
      </w:r>
      <w:r>
        <w:rPr>
          <w:rFonts w:ascii="Arial" w:cs="Arial" w:eastAsia="Arial" w:hAnsi="Arial"/>
          <w:sz w:val="16"/>
          <w:szCs w:val="16"/>
          <w:b w:val="1"/>
          <w:bCs w:val="1"/>
          <w:i w:val="1"/>
          <w:iCs w:val="1"/>
          <w:u w:val="single" w:color="auto"/>
          <w:color w:val="auto"/>
        </w:rPr>
        <w:t>legal@asana.com</w:t>
      </w:r>
      <w:r>
        <w:rPr>
          <w:rFonts w:ascii="Arial" w:cs="Arial" w:eastAsia="Arial" w:hAnsi="Arial"/>
          <w:sz w:val="16"/>
          <w:szCs w:val="16"/>
          <w:b w:val="1"/>
          <w:bCs w:val="1"/>
          <w:i w:val="1"/>
          <w:iCs w:val="1"/>
          <w:color w:val="auto"/>
        </w:rPr>
        <w:t>;</w:t>
      </w:r>
    </w:p>
    <w:p>
      <w:pPr>
        <w:spacing w:after="0" w:line="29" w:lineRule="exact"/>
        <w:rPr>
          <w:rFonts w:ascii="Arial" w:cs="Arial" w:eastAsia="Arial" w:hAnsi="Arial"/>
          <w:sz w:val="16"/>
          <w:szCs w:val="16"/>
          <w:color w:val="auto"/>
        </w:rPr>
      </w:pPr>
    </w:p>
    <w:p>
      <w:pPr>
        <w:ind w:left="1460" w:right="40" w:hanging="267"/>
        <w:spacing w:after="0" w:line="277" w:lineRule="auto"/>
        <w:tabs>
          <w:tab w:leader="none" w:pos="1444" w:val="left"/>
        </w:tabs>
        <w:numPr>
          <w:ilvl w:val="0"/>
          <w:numId w:val="320"/>
        </w:numPr>
        <w:rPr>
          <w:rFonts w:ascii="Arial" w:cs="Arial" w:eastAsia="Arial" w:hAnsi="Arial"/>
          <w:sz w:val="18"/>
          <w:szCs w:val="18"/>
          <w:color w:val="auto"/>
        </w:rPr>
      </w:pPr>
      <w:r>
        <w:rPr>
          <w:rFonts w:ascii="Arial" w:cs="Arial" w:eastAsia="Arial" w:hAnsi="Arial"/>
          <w:sz w:val="18"/>
          <w:szCs w:val="18"/>
          <w:b w:val="1"/>
          <w:bCs w:val="1"/>
          <w:i w:val="1"/>
          <w:iCs w:val="1"/>
          <w:color w:val="auto"/>
        </w:rPr>
        <w:t>The legal basis for the processing of Personal Data is that the processing is necessary for the performance of a contract to which the Optionee is a party (namely, this Option Agreement);</w:t>
      </w:r>
    </w:p>
    <w:p>
      <w:pPr>
        <w:spacing w:after="0" w:line="75" w:lineRule="exact"/>
        <w:rPr>
          <w:rFonts w:ascii="Arial" w:cs="Arial" w:eastAsia="Arial" w:hAnsi="Arial"/>
          <w:sz w:val="18"/>
          <w:szCs w:val="18"/>
          <w:color w:val="auto"/>
        </w:rPr>
      </w:pPr>
    </w:p>
    <w:p>
      <w:pPr>
        <w:ind w:left="1460" w:right="380" w:hanging="267"/>
        <w:spacing w:after="0" w:line="277" w:lineRule="auto"/>
        <w:tabs>
          <w:tab w:leader="none" w:pos="1444" w:val="left"/>
        </w:tabs>
        <w:numPr>
          <w:ilvl w:val="0"/>
          <w:numId w:val="320"/>
        </w:numPr>
        <w:rPr>
          <w:rFonts w:ascii="Arial" w:cs="Arial" w:eastAsia="Arial" w:hAnsi="Arial"/>
          <w:sz w:val="18"/>
          <w:szCs w:val="18"/>
          <w:color w:val="auto"/>
        </w:rPr>
      </w:pPr>
      <w:r>
        <w:rPr>
          <w:rFonts w:ascii="Arial" w:cs="Arial" w:eastAsia="Arial" w:hAnsi="Arial"/>
          <w:sz w:val="18"/>
          <w:szCs w:val="18"/>
          <w:b w:val="1"/>
          <w:bCs w:val="1"/>
          <w:i w:val="1"/>
          <w:iCs w:val="1"/>
          <w:color w:val="auto"/>
        </w:rPr>
        <w:t>Personal Data will be held only as long as is necessary to implement, administer and manage Optionee’s participation in the Plan;</w:t>
      </w:r>
    </w:p>
    <w:p>
      <w:pPr>
        <w:spacing w:after="0" w:line="76" w:lineRule="exact"/>
        <w:rPr>
          <w:sz w:val="20"/>
          <w:szCs w:val="20"/>
          <w:color w:val="auto"/>
        </w:rPr>
      </w:pPr>
    </w:p>
    <w:p>
      <w:pPr>
        <w:ind w:left="1100" w:right="380"/>
        <w:spacing w:after="0" w:line="340" w:lineRule="auto"/>
        <w:rPr>
          <w:sz w:val="20"/>
          <w:szCs w:val="20"/>
          <w:color w:val="auto"/>
        </w:rPr>
      </w:pPr>
      <w:r>
        <w:rPr>
          <w:rFonts w:ascii="Arial" w:cs="Arial" w:eastAsia="Arial" w:hAnsi="Arial"/>
          <w:sz w:val="15"/>
          <w:szCs w:val="15"/>
          <w:b w:val="1"/>
          <w:bCs w:val="1"/>
          <w:i w:val="1"/>
          <w:iCs w:val="1"/>
          <w:color w:val="auto"/>
        </w:rPr>
        <w:t>He or she may, at any time, access his or her Personal Data, request additional information about the storage and processing of Personal Data, require any necessary amendments to Personal Data without cost or exercise any other rights they may have in relation to their Personal Data under applicable law, including the right to make a complaint to an EU data protection regulator.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-35560</wp:posOffset>
            </wp:positionV>
            <wp:extent cx="699516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0" w:right="439" w:bottom="1440" w:gutter="0" w:footer="0" w:header="0"/>
        </w:sectPr>
      </w:pPr>
    </w:p>
    <w:bookmarkStart w:id="351" w:name="page352"/>
    <w:bookmarkEnd w:id="351"/>
    <w:tbl>
      <w:tblPr>
        <w:tblLayout w:type="fixed"/>
        <w:tblInd w:w="0" w:type="dxa"/>
        <w:tblCellMar>
          <w:top w:w="0" w:type="dxa"/>
          <w:left w:w="0" w:type="dxa"/>
          <w:bottom w:w="0" w:type="dxa"/>
          <w:right w:w="0" w:type="dxa"/>
        </w:tblCellMar>
      </w:tblPr>
      <w:tr>
        <w:trPr>
          <w:trHeight w:val="248"/>
        </w:trPr>
        <w:tc>
          <w:tcPr>
            <w:tcW w:w="9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Australia</w:t>
            </w:r>
          </w:p>
        </w:tc>
        <w:tc>
          <w:tcPr>
            <w:tcW w:w="10120" w:type="dxa"/>
            <w:vAlign w:val="bottom"/>
            <w:tcBorders>
              <w:top w:val="single" w:sz="8" w:color="auto"/>
            </w:tcBorders>
          </w:tcPr>
          <w:p>
            <w:pPr>
              <w:ind w:left="200"/>
              <w:spacing w:after="0"/>
              <w:rPr>
                <w:sz w:val="20"/>
                <w:szCs w:val="20"/>
                <w:color w:val="auto"/>
              </w:rPr>
            </w:pPr>
            <w:r>
              <w:rPr>
                <w:rFonts w:ascii="Arial" w:cs="Arial" w:eastAsia="Arial" w:hAnsi="Arial"/>
                <w:sz w:val="18"/>
                <w:szCs w:val="18"/>
                <w:b w:val="1"/>
                <w:bCs w:val="1"/>
                <w:color w:val="auto"/>
              </w:rPr>
              <w:t>Statement under Section 83A-105 of the Income Tax Assessment Act 1997 (Cth).</w:t>
            </w:r>
          </w:p>
        </w:tc>
      </w:tr>
      <w:tr>
        <w:trPr>
          <w:trHeight w:val="305"/>
        </w:trPr>
        <w:tc>
          <w:tcPr>
            <w:tcW w:w="900" w:type="dxa"/>
            <w:vAlign w:val="bottom"/>
          </w:tcPr>
          <w:p>
            <w:pPr>
              <w:spacing w:after="0"/>
              <w:rPr>
                <w:sz w:val="24"/>
                <w:szCs w:val="24"/>
                <w:color w:val="auto"/>
              </w:rPr>
            </w:pPr>
          </w:p>
        </w:tc>
        <w:tc>
          <w:tcPr>
            <w:tcW w:w="10120" w:type="dxa"/>
            <w:vAlign w:val="bottom"/>
          </w:tcPr>
          <w:p>
            <w:pPr>
              <w:ind w:left="200"/>
              <w:spacing w:after="0"/>
              <w:rPr>
                <w:sz w:val="20"/>
                <w:szCs w:val="20"/>
                <w:color w:val="auto"/>
              </w:rPr>
            </w:pPr>
            <w:r>
              <w:rPr>
                <w:rFonts w:ascii="Arial" w:cs="Arial" w:eastAsia="Arial" w:hAnsi="Arial"/>
                <w:sz w:val="18"/>
                <w:szCs w:val="18"/>
                <w:color w:val="auto"/>
                <w:w w:val="98"/>
              </w:rPr>
              <w:t>Subdivision 83A-C of the Income Tax Assessment Act 1997 (Cth) (the “Act”) applies to the Plan and this Option, subject to the</w:t>
            </w:r>
          </w:p>
        </w:tc>
      </w:tr>
      <w:tr>
        <w:trPr>
          <w:trHeight w:val="216"/>
        </w:trPr>
        <w:tc>
          <w:tcPr>
            <w:tcW w:w="900" w:type="dxa"/>
            <w:vAlign w:val="bottom"/>
          </w:tcPr>
          <w:p>
            <w:pPr>
              <w:spacing w:after="0"/>
              <w:rPr>
                <w:sz w:val="18"/>
                <w:szCs w:val="18"/>
                <w:color w:val="auto"/>
              </w:rPr>
            </w:pPr>
          </w:p>
        </w:tc>
        <w:tc>
          <w:tcPr>
            <w:tcW w:w="10120" w:type="dxa"/>
            <w:vAlign w:val="bottom"/>
          </w:tcPr>
          <w:p>
            <w:pPr>
              <w:ind w:left="200"/>
              <w:spacing w:after="0"/>
              <w:rPr>
                <w:sz w:val="20"/>
                <w:szCs w:val="20"/>
                <w:color w:val="auto"/>
              </w:rPr>
            </w:pPr>
            <w:r>
              <w:rPr>
                <w:rFonts w:ascii="Arial" w:cs="Arial" w:eastAsia="Arial" w:hAnsi="Arial"/>
                <w:sz w:val="18"/>
                <w:szCs w:val="18"/>
                <w:color w:val="auto"/>
                <w:w w:val="95"/>
              </w:rPr>
              <w:t>requirements of the Act. Accordingly, it is intended for income tax in relation to the Option to be deferred until exercise, unless your</w:t>
            </w:r>
          </w:p>
        </w:tc>
      </w:tr>
      <w:tr>
        <w:trPr>
          <w:trHeight w:val="216"/>
        </w:trPr>
        <w:tc>
          <w:tcPr>
            <w:tcW w:w="900" w:type="dxa"/>
            <w:vAlign w:val="bottom"/>
          </w:tcPr>
          <w:p>
            <w:pPr>
              <w:spacing w:after="0"/>
              <w:rPr>
                <w:sz w:val="18"/>
                <w:szCs w:val="18"/>
                <w:color w:val="auto"/>
              </w:rPr>
            </w:pPr>
          </w:p>
        </w:tc>
        <w:tc>
          <w:tcPr>
            <w:tcW w:w="10120" w:type="dxa"/>
            <w:vAlign w:val="bottom"/>
          </w:tcPr>
          <w:p>
            <w:pPr>
              <w:ind w:left="200"/>
              <w:spacing w:after="0"/>
              <w:rPr>
                <w:sz w:val="20"/>
                <w:szCs w:val="20"/>
                <w:color w:val="auto"/>
              </w:rPr>
            </w:pPr>
            <w:r>
              <w:rPr>
                <w:rFonts w:ascii="Arial" w:cs="Arial" w:eastAsia="Arial" w:hAnsi="Arial"/>
                <w:sz w:val="18"/>
                <w:szCs w:val="18"/>
                <w:color w:val="auto"/>
                <w:w w:val="91"/>
              </w:rPr>
              <w:t>employment terminates for any reason prior to exercise. However, the Company is not providing tax advice, and you should consult your</w:t>
            </w:r>
          </w:p>
        </w:tc>
      </w:tr>
      <w:tr>
        <w:trPr>
          <w:trHeight w:val="230"/>
        </w:trPr>
        <w:tc>
          <w:tcPr>
            <w:tcW w:w="900" w:type="dxa"/>
            <w:vAlign w:val="bottom"/>
          </w:tcPr>
          <w:p>
            <w:pPr>
              <w:spacing w:after="0"/>
              <w:rPr>
                <w:sz w:val="20"/>
                <w:szCs w:val="20"/>
                <w:color w:val="auto"/>
              </w:rPr>
            </w:pPr>
          </w:p>
        </w:tc>
        <w:tc>
          <w:tcPr>
            <w:tcW w:w="10120" w:type="dxa"/>
            <w:vAlign w:val="bottom"/>
          </w:tcPr>
          <w:p>
            <w:pPr>
              <w:ind w:left="200"/>
              <w:spacing w:after="0"/>
              <w:rPr>
                <w:sz w:val="20"/>
                <w:szCs w:val="20"/>
                <w:color w:val="auto"/>
              </w:rPr>
            </w:pPr>
            <w:r>
              <w:rPr>
                <w:rFonts w:ascii="Arial" w:cs="Arial" w:eastAsia="Arial" w:hAnsi="Arial"/>
                <w:sz w:val="18"/>
                <w:szCs w:val="18"/>
                <w:color w:val="auto"/>
              </w:rPr>
              <w:t>personal advisor for the precise tax treatment of the Option.</w:t>
            </w:r>
          </w:p>
        </w:tc>
      </w:tr>
    </w:tbl>
    <w:p>
      <w:pPr>
        <w:spacing w:after="0" w:line="1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8"/>
        </w:trPr>
        <w:tc>
          <w:tcPr>
            <w:tcW w:w="8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Canada</w:t>
            </w:r>
          </w:p>
        </w:tc>
        <w:tc>
          <w:tcPr>
            <w:tcW w:w="10180" w:type="dxa"/>
            <w:vAlign w:val="bottom"/>
            <w:tcBorders>
              <w:top w:val="single" w:sz="8" w:color="auto"/>
            </w:tcBorders>
            <w:gridSpan w:val="3"/>
          </w:tcPr>
          <w:p>
            <w:pPr>
              <w:ind w:left="260"/>
              <w:spacing w:after="0"/>
              <w:rPr>
                <w:sz w:val="20"/>
                <w:szCs w:val="20"/>
                <w:color w:val="auto"/>
              </w:rPr>
            </w:pPr>
            <w:r>
              <w:rPr>
                <w:rFonts w:ascii="Arial" w:cs="Arial" w:eastAsia="Arial" w:hAnsi="Arial"/>
                <w:sz w:val="18"/>
                <w:szCs w:val="18"/>
                <w:b w:val="1"/>
                <w:bCs w:val="1"/>
                <w:color w:val="auto"/>
              </w:rPr>
              <w:t>Securities Law Notice</w:t>
            </w:r>
          </w:p>
        </w:tc>
      </w:tr>
      <w:tr>
        <w:trPr>
          <w:trHeight w:val="305"/>
        </w:trPr>
        <w:tc>
          <w:tcPr>
            <w:tcW w:w="840" w:type="dxa"/>
            <w:vAlign w:val="bottom"/>
          </w:tcPr>
          <w:p>
            <w:pPr>
              <w:spacing w:after="0"/>
              <w:rPr>
                <w:sz w:val="24"/>
                <w:szCs w:val="24"/>
                <w:color w:val="auto"/>
              </w:rPr>
            </w:pPr>
          </w:p>
        </w:tc>
        <w:tc>
          <w:tcPr>
            <w:tcW w:w="10180" w:type="dxa"/>
            <w:vAlign w:val="bottom"/>
            <w:gridSpan w:val="3"/>
          </w:tcPr>
          <w:p>
            <w:pPr>
              <w:ind w:left="260"/>
              <w:spacing w:after="0"/>
              <w:rPr>
                <w:sz w:val="20"/>
                <w:szCs w:val="20"/>
                <w:color w:val="auto"/>
              </w:rPr>
            </w:pPr>
            <w:r>
              <w:rPr>
                <w:rFonts w:ascii="Arial" w:cs="Arial" w:eastAsia="Arial" w:hAnsi="Arial"/>
                <w:sz w:val="18"/>
                <w:szCs w:val="18"/>
                <w:color w:val="auto"/>
                <w:w w:val="91"/>
              </w:rPr>
              <w:t>The security represented by this Option was issued pursuant to an exemption from the prospectus requirements of applicable securities</w:t>
            </w:r>
          </w:p>
        </w:tc>
      </w:tr>
      <w:tr>
        <w:trPr>
          <w:trHeight w:val="216"/>
        </w:trPr>
        <w:tc>
          <w:tcPr>
            <w:tcW w:w="840" w:type="dxa"/>
            <w:vAlign w:val="bottom"/>
          </w:tcPr>
          <w:p>
            <w:pPr>
              <w:spacing w:after="0"/>
              <w:rPr>
                <w:sz w:val="18"/>
                <w:szCs w:val="18"/>
                <w:color w:val="auto"/>
              </w:rPr>
            </w:pPr>
          </w:p>
        </w:tc>
        <w:tc>
          <w:tcPr>
            <w:tcW w:w="10180" w:type="dxa"/>
            <w:vAlign w:val="bottom"/>
            <w:gridSpan w:val="3"/>
          </w:tcPr>
          <w:p>
            <w:pPr>
              <w:ind w:left="260"/>
              <w:spacing w:after="0"/>
              <w:rPr>
                <w:sz w:val="20"/>
                <w:szCs w:val="20"/>
                <w:color w:val="auto"/>
              </w:rPr>
            </w:pPr>
            <w:r>
              <w:rPr>
                <w:rFonts w:ascii="Arial" w:cs="Arial" w:eastAsia="Arial" w:hAnsi="Arial"/>
                <w:sz w:val="18"/>
                <w:szCs w:val="18"/>
                <w:color w:val="auto"/>
                <w:w w:val="92"/>
              </w:rPr>
              <w:t>legislation in Canada. You acknowledge that as long as the Company is not a reporting issuer in any jurisdiction in Canada, the Option</w:t>
            </w:r>
          </w:p>
        </w:tc>
      </w:tr>
      <w:tr>
        <w:trPr>
          <w:trHeight w:val="216"/>
        </w:trPr>
        <w:tc>
          <w:tcPr>
            <w:tcW w:w="840" w:type="dxa"/>
            <w:vAlign w:val="bottom"/>
          </w:tcPr>
          <w:p>
            <w:pPr>
              <w:spacing w:after="0"/>
              <w:rPr>
                <w:sz w:val="18"/>
                <w:szCs w:val="18"/>
                <w:color w:val="auto"/>
              </w:rPr>
            </w:pPr>
          </w:p>
        </w:tc>
        <w:tc>
          <w:tcPr>
            <w:tcW w:w="10180" w:type="dxa"/>
            <w:vAlign w:val="bottom"/>
            <w:gridSpan w:val="3"/>
          </w:tcPr>
          <w:p>
            <w:pPr>
              <w:ind w:left="260"/>
              <w:spacing w:after="0"/>
              <w:rPr>
                <w:sz w:val="20"/>
                <w:szCs w:val="20"/>
                <w:color w:val="auto"/>
              </w:rPr>
            </w:pPr>
            <w:r>
              <w:rPr>
                <w:rFonts w:ascii="Arial" w:cs="Arial" w:eastAsia="Arial" w:hAnsi="Arial"/>
                <w:sz w:val="18"/>
                <w:szCs w:val="18"/>
                <w:color w:val="auto"/>
                <w:w w:val="93"/>
              </w:rPr>
              <w:t>and the underlying Shares will be subject to an indefinite hold period in Canada and subject to restrictions on their transfer in Canada.</w:t>
            </w:r>
          </w:p>
        </w:tc>
      </w:tr>
      <w:tr>
        <w:trPr>
          <w:trHeight w:val="216"/>
        </w:trPr>
        <w:tc>
          <w:tcPr>
            <w:tcW w:w="840" w:type="dxa"/>
            <w:vAlign w:val="bottom"/>
          </w:tcPr>
          <w:p>
            <w:pPr>
              <w:spacing w:after="0"/>
              <w:rPr>
                <w:sz w:val="18"/>
                <w:szCs w:val="18"/>
                <w:color w:val="auto"/>
              </w:rPr>
            </w:pPr>
          </w:p>
        </w:tc>
        <w:tc>
          <w:tcPr>
            <w:tcW w:w="10180" w:type="dxa"/>
            <w:vAlign w:val="bottom"/>
            <w:gridSpan w:val="3"/>
          </w:tcPr>
          <w:p>
            <w:pPr>
              <w:ind w:left="260"/>
              <w:spacing w:after="0"/>
              <w:rPr>
                <w:sz w:val="20"/>
                <w:szCs w:val="20"/>
                <w:color w:val="auto"/>
              </w:rPr>
            </w:pPr>
            <w:r>
              <w:rPr>
                <w:rFonts w:ascii="Arial" w:cs="Arial" w:eastAsia="Arial" w:hAnsi="Arial"/>
                <w:sz w:val="18"/>
                <w:szCs w:val="18"/>
                <w:color w:val="auto"/>
                <w:w w:val="90"/>
              </w:rPr>
              <w:t>Subject to applicable securities laws, you are permitted to sell Shares acquired through the Plan through the designated broker appointed</w:t>
            </w:r>
          </w:p>
        </w:tc>
      </w:tr>
      <w:tr>
        <w:trPr>
          <w:trHeight w:val="230"/>
        </w:trPr>
        <w:tc>
          <w:tcPr>
            <w:tcW w:w="840" w:type="dxa"/>
            <w:vAlign w:val="bottom"/>
          </w:tcPr>
          <w:p>
            <w:pPr>
              <w:spacing w:after="0"/>
              <w:rPr>
                <w:sz w:val="20"/>
                <w:szCs w:val="20"/>
                <w:color w:val="auto"/>
              </w:rPr>
            </w:pPr>
          </w:p>
        </w:tc>
        <w:tc>
          <w:tcPr>
            <w:tcW w:w="10180" w:type="dxa"/>
            <w:vAlign w:val="bottom"/>
            <w:gridSpan w:val="3"/>
          </w:tcPr>
          <w:p>
            <w:pPr>
              <w:ind w:left="260"/>
              <w:spacing w:after="0"/>
              <w:rPr>
                <w:sz w:val="20"/>
                <w:szCs w:val="20"/>
                <w:color w:val="auto"/>
              </w:rPr>
            </w:pPr>
            <w:r>
              <w:rPr>
                <w:rFonts w:ascii="Arial" w:cs="Arial" w:eastAsia="Arial" w:hAnsi="Arial"/>
                <w:sz w:val="18"/>
                <w:szCs w:val="18"/>
                <w:color w:val="auto"/>
                <w:w w:val="92"/>
              </w:rPr>
              <w:t>under the Plan, assuming the sale of such Shares takes place outside Canada via the stock exchange on which the Shares are traded.</w:t>
            </w:r>
          </w:p>
        </w:tc>
      </w:tr>
      <w:tr>
        <w:trPr>
          <w:trHeight w:val="338"/>
        </w:trPr>
        <w:tc>
          <w:tcPr>
            <w:tcW w:w="840" w:type="dxa"/>
            <w:vAlign w:val="bottom"/>
          </w:tcPr>
          <w:p>
            <w:pPr>
              <w:spacing w:after="0"/>
              <w:rPr>
                <w:sz w:val="24"/>
                <w:szCs w:val="24"/>
                <w:color w:val="auto"/>
              </w:rPr>
            </w:pPr>
          </w:p>
        </w:tc>
        <w:tc>
          <w:tcPr>
            <w:tcW w:w="10180" w:type="dxa"/>
            <w:vAlign w:val="bottom"/>
            <w:gridSpan w:val="3"/>
          </w:tcPr>
          <w:p>
            <w:pPr>
              <w:ind w:left="260"/>
              <w:spacing w:after="0"/>
              <w:rPr>
                <w:sz w:val="20"/>
                <w:szCs w:val="20"/>
                <w:color w:val="auto"/>
              </w:rPr>
            </w:pPr>
            <w:r>
              <w:rPr>
                <w:rFonts w:ascii="Arial" w:cs="Arial" w:eastAsia="Arial" w:hAnsi="Arial"/>
                <w:sz w:val="18"/>
                <w:szCs w:val="18"/>
                <w:b w:val="1"/>
                <w:bCs w:val="1"/>
                <w:color w:val="auto"/>
              </w:rPr>
              <w:t>Foreign Share Ownership Reporting</w:t>
            </w:r>
          </w:p>
        </w:tc>
      </w:tr>
      <w:tr>
        <w:trPr>
          <w:trHeight w:val="323"/>
        </w:trPr>
        <w:tc>
          <w:tcPr>
            <w:tcW w:w="840" w:type="dxa"/>
            <w:vAlign w:val="bottom"/>
          </w:tcPr>
          <w:p>
            <w:pPr>
              <w:spacing w:after="0"/>
              <w:rPr>
                <w:sz w:val="24"/>
                <w:szCs w:val="24"/>
                <w:color w:val="auto"/>
              </w:rPr>
            </w:pPr>
          </w:p>
        </w:tc>
        <w:tc>
          <w:tcPr>
            <w:tcW w:w="10180" w:type="dxa"/>
            <w:vAlign w:val="bottom"/>
            <w:gridSpan w:val="3"/>
          </w:tcPr>
          <w:p>
            <w:pPr>
              <w:ind w:left="260"/>
              <w:spacing w:after="0"/>
              <w:rPr>
                <w:sz w:val="20"/>
                <w:szCs w:val="20"/>
                <w:color w:val="auto"/>
              </w:rPr>
            </w:pPr>
            <w:r>
              <w:rPr>
                <w:rFonts w:ascii="Arial" w:cs="Arial" w:eastAsia="Arial" w:hAnsi="Arial"/>
                <w:sz w:val="18"/>
                <w:szCs w:val="18"/>
                <w:color w:val="auto"/>
                <w:w w:val="97"/>
              </w:rPr>
              <w:t>If you are a Canadian resident, your ownership of certain foreign property (including shares of foreign corporations) in excess of</w:t>
            </w:r>
          </w:p>
        </w:tc>
      </w:tr>
      <w:tr>
        <w:trPr>
          <w:trHeight w:val="216"/>
        </w:trPr>
        <w:tc>
          <w:tcPr>
            <w:tcW w:w="840" w:type="dxa"/>
            <w:vAlign w:val="bottom"/>
          </w:tcPr>
          <w:p>
            <w:pPr>
              <w:spacing w:after="0"/>
              <w:rPr>
                <w:sz w:val="18"/>
                <w:szCs w:val="18"/>
                <w:color w:val="auto"/>
              </w:rPr>
            </w:pPr>
          </w:p>
        </w:tc>
        <w:tc>
          <w:tcPr>
            <w:tcW w:w="10180" w:type="dxa"/>
            <w:vAlign w:val="bottom"/>
            <w:gridSpan w:val="3"/>
          </w:tcPr>
          <w:p>
            <w:pPr>
              <w:ind w:left="260"/>
              <w:spacing w:after="0"/>
              <w:rPr>
                <w:sz w:val="20"/>
                <w:szCs w:val="20"/>
                <w:color w:val="auto"/>
              </w:rPr>
            </w:pPr>
            <w:r>
              <w:rPr>
                <w:rFonts w:ascii="Arial" w:cs="Arial" w:eastAsia="Arial" w:hAnsi="Arial"/>
                <w:sz w:val="18"/>
                <w:szCs w:val="18"/>
                <w:color w:val="auto"/>
                <w:w w:val="97"/>
              </w:rPr>
              <w:t>$100,000 may be subject to ongoing annual reporting obligations. Please refer to CRA Form T1135 (Foreign Income Verification</w:t>
            </w:r>
          </w:p>
        </w:tc>
      </w:tr>
      <w:tr>
        <w:trPr>
          <w:trHeight w:val="216"/>
        </w:trPr>
        <w:tc>
          <w:tcPr>
            <w:tcW w:w="840" w:type="dxa"/>
            <w:vAlign w:val="bottom"/>
          </w:tcPr>
          <w:p>
            <w:pPr>
              <w:spacing w:after="0"/>
              <w:rPr>
                <w:sz w:val="18"/>
                <w:szCs w:val="18"/>
                <w:color w:val="auto"/>
              </w:rPr>
            </w:pPr>
          </w:p>
        </w:tc>
        <w:tc>
          <w:tcPr>
            <w:tcW w:w="10180" w:type="dxa"/>
            <w:vAlign w:val="bottom"/>
            <w:gridSpan w:val="3"/>
          </w:tcPr>
          <w:p>
            <w:pPr>
              <w:ind w:left="260"/>
              <w:spacing w:after="0"/>
              <w:rPr>
                <w:sz w:val="20"/>
                <w:szCs w:val="20"/>
                <w:color w:val="auto"/>
              </w:rPr>
            </w:pPr>
            <w:r>
              <w:rPr>
                <w:rFonts w:ascii="Arial" w:cs="Arial" w:eastAsia="Arial" w:hAnsi="Arial"/>
                <w:sz w:val="18"/>
                <w:szCs w:val="18"/>
                <w:color w:val="auto"/>
              </w:rPr>
              <w:t>Statement) and consult your tax advisor for further details. It is your responsibility to comply with all applicable tax reporting</w:t>
            </w:r>
          </w:p>
        </w:tc>
      </w:tr>
      <w:tr>
        <w:trPr>
          <w:trHeight w:val="230"/>
        </w:trPr>
        <w:tc>
          <w:tcPr>
            <w:tcW w:w="840" w:type="dxa"/>
            <w:vAlign w:val="bottom"/>
          </w:tcPr>
          <w:p>
            <w:pPr>
              <w:spacing w:after="0"/>
              <w:rPr>
                <w:sz w:val="20"/>
                <w:szCs w:val="20"/>
                <w:color w:val="auto"/>
              </w:rPr>
            </w:pPr>
          </w:p>
        </w:tc>
        <w:tc>
          <w:tcPr>
            <w:tcW w:w="10180" w:type="dxa"/>
            <w:vAlign w:val="bottom"/>
            <w:gridSpan w:val="3"/>
          </w:tcPr>
          <w:p>
            <w:pPr>
              <w:ind w:left="260"/>
              <w:spacing w:after="0"/>
              <w:rPr>
                <w:sz w:val="20"/>
                <w:szCs w:val="20"/>
                <w:color w:val="auto"/>
              </w:rPr>
            </w:pPr>
            <w:r>
              <w:rPr>
                <w:rFonts w:ascii="Arial" w:cs="Arial" w:eastAsia="Arial" w:hAnsi="Arial"/>
                <w:sz w:val="18"/>
                <w:szCs w:val="18"/>
                <w:color w:val="auto"/>
              </w:rPr>
              <w:t>requirements.</w:t>
            </w:r>
          </w:p>
        </w:tc>
      </w:tr>
      <w:tr>
        <w:trPr>
          <w:trHeight w:val="338"/>
        </w:trPr>
        <w:tc>
          <w:tcPr>
            <w:tcW w:w="840" w:type="dxa"/>
            <w:vAlign w:val="bottom"/>
          </w:tcPr>
          <w:p>
            <w:pPr>
              <w:spacing w:after="0"/>
              <w:rPr>
                <w:sz w:val="24"/>
                <w:szCs w:val="24"/>
                <w:color w:val="auto"/>
              </w:rPr>
            </w:pPr>
          </w:p>
        </w:tc>
        <w:tc>
          <w:tcPr>
            <w:tcW w:w="10180" w:type="dxa"/>
            <w:vAlign w:val="bottom"/>
            <w:gridSpan w:val="3"/>
          </w:tcPr>
          <w:p>
            <w:pPr>
              <w:ind w:left="260"/>
              <w:spacing w:after="0"/>
              <w:rPr>
                <w:sz w:val="20"/>
                <w:szCs w:val="20"/>
                <w:color w:val="auto"/>
              </w:rPr>
            </w:pPr>
            <w:r>
              <w:rPr>
                <w:rFonts w:ascii="Arial" w:cs="Arial" w:eastAsia="Arial" w:hAnsi="Arial"/>
                <w:sz w:val="18"/>
                <w:szCs w:val="18"/>
                <w:b w:val="1"/>
                <w:bCs w:val="1"/>
                <w:color w:val="auto"/>
              </w:rPr>
              <w:t>Quebec: Consent to Receive Information in English</w:t>
            </w:r>
          </w:p>
        </w:tc>
      </w:tr>
      <w:tr>
        <w:trPr>
          <w:trHeight w:val="323"/>
        </w:trPr>
        <w:tc>
          <w:tcPr>
            <w:tcW w:w="840" w:type="dxa"/>
            <w:vAlign w:val="bottom"/>
          </w:tcPr>
          <w:p>
            <w:pPr>
              <w:spacing w:after="0"/>
              <w:rPr>
                <w:sz w:val="24"/>
                <w:szCs w:val="24"/>
                <w:color w:val="auto"/>
              </w:rPr>
            </w:pPr>
          </w:p>
        </w:tc>
        <w:tc>
          <w:tcPr>
            <w:tcW w:w="10180" w:type="dxa"/>
            <w:vAlign w:val="bottom"/>
            <w:gridSpan w:val="3"/>
          </w:tcPr>
          <w:p>
            <w:pPr>
              <w:ind w:left="260"/>
              <w:spacing w:after="0"/>
              <w:rPr>
                <w:sz w:val="20"/>
                <w:szCs w:val="20"/>
                <w:color w:val="auto"/>
              </w:rPr>
            </w:pPr>
            <w:r>
              <w:rPr>
                <w:rFonts w:ascii="Arial" w:cs="Arial" w:eastAsia="Arial" w:hAnsi="Arial"/>
                <w:sz w:val="18"/>
                <w:szCs w:val="18"/>
                <w:color w:val="auto"/>
                <w:w w:val="92"/>
              </w:rPr>
              <w:t>The following applies if you are a resident of Quebec: The parties acknowledge that it is their express wish that this Agreement, as well</w:t>
            </w:r>
          </w:p>
        </w:tc>
      </w:tr>
      <w:tr>
        <w:trPr>
          <w:trHeight w:val="216"/>
        </w:trPr>
        <w:tc>
          <w:tcPr>
            <w:tcW w:w="840" w:type="dxa"/>
            <w:vAlign w:val="bottom"/>
          </w:tcPr>
          <w:p>
            <w:pPr>
              <w:spacing w:after="0"/>
              <w:rPr>
                <w:sz w:val="18"/>
                <w:szCs w:val="18"/>
                <w:color w:val="auto"/>
              </w:rPr>
            </w:pPr>
          </w:p>
        </w:tc>
        <w:tc>
          <w:tcPr>
            <w:tcW w:w="10180" w:type="dxa"/>
            <w:vAlign w:val="bottom"/>
            <w:gridSpan w:val="3"/>
          </w:tcPr>
          <w:p>
            <w:pPr>
              <w:ind w:left="260"/>
              <w:spacing w:after="0"/>
              <w:rPr>
                <w:sz w:val="20"/>
                <w:szCs w:val="20"/>
                <w:color w:val="auto"/>
              </w:rPr>
            </w:pPr>
            <w:r>
              <w:rPr>
                <w:rFonts w:ascii="Arial" w:cs="Arial" w:eastAsia="Arial" w:hAnsi="Arial"/>
                <w:sz w:val="18"/>
                <w:szCs w:val="18"/>
                <w:color w:val="auto"/>
                <w:w w:val="92"/>
              </w:rPr>
              <w:t>as all documents, notices and legal proceedings entered into, given or instituted pursuant hereto or relating directly or indirectly hereto,</w:t>
            </w:r>
          </w:p>
        </w:tc>
      </w:tr>
      <w:tr>
        <w:trPr>
          <w:trHeight w:val="216"/>
        </w:trPr>
        <w:tc>
          <w:tcPr>
            <w:tcW w:w="840" w:type="dxa"/>
            <w:vAlign w:val="bottom"/>
          </w:tcPr>
          <w:p>
            <w:pPr>
              <w:spacing w:after="0"/>
              <w:rPr>
                <w:sz w:val="18"/>
                <w:szCs w:val="18"/>
                <w:color w:val="auto"/>
              </w:rPr>
            </w:pPr>
          </w:p>
        </w:tc>
        <w:tc>
          <w:tcPr>
            <w:tcW w:w="10180" w:type="dxa"/>
            <w:vAlign w:val="bottom"/>
            <w:gridSpan w:val="3"/>
          </w:tcPr>
          <w:p>
            <w:pPr>
              <w:ind w:left="260"/>
              <w:spacing w:after="0"/>
              <w:rPr>
                <w:sz w:val="20"/>
                <w:szCs w:val="20"/>
                <w:color w:val="auto"/>
              </w:rPr>
            </w:pPr>
            <w:r>
              <w:rPr>
                <w:rFonts w:ascii="Arial" w:cs="Arial" w:eastAsia="Arial" w:hAnsi="Arial"/>
                <w:sz w:val="18"/>
                <w:szCs w:val="18"/>
                <w:color w:val="auto"/>
                <w:w w:val="92"/>
              </w:rPr>
              <w:t>be drawn up in English. Les parties reconnaissent avoir exigé la redaction en anglais de cette convention, ainsi que de tous documents</w:t>
            </w:r>
          </w:p>
        </w:tc>
      </w:tr>
      <w:tr>
        <w:trPr>
          <w:trHeight w:val="230"/>
        </w:trPr>
        <w:tc>
          <w:tcPr>
            <w:tcW w:w="840" w:type="dxa"/>
            <w:vAlign w:val="bottom"/>
          </w:tcPr>
          <w:p>
            <w:pPr>
              <w:spacing w:after="0"/>
              <w:rPr>
                <w:sz w:val="20"/>
                <w:szCs w:val="20"/>
                <w:color w:val="auto"/>
              </w:rPr>
            </w:pPr>
          </w:p>
        </w:tc>
        <w:tc>
          <w:tcPr>
            <w:tcW w:w="10180" w:type="dxa"/>
            <w:vAlign w:val="bottom"/>
            <w:gridSpan w:val="3"/>
          </w:tcPr>
          <w:p>
            <w:pPr>
              <w:ind w:left="260"/>
              <w:spacing w:after="0"/>
              <w:rPr>
                <w:sz w:val="20"/>
                <w:szCs w:val="20"/>
                <w:color w:val="auto"/>
              </w:rPr>
            </w:pPr>
            <w:r>
              <w:rPr>
                <w:rFonts w:ascii="Arial" w:cs="Arial" w:eastAsia="Arial" w:hAnsi="Arial"/>
                <w:sz w:val="18"/>
                <w:szCs w:val="18"/>
                <w:color w:val="auto"/>
                <w:w w:val="97"/>
              </w:rPr>
              <w:t>exécutés, avis donnés et procedures judiciaries intentées, directement ou indirectement, relativement à la présente convention.</w:t>
            </w:r>
          </w:p>
        </w:tc>
      </w:tr>
      <w:tr>
        <w:trPr>
          <w:trHeight w:val="135"/>
        </w:trPr>
        <w:tc>
          <w:tcPr>
            <w:tcW w:w="840" w:type="dxa"/>
            <w:vAlign w:val="bottom"/>
            <w:tcBorders>
              <w:bottom w:val="single" w:sz="8" w:color="auto"/>
            </w:tcBorders>
          </w:tcPr>
          <w:p>
            <w:pPr>
              <w:spacing w:after="0"/>
              <w:rPr>
                <w:sz w:val="11"/>
                <w:szCs w:val="11"/>
                <w:color w:val="auto"/>
              </w:rPr>
            </w:pPr>
          </w:p>
        </w:tc>
        <w:tc>
          <w:tcPr>
            <w:tcW w:w="39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5860" w:type="dxa"/>
            <w:vAlign w:val="bottom"/>
            <w:tcBorders>
              <w:bottom w:val="single" w:sz="8" w:color="auto"/>
            </w:tcBorders>
          </w:tcPr>
          <w:p>
            <w:pPr>
              <w:spacing w:after="0"/>
              <w:rPr>
                <w:sz w:val="11"/>
                <w:szCs w:val="11"/>
                <w:color w:val="auto"/>
              </w:rPr>
            </w:pPr>
          </w:p>
        </w:tc>
      </w:tr>
      <w:tr>
        <w:trPr>
          <w:trHeight w:val="228"/>
        </w:trPr>
        <w:tc>
          <w:tcPr>
            <w:tcW w:w="840" w:type="dxa"/>
            <w:vAlign w:val="bottom"/>
          </w:tcPr>
          <w:p>
            <w:pPr>
              <w:spacing w:after="0"/>
              <w:rPr>
                <w:sz w:val="20"/>
                <w:szCs w:val="20"/>
                <w:color w:val="auto"/>
              </w:rPr>
            </w:pPr>
            <w:r>
              <w:rPr>
                <w:rFonts w:ascii="Arial" w:cs="Arial" w:eastAsia="Arial" w:hAnsi="Arial"/>
                <w:sz w:val="18"/>
                <w:szCs w:val="18"/>
                <w:b w:val="1"/>
                <w:bCs w:val="1"/>
                <w:color w:val="auto"/>
              </w:rPr>
              <w:t>Ireland</w:t>
            </w:r>
          </w:p>
        </w:tc>
        <w:tc>
          <w:tcPr>
            <w:tcW w:w="10180" w:type="dxa"/>
            <w:vAlign w:val="bottom"/>
            <w:gridSpan w:val="3"/>
          </w:tcPr>
          <w:p>
            <w:pPr>
              <w:ind w:left="260"/>
              <w:spacing w:after="0"/>
              <w:rPr>
                <w:sz w:val="20"/>
                <w:szCs w:val="20"/>
                <w:color w:val="auto"/>
              </w:rPr>
            </w:pPr>
            <w:r>
              <w:rPr>
                <w:rFonts w:ascii="Arial" w:cs="Arial" w:eastAsia="Arial" w:hAnsi="Arial"/>
                <w:sz w:val="18"/>
                <w:szCs w:val="18"/>
                <w:b w:val="1"/>
                <w:bCs w:val="1"/>
                <w:color w:val="auto"/>
              </w:rPr>
              <w:t>Director Reporting</w:t>
            </w:r>
          </w:p>
        </w:tc>
      </w:tr>
      <w:tr>
        <w:trPr>
          <w:trHeight w:val="305"/>
        </w:trPr>
        <w:tc>
          <w:tcPr>
            <w:tcW w:w="840" w:type="dxa"/>
            <w:vAlign w:val="bottom"/>
          </w:tcPr>
          <w:p>
            <w:pPr>
              <w:spacing w:after="0"/>
              <w:rPr>
                <w:sz w:val="24"/>
                <w:szCs w:val="24"/>
                <w:color w:val="auto"/>
              </w:rPr>
            </w:pPr>
          </w:p>
        </w:tc>
        <w:tc>
          <w:tcPr>
            <w:tcW w:w="10180" w:type="dxa"/>
            <w:vAlign w:val="bottom"/>
            <w:gridSpan w:val="3"/>
          </w:tcPr>
          <w:p>
            <w:pPr>
              <w:ind w:left="260"/>
              <w:spacing w:after="0"/>
              <w:rPr>
                <w:sz w:val="20"/>
                <w:szCs w:val="20"/>
                <w:color w:val="auto"/>
              </w:rPr>
            </w:pPr>
            <w:r>
              <w:rPr>
                <w:rFonts w:ascii="Arial" w:cs="Arial" w:eastAsia="Arial" w:hAnsi="Arial"/>
                <w:sz w:val="18"/>
                <w:szCs w:val="18"/>
                <w:color w:val="auto"/>
                <w:w w:val="92"/>
              </w:rPr>
              <w:t>If you are a director or shadow director of the Company or related company, you may be subject to special reporting requirements with</w:t>
            </w:r>
          </w:p>
        </w:tc>
      </w:tr>
      <w:tr>
        <w:trPr>
          <w:trHeight w:val="216"/>
        </w:trPr>
        <w:tc>
          <w:tcPr>
            <w:tcW w:w="840" w:type="dxa"/>
            <w:vAlign w:val="bottom"/>
          </w:tcPr>
          <w:p>
            <w:pPr>
              <w:spacing w:after="0"/>
              <w:rPr>
                <w:sz w:val="18"/>
                <w:szCs w:val="18"/>
                <w:color w:val="auto"/>
              </w:rPr>
            </w:pPr>
          </w:p>
        </w:tc>
        <w:tc>
          <w:tcPr>
            <w:tcW w:w="10180" w:type="dxa"/>
            <w:vAlign w:val="bottom"/>
            <w:gridSpan w:val="3"/>
          </w:tcPr>
          <w:p>
            <w:pPr>
              <w:ind w:left="260"/>
              <w:spacing w:after="0"/>
              <w:rPr>
                <w:sz w:val="20"/>
                <w:szCs w:val="20"/>
                <w:color w:val="auto"/>
              </w:rPr>
            </w:pPr>
            <w:r>
              <w:rPr>
                <w:rFonts w:ascii="Arial" w:cs="Arial" w:eastAsia="Arial" w:hAnsi="Arial"/>
                <w:sz w:val="18"/>
                <w:szCs w:val="18"/>
                <w:color w:val="auto"/>
                <w:w w:val="91"/>
              </w:rPr>
              <w:t>regard to the acquisition of shares or rights over shares. Please contact your personal legal advisor for further details if you are a director</w:t>
            </w:r>
          </w:p>
        </w:tc>
      </w:tr>
      <w:tr>
        <w:trPr>
          <w:trHeight w:val="230"/>
        </w:trPr>
        <w:tc>
          <w:tcPr>
            <w:tcW w:w="840" w:type="dxa"/>
            <w:vAlign w:val="bottom"/>
          </w:tcPr>
          <w:p>
            <w:pPr>
              <w:spacing w:after="0"/>
              <w:rPr>
                <w:sz w:val="20"/>
                <w:szCs w:val="20"/>
                <w:color w:val="auto"/>
              </w:rPr>
            </w:pPr>
          </w:p>
        </w:tc>
        <w:tc>
          <w:tcPr>
            <w:tcW w:w="10180" w:type="dxa"/>
            <w:vAlign w:val="bottom"/>
            <w:gridSpan w:val="3"/>
          </w:tcPr>
          <w:p>
            <w:pPr>
              <w:ind w:left="260"/>
              <w:spacing w:after="0"/>
              <w:rPr>
                <w:sz w:val="20"/>
                <w:szCs w:val="20"/>
                <w:color w:val="auto"/>
              </w:rPr>
            </w:pPr>
            <w:r>
              <w:rPr>
                <w:rFonts w:ascii="Arial" w:cs="Arial" w:eastAsia="Arial" w:hAnsi="Arial"/>
                <w:sz w:val="18"/>
                <w:szCs w:val="18"/>
                <w:color w:val="auto"/>
              </w:rPr>
              <w:t>or shadow director.</w:t>
            </w:r>
          </w:p>
        </w:tc>
      </w:tr>
      <w:tr>
        <w:trPr>
          <w:trHeight w:val="135"/>
        </w:trPr>
        <w:tc>
          <w:tcPr>
            <w:tcW w:w="840" w:type="dxa"/>
            <w:vAlign w:val="bottom"/>
            <w:tcBorders>
              <w:bottom w:val="single" w:sz="8" w:color="auto"/>
            </w:tcBorders>
          </w:tcPr>
          <w:p>
            <w:pPr>
              <w:spacing w:after="0"/>
              <w:rPr>
                <w:sz w:val="11"/>
                <w:szCs w:val="11"/>
                <w:color w:val="auto"/>
              </w:rPr>
            </w:pPr>
          </w:p>
        </w:tc>
        <w:tc>
          <w:tcPr>
            <w:tcW w:w="39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5860" w:type="dxa"/>
            <w:vAlign w:val="bottom"/>
            <w:tcBorders>
              <w:bottom w:val="single" w:sz="8" w:color="auto"/>
            </w:tcBorders>
          </w:tcPr>
          <w:p>
            <w:pPr>
              <w:spacing w:after="0"/>
              <w:rPr>
                <w:sz w:val="11"/>
                <w:szCs w:val="11"/>
                <w:color w:val="auto"/>
              </w:rPr>
            </w:pPr>
          </w:p>
        </w:tc>
      </w:tr>
      <w:tr>
        <w:trPr>
          <w:trHeight w:val="195"/>
        </w:trPr>
        <w:tc>
          <w:tcPr>
            <w:tcW w:w="840" w:type="dxa"/>
            <w:vAlign w:val="bottom"/>
          </w:tcPr>
          <w:p>
            <w:pPr>
              <w:spacing w:after="0" w:line="195" w:lineRule="exact"/>
              <w:rPr>
                <w:sz w:val="20"/>
                <w:szCs w:val="20"/>
                <w:color w:val="auto"/>
              </w:rPr>
            </w:pPr>
            <w:r>
              <w:rPr>
                <w:rFonts w:ascii="Arial" w:cs="Arial" w:eastAsia="Arial" w:hAnsi="Arial"/>
                <w:sz w:val="18"/>
                <w:szCs w:val="18"/>
                <w:b w:val="1"/>
                <w:bCs w:val="1"/>
                <w:color w:val="auto"/>
              </w:rPr>
              <w:t>Japan</w:t>
            </w:r>
          </w:p>
        </w:tc>
        <w:tc>
          <w:tcPr>
            <w:tcW w:w="10180" w:type="dxa"/>
            <w:vAlign w:val="bottom"/>
            <w:gridSpan w:val="3"/>
          </w:tcPr>
          <w:p>
            <w:pPr>
              <w:ind w:left="260"/>
              <w:spacing w:after="0" w:line="195" w:lineRule="exact"/>
              <w:rPr>
                <w:sz w:val="20"/>
                <w:szCs w:val="20"/>
                <w:color w:val="auto"/>
              </w:rPr>
            </w:pPr>
            <w:r>
              <w:rPr>
                <w:rFonts w:ascii="Arial" w:cs="Arial" w:eastAsia="Arial" w:hAnsi="Arial"/>
                <w:sz w:val="18"/>
                <w:szCs w:val="18"/>
                <w:b w:val="1"/>
                <w:bCs w:val="1"/>
                <w:color w:val="auto"/>
                <w:w w:val="93"/>
              </w:rPr>
              <w:t>Share Ownership and Payment Reporting</w:t>
            </w:r>
            <w:r>
              <w:rPr>
                <w:rFonts w:ascii="Arial" w:cs="Arial" w:eastAsia="Arial" w:hAnsi="Arial"/>
                <w:sz w:val="18"/>
                <w:szCs w:val="18"/>
                <w:color w:val="auto"/>
                <w:w w:val="93"/>
              </w:rPr>
              <w:t>. If you acquire Shares valued at more than ¥100,000,000 total, you must file a Securities</w:t>
            </w:r>
          </w:p>
        </w:tc>
      </w:tr>
      <w:tr>
        <w:trPr>
          <w:trHeight w:val="190"/>
        </w:trPr>
        <w:tc>
          <w:tcPr>
            <w:tcW w:w="840" w:type="dxa"/>
            <w:vAlign w:val="bottom"/>
          </w:tcPr>
          <w:p>
            <w:pPr>
              <w:spacing w:after="0"/>
              <w:rPr>
                <w:sz w:val="16"/>
                <w:szCs w:val="16"/>
                <w:color w:val="auto"/>
              </w:rPr>
            </w:pPr>
          </w:p>
        </w:tc>
        <w:tc>
          <w:tcPr>
            <w:tcW w:w="10180" w:type="dxa"/>
            <w:vAlign w:val="bottom"/>
            <w:gridSpan w:val="3"/>
          </w:tcPr>
          <w:p>
            <w:pPr>
              <w:ind w:left="260"/>
              <w:spacing w:after="0" w:line="190" w:lineRule="exact"/>
              <w:rPr>
                <w:sz w:val="20"/>
                <w:szCs w:val="20"/>
                <w:color w:val="auto"/>
              </w:rPr>
            </w:pPr>
            <w:r>
              <w:rPr>
                <w:rFonts w:ascii="Arial" w:cs="Arial" w:eastAsia="Arial" w:hAnsi="Arial"/>
                <w:sz w:val="18"/>
                <w:szCs w:val="18"/>
                <w:color w:val="auto"/>
                <w:w w:val="96"/>
              </w:rPr>
              <w:t>Acquisition Report with the Ministry of Finance (“MOF”) through the Bank of Japan within 20 days of the acquisition of the Shares.</w:t>
            </w:r>
          </w:p>
        </w:tc>
      </w:tr>
      <w:tr>
        <w:trPr>
          <w:trHeight w:val="155"/>
        </w:trPr>
        <w:tc>
          <w:tcPr>
            <w:tcW w:w="840" w:type="dxa"/>
            <w:vAlign w:val="bottom"/>
            <w:tcBorders>
              <w:bottom w:val="single" w:sz="8" w:color="auto"/>
            </w:tcBorders>
          </w:tcPr>
          <w:p>
            <w:pPr>
              <w:spacing w:after="0"/>
              <w:rPr>
                <w:sz w:val="13"/>
                <w:szCs w:val="13"/>
                <w:color w:val="auto"/>
              </w:rPr>
            </w:pPr>
          </w:p>
        </w:tc>
        <w:tc>
          <w:tcPr>
            <w:tcW w:w="3920" w:type="dxa"/>
            <w:vAlign w:val="bottom"/>
            <w:tcBorders>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5860" w:type="dxa"/>
            <w:vAlign w:val="bottom"/>
            <w:tcBorders>
              <w:bottom w:val="single" w:sz="8" w:color="auto"/>
            </w:tcBorders>
          </w:tcPr>
          <w:p>
            <w:pPr>
              <w:spacing w:after="0"/>
              <w:rPr>
                <w:sz w:val="13"/>
                <w:szCs w:val="13"/>
                <w:color w:val="auto"/>
              </w:rPr>
            </w:pPr>
          </w:p>
        </w:tc>
      </w:tr>
      <w:tr>
        <w:trPr>
          <w:trHeight w:val="358"/>
        </w:trPr>
        <w:tc>
          <w:tcPr>
            <w:tcW w:w="840" w:type="dxa"/>
            <w:vAlign w:val="bottom"/>
          </w:tcPr>
          <w:p>
            <w:pPr>
              <w:spacing w:after="0"/>
              <w:rPr>
                <w:sz w:val="24"/>
                <w:szCs w:val="24"/>
                <w:color w:val="auto"/>
              </w:rPr>
            </w:pPr>
          </w:p>
        </w:tc>
        <w:tc>
          <w:tcPr>
            <w:tcW w:w="10180" w:type="dxa"/>
            <w:vAlign w:val="bottom"/>
            <w:gridSpan w:val="3"/>
          </w:tcPr>
          <w:p>
            <w:pPr>
              <w:ind w:left="4620"/>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020"/>
          </w:cols>
          <w:pgMar w:left="440" w:top="268" w:right="439" w:bottom="1440" w:gutter="0" w:footer="0" w:header="0"/>
        </w:sectPr>
      </w:pPr>
    </w:p>
    <w:bookmarkStart w:id="352" w:name="page353"/>
    <w:bookmarkEnd w:id="352"/>
    <w:p>
      <w:pPr>
        <w:ind w:left="1100"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addition, if you pay more than ¥30,000,000 in a single transaction for the Shares at exercise of the Option, you must file a Payment Report with the MOF through the Bank of Japan by the 20th day of the month following the month in which the payment was made. The precise reporting requirements may vary depending on the bank handling the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-431165</wp:posOffset>
            </wp:positionV>
            <wp:extent cx="699516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69" w:lineRule="exact"/>
        <w:rPr>
          <w:sz w:val="20"/>
          <w:szCs w:val="20"/>
          <w:color w:val="auto"/>
        </w:rPr>
      </w:pPr>
    </w:p>
    <w:p>
      <w:pPr>
        <w:ind w:left="1100"/>
        <w:spacing w:after="0" w:line="342" w:lineRule="auto"/>
        <w:rPr>
          <w:sz w:val="20"/>
          <w:szCs w:val="20"/>
          <w:color w:val="auto"/>
        </w:rPr>
      </w:pPr>
      <w:r>
        <w:rPr>
          <w:rFonts w:ascii="Arial" w:cs="Arial" w:eastAsia="Arial" w:hAnsi="Arial"/>
          <w:sz w:val="16"/>
          <w:szCs w:val="16"/>
          <w:color w:val="auto"/>
        </w:rPr>
        <w:t>A Payment Report is required independently of a Securities Acquisition Report. Consequently, if the total amount that you pay on a one-time basis at exercise of the Option exceeds ¥100,000,000, you must file both a Payment Report and a Securities Acquisition Report.</w:t>
      </w:r>
    </w:p>
    <w:p>
      <w:pPr>
        <w:spacing w:after="0" w:line="25"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Exit Tax</w:t>
      </w:r>
      <w:r>
        <w:rPr>
          <w:rFonts w:ascii="Arial" w:cs="Arial" w:eastAsia="Arial" w:hAnsi="Arial"/>
          <w:sz w:val="16"/>
          <w:szCs w:val="16"/>
          <w:color w:val="auto"/>
        </w:rPr>
        <w:t>. Please note that you may be subject to tax on your options, even prior to vesting or exercise, if you relocate from Japan if you</w:t>
      </w:r>
    </w:p>
    <w:p>
      <w:pPr>
        <w:spacing w:after="0" w:line="50" w:lineRule="exact"/>
        <w:rPr>
          <w:sz w:val="20"/>
          <w:szCs w:val="20"/>
          <w:color w:val="auto"/>
        </w:rPr>
      </w:pPr>
    </w:p>
    <w:p>
      <w:pPr>
        <w:ind w:left="1100" w:firstLine="3"/>
        <w:spacing w:after="0" w:line="255" w:lineRule="auto"/>
        <w:tabs>
          <w:tab w:leader="none" w:pos="1355" w:val="left"/>
        </w:tabs>
        <w:numPr>
          <w:ilvl w:val="0"/>
          <w:numId w:val="321"/>
        </w:numPr>
        <w:rPr>
          <w:rFonts w:ascii="Arial" w:cs="Arial" w:eastAsia="Arial" w:hAnsi="Arial"/>
          <w:sz w:val="18"/>
          <w:szCs w:val="18"/>
          <w:color w:val="auto"/>
        </w:rPr>
      </w:pPr>
      <w:r>
        <w:rPr>
          <w:rFonts w:ascii="Arial" w:cs="Arial" w:eastAsia="Arial" w:hAnsi="Arial"/>
          <w:sz w:val="18"/>
          <w:szCs w:val="18"/>
          <w:color w:val="auto"/>
        </w:rPr>
        <w:t>hold financial assets with an aggregate value of ¥100,000,000 or more upon departure from Japan and (2) maintained a principle place of residence (jusho) or temporary place of abode (kyosho) in Japan for 5 years or more during the 10-year period immediately prior to departing Japan. You should discuss your tax treatment with your personal tax advisor.</w:t>
      </w:r>
    </w:p>
    <w:p>
      <w:pPr>
        <w:spacing w:after="0" w:line="91" w:lineRule="exact"/>
        <w:rPr>
          <w:sz w:val="20"/>
          <w:szCs w:val="20"/>
          <w:color w:val="auto"/>
        </w:rPr>
      </w:pPr>
    </w:p>
    <w:p>
      <w:pPr>
        <w:ind w:left="1100" w:right="180"/>
        <w:spacing w:after="0" w:line="282" w:lineRule="auto"/>
        <w:rPr>
          <w:sz w:val="20"/>
          <w:szCs w:val="20"/>
          <w:color w:val="auto"/>
        </w:rPr>
      </w:pPr>
      <w:r>
        <w:rPr>
          <w:rFonts w:ascii="Arial" w:cs="Arial" w:eastAsia="Arial" w:hAnsi="Arial"/>
          <w:sz w:val="18"/>
          <w:szCs w:val="18"/>
          <w:b w:val="1"/>
          <w:bCs w:val="1"/>
          <w:color w:val="auto"/>
        </w:rPr>
        <w:t>Termination for Cause</w:t>
      </w:r>
      <w:r>
        <w:rPr>
          <w:rFonts w:ascii="Arial" w:cs="Arial" w:eastAsia="Arial" w:hAnsi="Arial"/>
          <w:sz w:val="18"/>
          <w:szCs w:val="18"/>
          <w:color w:val="auto"/>
        </w:rPr>
        <w:t>. Notwithstanding anything to the contrary in the Plan, any termination for “Cause” as provided in Section 5(a)</w:t>
      </w:r>
      <w:r>
        <w:rPr>
          <w:rFonts w:ascii="Arial" w:cs="Arial" w:eastAsia="Arial" w:hAnsi="Arial"/>
          <w:sz w:val="18"/>
          <w:szCs w:val="18"/>
          <w:b w:val="1"/>
          <w:bCs w:val="1"/>
          <w:color w:val="auto"/>
        </w:rPr>
        <w:t xml:space="preserve"> </w:t>
      </w:r>
      <w:r>
        <w:rPr>
          <w:rFonts w:ascii="Arial" w:cs="Arial" w:eastAsia="Arial" w:hAnsi="Arial"/>
          <w:sz w:val="18"/>
          <w:szCs w:val="18"/>
          <w:color w:val="auto"/>
        </w:rPr>
        <w:t>and (d) of the Stock Option Agreement shall mean all lawful termination under the Japanese labor laws.</w:t>
      </w:r>
    </w:p>
    <w:p>
      <w:pPr>
        <w:spacing w:after="0" w:line="67" w:lineRule="exact"/>
        <w:rPr>
          <w:sz w:val="20"/>
          <w:szCs w:val="20"/>
          <w:color w:val="auto"/>
        </w:rPr>
      </w:pPr>
    </w:p>
    <w:p>
      <w:pPr>
        <w:ind w:left="1100" w:right="240"/>
        <w:spacing w:after="0" w:line="282" w:lineRule="auto"/>
        <w:rPr>
          <w:sz w:val="20"/>
          <w:szCs w:val="20"/>
          <w:color w:val="auto"/>
        </w:rPr>
      </w:pPr>
      <w:r>
        <w:rPr>
          <w:rFonts w:ascii="Arial" w:cs="Arial" w:eastAsia="Arial" w:hAnsi="Arial"/>
          <w:sz w:val="18"/>
          <w:szCs w:val="18"/>
          <w:b w:val="1"/>
          <w:bCs w:val="1"/>
          <w:color w:val="auto"/>
        </w:rPr>
        <w:t>Data Privacy</w:t>
      </w:r>
      <w:r>
        <w:rPr>
          <w:rFonts w:ascii="Arial" w:cs="Arial" w:eastAsia="Arial" w:hAnsi="Arial"/>
          <w:sz w:val="18"/>
          <w:szCs w:val="18"/>
          <w:color w:val="auto"/>
        </w:rPr>
        <w:t>. The following applies and supplements Section 12 of the Stock Option Agreement: The countries where Personal Data</w:t>
      </w:r>
      <w:r>
        <w:rPr>
          <w:rFonts w:ascii="Arial" w:cs="Arial" w:eastAsia="Arial" w:hAnsi="Arial"/>
          <w:sz w:val="18"/>
          <w:szCs w:val="18"/>
          <w:b w:val="1"/>
          <w:bCs w:val="1"/>
          <w:color w:val="auto"/>
        </w:rPr>
        <w:t xml:space="preserve"> </w:t>
      </w:r>
      <w:r>
        <w:rPr>
          <w:rFonts w:ascii="Arial" w:cs="Arial" w:eastAsia="Arial" w:hAnsi="Arial"/>
          <w:sz w:val="18"/>
          <w:szCs w:val="18"/>
          <w:color w:val="auto"/>
        </w:rPr>
        <w:t>may be transferred include the United States, Australia, Canada, Iceland, Ireland, Japan.</w:t>
      </w:r>
    </w:p>
    <w:p>
      <w:pPr>
        <w:spacing w:after="0" w:line="94"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United</w:t>
      </w:r>
      <w:r>
        <w:rPr>
          <w:sz w:val="20"/>
          <w:szCs w:val="20"/>
          <w:color w:val="auto"/>
        </w:rPr>
        <w:tab/>
      </w:r>
      <w:r>
        <w:rPr>
          <w:rFonts w:ascii="Arial" w:cs="Arial" w:eastAsia="Arial" w:hAnsi="Arial"/>
          <w:sz w:val="18"/>
          <w:szCs w:val="18"/>
          <w:color w:val="auto"/>
        </w:rPr>
        <w:t>The following supplements Section 3(b)(ii)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99516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Kingdom</w:t>
      </w:r>
    </w:p>
    <w:p>
      <w:pPr>
        <w:spacing w:after="0" w:line="9" w:lineRule="exact"/>
        <w:rPr>
          <w:sz w:val="20"/>
          <w:szCs w:val="20"/>
          <w:color w:val="auto"/>
        </w:rPr>
      </w:pPr>
    </w:p>
    <w:p>
      <w:pPr>
        <w:ind w:left="1100"/>
        <w:spacing w:after="0" w:line="269" w:lineRule="auto"/>
        <w:rPr>
          <w:sz w:val="20"/>
          <w:szCs w:val="20"/>
          <w:color w:val="auto"/>
        </w:rPr>
      </w:pPr>
      <w:r>
        <w:rPr>
          <w:rFonts w:ascii="Arial" w:cs="Arial" w:eastAsia="Arial" w:hAnsi="Arial"/>
          <w:sz w:val="17"/>
          <w:szCs w:val="17"/>
          <w:b w:val="1"/>
          <w:bCs w:val="1"/>
          <w:color w:val="auto"/>
        </w:rPr>
        <w:t>Withholding of Tax</w:t>
      </w:r>
      <w:r>
        <w:rPr>
          <w:rFonts w:ascii="Arial" w:cs="Arial" w:eastAsia="Arial" w:hAnsi="Arial"/>
          <w:sz w:val="17"/>
          <w:szCs w:val="17"/>
          <w:color w:val="auto"/>
        </w:rPr>
        <w:t>. To the extent applicable, if payment or withholding of the Tax-Related Items is not made within ninety (90) days of</w:t>
      </w:r>
      <w:r>
        <w:rPr>
          <w:rFonts w:ascii="Arial" w:cs="Arial" w:eastAsia="Arial" w:hAnsi="Arial"/>
          <w:sz w:val="17"/>
          <w:szCs w:val="17"/>
          <w:b w:val="1"/>
          <w:bCs w:val="1"/>
          <w:color w:val="auto"/>
        </w:rPr>
        <w:t xml:space="preserve"> </w:t>
      </w:r>
      <w:r>
        <w:rPr>
          <w:rFonts w:ascii="Arial" w:cs="Arial" w:eastAsia="Arial" w:hAnsi="Arial"/>
          <w:sz w:val="17"/>
          <w:szCs w:val="17"/>
          <w:color w:val="auto"/>
        </w:rPr>
        <w:t>the end of the UK tax year in which the event giving rise to the Tax-Related Items occurs (the “</w:t>
      </w:r>
      <w:r>
        <w:rPr>
          <w:rFonts w:ascii="Arial" w:cs="Arial" w:eastAsia="Arial" w:hAnsi="Arial"/>
          <w:sz w:val="17"/>
          <w:szCs w:val="17"/>
          <w:u w:val="single" w:color="auto"/>
          <w:color w:val="auto"/>
        </w:rPr>
        <w:t>Due Date</w:t>
      </w:r>
      <w:r>
        <w:rPr>
          <w:rFonts w:ascii="Arial" w:cs="Arial" w:eastAsia="Arial" w:hAnsi="Arial"/>
          <w:sz w:val="17"/>
          <w:szCs w:val="17"/>
          <w:color w:val="auto"/>
        </w:rPr>
        <w:t>”) or such other period specified in Section 222(1)(c) of the Income Tax (Earnings and Pensions) Act 2003, the amount of any uncollected Tax-Related Items will constitute a loan owed by you to the Company, effective on the Due Date. You agree that the loan will bear interest at the then-current Official Rate of Her Majesty’s Revenue and Customs (“</w:t>
      </w:r>
      <w:r>
        <w:rPr>
          <w:rFonts w:ascii="Arial" w:cs="Arial" w:eastAsia="Arial" w:hAnsi="Arial"/>
          <w:sz w:val="17"/>
          <w:szCs w:val="17"/>
          <w:u w:val="single" w:color="auto"/>
          <w:color w:val="auto"/>
        </w:rPr>
        <w:t>HMRC</w:t>
      </w:r>
      <w:r>
        <w:rPr>
          <w:rFonts w:ascii="Arial" w:cs="Arial" w:eastAsia="Arial" w:hAnsi="Arial"/>
          <w:sz w:val="17"/>
          <w:szCs w:val="17"/>
          <w:color w:val="auto"/>
        </w:rPr>
        <w:t>”), it will be immediately due and repayable, and the Company or the employer may recover it at any time thereafter by any of the means referred to in Section 3(b)(ii) of the Agreement. Notwithstanding the foregoing, if you are a director or executive officer of the Company (within the meaning of Section 13(k) of the U.S. Securities and Exchange Act of 1934, as amended), you will not be eligible for such a loan to cover the Tax-Related Items. In the event that you are a director or executive officer and the Tax-Related Items are not collected from or paid by you by the Due Date, the amount of any uncollected Tax-Related Items will constitute a benefit to you on which additional income tax and national insurance contributions will be payable. You will be responsible for reporting and paying any income tax due on this additional benefit directly to HMRC under the self-assessment regime.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87" w:right="459" w:bottom="1440" w:gutter="0" w:footer="0" w:header="0"/>
        </w:sectPr>
      </w:pPr>
    </w:p>
    <w:bookmarkStart w:id="353" w:name="page354"/>
    <w:bookmarkEnd w:id="353"/>
    <w:p>
      <w:pPr>
        <w:ind w:left="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HMRC National Insurance Contributions</w:t>
      </w:r>
      <w:r>
        <w:rPr>
          <w:rFonts w:ascii="Arial" w:cs="Arial" w:eastAsia="Arial" w:hAnsi="Arial"/>
          <w:sz w:val="18"/>
          <w:szCs w:val="18"/>
          <w:color w:val="auto"/>
        </w:rPr>
        <w:t>. You agree that:</w:t>
      </w:r>
    </w:p>
    <w:p>
      <w:pPr>
        <w:spacing w:after="0" w:line="135" w:lineRule="exact"/>
        <w:rPr>
          <w:sz w:val="20"/>
          <w:szCs w:val="20"/>
          <w:color w:val="auto"/>
        </w:rPr>
      </w:pPr>
    </w:p>
    <w:p>
      <w:pPr>
        <w:ind w:left="460" w:right="320" w:hanging="357"/>
        <w:spacing w:after="0" w:line="277" w:lineRule="auto"/>
        <w:tabs>
          <w:tab w:leader="none" w:pos="434"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Tax-Related Items within Section 3(b)(ii) of the Agreement shall include any secondary class 1 (employer) National Insurance Contributions that:</w:t>
      </w:r>
    </w:p>
    <w:p>
      <w:pPr>
        <w:spacing w:after="0" w:line="75" w:lineRule="exact"/>
        <w:rPr>
          <w:rFonts w:ascii="Arial" w:cs="Arial" w:eastAsia="Arial" w:hAnsi="Arial"/>
          <w:sz w:val="18"/>
          <w:szCs w:val="18"/>
          <w:color w:val="auto"/>
        </w:rPr>
      </w:pPr>
    </w:p>
    <w:p>
      <w:pPr>
        <w:ind w:left="820" w:hanging="357"/>
        <w:spacing w:after="0"/>
        <w:tabs>
          <w:tab w:leader="none" w:pos="820" w:val="left"/>
        </w:tabs>
        <w:numPr>
          <w:ilvl w:val="1"/>
          <w:numId w:val="322"/>
        </w:numPr>
        <w:rPr>
          <w:rFonts w:ascii="Arial" w:cs="Arial" w:eastAsia="Arial" w:hAnsi="Arial"/>
          <w:sz w:val="18"/>
          <w:szCs w:val="18"/>
          <w:color w:val="auto"/>
        </w:rPr>
      </w:pPr>
      <w:r>
        <w:rPr>
          <w:rFonts w:ascii="Arial" w:cs="Arial" w:eastAsia="Arial" w:hAnsi="Arial"/>
          <w:sz w:val="18"/>
          <w:szCs w:val="18"/>
          <w:color w:val="auto"/>
        </w:rPr>
        <w:t>any employer (or former employer) of yours is liable to pay (or reasonably believes it is liable to pay); and</w:t>
      </w:r>
    </w:p>
    <w:p>
      <w:pPr>
        <w:spacing w:after="0" w:line="130" w:lineRule="exact"/>
        <w:rPr>
          <w:rFonts w:ascii="Arial" w:cs="Arial" w:eastAsia="Arial" w:hAnsi="Arial"/>
          <w:sz w:val="18"/>
          <w:szCs w:val="18"/>
          <w:color w:val="auto"/>
        </w:rPr>
      </w:pPr>
    </w:p>
    <w:p>
      <w:pPr>
        <w:ind w:left="800" w:hanging="337"/>
        <w:spacing w:after="0"/>
        <w:tabs>
          <w:tab w:leader="none" w:pos="800" w:val="left"/>
        </w:tabs>
        <w:numPr>
          <w:ilvl w:val="1"/>
          <w:numId w:val="322"/>
        </w:numPr>
        <w:rPr>
          <w:rFonts w:ascii="Arial" w:cs="Arial" w:eastAsia="Arial" w:hAnsi="Arial"/>
          <w:sz w:val="18"/>
          <w:szCs w:val="18"/>
          <w:color w:val="auto"/>
        </w:rPr>
      </w:pPr>
      <w:r>
        <w:rPr>
          <w:rFonts w:ascii="Arial" w:cs="Arial" w:eastAsia="Arial" w:hAnsi="Arial"/>
          <w:sz w:val="18"/>
          <w:szCs w:val="18"/>
          <w:color w:val="auto"/>
        </w:rPr>
        <w:t>may be lawfully recovered from you; and</w:t>
      </w:r>
    </w:p>
    <w:p>
      <w:pPr>
        <w:spacing w:after="0" w:line="130" w:lineRule="exact"/>
        <w:rPr>
          <w:rFonts w:ascii="Arial" w:cs="Arial" w:eastAsia="Arial" w:hAnsi="Arial"/>
          <w:sz w:val="18"/>
          <w:szCs w:val="18"/>
          <w:color w:val="auto"/>
        </w:rPr>
      </w:pPr>
    </w:p>
    <w:p>
      <w:pPr>
        <w:ind w:left="460" w:hanging="357"/>
        <w:spacing w:after="0"/>
        <w:tabs>
          <w:tab w:leader="none" w:pos="46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if required to do so by the Company (at any time when the relevant election can be made) you shall either:</w:t>
      </w:r>
    </w:p>
    <w:p>
      <w:pPr>
        <w:spacing w:after="0" w:line="130" w:lineRule="exact"/>
        <w:rPr>
          <w:rFonts w:ascii="Arial" w:cs="Arial" w:eastAsia="Arial" w:hAnsi="Arial"/>
          <w:sz w:val="18"/>
          <w:szCs w:val="18"/>
          <w:color w:val="auto"/>
        </w:rPr>
      </w:pPr>
    </w:p>
    <w:p>
      <w:pPr>
        <w:ind w:left="820" w:right="300" w:hanging="357"/>
        <w:spacing w:after="0" w:line="277" w:lineRule="auto"/>
        <w:tabs>
          <w:tab w:leader="none" w:pos="810" w:val="left"/>
        </w:tabs>
        <w:numPr>
          <w:ilvl w:val="1"/>
          <w:numId w:val="322"/>
        </w:numPr>
        <w:rPr>
          <w:rFonts w:ascii="Arial" w:cs="Arial" w:eastAsia="Arial" w:hAnsi="Arial"/>
          <w:sz w:val="18"/>
          <w:szCs w:val="18"/>
          <w:color w:val="auto"/>
        </w:rPr>
      </w:pPr>
      <w:r>
        <w:rPr>
          <w:rFonts w:ascii="Arial" w:cs="Arial" w:eastAsia="Arial" w:hAnsi="Arial"/>
          <w:sz w:val="18"/>
          <w:szCs w:val="18"/>
          <w:color w:val="auto"/>
        </w:rPr>
        <w:t>make a joint election (with the employer or former employer) in the form provided by the Company to transfer to you the whole or any part of the employer’s liability that falls within Section 3(b)(ii) of the Agreement; and</w:t>
      </w:r>
    </w:p>
    <w:p>
      <w:pPr>
        <w:spacing w:after="0" w:line="75" w:lineRule="exact"/>
        <w:rPr>
          <w:rFonts w:ascii="Arial" w:cs="Arial" w:eastAsia="Arial" w:hAnsi="Arial"/>
          <w:sz w:val="18"/>
          <w:szCs w:val="18"/>
          <w:color w:val="auto"/>
        </w:rPr>
      </w:pPr>
    </w:p>
    <w:p>
      <w:pPr>
        <w:ind w:left="820" w:right="540" w:hanging="357"/>
        <w:spacing w:after="0" w:line="277" w:lineRule="auto"/>
        <w:tabs>
          <w:tab w:leader="none" w:pos="806" w:val="left"/>
        </w:tabs>
        <w:numPr>
          <w:ilvl w:val="1"/>
          <w:numId w:val="322"/>
        </w:numPr>
        <w:rPr>
          <w:rFonts w:ascii="Arial" w:cs="Arial" w:eastAsia="Arial" w:hAnsi="Arial"/>
          <w:sz w:val="18"/>
          <w:szCs w:val="18"/>
          <w:color w:val="auto"/>
        </w:rPr>
      </w:pPr>
      <w:r>
        <w:rPr>
          <w:rFonts w:ascii="Arial" w:cs="Arial" w:eastAsia="Arial" w:hAnsi="Arial"/>
          <w:sz w:val="18"/>
          <w:szCs w:val="18"/>
          <w:color w:val="auto"/>
        </w:rPr>
        <w:t>enter into arrangements required by HM Revenue &amp; Customs (or any other tax authority) to secure the payment of the transferred liability; or</w:t>
      </w:r>
    </w:p>
    <w:p>
      <w:pPr>
        <w:spacing w:after="0" w:line="75" w:lineRule="exact"/>
        <w:rPr>
          <w:rFonts w:ascii="Arial" w:cs="Arial" w:eastAsia="Arial" w:hAnsi="Arial"/>
          <w:sz w:val="18"/>
          <w:szCs w:val="18"/>
          <w:color w:val="auto"/>
        </w:rPr>
      </w:pPr>
    </w:p>
    <w:p>
      <w:pPr>
        <w:ind w:left="820" w:hanging="357"/>
        <w:spacing w:after="0" w:line="301" w:lineRule="auto"/>
        <w:tabs>
          <w:tab w:leader="none" w:pos="802" w:val="left"/>
        </w:tabs>
        <w:numPr>
          <w:ilvl w:val="1"/>
          <w:numId w:val="322"/>
        </w:numPr>
        <w:rPr>
          <w:rFonts w:ascii="Arial" w:cs="Arial" w:eastAsia="Arial" w:hAnsi="Arial"/>
          <w:sz w:val="16"/>
          <w:szCs w:val="16"/>
          <w:color w:val="auto"/>
        </w:rPr>
      </w:pPr>
      <w:r>
        <w:rPr>
          <w:rFonts w:ascii="Arial" w:cs="Arial" w:eastAsia="Arial" w:hAnsi="Arial"/>
          <w:sz w:val="16"/>
          <w:szCs w:val="16"/>
          <w:color w:val="auto"/>
        </w:rPr>
        <w:t>hereby indemnifies the Company and any Subsidiary or Affiliate against all and any Tax-Related Items which may arise in respect of or in connection with (a) this Option, (b) any option granted or provided to you by way of rollover, assumption or replacement of this Option, or (c) the Shares or other securities issued or transferred pursuant to the exercise of this Option or any option granted or provided to you by way of rollover, assumption or replacement of this Option.</w:t>
      </w:r>
    </w:p>
    <w:p>
      <w:pPr>
        <w:spacing w:after="0" w:line="59" w:lineRule="exact"/>
        <w:rPr>
          <w:sz w:val="20"/>
          <w:szCs w:val="20"/>
          <w:color w:val="auto"/>
        </w:rPr>
      </w:pPr>
    </w:p>
    <w:p>
      <w:pPr>
        <w:ind w:left="100" w:right="400"/>
        <w:spacing w:after="0" w:line="347" w:lineRule="auto"/>
        <w:rPr>
          <w:sz w:val="20"/>
          <w:szCs w:val="20"/>
          <w:color w:val="auto"/>
        </w:rPr>
      </w:pPr>
      <w:r>
        <w:rPr>
          <w:rFonts w:ascii="Arial" w:cs="Arial" w:eastAsia="Arial" w:hAnsi="Arial"/>
          <w:sz w:val="16"/>
          <w:szCs w:val="16"/>
          <w:b w:val="1"/>
          <w:bCs w:val="1"/>
          <w:color w:val="auto"/>
        </w:rPr>
        <w:t>Restricted Securities Elections</w:t>
      </w:r>
      <w:r>
        <w:rPr>
          <w:rFonts w:ascii="Arial" w:cs="Arial" w:eastAsia="Arial" w:hAnsi="Arial"/>
          <w:sz w:val="16"/>
          <w:szCs w:val="16"/>
          <w:color w:val="auto"/>
        </w:rPr>
        <w:t>. Unless this requirement is waived by the Company, you shall enter into a joint election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appropriate employer) under section 431(1) or section 431(2) of Income Tax (Earnings &amp; Pensions) Act 2003 in respect of:</w:t>
      </w:r>
    </w:p>
    <w:p>
      <w:pPr>
        <w:spacing w:after="0" w:line="25" w:lineRule="exact"/>
        <w:rPr>
          <w:sz w:val="20"/>
          <w:szCs w:val="20"/>
          <w:color w:val="auto"/>
        </w:rPr>
      </w:pPr>
    </w:p>
    <w:p>
      <w:pPr>
        <w:ind w:left="440" w:hanging="337"/>
        <w:spacing w:after="0"/>
        <w:tabs>
          <w:tab w:leader="none" w:pos="44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any Shares acquired (or to be acquired) on exercise of the Option;</w:t>
      </w:r>
    </w:p>
    <w:p>
      <w:pPr>
        <w:spacing w:after="0" w:line="130" w:lineRule="exact"/>
        <w:rPr>
          <w:rFonts w:ascii="Arial" w:cs="Arial" w:eastAsia="Arial" w:hAnsi="Arial"/>
          <w:sz w:val="18"/>
          <w:szCs w:val="18"/>
          <w:color w:val="auto"/>
        </w:rPr>
      </w:pPr>
    </w:p>
    <w:p>
      <w:pPr>
        <w:ind w:left="460" w:hanging="357"/>
        <w:spacing w:after="0"/>
        <w:tabs>
          <w:tab w:leader="none" w:pos="46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any securities acquired (or to be acquired) as a result of any surrender of the Option; and</w:t>
      </w:r>
    </w:p>
    <w:p>
      <w:pPr>
        <w:spacing w:after="0" w:line="130" w:lineRule="exact"/>
        <w:rPr>
          <w:rFonts w:ascii="Arial" w:cs="Arial" w:eastAsia="Arial" w:hAnsi="Arial"/>
          <w:sz w:val="18"/>
          <w:szCs w:val="18"/>
          <w:color w:val="auto"/>
        </w:rPr>
      </w:pPr>
    </w:p>
    <w:p>
      <w:pPr>
        <w:ind w:left="460" w:right="420" w:hanging="357"/>
        <w:spacing w:after="0" w:line="277" w:lineRule="auto"/>
        <w:tabs>
          <w:tab w:leader="none" w:pos="437" w:val="left"/>
        </w:tabs>
        <w:numPr>
          <w:ilvl w:val="0"/>
          <w:numId w:val="323"/>
        </w:numPr>
        <w:rPr>
          <w:rFonts w:ascii="Arial" w:cs="Arial" w:eastAsia="Arial" w:hAnsi="Arial"/>
          <w:sz w:val="18"/>
          <w:szCs w:val="18"/>
          <w:color w:val="auto"/>
        </w:rPr>
      </w:pPr>
      <w:r>
        <w:rPr>
          <w:rFonts w:ascii="Arial" w:cs="Arial" w:eastAsia="Arial" w:hAnsi="Arial"/>
          <w:sz w:val="18"/>
          <w:szCs w:val="18"/>
          <w:color w:val="auto"/>
        </w:rPr>
        <w:t>any securities acquired (or to be acquired) as a result of holding either Shares acquired on exercise of the Option or securities specified in paragraph (b) above or this paragraph (c).</w:t>
      </w:r>
    </w:p>
    <w:p>
      <w:pPr>
        <w:spacing w:after="0" w:line="11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9860"/>
          </w:cols>
          <w:pgMar w:left="1440" w:top="270" w:right="599" w:bottom="1440" w:gutter="0" w:footer="0" w:header="0"/>
        </w:sectPr>
      </w:pPr>
    </w:p>
    <w:bookmarkStart w:id="354" w:name="page355"/>
    <w:bookmarkEnd w:id="35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ASANA,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 2012 STOCK PLAN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EXERCISE AGREEMENT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Exercise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is made as of __________, by and between Asana,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w:t>
      </w:r>
    </w:p>
    <w:p>
      <w:pPr>
        <w:spacing w:after="0" w:line="46"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and «Optionee» (“</w:t>
      </w:r>
      <w:r>
        <w:rPr>
          <w:rFonts w:ascii="Arial" w:cs="Arial" w:eastAsia="Arial" w:hAnsi="Arial"/>
          <w:sz w:val="18"/>
          <w:szCs w:val="18"/>
          <w:u w:val="single" w:color="auto"/>
          <w:color w:val="auto"/>
        </w:rPr>
        <w:t>Purchaser</w:t>
      </w:r>
      <w:r>
        <w:rPr>
          <w:rFonts w:ascii="Arial" w:cs="Arial" w:eastAsia="Arial" w:hAnsi="Arial"/>
          <w:sz w:val="18"/>
          <w:szCs w:val="18"/>
          <w:color w:val="auto"/>
        </w:rPr>
        <w:t>”). To the extent any capitalized terms used in this Agreement are not defined, they shall have the meaning ascribed to them in the Company’s Amended and Restated 2012 Stock Plan (the “</w:t>
      </w:r>
      <w:r>
        <w:rPr>
          <w:rFonts w:ascii="Arial" w:cs="Arial" w:eastAsia="Arial" w:hAnsi="Arial"/>
          <w:sz w:val="18"/>
          <w:szCs w:val="18"/>
          <w:u w:val="single" w:color="auto"/>
          <w:color w:val="auto"/>
        </w:rPr>
        <w:t>Plan</w:t>
      </w:r>
      <w:r>
        <w:rPr>
          <w:rFonts w:ascii="Arial" w:cs="Arial" w:eastAsia="Arial" w:hAnsi="Arial"/>
          <w:sz w:val="18"/>
          <w:szCs w:val="18"/>
          <w:color w:val="auto"/>
        </w:rPr>
        <w:t>”) and the Option Agreement (as defined below).</w:t>
      </w:r>
    </w:p>
    <w:p>
      <w:pPr>
        <w:spacing w:after="0" w:line="73" w:lineRule="exact"/>
        <w:rPr>
          <w:sz w:val="20"/>
          <w:szCs w:val="20"/>
          <w:color w:val="auto"/>
        </w:rPr>
      </w:pPr>
    </w:p>
    <w:p>
      <w:pPr>
        <w:ind w:left="620" w:hanging="184"/>
        <w:spacing w:after="0"/>
        <w:tabs>
          <w:tab w:leader="none" w:pos="620" w:val="left"/>
        </w:tabs>
        <w:numPr>
          <w:ilvl w:val="0"/>
          <w:numId w:val="324"/>
        </w:numPr>
        <w:rPr>
          <w:rFonts w:ascii="Arial" w:cs="Arial" w:eastAsia="Arial" w:hAnsi="Arial"/>
          <w:sz w:val="16"/>
          <w:szCs w:val="16"/>
          <w:color w:val="auto"/>
        </w:rPr>
      </w:pPr>
      <w:r>
        <w:rPr>
          <w:rFonts w:ascii="Arial" w:cs="Arial" w:eastAsia="Arial" w:hAnsi="Arial"/>
          <w:sz w:val="16"/>
          <w:szCs w:val="16"/>
          <w:b w:val="1"/>
          <w:bCs w:val="1"/>
          <w:u w:val="single" w:color="auto"/>
          <w:color w:val="auto"/>
        </w:rPr>
        <w:t>Exercise of Option</w:t>
      </w:r>
      <w:r>
        <w:rPr>
          <w:rFonts w:ascii="Arial" w:cs="Arial" w:eastAsia="Arial" w:hAnsi="Arial"/>
          <w:sz w:val="16"/>
          <w:szCs w:val="16"/>
          <w:color w:val="auto"/>
        </w:rPr>
        <w:t>. Subject to the terms and conditions hereof, Purchaser hereby elects to exercise his or her option to purchase __________</w:t>
      </w:r>
    </w:p>
    <w:p>
      <w:pPr>
        <w:spacing w:after="0" w:line="50" w:lineRule="exact"/>
        <w:rPr>
          <w:rFonts w:ascii="Arial" w:cs="Arial" w:eastAsia="Arial" w:hAnsi="Arial"/>
          <w:sz w:val="16"/>
          <w:szCs w:val="16"/>
          <w:color w:val="auto"/>
        </w:rPr>
      </w:pPr>
    </w:p>
    <w:p>
      <w:pPr>
        <w:ind w:right="40"/>
        <w:spacing w:after="0" w:line="252" w:lineRule="auto"/>
        <w:rPr>
          <w:rFonts w:ascii="Arial" w:cs="Arial" w:eastAsia="Arial" w:hAnsi="Arial"/>
          <w:sz w:val="16"/>
          <w:szCs w:val="16"/>
          <w:color w:val="auto"/>
        </w:rPr>
      </w:pPr>
      <w:r>
        <w:rPr>
          <w:rFonts w:ascii="Arial" w:cs="Arial" w:eastAsia="Arial" w:hAnsi="Arial"/>
          <w:sz w:val="18"/>
          <w:szCs w:val="18"/>
          <w:color w:val="auto"/>
        </w:rPr>
        <w:t>shares of the Class B Common Stock (the “</w:t>
      </w:r>
      <w:r>
        <w:rPr>
          <w:rFonts w:ascii="Arial" w:cs="Arial" w:eastAsia="Arial" w:hAnsi="Arial"/>
          <w:sz w:val="18"/>
          <w:szCs w:val="18"/>
          <w:u w:val="single" w:color="auto"/>
          <w:color w:val="auto"/>
        </w:rPr>
        <w:t>Shares</w:t>
      </w:r>
      <w:r>
        <w:rPr>
          <w:rFonts w:ascii="Arial" w:cs="Arial" w:eastAsia="Arial" w:hAnsi="Arial"/>
          <w:sz w:val="18"/>
          <w:szCs w:val="18"/>
          <w:color w:val="auto"/>
        </w:rPr>
        <w:t>”) of the Company subject to the option granted on «GrantDate» pursuant to the Plan and evidenced by a Notice of Stock Option Grant and Stock Option Agreement (the “</w:t>
      </w:r>
      <w:r>
        <w:rPr>
          <w:rFonts w:ascii="Arial" w:cs="Arial" w:eastAsia="Arial" w:hAnsi="Arial"/>
          <w:sz w:val="18"/>
          <w:szCs w:val="18"/>
          <w:u w:val="single" w:color="auto"/>
          <w:color w:val="auto"/>
        </w:rPr>
        <w:t>Option Agreement</w:t>
      </w:r>
      <w:r>
        <w:rPr>
          <w:rFonts w:ascii="Arial" w:cs="Arial" w:eastAsia="Arial" w:hAnsi="Arial"/>
          <w:sz w:val="18"/>
          <w:szCs w:val="18"/>
          <w:color w:val="auto"/>
        </w:rPr>
        <w:t>”). The purchase price for the Shares shall be USD $__________ per Share for a total purchase price of USD $__________. The term “</w:t>
      </w:r>
      <w:r>
        <w:rPr>
          <w:rFonts w:ascii="Arial" w:cs="Arial" w:eastAsia="Arial" w:hAnsi="Arial"/>
          <w:sz w:val="18"/>
          <w:szCs w:val="18"/>
          <w:u w:val="single" w:color="auto"/>
          <w:color w:val="auto"/>
        </w:rPr>
        <w:t>Shares</w:t>
      </w:r>
      <w:r>
        <w:rPr>
          <w:rFonts w:ascii="Arial" w:cs="Arial" w:eastAsia="Arial" w:hAnsi="Arial"/>
          <w:sz w:val="18"/>
          <w:szCs w:val="18"/>
          <w:color w:val="auto"/>
        </w:rPr>
        <w:t>” refers to the purchased Shares and all securities received in connection with the Shares pursuant to stock dividends or splits, all securities received in replacement of the Shares in a recapitalization, merger, reorganization, exchange or the like, and all new, substituted or additional securities or other property to which Purchaser is entitled by reason of Purchaser’s ownership of the Shares.</w:t>
      </w:r>
    </w:p>
    <w:p>
      <w:pPr>
        <w:spacing w:after="0" w:line="81" w:lineRule="exact"/>
        <w:rPr>
          <w:rFonts w:ascii="Arial" w:cs="Arial" w:eastAsia="Arial" w:hAnsi="Arial"/>
          <w:sz w:val="16"/>
          <w:szCs w:val="16"/>
          <w:color w:val="auto"/>
        </w:rPr>
      </w:pPr>
    </w:p>
    <w:p>
      <w:pPr>
        <w:ind w:right="20" w:firstLine="436"/>
        <w:spacing w:after="0" w:line="255" w:lineRule="auto"/>
        <w:tabs>
          <w:tab w:leader="none" w:pos="620" w:val="left"/>
        </w:tabs>
        <w:numPr>
          <w:ilvl w:val="0"/>
          <w:numId w:val="324"/>
        </w:numPr>
        <w:rPr>
          <w:rFonts w:ascii="Arial" w:cs="Arial" w:eastAsia="Arial" w:hAnsi="Arial"/>
          <w:sz w:val="18"/>
          <w:szCs w:val="18"/>
          <w:color w:val="auto"/>
        </w:rPr>
      </w:pPr>
      <w:r>
        <w:rPr>
          <w:rFonts w:ascii="Arial" w:cs="Arial" w:eastAsia="Arial" w:hAnsi="Arial"/>
          <w:sz w:val="18"/>
          <w:szCs w:val="18"/>
          <w:b w:val="1"/>
          <w:bCs w:val="1"/>
          <w:u w:val="single" w:color="auto"/>
          <w:color w:val="auto"/>
        </w:rPr>
        <w:t>Time and Place of Exercise</w:t>
      </w:r>
      <w:r>
        <w:rPr>
          <w:rFonts w:ascii="Arial" w:cs="Arial" w:eastAsia="Arial" w:hAnsi="Arial"/>
          <w:sz w:val="18"/>
          <w:szCs w:val="18"/>
          <w:color w:val="auto"/>
        </w:rPr>
        <w:t>. The purchase and sale of the Shares under this Agreement shall occur at the principal office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simultaneously with the execution and delivery of this Agreement, the payment of the aggregate exercise price by any method listed in Section 4 of the Option Agreement, and the satisfaction of any applicable tax, withholding, required deductions or other payments, all in accordance with the provisions of Section 3(b) of the Option Agreement. The Company shall issue the Shares to Purchaser by entering such Shares in Purchaser’s name as of such date in the books and records of the Company or, if applicable, a duly authorized transfer agent of the Company, against payment of the exercise price therefor by Purchaser. If applicable, the Company will deliver to Purchaser a certificate representing the Shares as soon as practicable following such date.</w:t>
      </w:r>
    </w:p>
    <w:p>
      <w:pPr>
        <w:spacing w:after="0" w:line="80" w:lineRule="exact"/>
        <w:rPr>
          <w:rFonts w:ascii="Arial" w:cs="Arial" w:eastAsia="Arial" w:hAnsi="Arial"/>
          <w:sz w:val="18"/>
          <w:szCs w:val="18"/>
          <w:color w:val="auto"/>
        </w:rPr>
      </w:pPr>
    </w:p>
    <w:p>
      <w:pPr>
        <w:ind w:right="100" w:firstLine="436"/>
        <w:spacing w:after="0" w:line="256" w:lineRule="auto"/>
        <w:tabs>
          <w:tab w:leader="none" w:pos="620" w:val="left"/>
        </w:tabs>
        <w:numPr>
          <w:ilvl w:val="0"/>
          <w:numId w:val="324"/>
        </w:numPr>
        <w:rPr>
          <w:rFonts w:ascii="Arial" w:cs="Arial" w:eastAsia="Arial" w:hAnsi="Arial"/>
          <w:sz w:val="18"/>
          <w:szCs w:val="18"/>
          <w:color w:val="auto"/>
        </w:rPr>
      </w:pPr>
      <w:r>
        <w:rPr>
          <w:rFonts w:ascii="Arial" w:cs="Arial" w:eastAsia="Arial" w:hAnsi="Arial"/>
          <w:sz w:val="18"/>
          <w:szCs w:val="18"/>
          <w:b w:val="1"/>
          <w:bCs w:val="1"/>
          <w:u w:val="single" w:color="auto"/>
          <w:color w:val="auto"/>
        </w:rPr>
        <w:t>Limitations on Transfer</w:t>
      </w:r>
      <w:r>
        <w:rPr>
          <w:rFonts w:ascii="Arial" w:cs="Arial" w:eastAsia="Arial" w:hAnsi="Arial"/>
          <w:sz w:val="18"/>
          <w:szCs w:val="18"/>
          <w:color w:val="auto"/>
        </w:rPr>
        <w:t>. Purchaser acknowledges and agrees that the Shares purchased under this Agreement are subject to (i) the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that apply to the Company’s Common Stock, as set forth in the Company’s Amended and Restated Bylaws, including (without limitation) certain transfer restrictions set forth in Article X of the Company’s Amended and Restated Bylaws, as may be in effect at the time of any proposed transfer (the “</w:t>
      </w:r>
      <w:r>
        <w:rPr>
          <w:rFonts w:ascii="Arial" w:cs="Arial" w:eastAsia="Arial" w:hAnsi="Arial"/>
          <w:sz w:val="18"/>
          <w:szCs w:val="18"/>
          <w:u w:val="single" w:color="auto"/>
          <w:color w:val="auto"/>
        </w:rPr>
        <w:t>Bylaw Restrictions</w:t>
      </w:r>
      <w:r>
        <w:rPr>
          <w:rFonts w:ascii="Arial" w:cs="Arial" w:eastAsia="Arial" w:hAnsi="Arial"/>
          <w:sz w:val="18"/>
          <w:szCs w:val="18"/>
          <w:color w:val="auto"/>
        </w:rPr>
        <w:t>”), and (ii) any other limitation or restriction on transfer created by Applicable Laws. Purchaser shall not assign, encumber or dispose of any interest in the Shares except to the extent permitted by, and in compliance with, the Bylaw Restrictions, Applicable Laws, and the provisions below.</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440" w:top="270" w:right="519" w:bottom="1440" w:gutter="0" w:footer="0" w:header="0"/>
        </w:sectPr>
      </w:pPr>
    </w:p>
    <w:bookmarkStart w:id="355" w:name="page356"/>
    <w:bookmarkEnd w:id="355"/>
    <w:p>
      <w:pPr>
        <w:ind w:left="4" w:right="20" w:firstLine="987"/>
        <w:spacing w:after="0" w:line="289" w:lineRule="auto"/>
        <w:tabs>
          <w:tab w:leader="none" w:pos="1240" w:val="left"/>
        </w:tabs>
        <w:numPr>
          <w:ilvl w:val="1"/>
          <w:numId w:val="325"/>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Transfer Restrictions; Right of First Refusal</w:t>
      </w:r>
      <w:r>
        <w:rPr>
          <w:rFonts w:ascii="Arial" w:cs="Arial" w:eastAsia="Arial" w:hAnsi="Arial"/>
          <w:sz w:val="16"/>
          <w:szCs w:val="16"/>
          <w:color w:val="auto"/>
        </w:rPr>
        <w:t>. Before any Shares held by Purchaser or any transferee of Purchaser (either being</w:t>
      </w:r>
      <w:r>
        <w:rPr>
          <w:rFonts w:ascii="Arial" w:cs="Arial" w:eastAsia="Arial" w:hAnsi="Arial"/>
          <w:sz w:val="16"/>
          <w:szCs w:val="16"/>
          <w:b w:val="1"/>
          <w:bCs w:val="1"/>
          <w:color w:val="auto"/>
        </w:rPr>
        <w:t xml:space="preserve"> </w:t>
      </w:r>
      <w:r>
        <w:rPr>
          <w:rFonts w:ascii="Arial" w:cs="Arial" w:eastAsia="Arial" w:hAnsi="Arial"/>
          <w:sz w:val="16"/>
          <w:szCs w:val="16"/>
          <w:color w:val="auto"/>
        </w:rPr>
        <w:t>sometimes referred to herein as the “</w:t>
      </w:r>
      <w:r>
        <w:rPr>
          <w:rFonts w:ascii="Arial" w:cs="Arial" w:eastAsia="Arial" w:hAnsi="Arial"/>
          <w:sz w:val="16"/>
          <w:szCs w:val="16"/>
          <w:u w:val="single" w:color="auto"/>
          <w:color w:val="auto"/>
        </w:rPr>
        <w:t>Holder</w:t>
      </w:r>
      <w:r>
        <w:rPr>
          <w:rFonts w:ascii="Arial" w:cs="Arial" w:eastAsia="Arial" w:hAnsi="Arial"/>
          <w:sz w:val="16"/>
          <w:szCs w:val="16"/>
          <w:color w:val="auto"/>
        </w:rPr>
        <w:t>”) may be sold or otherwise transferred (including transfer by gift or operation of law), the Company shall first have the right to approve such sale or transfer, in full or in part, and shall then have the right to purchase all or any part of the Shares proposed to be sold or transferred, in each case, in its sole and absolute discretion (the “</w:t>
      </w:r>
      <w:r>
        <w:rPr>
          <w:rFonts w:ascii="Arial" w:cs="Arial" w:eastAsia="Arial" w:hAnsi="Arial"/>
          <w:sz w:val="16"/>
          <w:szCs w:val="16"/>
          <w:u w:val="single" w:color="auto"/>
          <w:color w:val="auto"/>
        </w:rPr>
        <w:t>Right of First Refusal</w:t>
      </w:r>
      <w:r>
        <w:rPr>
          <w:rFonts w:ascii="Arial" w:cs="Arial" w:eastAsia="Arial" w:hAnsi="Arial"/>
          <w:sz w:val="16"/>
          <w:szCs w:val="16"/>
          <w:color w:val="auto"/>
        </w:rPr>
        <w:t>”). If the Holder would like to sell or transfer any Shares, the Holder must provide the Company or its assignee(s) with a Notice (as defined below) requesting approval to sell or transfer the Shares and offering the Company or its assignee(s) a Right of First Refusal on the terms and conditions set forth in this Section 3(a). The Company may either (1) exercise its Right of First Refusal in full or in part and purchase such Shares pursuant to this Section 3(a), (2) decline to exercise its Right of First Refusal in full or in part and permit the sale or transfer of such Shares to the Proposed Transferee (as defined below) in full or in part, or (3) decline to exercise its Right of First Refusal in full or in part and decline the request to sell or transfer the Shares in full or in part.</w:t>
      </w:r>
    </w:p>
    <w:p>
      <w:pPr>
        <w:spacing w:after="0" w:line="58" w:lineRule="exact"/>
        <w:rPr>
          <w:rFonts w:ascii="Arial" w:cs="Arial" w:eastAsia="Arial" w:hAnsi="Arial"/>
          <w:sz w:val="16"/>
          <w:szCs w:val="16"/>
          <w:color w:val="auto"/>
        </w:rPr>
      </w:pPr>
    </w:p>
    <w:p>
      <w:pPr>
        <w:ind w:left="1644" w:hanging="212"/>
        <w:spacing w:after="0"/>
        <w:tabs>
          <w:tab w:leader="none" w:pos="1644" w:val="left"/>
        </w:tabs>
        <w:numPr>
          <w:ilvl w:val="2"/>
          <w:numId w:val="325"/>
        </w:numPr>
        <w:rPr>
          <w:rFonts w:ascii="Arial" w:cs="Arial" w:eastAsia="Arial" w:hAnsi="Arial"/>
          <w:sz w:val="17"/>
          <w:szCs w:val="17"/>
          <w:color w:val="auto"/>
        </w:rPr>
      </w:pPr>
      <w:r>
        <w:rPr>
          <w:rFonts w:ascii="Arial" w:cs="Arial" w:eastAsia="Arial" w:hAnsi="Arial"/>
          <w:sz w:val="17"/>
          <w:szCs w:val="17"/>
          <w:b w:val="1"/>
          <w:bCs w:val="1"/>
          <w:u w:val="single" w:color="auto"/>
          <w:color w:val="auto"/>
        </w:rPr>
        <w:t>Notice of Proposed Transfer</w:t>
      </w:r>
      <w:r>
        <w:rPr>
          <w:rFonts w:ascii="Arial" w:cs="Arial" w:eastAsia="Arial" w:hAnsi="Arial"/>
          <w:sz w:val="17"/>
          <w:szCs w:val="17"/>
          <w:color w:val="auto"/>
        </w:rPr>
        <w:t>. The Holder of the Shares shall deliver to the Company a written notice (the “</w:t>
      </w:r>
      <w:r>
        <w:rPr>
          <w:rFonts w:ascii="Arial" w:cs="Arial" w:eastAsia="Arial" w:hAnsi="Arial"/>
          <w:sz w:val="17"/>
          <w:szCs w:val="17"/>
          <w:u w:val="single" w:color="auto"/>
          <w:color w:val="auto"/>
        </w:rPr>
        <w:t>Notice</w:t>
      </w:r>
      <w:r>
        <w:rPr>
          <w:rFonts w:ascii="Arial" w:cs="Arial" w:eastAsia="Arial" w:hAnsi="Arial"/>
          <w:sz w:val="17"/>
          <w:szCs w:val="17"/>
          <w:color w:val="auto"/>
        </w:rPr>
        <w:t>”) stating:</w:t>
      </w:r>
    </w:p>
    <w:p>
      <w:pPr>
        <w:spacing w:after="0" w:line="38" w:lineRule="exact"/>
        <w:rPr>
          <w:rFonts w:ascii="Arial" w:cs="Arial" w:eastAsia="Arial" w:hAnsi="Arial"/>
          <w:sz w:val="17"/>
          <w:szCs w:val="17"/>
          <w:color w:val="auto"/>
        </w:rPr>
      </w:pPr>
    </w:p>
    <w:p>
      <w:pPr>
        <w:ind w:left="304" w:hanging="304"/>
        <w:spacing w:after="0"/>
        <w:tabs>
          <w:tab w:leader="none" w:pos="304" w:val="left"/>
        </w:tabs>
        <w:numPr>
          <w:ilvl w:val="0"/>
          <w:numId w:val="326"/>
        </w:numPr>
        <w:rPr>
          <w:rFonts w:ascii="Arial" w:cs="Arial" w:eastAsia="Arial" w:hAnsi="Arial"/>
          <w:sz w:val="16"/>
          <w:szCs w:val="16"/>
          <w:color w:val="auto"/>
        </w:rPr>
      </w:pPr>
      <w:r>
        <w:rPr>
          <w:rFonts w:ascii="Arial" w:cs="Arial" w:eastAsia="Arial" w:hAnsi="Arial"/>
          <w:sz w:val="16"/>
          <w:szCs w:val="16"/>
          <w:color w:val="auto"/>
        </w:rPr>
        <w:t>the Holder’s desire to sell or otherwise transfer such Shares; (B) the name of each proposed purchaser or other transferee (“</w:t>
      </w:r>
      <w:r>
        <w:rPr>
          <w:rFonts w:ascii="Arial" w:cs="Arial" w:eastAsia="Arial" w:hAnsi="Arial"/>
          <w:sz w:val="16"/>
          <w:szCs w:val="16"/>
          <w:u w:val="single" w:color="auto"/>
          <w:color w:val="auto"/>
        </w:rPr>
        <w:t>Proposed Transferee</w:t>
      </w:r>
      <w:r>
        <w:rPr>
          <w:rFonts w:ascii="Arial" w:cs="Arial" w:eastAsia="Arial" w:hAnsi="Arial"/>
          <w:sz w:val="16"/>
          <w:szCs w:val="16"/>
          <w:color w:val="auto"/>
        </w:rPr>
        <w:t>”);</w:t>
      </w:r>
    </w:p>
    <w:p>
      <w:pPr>
        <w:spacing w:after="0" w:line="32" w:lineRule="exact"/>
        <w:rPr>
          <w:rFonts w:ascii="Arial" w:cs="Arial" w:eastAsia="Arial" w:hAnsi="Arial"/>
          <w:sz w:val="16"/>
          <w:szCs w:val="16"/>
          <w:color w:val="auto"/>
        </w:rPr>
      </w:pPr>
    </w:p>
    <w:p>
      <w:pPr>
        <w:ind w:left="4" w:right="40" w:hanging="4"/>
        <w:spacing w:after="0" w:line="277" w:lineRule="auto"/>
        <w:tabs>
          <w:tab w:leader="none" w:pos="289" w:val="left"/>
        </w:tabs>
        <w:numPr>
          <w:ilvl w:val="0"/>
          <w:numId w:val="327"/>
        </w:numPr>
        <w:rPr>
          <w:rFonts w:ascii="Arial" w:cs="Arial" w:eastAsia="Arial" w:hAnsi="Arial"/>
          <w:sz w:val="17"/>
          <w:szCs w:val="17"/>
          <w:color w:val="auto"/>
        </w:rPr>
      </w:pPr>
      <w:r>
        <w:rPr>
          <w:rFonts w:ascii="Arial" w:cs="Arial" w:eastAsia="Arial" w:hAnsi="Arial"/>
          <w:sz w:val="17"/>
          <w:szCs w:val="17"/>
          <w:color w:val="auto"/>
        </w:rPr>
        <w:t>the number of Shares to be sold or transferred to each Proposed Transferee; (D) the terms and conditions of each proposed sale or transfer, including (without limitation) the purchase price for such Shares (the “</w:t>
      </w:r>
      <w:r>
        <w:rPr>
          <w:rFonts w:ascii="Arial" w:cs="Arial" w:eastAsia="Arial" w:hAnsi="Arial"/>
          <w:sz w:val="17"/>
          <w:szCs w:val="17"/>
          <w:u w:val="single" w:color="auto"/>
          <w:color w:val="auto"/>
        </w:rPr>
        <w:t>Purchase Price</w:t>
      </w:r>
      <w:r>
        <w:rPr>
          <w:rFonts w:ascii="Arial" w:cs="Arial" w:eastAsia="Arial" w:hAnsi="Arial"/>
          <w:sz w:val="17"/>
          <w:szCs w:val="17"/>
          <w:color w:val="auto"/>
        </w:rPr>
        <w:t>”); and (E) the Holder’s offer to the Company or its assignee(s) to purchase the Shares at the Purchase Price and upon the same terms (or terms that are no less favorable to the Company).</w:t>
      </w:r>
    </w:p>
    <w:p>
      <w:pPr>
        <w:spacing w:after="0" w:line="60" w:lineRule="exact"/>
        <w:rPr>
          <w:rFonts w:ascii="Arial" w:cs="Arial" w:eastAsia="Arial" w:hAnsi="Arial"/>
          <w:sz w:val="17"/>
          <w:szCs w:val="17"/>
          <w:color w:val="auto"/>
        </w:rPr>
      </w:pPr>
    </w:p>
    <w:p>
      <w:pPr>
        <w:ind w:left="4" w:right="160" w:firstLine="1428"/>
        <w:spacing w:after="0" w:line="294" w:lineRule="auto"/>
        <w:tabs>
          <w:tab w:leader="none" w:pos="1701" w:val="left"/>
        </w:tabs>
        <w:numPr>
          <w:ilvl w:val="2"/>
          <w:numId w:val="327"/>
        </w:numPr>
        <w:rPr>
          <w:rFonts w:ascii="Arial" w:cs="Arial" w:eastAsia="Arial" w:hAnsi="Arial"/>
          <w:sz w:val="16"/>
          <w:szCs w:val="16"/>
          <w:color w:val="auto"/>
        </w:rPr>
      </w:pPr>
      <w:r>
        <w:rPr>
          <w:rFonts w:ascii="Arial" w:cs="Arial" w:eastAsia="Arial" w:hAnsi="Arial"/>
          <w:sz w:val="16"/>
          <w:szCs w:val="16"/>
          <w:b w:val="1"/>
          <w:bCs w:val="1"/>
          <w:u w:val="single" w:color="auto"/>
          <w:color w:val="auto"/>
        </w:rPr>
        <w:t>Exercise of Right of First Refusal</w:t>
      </w:r>
      <w:r>
        <w:rPr>
          <w:rFonts w:ascii="Arial" w:cs="Arial" w:eastAsia="Arial" w:hAnsi="Arial"/>
          <w:sz w:val="16"/>
          <w:szCs w:val="16"/>
          <w:color w:val="auto"/>
        </w:rPr>
        <w:t>. At any time within 30 days after receipt of the Notice, the Company and/or its assignee(s)</w:t>
      </w:r>
      <w:r>
        <w:rPr>
          <w:rFonts w:ascii="Arial" w:cs="Arial" w:eastAsia="Arial" w:hAnsi="Arial"/>
          <w:sz w:val="16"/>
          <w:szCs w:val="16"/>
          <w:b w:val="1"/>
          <w:bCs w:val="1"/>
          <w:color w:val="auto"/>
        </w:rPr>
        <w:t xml:space="preserve"> </w:t>
      </w:r>
      <w:r>
        <w:rPr>
          <w:rFonts w:ascii="Arial" w:cs="Arial" w:eastAsia="Arial" w:hAnsi="Arial"/>
          <w:sz w:val="16"/>
          <w:szCs w:val="16"/>
          <w:color w:val="auto"/>
        </w:rPr>
        <w:t>shall deliver a written notice to the Holder indicating whether the Company and/or its assignee(s) elect to permit or reject the proposed sale or transfer, in full or in part, and/or elect to accept or decline the offer to purchase any or all of the Shares proposed to be sold or transferred to any one or more of the Proposed Transferees, at the Purchase Price, provided that if the Purchase Price consists of no legal consideration (as, for example, in the case of a transfer by gift), the purchase price will be the fair market value of the Shares as determined in good faith by the Company. If the Purchase Price includes consideration other than cash, the cash equivalent value of the non-cash consideration shall be determined by the Company in good faith.</w:t>
      </w:r>
    </w:p>
    <w:p>
      <w:pPr>
        <w:spacing w:after="0" w:line="51" w:lineRule="exact"/>
        <w:rPr>
          <w:rFonts w:ascii="Arial" w:cs="Arial" w:eastAsia="Arial" w:hAnsi="Arial"/>
          <w:sz w:val="16"/>
          <w:szCs w:val="16"/>
          <w:color w:val="auto"/>
        </w:rPr>
      </w:pPr>
    </w:p>
    <w:p>
      <w:pPr>
        <w:ind w:left="4" w:right="20" w:firstLine="1428"/>
        <w:spacing w:after="0" w:line="266" w:lineRule="auto"/>
        <w:tabs>
          <w:tab w:leader="none" w:pos="1751" w:val="left"/>
        </w:tabs>
        <w:numPr>
          <w:ilvl w:val="2"/>
          <w:numId w:val="327"/>
        </w:numPr>
        <w:rPr>
          <w:rFonts w:ascii="Arial" w:cs="Arial" w:eastAsia="Arial" w:hAnsi="Arial"/>
          <w:sz w:val="18"/>
          <w:szCs w:val="18"/>
          <w:color w:val="auto"/>
        </w:rPr>
      </w:pPr>
      <w:r>
        <w:rPr>
          <w:rFonts w:ascii="Arial" w:cs="Arial" w:eastAsia="Arial" w:hAnsi="Arial"/>
          <w:sz w:val="18"/>
          <w:szCs w:val="18"/>
          <w:b w:val="1"/>
          <w:bCs w:val="1"/>
          <w:u w:val="single" w:color="auto"/>
          <w:color w:val="auto"/>
        </w:rPr>
        <w:t>Payment</w:t>
      </w:r>
      <w:r>
        <w:rPr>
          <w:rFonts w:ascii="Arial" w:cs="Arial" w:eastAsia="Arial" w:hAnsi="Arial"/>
          <w:sz w:val="18"/>
          <w:szCs w:val="18"/>
          <w:color w:val="auto"/>
        </w:rPr>
        <w:t>. Payment of the Purchase Price shall be made, at the election of the Company or its assignee(s), in cash (by check), by</w:t>
      </w:r>
      <w:r>
        <w:rPr>
          <w:rFonts w:ascii="Arial" w:cs="Arial" w:eastAsia="Arial" w:hAnsi="Arial"/>
          <w:sz w:val="18"/>
          <w:szCs w:val="18"/>
          <w:b w:val="1"/>
          <w:bCs w:val="1"/>
          <w:color w:val="auto"/>
        </w:rPr>
        <w:t xml:space="preserve"> </w:t>
      </w:r>
      <w:r>
        <w:rPr>
          <w:rFonts w:ascii="Arial" w:cs="Arial" w:eastAsia="Arial" w:hAnsi="Arial"/>
          <w:sz w:val="18"/>
          <w:szCs w:val="18"/>
          <w:color w:val="auto"/>
        </w:rPr>
        <w:t>cancellation of all or a portion of any outstanding indebtedness, or by any combination thereof within 60 days after receipt of the Notice or in the manner and at the times set forth in the Notice.</w:t>
      </w:r>
    </w:p>
    <w:p>
      <w:pPr>
        <w:spacing w:after="0" w:line="67" w:lineRule="exact"/>
        <w:rPr>
          <w:rFonts w:ascii="Arial" w:cs="Arial" w:eastAsia="Arial" w:hAnsi="Arial"/>
          <w:sz w:val="18"/>
          <w:szCs w:val="18"/>
          <w:color w:val="auto"/>
        </w:rPr>
      </w:pPr>
    </w:p>
    <w:p>
      <w:pPr>
        <w:ind w:left="4" w:firstLine="1428"/>
        <w:spacing w:after="0" w:line="273" w:lineRule="auto"/>
        <w:tabs>
          <w:tab w:leader="none" w:pos="1741" w:val="left"/>
        </w:tabs>
        <w:numPr>
          <w:ilvl w:val="2"/>
          <w:numId w:val="327"/>
        </w:numPr>
        <w:rPr>
          <w:rFonts w:ascii="Arial" w:cs="Arial" w:eastAsia="Arial" w:hAnsi="Arial"/>
          <w:sz w:val="17"/>
          <w:szCs w:val="17"/>
          <w:color w:val="auto"/>
        </w:rPr>
      </w:pPr>
      <w:r>
        <w:rPr>
          <w:rFonts w:ascii="Arial" w:cs="Arial" w:eastAsia="Arial" w:hAnsi="Arial"/>
          <w:sz w:val="17"/>
          <w:szCs w:val="17"/>
          <w:b w:val="1"/>
          <w:bCs w:val="1"/>
          <w:u w:val="single" w:color="auto"/>
          <w:color w:val="auto"/>
        </w:rPr>
        <w:t>Holder’s Right to Transfer</w:t>
      </w:r>
      <w:r>
        <w:rPr>
          <w:rFonts w:ascii="Arial" w:cs="Arial" w:eastAsia="Arial" w:hAnsi="Arial"/>
          <w:sz w:val="17"/>
          <w:szCs w:val="17"/>
          <w:color w:val="auto"/>
        </w:rPr>
        <w:t>. If any of the Shares proposed in the Notice to be sold or transferred to a given Proposed Transferee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are both (A) not purchased by the Company and/or its assignee(s) as provided in this Section 3(a) </w:t>
      </w:r>
      <w:r>
        <w:rPr>
          <w:rFonts w:ascii="Arial" w:cs="Arial" w:eastAsia="Arial" w:hAnsi="Arial"/>
          <w:sz w:val="17"/>
          <w:szCs w:val="17"/>
          <w:u w:val="single" w:color="auto"/>
          <w:color w:val="auto"/>
        </w:rPr>
        <w:t>and</w:t>
      </w:r>
      <w:r>
        <w:rPr>
          <w:rFonts w:ascii="Arial" w:cs="Arial" w:eastAsia="Arial" w:hAnsi="Arial"/>
          <w:sz w:val="17"/>
          <w:szCs w:val="17"/>
          <w:color w:val="auto"/>
        </w:rPr>
        <w:t xml:space="preserve"> (B) approved by the Company to be sold or transferred, then the Holder may sell or otherwise transfer any such Shares to the applicable Proposed Transferee at the Purchase Price or at a higher price, provided that such sale or other transfer is consummated within 120 days after the date of the Notice; provided that any such sale or other transfer is also effected in accordance with the Bylaw Restrictions and any Applicable Laws and the Proposed Transferee agrees in writing that the Plan, the Bylaw Restrictions, and the provisions of the Option Agreement and this Agreement, including this Section 3 and the waiver of statutory information rights in Section 9, shall continue to apply to the Shares in the hands of such Proposed Transferee.</w:t>
      </w:r>
    </w:p>
    <w:p>
      <w:pPr>
        <w:spacing w:after="0" w:line="10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0" w:right="459" w:bottom="1440" w:gutter="0" w:footer="0" w:header="0"/>
        </w:sectPr>
      </w:pPr>
    </w:p>
    <w:bookmarkStart w:id="356" w:name="page357"/>
    <w:bookmarkEnd w:id="356"/>
    <w:p>
      <w:pPr>
        <w:ind w:right="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in consultation with its legal counsel, may require the Holder to provide an opinion of counsel evidencing compliance with Applicable Laws. If the Shares described in the Notice are not transferred to the Proposed Transferee within such period, or if the Holder proposes to change the price or other terms to make them more favorable to the Proposed Transferee, a new Notice shall be given to the Company, and the Company and/or its assignees shall again have the right to approve such transfer and be offered the Right of First Refusal.</w:t>
      </w:r>
    </w:p>
    <w:p>
      <w:pPr>
        <w:spacing w:after="0" w:line="59" w:lineRule="exact"/>
        <w:rPr>
          <w:sz w:val="20"/>
          <w:szCs w:val="20"/>
          <w:color w:val="auto"/>
        </w:rPr>
      </w:pPr>
    </w:p>
    <w:p>
      <w:pPr>
        <w:ind w:firstLine="1428"/>
        <w:spacing w:after="0" w:line="291" w:lineRule="auto"/>
        <w:tabs>
          <w:tab w:leader="none" w:pos="1687" w:val="left"/>
        </w:tabs>
        <w:numPr>
          <w:ilvl w:val="1"/>
          <w:numId w:val="328"/>
        </w:numPr>
        <w:rPr>
          <w:rFonts w:ascii="Arial" w:cs="Arial" w:eastAsia="Arial" w:hAnsi="Arial"/>
          <w:sz w:val="16"/>
          <w:szCs w:val="16"/>
          <w:color w:val="auto"/>
        </w:rPr>
      </w:pPr>
      <w:r>
        <w:rPr>
          <w:rFonts w:ascii="Arial" w:cs="Arial" w:eastAsia="Arial" w:hAnsi="Arial"/>
          <w:sz w:val="16"/>
          <w:szCs w:val="16"/>
          <w:b w:val="1"/>
          <w:bCs w:val="1"/>
          <w:u w:val="single" w:color="auto"/>
          <w:color w:val="auto"/>
        </w:rPr>
        <w:t>Exception for Certain Family Transfers</w:t>
      </w:r>
      <w:r>
        <w:rPr>
          <w:rFonts w:ascii="Arial" w:cs="Arial" w:eastAsia="Arial" w:hAnsi="Arial"/>
          <w:sz w:val="16"/>
          <w:szCs w:val="16"/>
          <w:color w:val="auto"/>
        </w:rPr>
        <w:t>. Anything to the contrary contained in this Section 3(a) notwithstanding, the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of any or all of the Shares during Holder’s lifetime or on Holder’s death by will or intestacy to Holder’s Immediate Family or a trust for the benefit of Holder’s Immediate Family shall be exempt from the provisions of this Section 3(a). “</w:t>
      </w:r>
      <w:r>
        <w:rPr>
          <w:rFonts w:ascii="Arial" w:cs="Arial" w:eastAsia="Arial" w:hAnsi="Arial"/>
          <w:sz w:val="16"/>
          <w:szCs w:val="16"/>
          <w:u w:val="single" w:color="auto"/>
          <w:color w:val="auto"/>
        </w:rPr>
        <w:t>Immediate Family</w:t>
      </w:r>
      <w:r>
        <w:rPr>
          <w:rFonts w:ascii="Arial" w:cs="Arial" w:eastAsia="Arial" w:hAnsi="Arial"/>
          <w:sz w:val="16"/>
          <w:szCs w:val="16"/>
          <w:color w:val="auto"/>
        </w:rPr>
        <w:t>” as used herein shall mean lineal descendant or antecedent, spouse (or spouse’s antecedents), father, mother, brother or sister (or their descendants), stepchild (or their antecedents or descendants), aunt or uncle (or their antecedents or descendants), brother-in-law or sister-in-law (or their antecedents or descendants) and shall include adoptive relationships. In such case, the transferee or other recipient shall receive and hold the Shares so transferred subject to the provisions of the Plan, the Bylaw Restrictions, and the provisions of the Option Agreement and this Agreement, including this Section 3 and Section 9, and there shall be no further transfer of such Shares except in accordance with the terms of this Section 3, the Plan and the Bylaw Restrictions.</w:t>
      </w:r>
    </w:p>
    <w:p>
      <w:pPr>
        <w:spacing w:after="0" w:line="51" w:lineRule="exact"/>
        <w:rPr>
          <w:rFonts w:ascii="Arial" w:cs="Arial" w:eastAsia="Arial" w:hAnsi="Arial"/>
          <w:sz w:val="16"/>
          <w:szCs w:val="16"/>
          <w:color w:val="auto"/>
        </w:rPr>
      </w:pPr>
    </w:p>
    <w:p>
      <w:pPr>
        <w:ind w:right="20" w:firstLine="987"/>
        <w:spacing w:after="0" w:line="256" w:lineRule="auto"/>
        <w:tabs>
          <w:tab w:leader="none" w:pos="1246" w:val="left"/>
        </w:tabs>
        <w:numPr>
          <w:ilvl w:val="0"/>
          <w:numId w:val="329"/>
        </w:numPr>
        <w:rPr>
          <w:rFonts w:ascii="Arial" w:cs="Arial" w:eastAsia="Arial" w:hAnsi="Arial"/>
          <w:sz w:val="18"/>
          <w:szCs w:val="18"/>
          <w:color w:val="auto"/>
        </w:rPr>
      </w:pPr>
      <w:r>
        <w:rPr>
          <w:rFonts w:ascii="Arial" w:cs="Arial" w:eastAsia="Arial" w:hAnsi="Arial"/>
          <w:sz w:val="18"/>
          <w:szCs w:val="18"/>
          <w:b w:val="1"/>
          <w:bCs w:val="1"/>
          <w:u w:val="single" w:color="auto"/>
          <w:color w:val="auto"/>
        </w:rPr>
        <w:t>Company’s Right to Purchase upon Involuntary Transfer</w:t>
      </w:r>
      <w:r>
        <w:rPr>
          <w:rFonts w:ascii="Arial" w:cs="Arial" w:eastAsia="Arial" w:hAnsi="Arial"/>
          <w:sz w:val="18"/>
          <w:szCs w:val="18"/>
          <w:color w:val="auto"/>
        </w:rPr>
        <w:t>. In the event of any transfer by operation of law or other involuntary</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(including death or divorce, but excluding a transfer to Immediate Family as set forth in Section 3(a)(v) above) of all or a portion of the Shares by the record holder thereof, the Company shall have an option to purchase any or all of the Shares transferred at the Fair Market Value of the Shares on the date of transfer (as determined by the Company in its sole discretion). Upon such a transfer, the Holder shall promptly notify the Secretary of the Company of such transfer. The right to purchase such Shares shall be provided to the Company for a period of 30 days following receipt by the Company of written notice from the Holder.</w:t>
      </w:r>
    </w:p>
    <w:p>
      <w:pPr>
        <w:spacing w:after="0" w:line="79" w:lineRule="exact"/>
        <w:rPr>
          <w:rFonts w:ascii="Arial" w:cs="Arial" w:eastAsia="Arial" w:hAnsi="Arial"/>
          <w:sz w:val="18"/>
          <w:szCs w:val="18"/>
          <w:color w:val="auto"/>
        </w:rPr>
      </w:pPr>
    </w:p>
    <w:p>
      <w:pPr>
        <w:ind w:right="40" w:firstLine="987"/>
        <w:spacing w:after="0" w:line="282" w:lineRule="auto"/>
        <w:tabs>
          <w:tab w:leader="none" w:pos="1236" w:val="left"/>
        </w:tabs>
        <w:numPr>
          <w:ilvl w:val="0"/>
          <w:numId w:val="329"/>
        </w:numPr>
        <w:rPr>
          <w:rFonts w:ascii="Arial" w:cs="Arial" w:eastAsia="Arial" w:hAnsi="Arial"/>
          <w:sz w:val="18"/>
          <w:szCs w:val="18"/>
          <w:color w:val="auto"/>
        </w:rPr>
      </w:pPr>
      <w:r>
        <w:rPr>
          <w:rFonts w:ascii="Arial" w:cs="Arial" w:eastAsia="Arial" w:hAnsi="Arial"/>
          <w:sz w:val="18"/>
          <w:szCs w:val="18"/>
          <w:b w:val="1"/>
          <w:bCs w:val="1"/>
          <w:u w:val="single" w:color="auto"/>
          <w:color w:val="auto"/>
        </w:rPr>
        <w:t>Assignment</w:t>
      </w:r>
      <w:r>
        <w:rPr>
          <w:rFonts w:ascii="Arial" w:cs="Arial" w:eastAsia="Arial" w:hAnsi="Arial"/>
          <w:sz w:val="18"/>
          <w:szCs w:val="18"/>
          <w:color w:val="auto"/>
        </w:rPr>
        <w:t>. The right of the Company to purchase any part of the Shares may be assigned in whole or in part to any holder or holders</w:t>
      </w:r>
      <w:r>
        <w:rPr>
          <w:rFonts w:ascii="Arial" w:cs="Arial" w:eastAsia="Arial" w:hAnsi="Arial"/>
          <w:sz w:val="18"/>
          <w:szCs w:val="18"/>
          <w:b w:val="1"/>
          <w:bCs w:val="1"/>
          <w:color w:val="auto"/>
        </w:rPr>
        <w:t xml:space="preserve"> </w:t>
      </w:r>
      <w:r>
        <w:rPr>
          <w:rFonts w:ascii="Arial" w:cs="Arial" w:eastAsia="Arial" w:hAnsi="Arial"/>
          <w:sz w:val="18"/>
          <w:szCs w:val="18"/>
          <w:color w:val="auto"/>
        </w:rPr>
        <w:t>of capital stock of the Company or other persons or organizations.</w:t>
      </w:r>
    </w:p>
    <w:p>
      <w:pPr>
        <w:spacing w:after="0" w:line="53" w:lineRule="exact"/>
        <w:rPr>
          <w:rFonts w:ascii="Arial" w:cs="Arial" w:eastAsia="Arial" w:hAnsi="Arial"/>
          <w:sz w:val="18"/>
          <w:szCs w:val="18"/>
          <w:color w:val="auto"/>
        </w:rPr>
      </w:pPr>
    </w:p>
    <w:p>
      <w:pPr>
        <w:ind w:right="100" w:firstLine="987"/>
        <w:spacing w:after="0" w:line="261" w:lineRule="auto"/>
        <w:tabs>
          <w:tab w:leader="none" w:pos="1246" w:val="left"/>
        </w:tabs>
        <w:numPr>
          <w:ilvl w:val="0"/>
          <w:numId w:val="329"/>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Restrictions Binding on Transferees</w:t>
      </w:r>
      <w:r>
        <w:rPr>
          <w:rFonts w:ascii="Arial" w:cs="Arial" w:eastAsia="Arial" w:hAnsi="Arial"/>
          <w:sz w:val="18"/>
          <w:szCs w:val="18"/>
          <w:color w:val="auto"/>
        </w:rPr>
        <w:t>. All transferees of Shares or any interest therein will receive and hold such Shares or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Plan, the Bylaw Restrictions, and the provisions of the Option Agreement and this Agreement, including, without limitation, Section 7 of the Option Agreement, and Sections 3 and 9 of this Agreement. Any sale or transfer of the Shares shall be void unless the provisions of this Agreement are satisfied.</w:t>
      </w:r>
    </w:p>
    <w:p>
      <w:pPr>
        <w:spacing w:after="0" w:line="71" w:lineRule="exact"/>
        <w:rPr>
          <w:rFonts w:ascii="Arial" w:cs="Arial" w:eastAsia="Arial" w:hAnsi="Arial"/>
          <w:sz w:val="18"/>
          <w:szCs w:val="18"/>
          <w:color w:val="auto"/>
        </w:rPr>
      </w:pPr>
    </w:p>
    <w:p>
      <w:pPr>
        <w:ind w:right="60" w:firstLine="987"/>
        <w:spacing w:after="0" w:line="273" w:lineRule="auto"/>
        <w:tabs>
          <w:tab w:leader="none" w:pos="1236" w:val="left"/>
        </w:tabs>
        <w:numPr>
          <w:ilvl w:val="0"/>
          <w:numId w:val="329"/>
        </w:numPr>
        <w:rPr>
          <w:rFonts w:ascii="Arial" w:cs="Arial" w:eastAsia="Arial" w:hAnsi="Arial"/>
          <w:sz w:val="17"/>
          <w:szCs w:val="17"/>
          <w:color w:val="auto"/>
        </w:rPr>
      </w:pPr>
      <w:r>
        <w:rPr>
          <w:rFonts w:ascii="Arial" w:cs="Arial" w:eastAsia="Arial" w:hAnsi="Arial"/>
          <w:sz w:val="17"/>
          <w:szCs w:val="17"/>
          <w:b w:val="1"/>
          <w:bCs w:val="1"/>
          <w:u w:val="single" w:color="auto"/>
          <w:color w:val="auto"/>
        </w:rPr>
        <w:t>Termination of Rights</w:t>
      </w:r>
      <w:r>
        <w:rPr>
          <w:rFonts w:ascii="Arial" w:cs="Arial" w:eastAsia="Arial" w:hAnsi="Arial"/>
          <w:sz w:val="17"/>
          <w:szCs w:val="17"/>
          <w:color w:val="auto"/>
        </w:rPr>
        <w:t>. The transfer restrictions set forth in Section 3(a) above, the Right of First Refusal granted the Company by</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3(a) above and the option to repurchase the Shares in the event of an involuntary transfer granted the Company by Section 3(b) above shall terminate upon (i) the first sale of Common Stock of the Company to the general public pursuant to a registration statement filed with and declared effective by the Securities and Exchange Commission under the Securities Act (other than a registration statement relating solely to the issuance of Common Stock pursuant to a business combination or an employee incentive or benefit plan) or (ii) any transfer or conversion of Shares made pursuant to a statutory merger or statutory consolidation of the Company with or into another corporation or corporations if the common stock of the surviving corporation or any direct or indirect parent corporation thereof is registered under the Exchange Act.</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357" w:name="page358"/>
    <w:bookmarkEnd w:id="357"/>
    <w:p>
      <w:pPr>
        <w:jc w:val="both"/>
        <w:ind w:right="2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Upon termination of such transfer restrictions, the Company will remove any stop-transfer notices referred to in Section 6(b) below and related to the restrictions in this Section 3 and, if certificates are issued, a new certificate or certificates representing the Shares not repurchased shall be issued, on request, without the legend referred to in Section 6(a)(ii) below and delivered to Holder.</w:t>
      </w:r>
    </w:p>
    <w:p>
      <w:pPr>
        <w:spacing w:after="0" w:line="72" w:lineRule="exact"/>
        <w:rPr>
          <w:sz w:val="20"/>
          <w:szCs w:val="20"/>
          <w:color w:val="auto"/>
        </w:rPr>
      </w:pPr>
    </w:p>
    <w:p>
      <w:pPr>
        <w:ind w:left="620" w:hanging="184"/>
        <w:spacing w:after="0"/>
        <w:tabs>
          <w:tab w:leader="none" w:pos="620" w:val="left"/>
        </w:tabs>
        <w:numPr>
          <w:ilvl w:val="0"/>
          <w:numId w:val="330"/>
        </w:numPr>
        <w:rPr>
          <w:rFonts w:ascii="Arial" w:cs="Arial" w:eastAsia="Arial" w:hAnsi="Arial"/>
          <w:sz w:val="16"/>
          <w:szCs w:val="16"/>
          <w:color w:val="auto"/>
        </w:rPr>
      </w:pPr>
      <w:r>
        <w:rPr>
          <w:rFonts w:ascii="Arial" w:cs="Arial" w:eastAsia="Arial" w:hAnsi="Arial"/>
          <w:sz w:val="16"/>
          <w:szCs w:val="16"/>
          <w:b w:val="1"/>
          <w:bCs w:val="1"/>
          <w:u w:val="single" w:color="auto"/>
          <w:color w:val="auto"/>
        </w:rPr>
        <w:t>Investment and Taxation Representations</w:t>
      </w:r>
      <w:r>
        <w:rPr>
          <w:rFonts w:ascii="Arial" w:cs="Arial" w:eastAsia="Arial" w:hAnsi="Arial"/>
          <w:sz w:val="16"/>
          <w:szCs w:val="16"/>
          <w:color w:val="auto"/>
        </w:rPr>
        <w:t>. In connection with the purchase of the Shares, Purchaser represents to the Company the following:</w:t>
      </w:r>
    </w:p>
    <w:p>
      <w:pPr>
        <w:spacing w:after="0" w:line="144" w:lineRule="exact"/>
        <w:rPr>
          <w:rFonts w:ascii="Arial" w:cs="Arial" w:eastAsia="Arial" w:hAnsi="Arial"/>
          <w:sz w:val="16"/>
          <w:szCs w:val="16"/>
          <w:color w:val="auto"/>
        </w:rPr>
      </w:pPr>
    </w:p>
    <w:p>
      <w:pPr>
        <w:ind w:right="220" w:firstLine="987"/>
        <w:spacing w:after="0" w:line="301" w:lineRule="auto"/>
        <w:tabs>
          <w:tab w:leader="none" w:pos="1236" w:val="left"/>
        </w:tabs>
        <w:numPr>
          <w:ilvl w:val="1"/>
          <w:numId w:val="330"/>
        </w:numPr>
        <w:rPr>
          <w:rFonts w:ascii="Arial" w:cs="Arial" w:eastAsia="Arial" w:hAnsi="Arial"/>
          <w:sz w:val="16"/>
          <w:szCs w:val="16"/>
          <w:color w:val="auto"/>
        </w:rPr>
      </w:pPr>
      <w:r>
        <w:rPr>
          <w:rFonts w:ascii="Arial" w:cs="Arial" w:eastAsia="Arial" w:hAnsi="Arial"/>
          <w:sz w:val="16"/>
          <w:szCs w:val="16"/>
          <w:color w:val="auto"/>
        </w:rPr>
        <w:t>Purchaser is aware of the Company’s business affairs and financial condition and has acquired sufficient information about the Company to reach an informed and knowledgeable decision to acquire the Shares. Purchaser is purchasing the Shares for investment for Purchaser’s own account only and not with a view to, or for resale in connection with, any “distribution” thereof within the meaning of the Securities Act or under any applicable provision of state law. Purchaser does not have any present intention to transfer the Shares to any other person or entity.</w:t>
      </w:r>
    </w:p>
    <w:p>
      <w:pPr>
        <w:spacing w:after="0" w:line="49" w:lineRule="exact"/>
        <w:rPr>
          <w:rFonts w:ascii="Arial" w:cs="Arial" w:eastAsia="Arial" w:hAnsi="Arial"/>
          <w:sz w:val="16"/>
          <w:szCs w:val="16"/>
          <w:color w:val="auto"/>
        </w:rPr>
      </w:pPr>
    </w:p>
    <w:p>
      <w:pPr>
        <w:ind w:right="220" w:firstLine="987"/>
        <w:spacing w:after="0" w:line="308" w:lineRule="auto"/>
        <w:tabs>
          <w:tab w:leader="none" w:pos="1246" w:val="left"/>
        </w:tabs>
        <w:numPr>
          <w:ilvl w:val="1"/>
          <w:numId w:val="330"/>
        </w:numPr>
        <w:rPr>
          <w:rFonts w:ascii="Arial" w:cs="Arial" w:eastAsia="Arial" w:hAnsi="Arial"/>
          <w:sz w:val="17"/>
          <w:szCs w:val="17"/>
          <w:color w:val="auto"/>
        </w:rPr>
      </w:pPr>
      <w:r>
        <w:rPr>
          <w:rFonts w:ascii="Arial" w:cs="Arial" w:eastAsia="Arial" w:hAnsi="Arial"/>
          <w:sz w:val="17"/>
          <w:szCs w:val="17"/>
          <w:color w:val="auto"/>
        </w:rPr>
        <w:t>Purchaser understands that the Shares have not been registered under the Securities Act by reason of a specific exemption therefrom, which exemption depends upon, among other things, the bona fide nature of Purchaser’s investment intent as expressed herein.</w:t>
      </w:r>
    </w:p>
    <w:p>
      <w:pPr>
        <w:spacing w:after="0" w:line="38" w:lineRule="exact"/>
        <w:rPr>
          <w:rFonts w:ascii="Arial" w:cs="Arial" w:eastAsia="Arial" w:hAnsi="Arial"/>
          <w:sz w:val="17"/>
          <w:szCs w:val="17"/>
          <w:color w:val="auto"/>
        </w:rPr>
      </w:pPr>
    </w:p>
    <w:p>
      <w:pPr>
        <w:ind w:right="40" w:firstLine="987"/>
        <w:spacing w:after="0" w:line="263" w:lineRule="auto"/>
        <w:tabs>
          <w:tab w:leader="none" w:pos="1236" w:val="left"/>
        </w:tabs>
        <w:numPr>
          <w:ilvl w:val="1"/>
          <w:numId w:val="330"/>
        </w:numPr>
        <w:rPr>
          <w:rFonts w:ascii="Arial" w:cs="Arial" w:eastAsia="Arial" w:hAnsi="Arial"/>
          <w:sz w:val="18"/>
          <w:szCs w:val="18"/>
          <w:color w:val="auto"/>
        </w:rPr>
      </w:pPr>
      <w:r>
        <w:rPr>
          <w:rFonts w:ascii="Arial" w:cs="Arial" w:eastAsia="Arial" w:hAnsi="Arial"/>
          <w:sz w:val="18"/>
          <w:szCs w:val="18"/>
          <w:color w:val="auto"/>
        </w:rPr>
        <w:t>Purchaser further acknowledges and understands that the securities must be held indefinitely unless they are subsequently registered under the Securities Act or an exemption from such registration is available. Purchaser further acknowledges and understands that the Company is under no obligation to register the securities.</w:t>
      </w:r>
    </w:p>
    <w:p>
      <w:pPr>
        <w:spacing w:after="0" w:line="75" w:lineRule="exact"/>
        <w:rPr>
          <w:rFonts w:ascii="Arial" w:cs="Arial" w:eastAsia="Arial" w:hAnsi="Arial"/>
          <w:sz w:val="18"/>
          <w:szCs w:val="18"/>
          <w:color w:val="auto"/>
        </w:rPr>
      </w:pPr>
    </w:p>
    <w:p>
      <w:pPr>
        <w:ind w:firstLine="987"/>
        <w:spacing w:after="0" w:line="291" w:lineRule="auto"/>
        <w:tabs>
          <w:tab w:leader="none" w:pos="1246" w:val="left"/>
        </w:tabs>
        <w:numPr>
          <w:ilvl w:val="1"/>
          <w:numId w:val="330"/>
        </w:numPr>
        <w:rPr>
          <w:rFonts w:ascii="Arial" w:cs="Arial" w:eastAsia="Arial" w:hAnsi="Arial"/>
          <w:sz w:val="16"/>
          <w:szCs w:val="16"/>
          <w:color w:val="auto"/>
        </w:rPr>
      </w:pPr>
      <w:r>
        <w:rPr>
          <w:rFonts w:ascii="Arial" w:cs="Arial" w:eastAsia="Arial" w:hAnsi="Arial"/>
          <w:sz w:val="16"/>
          <w:szCs w:val="16"/>
          <w:color w:val="auto"/>
        </w:rPr>
        <w:t>Purchaser is familiar with the provisions of Rule 144, promulgated under the Securities Act, which, in substance, permits limited public resale of “restricted securities” acquired, directly or indirectly, from the issuer of the securities (or from an affiliate of such issuer), in a non-public offering subject to the satisfaction of certain conditions. Purchaser understands that the Company provides no assurances as to whether he or she will be able to resell any or all of the Shares pursuant to Rule 144, which rule requires, among other things, that the Company be subject to the reporting requirements of the Securities Exchange Act of 1934, as amended, that resales of securities take place only after the holder of the Shares has held the Shares for certain specified time periods, and under certain circumstances, that resales of securities be limited in volume and take place only pursuant to brokered transactions. Notwithstanding this Section 4(d), Purchaser acknowledges and agrees to the restrictions set forth in Section 4(e) below.</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358" w:name="page359"/>
    <w:bookmarkEnd w:id="358"/>
    <w:p>
      <w:pPr>
        <w:ind w:left="4" w:firstLine="987"/>
        <w:spacing w:after="0" w:line="255" w:lineRule="auto"/>
        <w:tabs>
          <w:tab w:leader="none" w:pos="1240" w:val="left"/>
        </w:tabs>
        <w:numPr>
          <w:ilvl w:val="2"/>
          <w:numId w:val="3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Purchaser further understands that in the event all of the applicable requirements of Rule 144 are not satisfied, registration under the Securities Act, compliance with Regulation A, or some other registration exemption will be required; and that, notwithstanding the fact that Rule 144 is not exclusive, the Staff of the Securities and Exchange Commission has expressed its opinion that persons proposing to sell private placement securities other than in a registered offering and otherwise than pursuant to Rule 144 will have a substantial burden of proof in establishing that an exemption from registration is available for such offers or sales, and that such persons and their respective brokers who participate in such transactions do so at their own risk.</w:t>
      </w:r>
    </w:p>
    <w:p>
      <w:pPr>
        <w:spacing w:after="0" w:line="84" w:lineRule="exact"/>
        <w:rPr>
          <w:rFonts w:ascii="Arial" w:cs="Arial" w:eastAsia="Arial" w:hAnsi="Arial"/>
          <w:sz w:val="18"/>
          <w:szCs w:val="18"/>
          <w:color w:val="auto"/>
        </w:rPr>
      </w:pPr>
    </w:p>
    <w:p>
      <w:pPr>
        <w:ind w:left="1224" w:hanging="233"/>
        <w:spacing w:after="0"/>
        <w:tabs>
          <w:tab w:leader="none" w:pos="1224" w:val="left"/>
        </w:tabs>
        <w:numPr>
          <w:ilvl w:val="2"/>
          <w:numId w:val="331"/>
        </w:numPr>
        <w:rPr>
          <w:rFonts w:ascii="Arial" w:cs="Arial" w:eastAsia="Arial" w:hAnsi="Arial"/>
          <w:sz w:val="17"/>
          <w:szCs w:val="17"/>
          <w:color w:val="auto"/>
        </w:rPr>
      </w:pPr>
      <w:r>
        <w:rPr>
          <w:rFonts w:ascii="Arial" w:cs="Arial" w:eastAsia="Arial" w:hAnsi="Arial"/>
          <w:sz w:val="17"/>
          <w:szCs w:val="17"/>
          <w:color w:val="auto"/>
        </w:rPr>
        <w:t>Purchaser represents that Purchaser is not subject to any of the “Bad Actor” disqualifications described in Rule 506(d)(1)(i) to</w:t>
      </w:r>
    </w:p>
    <w:p>
      <w:pPr>
        <w:spacing w:after="0" w:line="34" w:lineRule="exact"/>
        <w:rPr>
          <w:rFonts w:ascii="Arial" w:cs="Arial" w:eastAsia="Arial" w:hAnsi="Arial"/>
          <w:sz w:val="17"/>
          <w:szCs w:val="17"/>
          <w:color w:val="auto"/>
        </w:rPr>
      </w:pPr>
    </w:p>
    <w:p>
      <w:pPr>
        <w:ind w:left="404" w:hanging="404"/>
        <w:spacing w:after="0"/>
        <w:tabs>
          <w:tab w:leader="none" w:pos="404" w:val="left"/>
        </w:tabs>
        <w:numPr>
          <w:ilvl w:val="0"/>
          <w:numId w:val="332"/>
        </w:numPr>
        <w:rPr>
          <w:rFonts w:ascii="Arial" w:cs="Arial" w:eastAsia="Arial" w:hAnsi="Arial"/>
          <w:sz w:val="18"/>
          <w:szCs w:val="18"/>
          <w:color w:val="auto"/>
        </w:rPr>
      </w:pPr>
      <w:r>
        <w:rPr>
          <w:rFonts w:ascii="Arial" w:cs="Arial" w:eastAsia="Arial" w:hAnsi="Arial"/>
          <w:sz w:val="18"/>
          <w:szCs w:val="18"/>
          <w:color w:val="auto"/>
        </w:rPr>
        <w:t xml:space="preserve">under the Securities Act (attached hereto as </w:t>
      </w:r>
      <w:r>
        <w:rPr>
          <w:rFonts w:ascii="Arial" w:cs="Arial" w:eastAsia="Arial" w:hAnsi="Arial"/>
          <w:sz w:val="18"/>
          <w:szCs w:val="18"/>
          <w:u w:val="single" w:color="auto"/>
          <w:color w:val="auto"/>
        </w:rPr>
        <w:t>Annex I</w:t>
      </w:r>
      <w:r>
        <w:rPr>
          <w:rFonts w:ascii="Arial" w:cs="Arial" w:eastAsia="Arial" w:hAnsi="Arial"/>
          <w:sz w:val="18"/>
          <w:szCs w:val="18"/>
          <w:color w:val="auto"/>
        </w:rPr>
        <w:t>).</w:t>
      </w:r>
    </w:p>
    <w:p>
      <w:pPr>
        <w:spacing w:after="0" w:line="102" w:lineRule="exact"/>
        <w:rPr>
          <w:rFonts w:ascii="Arial" w:cs="Arial" w:eastAsia="Arial" w:hAnsi="Arial"/>
          <w:sz w:val="18"/>
          <w:szCs w:val="18"/>
          <w:color w:val="auto"/>
        </w:rPr>
      </w:pPr>
    </w:p>
    <w:p>
      <w:pPr>
        <w:ind w:left="4" w:right="100" w:firstLine="987"/>
        <w:spacing w:after="0" w:line="263" w:lineRule="auto"/>
        <w:tabs>
          <w:tab w:leader="none" w:pos="1250" w:val="left"/>
        </w:tabs>
        <w:numPr>
          <w:ilvl w:val="2"/>
          <w:numId w:val="332"/>
        </w:numPr>
        <w:rPr>
          <w:rFonts w:ascii="Arial" w:cs="Arial" w:eastAsia="Arial" w:hAnsi="Arial"/>
          <w:sz w:val="18"/>
          <w:szCs w:val="18"/>
          <w:color w:val="auto"/>
        </w:rPr>
      </w:pPr>
      <w:r>
        <w:rPr>
          <w:rFonts w:ascii="Arial" w:cs="Arial" w:eastAsia="Arial" w:hAnsi="Arial"/>
          <w:sz w:val="18"/>
          <w:szCs w:val="18"/>
          <w:color w:val="auto"/>
        </w:rPr>
        <w:t>Purchaser understands that Purchaser may suffer adverse tax consequences as a result of Purchaser’s purchase or disposition of the Shares. Purchaser represents that Purchaser has consulted any tax consultants Purchaser deems advisable in connection with the purchase or disposition of the Shares and that Purchaser is not relying on the Company for any tax advice.</w:t>
      </w:r>
    </w:p>
    <w:p>
      <w:pPr>
        <w:spacing w:after="0" w:line="71" w:lineRule="exact"/>
        <w:rPr>
          <w:rFonts w:ascii="Arial" w:cs="Arial" w:eastAsia="Arial" w:hAnsi="Arial"/>
          <w:sz w:val="18"/>
          <w:szCs w:val="18"/>
          <w:color w:val="auto"/>
        </w:rPr>
      </w:pPr>
    </w:p>
    <w:p>
      <w:pPr>
        <w:ind w:left="4" w:right="100" w:firstLine="436"/>
        <w:spacing w:after="0" w:line="261" w:lineRule="auto"/>
        <w:tabs>
          <w:tab w:leader="none" w:pos="624" w:val="left"/>
        </w:tabs>
        <w:numPr>
          <w:ilvl w:val="1"/>
          <w:numId w:val="332"/>
        </w:numPr>
        <w:rPr>
          <w:rFonts w:ascii="Arial" w:cs="Arial" w:eastAsia="Arial" w:hAnsi="Arial"/>
          <w:sz w:val="18"/>
          <w:szCs w:val="18"/>
          <w:color w:val="auto"/>
        </w:rPr>
      </w:pPr>
      <w:r>
        <w:rPr>
          <w:rFonts w:ascii="Arial" w:cs="Arial" w:eastAsia="Arial" w:hAnsi="Arial"/>
          <w:sz w:val="18"/>
          <w:szCs w:val="18"/>
          <w:b w:val="1"/>
          <w:bCs w:val="1"/>
          <w:u w:val="single" w:color="auto"/>
          <w:color w:val="auto"/>
        </w:rPr>
        <w:t>Voting Agreement</w:t>
      </w:r>
      <w:r>
        <w:rPr>
          <w:rFonts w:ascii="Arial" w:cs="Arial" w:eastAsia="Arial" w:hAnsi="Arial"/>
          <w:sz w:val="18"/>
          <w:szCs w:val="18"/>
          <w:color w:val="auto"/>
        </w:rPr>
        <w:t>. As a condition precedent to entering into this Agreement, Purchaser must execute and deliver a counterpart signature page</w:t>
      </w:r>
      <w:r>
        <w:rPr>
          <w:rFonts w:ascii="Arial" w:cs="Arial" w:eastAsia="Arial" w:hAnsi="Arial"/>
          <w:sz w:val="18"/>
          <w:szCs w:val="18"/>
          <w:b w:val="1"/>
          <w:bCs w:val="1"/>
          <w:color w:val="auto"/>
        </w:rPr>
        <w:t xml:space="preserve"> </w:t>
      </w:r>
      <w:r>
        <w:rPr>
          <w:rFonts w:ascii="Arial" w:cs="Arial" w:eastAsia="Arial" w:hAnsi="Arial"/>
          <w:sz w:val="18"/>
          <w:szCs w:val="18"/>
          <w:color w:val="auto"/>
        </w:rPr>
        <w:t>to that certain Amended and Restated Voting Agreement dated July 18, 2012, by and among the Company and certain of its stockholders (as may be amended or restated from time to time) (the “</w:t>
      </w:r>
      <w:r>
        <w:rPr>
          <w:rFonts w:ascii="Arial" w:cs="Arial" w:eastAsia="Arial" w:hAnsi="Arial"/>
          <w:sz w:val="18"/>
          <w:szCs w:val="18"/>
          <w:u w:val="single" w:color="auto"/>
          <w:color w:val="auto"/>
        </w:rPr>
        <w:t>Voting Agreement</w:t>
      </w:r>
      <w:r>
        <w:rPr>
          <w:rFonts w:ascii="Arial" w:cs="Arial" w:eastAsia="Arial" w:hAnsi="Arial"/>
          <w:sz w:val="18"/>
          <w:szCs w:val="18"/>
          <w:color w:val="auto"/>
        </w:rPr>
        <w:t>”) so as to become a party thereto, and to be bound by the terms and conditions thereof, as a 1% Holder (as defined in the Voting Agreement).</w:t>
      </w:r>
    </w:p>
    <w:p>
      <w:pPr>
        <w:spacing w:after="0" w:line="71" w:lineRule="exact"/>
        <w:rPr>
          <w:rFonts w:ascii="Arial" w:cs="Arial" w:eastAsia="Arial" w:hAnsi="Arial"/>
          <w:sz w:val="18"/>
          <w:szCs w:val="18"/>
          <w:color w:val="auto"/>
        </w:rPr>
      </w:pPr>
    </w:p>
    <w:p>
      <w:pPr>
        <w:ind w:left="624" w:hanging="184"/>
        <w:spacing w:after="0"/>
        <w:tabs>
          <w:tab w:leader="none" w:pos="624" w:val="left"/>
        </w:tabs>
        <w:numPr>
          <w:ilvl w:val="1"/>
          <w:numId w:val="332"/>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Restrictive Legends and Stop-Transfer Orders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40" w:firstLine="987"/>
        <w:spacing w:after="0" w:line="282" w:lineRule="auto"/>
        <w:tabs>
          <w:tab w:leader="none" w:pos="1240" w:val="left"/>
        </w:tabs>
        <w:numPr>
          <w:ilvl w:val="2"/>
          <w:numId w:val="333"/>
        </w:numPr>
        <w:rPr>
          <w:rFonts w:ascii="Arial" w:cs="Arial" w:eastAsia="Arial" w:hAnsi="Arial"/>
          <w:sz w:val="18"/>
          <w:szCs w:val="18"/>
          <w:color w:val="auto"/>
        </w:rPr>
      </w:pPr>
      <w:r>
        <w:rPr>
          <w:rFonts w:ascii="Arial" w:cs="Arial" w:eastAsia="Arial" w:hAnsi="Arial"/>
          <w:sz w:val="18"/>
          <w:szCs w:val="18"/>
          <w:b w:val="1"/>
          <w:bCs w:val="1"/>
          <w:u w:val="single" w:color="auto"/>
          <w:color w:val="auto"/>
        </w:rPr>
        <w:t>Legends</w:t>
      </w:r>
      <w:r>
        <w:rPr>
          <w:rFonts w:ascii="Arial" w:cs="Arial" w:eastAsia="Arial" w:hAnsi="Arial"/>
          <w:sz w:val="18"/>
          <w:szCs w:val="18"/>
          <w:color w:val="auto"/>
        </w:rPr>
        <w:t>. Any certificate or certificates representing the Shares shall bear the following legends (as well as any legends required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applicable state and federal corporate and securities laws):</w:t>
      </w:r>
    </w:p>
    <w:p>
      <w:pPr>
        <w:spacing w:after="0" w:line="57" w:lineRule="exact"/>
        <w:rPr>
          <w:rFonts w:ascii="Arial" w:cs="Arial" w:eastAsia="Arial" w:hAnsi="Arial"/>
          <w:sz w:val="18"/>
          <w:szCs w:val="18"/>
          <w:color w:val="auto"/>
        </w:rPr>
      </w:pPr>
    </w:p>
    <w:p>
      <w:pPr>
        <w:ind w:left="4" w:right="20" w:firstLine="1428"/>
        <w:spacing w:after="0" w:line="257" w:lineRule="auto"/>
        <w:tabs>
          <w:tab w:leader="none" w:pos="1651" w:val="left"/>
        </w:tabs>
        <w:numPr>
          <w:ilvl w:val="3"/>
          <w:numId w:val="333"/>
        </w:numPr>
        <w:rPr>
          <w:rFonts w:ascii="Arial" w:cs="Arial" w:eastAsia="Arial" w:hAnsi="Arial"/>
          <w:sz w:val="18"/>
          <w:szCs w:val="18"/>
          <w:color w:val="auto"/>
        </w:rPr>
      </w:pPr>
      <w:r>
        <w:rPr>
          <w:rFonts w:ascii="Arial" w:cs="Arial" w:eastAsia="Arial" w:hAnsi="Arial"/>
          <w:sz w:val="18"/>
          <w:szCs w:val="18"/>
          <w:color w:val="auto"/>
        </w:rPr>
        <w:t>THE SHARES REPRESENTED BY THIS CERTIFICATE HAVE NOT BEEN REGISTERED UNDER THE SECURITIES ACT OF 1933, AND HAVE BEEN ACQUIRED FOR INVESTMENT AND NOT WITH A VIEW TO, OR IN CONNECTION WITH, THE SALE OR DISTRIBUTION THEREOF. NO SUCH SALE OR DISTRIBUTION MAY BE EFFECTED WITHOUT AN EFFECTIVE REGISTRATION STATEMENT RELATED THERETO OR AN OPINION OF COUNSEL FOR THE COMPANY THAT SUCH REGISTRATION IS NOT REQUIRED UNDER THE SECURITIES ACT OF 1933.</w:t>
      </w:r>
    </w:p>
    <w:p>
      <w:pPr>
        <w:spacing w:after="0" w:line="79" w:lineRule="exact"/>
        <w:rPr>
          <w:rFonts w:ascii="Arial" w:cs="Arial" w:eastAsia="Arial" w:hAnsi="Arial"/>
          <w:sz w:val="18"/>
          <w:szCs w:val="18"/>
          <w:color w:val="auto"/>
        </w:rPr>
      </w:pPr>
    </w:p>
    <w:p>
      <w:pPr>
        <w:ind w:left="4" w:right="20" w:firstLine="1428"/>
        <w:spacing w:after="0" w:line="263" w:lineRule="auto"/>
        <w:tabs>
          <w:tab w:leader="none" w:pos="1701" w:val="left"/>
        </w:tabs>
        <w:numPr>
          <w:ilvl w:val="3"/>
          <w:numId w:val="333"/>
        </w:numPr>
        <w:rPr>
          <w:rFonts w:ascii="Arial" w:cs="Arial" w:eastAsia="Arial" w:hAnsi="Arial"/>
          <w:sz w:val="18"/>
          <w:szCs w:val="18"/>
          <w:color w:val="auto"/>
        </w:rPr>
      </w:pPr>
      <w:r>
        <w:rPr>
          <w:rFonts w:ascii="Arial" w:cs="Arial" w:eastAsia="Arial" w:hAnsi="Arial"/>
          <w:sz w:val="18"/>
          <w:szCs w:val="18"/>
          <w:color w:val="auto"/>
        </w:rPr>
        <w:t>THE SHARES REPRESENTED BY THIS CERTIFICATE MAY BE TRANSFERRED ONLY IN ACCORDANCE WITH THE TERMS OF AN AGREEMENT BETWEEN THE COMPANY AND THE HOLDER, A COPY OF WHICH IS ON FILE WITH AND MAY BE OBTAINED FROM THE SECRETARY OF THE COMPANY AT NO CHARGE.</w:t>
      </w:r>
    </w:p>
    <w:p>
      <w:pPr>
        <w:spacing w:after="0" w:line="75" w:lineRule="exact"/>
        <w:rPr>
          <w:rFonts w:ascii="Arial" w:cs="Arial" w:eastAsia="Arial" w:hAnsi="Arial"/>
          <w:sz w:val="18"/>
          <w:szCs w:val="18"/>
          <w:color w:val="auto"/>
        </w:rPr>
      </w:pPr>
    </w:p>
    <w:p>
      <w:pPr>
        <w:ind w:left="4" w:right="60" w:firstLine="1428"/>
        <w:spacing w:after="0" w:line="255" w:lineRule="auto"/>
        <w:tabs>
          <w:tab w:leader="none" w:pos="1751" w:val="left"/>
        </w:tabs>
        <w:numPr>
          <w:ilvl w:val="3"/>
          <w:numId w:val="333"/>
        </w:numPr>
        <w:rPr>
          <w:rFonts w:ascii="Arial" w:cs="Arial" w:eastAsia="Arial" w:hAnsi="Arial"/>
          <w:sz w:val="18"/>
          <w:szCs w:val="18"/>
          <w:color w:val="auto"/>
        </w:rPr>
      </w:pPr>
      <w:r>
        <w:rPr>
          <w:rFonts w:ascii="Arial" w:cs="Arial" w:eastAsia="Arial" w:hAnsi="Arial"/>
          <w:sz w:val="18"/>
          <w:szCs w:val="18"/>
          <w:color w:val="auto"/>
        </w:rPr>
        <w:t>THE TRANSFER OF THE SHARES REPRESENTED BY THIS CERTIFICATE IS SUBJECT TO RESTRICTIONS REQUIRING APPROVAL OF THE BOARD OF DIRECTORS PURSUANT TO AND IN ACCORDANCE WITH ARTICLE X OF THE AMENDED AND RESTATED BYLAWS OF THE COMPANY, COPIES OF WHICH MAY BE OBTAINED UPON WRITTEN REQUEST TO THE COMPANY AT ITS PRINCIPAL PLACE OF BUSINESS. THE COMPANY SHALL NOT REGISTER OR OTHERWISE RECOGNIZE OR GIVE EFFECT TO ANY PURPORTED TRANSFER OF SHARES OF STOCK THAT DOES NOT COMPLY WITH ARTICLE X OF THE AMENDED AND RESTATED BYLAWS OF THE COMPANY.</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359" w:name="page360"/>
    <w:bookmarkEnd w:id="359"/>
    <w:p>
      <w:pPr>
        <w:ind w:left="1740" w:hanging="312"/>
        <w:spacing w:after="0"/>
        <w:tabs>
          <w:tab w:leader="none" w:pos="1740" w:val="left"/>
        </w:tabs>
        <w:numPr>
          <w:ilvl w:val="2"/>
          <w:numId w:val="3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legend required by the Voting Agreement, as applicable.</w:t>
      </w:r>
    </w:p>
    <w:p>
      <w:pPr>
        <w:spacing w:after="0" w:line="113" w:lineRule="exact"/>
        <w:rPr>
          <w:rFonts w:ascii="Arial" w:cs="Arial" w:eastAsia="Arial" w:hAnsi="Arial"/>
          <w:sz w:val="18"/>
          <w:szCs w:val="18"/>
          <w:color w:val="auto"/>
        </w:rPr>
      </w:pPr>
    </w:p>
    <w:p>
      <w:pPr>
        <w:ind w:right="60" w:firstLine="987"/>
        <w:spacing w:after="0" w:line="266" w:lineRule="auto"/>
        <w:tabs>
          <w:tab w:leader="none" w:pos="1246" w:val="left"/>
        </w:tabs>
        <w:numPr>
          <w:ilvl w:val="1"/>
          <w:numId w:val="335"/>
        </w:numPr>
        <w:rPr>
          <w:rFonts w:ascii="Arial" w:cs="Arial" w:eastAsia="Arial" w:hAnsi="Arial"/>
          <w:sz w:val="18"/>
          <w:szCs w:val="18"/>
          <w:color w:val="auto"/>
        </w:rPr>
      </w:pPr>
      <w:r>
        <w:rPr>
          <w:rFonts w:ascii="Arial" w:cs="Arial" w:eastAsia="Arial" w:hAnsi="Arial"/>
          <w:sz w:val="18"/>
          <w:szCs w:val="18"/>
          <w:b w:val="1"/>
          <w:bCs w:val="1"/>
          <w:u w:val="single" w:color="auto"/>
          <w:color w:val="auto"/>
        </w:rPr>
        <w:t>Stop-Transfer Notices</w:t>
      </w:r>
      <w:r>
        <w:rPr>
          <w:rFonts w:ascii="Arial" w:cs="Arial" w:eastAsia="Arial" w:hAnsi="Arial"/>
          <w:sz w:val="18"/>
          <w:szCs w:val="18"/>
          <w:color w:val="auto"/>
        </w:rPr>
        <w:t>. Purchaser agrees that, in order to ensure compliance with the restrictions referred to herein, the Company may</w:t>
      </w:r>
      <w:r>
        <w:rPr>
          <w:rFonts w:ascii="Arial" w:cs="Arial" w:eastAsia="Arial" w:hAnsi="Arial"/>
          <w:sz w:val="18"/>
          <w:szCs w:val="18"/>
          <w:b w:val="1"/>
          <w:bCs w:val="1"/>
          <w:color w:val="auto"/>
        </w:rPr>
        <w:t xml:space="preserve"> </w:t>
      </w:r>
      <w:r>
        <w:rPr>
          <w:rFonts w:ascii="Arial" w:cs="Arial" w:eastAsia="Arial" w:hAnsi="Arial"/>
          <w:sz w:val="18"/>
          <w:szCs w:val="18"/>
          <w:color w:val="auto"/>
        </w:rPr>
        <w:t>issue appropriate “stop transfer” instructions to its transfer agent, if any, and that, if the Company transfers its own securities, it may make appropriate notations to the same effect in its own records.</w:t>
      </w:r>
    </w:p>
    <w:p>
      <w:pPr>
        <w:spacing w:after="0" w:line="67" w:lineRule="exact"/>
        <w:rPr>
          <w:rFonts w:ascii="Arial" w:cs="Arial" w:eastAsia="Arial" w:hAnsi="Arial"/>
          <w:sz w:val="18"/>
          <w:szCs w:val="18"/>
          <w:color w:val="auto"/>
        </w:rPr>
      </w:pPr>
    </w:p>
    <w:p>
      <w:pPr>
        <w:ind w:right="120" w:firstLine="987"/>
        <w:spacing w:after="0" w:line="266" w:lineRule="auto"/>
        <w:tabs>
          <w:tab w:leader="none" w:pos="1236" w:val="left"/>
        </w:tabs>
        <w:numPr>
          <w:ilvl w:val="1"/>
          <w:numId w:val="335"/>
        </w:numPr>
        <w:rPr>
          <w:rFonts w:ascii="Arial" w:cs="Arial" w:eastAsia="Arial" w:hAnsi="Arial"/>
          <w:sz w:val="18"/>
          <w:szCs w:val="18"/>
          <w:color w:val="auto"/>
        </w:rPr>
      </w:pPr>
      <w:r>
        <w:rPr>
          <w:rFonts w:ascii="Arial" w:cs="Arial" w:eastAsia="Arial" w:hAnsi="Arial"/>
          <w:sz w:val="18"/>
          <w:szCs w:val="18"/>
          <w:b w:val="1"/>
          <w:bCs w:val="1"/>
          <w:u w:val="single" w:color="auto"/>
          <w:color w:val="auto"/>
        </w:rPr>
        <w:t>Refusal to Transfer</w:t>
      </w:r>
      <w:r>
        <w:rPr>
          <w:rFonts w:ascii="Arial" w:cs="Arial" w:eastAsia="Arial" w:hAnsi="Arial"/>
          <w:sz w:val="18"/>
          <w:szCs w:val="18"/>
          <w:color w:val="auto"/>
        </w:rPr>
        <w:t>. The Company shall not be required (i) to transfer on its books any Shares that have been sold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transferred in violation of any of the provisions of this Agreement or (ii) to treat as owner of such Shares or to accord the right to vote or pay dividends to any purchaser or other transferee to whom such Shares shall have been so transferred.</w:t>
      </w:r>
    </w:p>
    <w:p>
      <w:pPr>
        <w:spacing w:after="0" w:line="67" w:lineRule="exact"/>
        <w:rPr>
          <w:rFonts w:ascii="Arial" w:cs="Arial" w:eastAsia="Arial" w:hAnsi="Arial"/>
          <w:sz w:val="18"/>
          <w:szCs w:val="18"/>
          <w:color w:val="auto"/>
        </w:rPr>
      </w:pPr>
    </w:p>
    <w:p>
      <w:pPr>
        <w:ind w:firstLine="987"/>
        <w:spacing w:after="0" w:line="254" w:lineRule="auto"/>
        <w:tabs>
          <w:tab w:leader="none" w:pos="1246" w:val="left"/>
        </w:tabs>
        <w:numPr>
          <w:ilvl w:val="1"/>
          <w:numId w:val="335"/>
        </w:numPr>
        <w:rPr>
          <w:rFonts w:ascii="Arial" w:cs="Arial" w:eastAsia="Arial" w:hAnsi="Arial"/>
          <w:sz w:val="18"/>
          <w:szCs w:val="18"/>
          <w:color w:val="auto"/>
        </w:rPr>
      </w:pPr>
      <w:r>
        <w:rPr>
          <w:rFonts w:ascii="Arial" w:cs="Arial" w:eastAsia="Arial" w:hAnsi="Arial"/>
          <w:sz w:val="18"/>
          <w:szCs w:val="18"/>
          <w:b w:val="1"/>
          <w:bCs w:val="1"/>
          <w:u w:val="single" w:color="auto"/>
          <w:color w:val="auto"/>
        </w:rPr>
        <w:t>Required Notices</w:t>
      </w:r>
      <w:r>
        <w:rPr>
          <w:rFonts w:ascii="Arial" w:cs="Arial" w:eastAsia="Arial" w:hAnsi="Arial"/>
          <w:sz w:val="18"/>
          <w:szCs w:val="18"/>
          <w:color w:val="auto"/>
        </w:rPr>
        <w:t>. Purchaser acknowledges that the Shares are issued and shall be held subject to all the provisions of this Section 6,</w:t>
      </w:r>
      <w:r>
        <w:rPr>
          <w:rFonts w:ascii="Arial" w:cs="Arial" w:eastAsia="Arial" w:hAnsi="Arial"/>
          <w:sz w:val="18"/>
          <w:szCs w:val="18"/>
          <w:b w:val="1"/>
          <w:bCs w:val="1"/>
          <w:color w:val="auto"/>
        </w:rPr>
        <w:t xml:space="preserve"> </w:t>
      </w:r>
      <w:r>
        <w:rPr>
          <w:rFonts w:ascii="Arial" w:cs="Arial" w:eastAsia="Arial" w:hAnsi="Arial"/>
          <w:sz w:val="18"/>
          <w:szCs w:val="18"/>
          <w:color w:val="auto"/>
        </w:rPr>
        <w:t>the Certificate of Incorporation and the Amended and Restated Bylaws of the Company and any amendments thereto, copies of which are on file at the principal office of the Company. A statement of all of the rights, preferences, privileges and restrictions granted to or imposed upon the respective classes and/or series of shares of stock of the Company and upon the holders thereof may be obtained by any stockholder upon request and without charge, at the principal office of the Company, and the Company will furnish any stockholder, upon request and without charge, a copy of such statement. Purchaser acknowledges that the provisions of this Section 6 shall constitute the notices required by Sections 151(f) and 202(a) of the Delaware General Corporation Law and the Purchaser hereby expressly waives the requirement of Section 151(f) of the Delaware General Corporation Law that it receive the written notice provided for in Sections 151(f) and 202(a) of the Delaware General Corporation Law within a reasonable time after the issuance of the Shares.</w:t>
      </w:r>
    </w:p>
    <w:p>
      <w:pPr>
        <w:spacing w:after="0" w:line="80" w:lineRule="exact"/>
        <w:rPr>
          <w:rFonts w:ascii="Arial" w:cs="Arial" w:eastAsia="Arial" w:hAnsi="Arial"/>
          <w:sz w:val="18"/>
          <w:szCs w:val="18"/>
          <w:color w:val="auto"/>
        </w:rPr>
      </w:pPr>
    </w:p>
    <w:p>
      <w:pPr>
        <w:ind w:right="60" w:firstLine="436"/>
        <w:spacing w:after="0" w:line="266" w:lineRule="auto"/>
        <w:tabs>
          <w:tab w:leader="none" w:pos="620" w:val="left"/>
        </w:tabs>
        <w:numPr>
          <w:ilvl w:val="0"/>
          <w:numId w:val="336"/>
        </w:numPr>
        <w:rPr>
          <w:rFonts w:ascii="Arial" w:cs="Arial" w:eastAsia="Arial" w:hAnsi="Arial"/>
          <w:sz w:val="18"/>
          <w:szCs w:val="18"/>
          <w:color w:val="auto"/>
        </w:rPr>
      </w:pPr>
      <w:r>
        <w:rPr>
          <w:rFonts w:ascii="Arial" w:cs="Arial" w:eastAsia="Arial" w:hAnsi="Arial"/>
          <w:sz w:val="18"/>
          <w:szCs w:val="18"/>
          <w:b w:val="1"/>
          <w:bCs w:val="1"/>
          <w:u w:val="single" w:color="auto"/>
          <w:color w:val="auto"/>
        </w:rPr>
        <w:t>No Employment Rights</w:t>
      </w:r>
      <w:r>
        <w:rPr>
          <w:rFonts w:ascii="Arial" w:cs="Arial" w:eastAsia="Arial" w:hAnsi="Arial"/>
          <w:sz w:val="18"/>
          <w:szCs w:val="18"/>
          <w:color w:val="auto"/>
        </w:rPr>
        <w:t>. Nothing in this Agreement shall affect in any manner whatsoever the right or power of the Company, or a parent,</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or affiliate of the Company, to terminate Purchaser’s employment or consulting relationship, for any reason, with or without cause, subject to Applicable Laws.</w:t>
      </w:r>
    </w:p>
    <w:p>
      <w:pPr>
        <w:spacing w:after="0" w:line="67" w:lineRule="exact"/>
        <w:rPr>
          <w:rFonts w:ascii="Arial" w:cs="Arial" w:eastAsia="Arial" w:hAnsi="Arial"/>
          <w:sz w:val="18"/>
          <w:szCs w:val="18"/>
          <w:color w:val="auto"/>
        </w:rPr>
      </w:pPr>
    </w:p>
    <w:p>
      <w:pPr>
        <w:ind w:right="120" w:firstLine="436"/>
        <w:spacing w:after="0" w:line="282" w:lineRule="auto"/>
        <w:tabs>
          <w:tab w:leader="none" w:pos="620" w:val="left"/>
        </w:tabs>
        <w:numPr>
          <w:ilvl w:val="0"/>
          <w:numId w:val="336"/>
        </w:numPr>
        <w:rPr>
          <w:rFonts w:ascii="Arial" w:cs="Arial" w:eastAsia="Arial" w:hAnsi="Arial"/>
          <w:sz w:val="18"/>
          <w:szCs w:val="18"/>
          <w:color w:val="auto"/>
        </w:rPr>
      </w:pPr>
      <w:r>
        <w:rPr>
          <w:rFonts w:ascii="Arial" w:cs="Arial" w:eastAsia="Arial" w:hAnsi="Arial"/>
          <w:sz w:val="18"/>
          <w:szCs w:val="18"/>
          <w:b w:val="1"/>
          <w:bCs w:val="1"/>
          <w:u w:val="single" w:color="auto"/>
          <w:color w:val="auto"/>
        </w:rPr>
        <w:t>Lock-Up Agreement</w:t>
      </w:r>
      <w:r>
        <w:rPr>
          <w:rFonts w:ascii="Arial" w:cs="Arial" w:eastAsia="Arial" w:hAnsi="Arial"/>
          <w:sz w:val="18"/>
          <w:szCs w:val="18"/>
          <w:color w:val="auto"/>
        </w:rPr>
        <w:t>. The lock-up provisions set forth in Section 7 of the Option Agreement shall apply to the Shares issued upon exercise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Option hereunder and Purchaser reaffirms Purchaser’s obligations set forth therein.</w:t>
      </w:r>
    </w:p>
    <w:p>
      <w:pPr>
        <w:spacing w:after="0" w:line="53" w:lineRule="exact"/>
        <w:rPr>
          <w:rFonts w:ascii="Arial" w:cs="Arial" w:eastAsia="Arial" w:hAnsi="Arial"/>
          <w:sz w:val="18"/>
          <w:szCs w:val="18"/>
          <w:color w:val="auto"/>
        </w:rPr>
      </w:pPr>
    </w:p>
    <w:p>
      <w:pPr>
        <w:ind w:right="120" w:firstLine="436"/>
        <w:spacing w:after="0" w:line="277" w:lineRule="auto"/>
        <w:tabs>
          <w:tab w:leader="none" w:pos="620" w:val="left"/>
        </w:tabs>
        <w:numPr>
          <w:ilvl w:val="0"/>
          <w:numId w:val="336"/>
        </w:numPr>
        <w:rPr>
          <w:rFonts w:ascii="Arial" w:cs="Arial" w:eastAsia="Arial" w:hAnsi="Arial"/>
          <w:sz w:val="17"/>
          <w:szCs w:val="17"/>
          <w:color w:val="auto"/>
        </w:rPr>
      </w:pPr>
      <w:r>
        <w:rPr>
          <w:rFonts w:ascii="Arial" w:cs="Arial" w:eastAsia="Arial" w:hAnsi="Arial"/>
          <w:sz w:val="17"/>
          <w:szCs w:val="17"/>
          <w:b w:val="1"/>
          <w:bCs w:val="1"/>
          <w:u w:val="single" w:color="auto"/>
          <w:color w:val="auto"/>
        </w:rPr>
        <w:t>Waiver of Statutory Information Rights</w:t>
      </w:r>
      <w:r>
        <w:rPr>
          <w:rFonts w:ascii="Arial" w:cs="Arial" w:eastAsia="Arial" w:hAnsi="Arial"/>
          <w:sz w:val="17"/>
          <w:szCs w:val="17"/>
          <w:color w:val="auto"/>
        </w:rPr>
        <w:t>. Purchaser acknowledges and understands that, but for the waiver made herein, Purchaser would be</w:t>
      </w:r>
      <w:r>
        <w:rPr>
          <w:rFonts w:ascii="Arial" w:cs="Arial" w:eastAsia="Arial" w:hAnsi="Arial"/>
          <w:sz w:val="17"/>
          <w:szCs w:val="17"/>
          <w:b w:val="1"/>
          <w:bCs w:val="1"/>
          <w:color w:val="auto"/>
        </w:rPr>
        <w:t xml:space="preserve"> </w:t>
      </w:r>
      <w:r>
        <w:rPr>
          <w:rFonts w:ascii="Arial" w:cs="Arial" w:eastAsia="Arial" w:hAnsi="Arial"/>
          <w:sz w:val="17"/>
          <w:szCs w:val="17"/>
          <w:color w:val="auto"/>
        </w:rPr>
        <w:t>entitled, upon written demand under oath stating the purpose thereof, to inspect for any proper purpose, and to make copies and extracts from, the Company’s stock ledger, a list of its stockholders, and its other books and records, and the books and records of subsidiaries of the Company, if any, under the circumstances and in the manner provided in Section 220 of the General Corporation Law of Delaware (any and all such rights, and any and all such other rights of Purchaser as may be provided for in Section 220, the “</w:t>
      </w:r>
      <w:r>
        <w:rPr>
          <w:rFonts w:ascii="Arial" w:cs="Arial" w:eastAsia="Arial" w:hAnsi="Arial"/>
          <w:sz w:val="17"/>
          <w:szCs w:val="17"/>
          <w:u w:val="single" w:color="auto"/>
          <w:color w:val="auto"/>
        </w:rPr>
        <w:t>Inspection Rights</w:t>
      </w:r>
      <w:r>
        <w:rPr>
          <w:rFonts w:ascii="Arial" w:cs="Arial" w:eastAsia="Arial" w:hAnsi="Arial"/>
          <w:sz w:val="17"/>
          <w:szCs w:val="17"/>
          <w:color w:val="auto"/>
        </w:rPr>
        <w: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360" w:name="page361"/>
    <w:bookmarkEnd w:id="360"/>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light of the foregoing, until the first sale of Company securities to the general public pursuant to a registration statement filed with and declared effective by the Securities and Exchange Commission under the Securities Act of 1933, as amended, Purchaser hereby unconditionally and irrevocably waives the Inspection Rights, whether such Inspection Rights would be exercised or pursued directly or indirectly pursuant to Section 220 or otherwise, and covenants and agrees never to directly or indirectly commence, voluntarily aid in any way, prosecute, assign, transfer, or cause to be commenced any claim, action, cause of action, or other proceeding to pursue or exercise the Inspection Rights. The foregoing waiver applies to the Inspection Rights of Purchaser in Purchaser’s capacity as a stockholder and shall not affect any rights of a director, in his or her capacity as such, under Section 220. The foregoing waiver shall not apply to any contractual inspection rights of Purchaser under any written agreement with the Company.</w:t>
      </w:r>
    </w:p>
    <w:p>
      <w:pPr>
        <w:spacing w:after="0" w:line="54" w:lineRule="exact"/>
        <w:rPr>
          <w:sz w:val="20"/>
          <w:szCs w:val="20"/>
          <w:color w:val="auto"/>
        </w:rPr>
      </w:pPr>
    </w:p>
    <w:p>
      <w:pPr>
        <w:ind w:left="700" w:hanging="264"/>
        <w:spacing w:after="0"/>
        <w:tabs>
          <w:tab w:leader="none" w:pos="700" w:val="left"/>
        </w:tabs>
        <w:numPr>
          <w:ilvl w:val="0"/>
          <w:numId w:val="337"/>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40" w:firstLine="987"/>
        <w:spacing w:after="0" w:line="298" w:lineRule="auto"/>
        <w:tabs>
          <w:tab w:leader="none" w:pos="1236" w:val="left"/>
        </w:tabs>
        <w:numPr>
          <w:ilvl w:val="1"/>
          <w:numId w:val="337"/>
        </w:numPr>
        <w:rPr>
          <w:rFonts w:ascii="Arial" w:cs="Arial" w:eastAsia="Arial" w:hAnsi="Arial"/>
          <w:sz w:val="16"/>
          <w:szCs w:val="16"/>
          <w:color w:val="auto"/>
        </w:rPr>
      </w:pPr>
      <w:r>
        <w:rPr>
          <w:rFonts w:ascii="Arial" w:cs="Arial" w:eastAsia="Arial" w:hAnsi="Arial"/>
          <w:sz w:val="16"/>
          <w:szCs w:val="16"/>
          <w:b w:val="1"/>
          <w:bCs w:val="1"/>
          <w:u w:val="single" w:color="auto"/>
          <w:color w:val="auto"/>
        </w:rPr>
        <w:t>Governing Law</w:t>
      </w:r>
      <w:r>
        <w:rPr>
          <w:rFonts w:ascii="Arial" w:cs="Arial" w:eastAsia="Arial" w:hAnsi="Arial"/>
          <w:sz w:val="16"/>
          <w:szCs w:val="16"/>
          <w:color w:val="auto"/>
        </w:rPr>
        <w:t>. The validity, interpretation, construction and performance of this Agreement and all acts and transactions pursuant</w:t>
      </w:r>
      <w:r>
        <w:rPr>
          <w:rFonts w:ascii="Arial" w:cs="Arial" w:eastAsia="Arial" w:hAnsi="Arial"/>
          <w:sz w:val="16"/>
          <w:szCs w:val="16"/>
          <w:b w:val="1"/>
          <w:bCs w:val="1"/>
          <w:color w:val="auto"/>
        </w:rPr>
        <w:t xml:space="preserve"> </w:t>
      </w:r>
      <w:r>
        <w:rPr>
          <w:rFonts w:ascii="Arial" w:cs="Arial" w:eastAsia="Arial" w:hAnsi="Arial"/>
          <w:sz w:val="16"/>
          <w:szCs w:val="16"/>
          <w:color w:val="auto"/>
        </w:rPr>
        <w:t>hereto and the rights and obligations of the parties hereto shall be governed, construed and interpreted in accordance with the laws of the State of California, without giving effect to principles of conflicts of law. For purposes of litigating any dispute that may arise directly or indirectly from this Agreement, the parties hereby submit and consent to the exclusive jurisdiction of the State of California and agree that any such litigation shall be conducted only in the courts of California or the federal courts of the United States located in California and no other courts.</w:t>
      </w:r>
    </w:p>
    <w:p>
      <w:pPr>
        <w:spacing w:after="0" w:line="45" w:lineRule="exact"/>
        <w:rPr>
          <w:rFonts w:ascii="Arial" w:cs="Arial" w:eastAsia="Arial" w:hAnsi="Arial"/>
          <w:sz w:val="16"/>
          <w:szCs w:val="16"/>
          <w:color w:val="auto"/>
        </w:rPr>
      </w:pPr>
    </w:p>
    <w:p>
      <w:pPr>
        <w:ind w:firstLine="987"/>
        <w:spacing w:after="0" w:line="277" w:lineRule="auto"/>
        <w:tabs>
          <w:tab w:leader="none" w:pos="1246" w:val="left"/>
        </w:tabs>
        <w:numPr>
          <w:ilvl w:val="1"/>
          <w:numId w:val="337"/>
        </w:numPr>
        <w:rPr>
          <w:rFonts w:ascii="Arial" w:cs="Arial" w:eastAsia="Arial" w:hAnsi="Arial"/>
          <w:sz w:val="17"/>
          <w:szCs w:val="17"/>
          <w:color w:val="auto"/>
        </w:rPr>
      </w:pPr>
      <w:r>
        <w:rPr>
          <w:rFonts w:ascii="Arial" w:cs="Arial" w:eastAsia="Arial" w:hAnsi="Arial"/>
          <w:sz w:val="17"/>
          <w:szCs w:val="17"/>
          <w:b w:val="1"/>
          <w:bCs w:val="1"/>
          <w:u w:val="single" w:color="auto"/>
          <w:color w:val="auto"/>
        </w:rPr>
        <w:t>Entire Agreement; Enforcement of Rights</w:t>
      </w:r>
      <w:r>
        <w:rPr>
          <w:rFonts w:ascii="Arial" w:cs="Arial" w:eastAsia="Arial" w:hAnsi="Arial"/>
          <w:sz w:val="17"/>
          <w:szCs w:val="17"/>
          <w:color w:val="auto"/>
        </w:rPr>
        <w:t>. This Agreement, together with the Option Agreement and the Plan, sets forth the entire</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and understanding of the parties relating to the subject matter herein and supersedes all prior or contemporaneous discussions, understandings and agreements, whether oral or written, between them related to the subject matter thereof. No modification of or amendment to this Agreement, nor any waiver of any rights under this Agreement, shall be effective unless in writing signed by the parties to this Agreement. The failure by either party to enforce any rights under this Agreement shall not be construed as a waiver of any rights of such party.</w:t>
      </w:r>
    </w:p>
    <w:p>
      <w:pPr>
        <w:spacing w:after="0" w:line="59" w:lineRule="exact"/>
        <w:rPr>
          <w:rFonts w:ascii="Arial" w:cs="Arial" w:eastAsia="Arial" w:hAnsi="Arial"/>
          <w:sz w:val="17"/>
          <w:szCs w:val="17"/>
          <w:color w:val="auto"/>
        </w:rPr>
      </w:pPr>
    </w:p>
    <w:p>
      <w:pPr>
        <w:ind w:right="80" w:firstLine="987"/>
        <w:spacing w:after="0" w:line="281" w:lineRule="auto"/>
        <w:tabs>
          <w:tab w:leader="none" w:pos="1236" w:val="left"/>
        </w:tabs>
        <w:numPr>
          <w:ilvl w:val="1"/>
          <w:numId w:val="337"/>
        </w:numPr>
        <w:rPr>
          <w:rFonts w:ascii="Arial" w:cs="Arial" w:eastAsia="Arial" w:hAnsi="Arial"/>
          <w:sz w:val="17"/>
          <w:szCs w:val="17"/>
          <w:color w:val="auto"/>
        </w:rPr>
      </w:pPr>
      <w:r>
        <w:rPr>
          <w:rFonts w:ascii="Arial" w:cs="Arial" w:eastAsia="Arial" w:hAnsi="Arial"/>
          <w:sz w:val="17"/>
          <w:szCs w:val="17"/>
          <w:b w:val="1"/>
          <w:bCs w:val="1"/>
          <w:u w:val="single" w:color="auto"/>
          <w:color w:val="auto"/>
        </w:rPr>
        <w:t>Severability</w:t>
      </w:r>
      <w:r>
        <w:rPr>
          <w:rFonts w:ascii="Arial" w:cs="Arial" w:eastAsia="Arial" w:hAnsi="Arial"/>
          <w:sz w:val="17"/>
          <w:szCs w:val="17"/>
          <w:color w:val="auto"/>
        </w:rPr>
        <w:t>. If one or more provisions of this Agreement are held to be unenforceable under Applicable Laws, the parties agree to</w:t>
      </w:r>
      <w:r>
        <w:rPr>
          <w:rFonts w:ascii="Arial" w:cs="Arial" w:eastAsia="Arial" w:hAnsi="Arial"/>
          <w:sz w:val="17"/>
          <w:szCs w:val="17"/>
          <w:b w:val="1"/>
          <w:bCs w:val="1"/>
          <w:color w:val="auto"/>
        </w:rPr>
        <w:t xml:space="preserve"> </w:t>
      </w:r>
      <w:r>
        <w:rPr>
          <w:rFonts w:ascii="Arial" w:cs="Arial" w:eastAsia="Arial" w:hAnsi="Arial"/>
          <w:sz w:val="17"/>
          <w:szCs w:val="17"/>
          <w:color w:val="auto"/>
        </w:rPr>
        <w:t>renegotiate such provision in good faith. In the event that the parties cannot reach a mutually agreeable and enforceable replacement for such provision, then (i) such provision shall be excluded from this Agreement, (ii) the balance of the Agreement shall be interpreted as if such provision were so excluded and (iii) the balance of the Agreement shall be enforceable in accordance with its terms.</w:t>
      </w:r>
    </w:p>
    <w:p>
      <w:pPr>
        <w:spacing w:after="0" w:line="56" w:lineRule="exact"/>
        <w:rPr>
          <w:rFonts w:ascii="Arial" w:cs="Arial" w:eastAsia="Arial" w:hAnsi="Arial"/>
          <w:sz w:val="17"/>
          <w:szCs w:val="17"/>
          <w:color w:val="auto"/>
        </w:rPr>
      </w:pPr>
    </w:p>
    <w:p>
      <w:pPr>
        <w:ind w:firstLine="987"/>
        <w:spacing w:after="0" w:line="258" w:lineRule="auto"/>
        <w:tabs>
          <w:tab w:leader="none" w:pos="1246" w:val="left"/>
        </w:tabs>
        <w:numPr>
          <w:ilvl w:val="1"/>
          <w:numId w:val="337"/>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Any notice required or permitted by this Agreement shall be in writing and shall be deemed sufficient when delivered</w:t>
      </w:r>
      <w:r>
        <w:rPr>
          <w:rFonts w:ascii="Arial" w:cs="Arial" w:eastAsia="Arial" w:hAnsi="Arial"/>
          <w:sz w:val="18"/>
          <w:szCs w:val="18"/>
          <w:b w:val="1"/>
          <w:bCs w:val="1"/>
          <w:color w:val="auto"/>
        </w:rPr>
        <w:t xml:space="preserve"> </w:t>
      </w:r>
      <w:r>
        <w:rPr>
          <w:rFonts w:ascii="Arial" w:cs="Arial" w:eastAsia="Arial" w:hAnsi="Arial"/>
          <w:sz w:val="18"/>
          <w:szCs w:val="18"/>
          <w:color w:val="auto"/>
        </w:rPr>
        <w:t>personally or by overnight courier or sent by email or fax (upon customary confirmation of receipt), or forty-eight (48) hours after being deposited in the U.S. mail as certified or registered mail with postage prepaid, addressed to the party to be notified at such party’s address or fax number as set forth on the signature page, as subsequently modified by written notice, or if no address is specified on the signature page, at the most recent address set forth in the Company’s books and records.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361" w:name="page362"/>
    <w:bookmarkEnd w:id="361"/>
    <w:p>
      <w:pPr>
        <w:ind w:right="320" w:firstLine="987"/>
        <w:spacing w:after="0" w:line="282" w:lineRule="auto"/>
        <w:tabs>
          <w:tab w:leader="none" w:pos="1236" w:val="left"/>
        </w:tabs>
        <w:numPr>
          <w:ilvl w:val="0"/>
          <w:numId w:val="338"/>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Counterparts</w:t>
      </w:r>
      <w:r>
        <w:rPr>
          <w:rFonts w:ascii="Arial" w:cs="Arial" w:eastAsia="Arial" w:hAnsi="Arial"/>
          <w:sz w:val="18"/>
          <w:szCs w:val="18"/>
          <w:color w:val="auto"/>
        </w:rPr>
        <w:t>. This Agreement may be executed in two or more counterparts, each of which shall be deemed an original and all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together shall constitute one instrument.</w:t>
      </w:r>
    </w:p>
    <w:p>
      <w:pPr>
        <w:spacing w:after="0" w:line="53" w:lineRule="exact"/>
        <w:rPr>
          <w:rFonts w:ascii="Arial" w:cs="Arial" w:eastAsia="Arial" w:hAnsi="Arial"/>
          <w:sz w:val="18"/>
          <w:szCs w:val="18"/>
          <w:color w:val="auto"/>
        </w:rPr>
      </w:pPr>
    </w:p>
    <w:p>
      <w:pPr>
        <w:ind w:right="140" w:firstLine="987"/>
        <w:spacing w:after="0" w:line="266" w:lineRule="auto"/>
        <w:tabs>
          <w:tab w:leader="none" w:pos="1216" w:val="left"/>
        </w:tabs>
        <w:numPr>
          <w:ilvl w:val="0"/>
          <w:numId w:val="338"/>
        </w:numPr>
        <w:rPr>
          <w:rFonts w:ascii="Arial" w:cs="Arial" w:eastAsia="Arial" w:hAnsi="Arial"/>
          <w:sz w:val="18"/>
          <w:szCs w:val="18"/>
          <w:color w:val="auto"/>
        </w:rPr>
      </w:pPr>
      <w:r>
        <w:rPr>
          <w:rFonts w:ascii="Arial" w:cs="Arial" w:eastAsia="Arial" w:hAnsi="Arial"/>
          <w:sz w:val="18"/>
          <w:szCs w:val="18"/>
          <w:b w:val="1"/>
          <w:bCs w:val="1"/>
          <w:u w:val="single" w:color="auto"/>
          <w:color w:val="auto"/>
        </w:rPr>
        <w:t>Successors and Assigns</w:t>
      </w:r>
      <w:r>
        <w:rPr>
          <w:rFonts w:ascii="Arial" w:cs="Arial" w:eastAsia="Arial" w:hAnsi="Arial"/>
          <w:sz w:val="18"/>
          <w:szCs w:val="18"/>
          <w:color w:val="auto"/>
        </w:rPr>
        <w:t>. The rights and benefits of this Agreement shall inure to the benefit of, and be enforceable by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successors and assigns. The rights and obligations of Purchaser under this Agreement may only be assigned with the prior written consent of the Company.</w:t>
      </w:r>
    </w:p>
    <w:p>
      <w:pPr>
        <w:spacing w:after="0" w:line="67" w:lineRule="exact"/>
        <w:rPr>
          <w:rFonts w:ascii="Arial" w:cs="Arial" w:eastAsia="Arial" w:hAnsi="Arial"/>
          <w:sz w:val="18"/>
          <w:szCs w:val="18"/>
          <w:color w:val="auto"/>
        </w:rPr>
      </w:pPr>
    </w:p>
    <w:p>
      <w:pPr>
        <w:ind w:firstLine="987"/>
        <w:spacing w:after="0" w:line="281" w:lineRule="auto"/>
        <w:tabs>
          <w:tab w:leader="none" w:pos="1246" w:val="left"/>
        </w:tabs>
        <w:numPr>
          <w:ilvl w:val="0"/>
          <w:numId w:val="338"/>
        </w:numPr>
        <w:rPr>
          <w:rFonts w:ascii="Arial" w:cs="Arial" w:eastAsia="Arial" w:hAnsi="Arial"/>
          <w:sz w:val="17"/>
          <w:szCs w:val="17"/>
          <w:color w:val="auto"/>
        </w:rPr>
      </w:pPr>
      <w:r>
        <w:rPr>
          <w:rFonts w:ascii="Arial" w:cs="Arial" w:eastAsia="Arial" w:hAnsi="Arial"/>
          <w:sz w:val="17"/>
          <w:szCs w:val="17"/>
          <w:b w:val="1"/>
          <w:bCs w:val="1"/>
          <w:u w:val="single" w:color="auto"/>
          <w:color w:val="auto"/>
        </w:rPr>
        <w:t>Electronic Delivery</w:t>
      </w:r>
      <w:r>
        <w:rPr>
          <w:rFonts w:ascii="Arial" w:cs="Arial" w:eastAsia="Arial" w:hAnsi="Arial"/>
          <w:sz w:val="17"/>
          <w:szCs w:val="17"/>
          <w:color w:val="auto"/>
        </w:rPr>
        <w:t>. The Company may, in its sole discretion, decide to deliver any documents related to this Agreement or any</w:t>
      </w:r>
      <w:r>
        <w:rPr>
          <w:rFonts w:ascii="Arial" w:cs="Arial" w:eastAsia="Arial" w:hAnsi="Arial"/>
          <w:sz w:val="17"/>
          <w:szCs w:val="17"/>
          <w:b w:val="1"/>
          <w:bCs w:val="1"/>
          <w:color w:val="auto"/>
        </w:rPr>
        <w:t xml:space="preserve"> </w:t>
      </w:r>
      <w:r>
        <w:rPr>
          <w:rFonts w:ascii="Arial" w:cs="Arial" w:eastAsia="Arial" w:hAnsi="Arial"/>
          <w:sz w:val="17"/>
          <w:szCs w:val="17"/>
          <w:color w:val="auto"/>
        </w:rPr>
        <w:t>notices required by Applicable Laws by email or any other electronic means. Purchaser hereby consents to (i) conduct business electronically (ii) receive such documents and notices by such electronic delivery and (iii) sign documents electronically and agrees to participate through an on-line or electronic system established and maintained by the Company or a third party designated by the Company.</w:t>
      </w:r>
    </w:p>
    <w:p>
      <w:pPr>
        <w:spacing w:after="0" w:line="56" w:lineRule="exact"/>
        <w:rPr>
          <w:rFonts w:ascii="Arial" w:cs="Arial" w:eastAsia="Arial" w:hAnsi="Arial"/>
          <w:sz w:val="17"/>
          <w:szCs w:val="17"/>
          <w:color w:val="auto"/>
        </w:rPr>
      </w:pPr>
    </w:p>
    <w:p>
      <w:pPr>
        <w:ind w:firstLine="987"/>
        <w:spacing w:after="0" w:line="274" w:lineRule="auto"/>
        <w:tabs>
          <w:tab w:leader="none" w:pos="1246" w:val="left"/>
        </w:tabs>
        <w:numPr>
          <w:ilvl w:val="0"/>
          <w:numId w:val="338"/>
        </w:numPr>
        <w:rPr>
          <w:rFonts w:ascii="Arial" w:cs="Arial" w:eastAsia="Arial" w:hAnsi="Arial"/>
          <w:sz w:val="17"/>
          <w:szCs w:val="17"/>
          <w:color w:val="auto"/>
        </w:rPr>
      </w:pPr>
      <w:r>
        <w:rPr>
          <w:rFonts w:ascii="Arial" w:cs="Arial" w:eastAsia="Arial" w:hAnsi="Arial"/>
          <w:sz w:val="17"/>
          <w:szCs w:val="17"/>
          <w:b w:val="1"/>
          <w:bCs w:val="1"/>
          <w:u w:val="single" w:color="auto"/>
          <w:color w:val="auto"/>
        </w:rPr>
        <w:t>California Corporate Securities Law</w:t>
      </w:r>
      <w:r>
        <w:rPr>
          <w:rFonts w:ascii="Arial" w:cs="Arial" w:eastAsia="Arial" w:hAnsi="Arial"/>
          <w:sz w:val="17"/>
          <w:szCs w:val="17"/>
          <w:color w:val="auto"/>
        </w:rPr>
        <w:t>. THE SALE OF THE SECURITIES WHICH ARE THE SUBJECT OF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HAS NOT BEEN QUALIFIED WITH THE COMMISSIONER OF CORPORATIONS OF THE STATE OF CALIFORNIA AND THE ISSUANCE OF THE SECURITIES OR THE PAYMENT OR RECEIPT OF ANY PART OF THE CONSIDERATION THEREFOR PRIOR TO THE QUALIFICATION IS UNLAWFUL, UNLESS THE SALE OF SECURITIES IS EXEMPT FROM QUALIFICATION BY SECTION 25100, 25102 OR 25105 OF THE CALIFORNIA CORPORATIONS CODE. THE RIGHTS OF ALL PARTIES TO THIS AGREEMENT ARE EXPRESSLY CONDITIONED UPON THE QUALIFICATION BEING OBTAINED, UNLESS THE SALE IS SO EXEMPT.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0" w:right="459" w:bottom="1440" w:gutter="0" w:footer="0" w:header="0"/>
        </w:sectPr>
      </w:pPr>
    </w:p>
    <w:bookmarkStart w:id="362" w:name="page363"/>
    <w:bookmarkEnd w:id="36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parties have executed this Exercise Agreement as of the date first set forth above.</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THE COMPANY</w:t>
      </w:r>
      <w:r>
        <w:rPr>
          <w:rFonts w:ascii="Arial" w:cs="Arial" w:eastAsia="Arial" w:hAnsi="Arial"/>
          <w:sz w:val="18"/>
          <w:szCs w:val="18"/>
          <w:color w:val="auto"/>
        </w:rPr>
        <w:t>:</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ASANA, INC.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jc w:val="right"/>
        <w:ind w:right="61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4398645</wp:posOffset>
            </wp:positionH>
            <wp:positionV relativeFrom="paragraph">
              <wp:posOffset>14605</wp:posOffset>
            </wp:positionV>
            <wp:extent cx="2314575"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4398645</wp:posOffset>
            </wp:positionH>
            <wp:positionV relativeFrom="paragraph">
              <wp:posOffset>14605</wp:posOffset>
            </wp:positionV>
            <wp:extent cx="2314575"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2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151765</wp:posOffset>
            </wp:positionV>
            <wp:extent cx="2794635"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2794635" cy="8890"/>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306070</wp:posOffset>
            </wp:positionV>
            <wp:extent cx="2794635"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OPTIONEE</w:t>
      </w:r>
      <w:r>
        <w:rPr>
          <w:rFonts w:ascii="Arial" w:cs="Arial" w:eastAsia="Arial" w:hAnsi="Arial"/>
          <w:sz w:val="18"/>
          <w:szCs w:val="18"/>
          <w:color w:val="auto"/>
        </w:rPr>
        <w:t>:</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«OPTIONEE»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jc w:val="right"/>
        <w:ind w:right="61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151765</wp:posOffset>
            </wp:positionV>
            <wp:extent cx="2794635"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306070</wp:posOffset>
            </wp:positionV>
            <wp:extent cx="2794635"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460375</wp:posOffset>
            </wp:positionV>
            <wp:extent cx="2794635"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9579"/>
          </w:cols>
          <w:pgMar w:left="880" w:top="274" w:right="1440" w:bottom="1440" w:gutter="0" w:footer="0" w:header="0"/>
        </w:sectPr>
      </w:pPr>
    </w:p>
    <w:bookmarkStart w:id="363" w:name="page364"/>
    <w:bookmarkEnd w:id="363"/>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 _______________, spouse of «Optionee» (“</w:t>
      </w:r>
      <w:r>
        <w:rPr>
          <w:rFonts w:ascii="Arial" w:cs="Arial" w:eastAsia="Arial" w:hAnsi="Arial"/>
          <w:sz w:val="17"/>
          <w:szCs w:val="17"/>
          <w:u w:val="single" w:color="auto"/>
          <w:color w:val="auto"/>
        </w:rPr>
        <w:t>Purchaser</w:t>
      </w:r>
      <w:r>
        <w:rPr>
          <w:rFonts w:ascii="Arial" w:cs="Arial" w:eastAsia="Arial" w:hAnsi="Arial"/>
          <w:sz w:val="17"/>
          <w:szCs w:val="17"/>
          <w:color w:val="auto"/>
        </w:rPr>
        <w:t>”), have read and hereby approve the foregoing Agreement. In consideration of the</w:t>
      </w:r>
    </w:p>
    <w:p>
      <w:pPr>
        <w:spacing w:after="0" w:line="3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Company’s granting my spouse the right to purchase the Shares as set forth in the Agreement, I hereby agree to be bound irrevocably by the Agreement and further agree that any community property or other such interest that I may have in the Shares shall hereby be similarly bound by the Agreement. I hereby appoint my spouse as my attorney-in-fact with respect to any amendment or exercise of any rights under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133350</wp:posOffset>
            </wp:positionV>
            <wp:extent cx="2794635"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Spouse of Purchaser (if applicable)</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440" w:top="274" w:right="539" w:bottom="1440" w:gutter="0" w:footer="0" w:header="0"/>
        </w:sectPr>
      </w:pPr>
    </w:p>
    <w:bookmarkStart w:id="364" w:name="page365"/>
    <w:bookmarkEnd w:id="364"/>
    <w:p>
      <w:pPr>
        <w:ind w:left="5124"/>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ANNEX I</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Rule 506(d)(1)(i) to (viii) under the Securities Act of 1933, as amended</w:t>
      </w:r>
    </w:p>
    <w:p>
      <w:pPr>
        <w:spacing w:after="0" w:line="117" w:lineRule="exact"/>
        <w:rPr>
          <w:sz w:val="20"/>
          <w:szCs w:val="20"/>
          <w:color w:val="auto"/>
        </w:rPr>
      </w:pPr>
    </w:p>
    <w:p>
      <w:pPr>
        <w:ind w:left="4" w:right="120" w:hanging="4"/>
        <w:spacing w:after="0" w:line="277" w:lineRule="auto"/>
        <w:tabs>
          <w:tab w:leader="none" w:pos="219" w:val="left"/>
        </w:tabs>
        <w:numPr>
          <w:ilvl w:val="0"/>
          <w:numId w:val="339"/>
        </w:numPr>
        <w:rPr>
          <w:rFonts w:ascii="Arial" w:cs="Arial" w:eastAsia="Arial" w:hAnsi="Arial"/>
          <w:sz w:val="18"/>
          <w:szCs w:val="18"/>
          <w:color w:val="auto"/>
        </w:rPr>
      </w:pPr>
      <w:r>
        <w:rPr>
          <w:rFonts w:ascii="Arial" w:cs="Arial" w:eastAsia="Arial" w:hAnsi="Arial"/>
          <w:sz w:val="18"/>
          <w:szCs w:val="18"/>
          <w:color w:val="auto"/>
        </w:rPr>
        <w:t>Has been convicted, within ten years before such sale (or five years, in the case of issuers, their predecessors and affiliated issuers), of any felony or misdemeanor:</w:t>
      </w:r>
    </w:p>
    <w:p>
      <w:pPr>
        <w:spacing w:after="0" w:line="62" w:lineRule="exact"/>
        <w:rPr>
          <w:rFonts w:ascii="Arial" w:cs="Arial" w:eastAsia="Arial" w:hAnsi="Arial"/>
          <w:sz w:val="18"/>
          <w:szCs w:val="18"/>
          <w:color w:val="auto"/>
        </w:rPr>
      </w:pPr>
    </w:p>
    <w:p>
      <w:pPr>
        <w:ind w:left="744" w:hanging="304"/>
        <w:spacing w:after="0"/>
        <w:tabs>
          <w:tab w:leader="none" w:pos="744" w:val="left"/>
        </w:tabs>
        <w:numPr>
          <w:ilvl w:val="1"/>
          <w:numId w:val="339"/>
        </w:numPr>
        <w:rPr>
          <w:rFonts w:ascii="Arial" w:cs="Arial" w:eastAsia="Arial" w:hAnsi="Arial"/>
          <w:sz w:val="18"/>
          <w:szCs w:val="18"/>
          <w:color w:val="auto"/>
        </w:rPr>
      </w:pPr>
      <w:r>
        <w:rPr>
          <w:rFonts w:ascii="Arial" w:cs="Arial" w:eastAsia="Arial" w:hAnsi="Arial"/>
          <w:sz w:val="18"/>
          <w:szCs w:val="18"/>
          <w:color w:val="auto"/>
        </w:rPr>
        <w:t>In connection with the purchase or sale of any security;</w:t>
      </w:r>
    </w:p>
    <w:p>
      <w:pPr>
        <w:spacing w:after="0" w:line="117" w:lineRule="exact"/>
        <w:rPr>
          <w:rFonts w:ascii="Arial" w:cs="Arial" w:eastAsia="Arial" w:hAnsi="Arial"/>
          <w:sz w:val="18"/>
          <w:szCs w:val="18"/>
          <w:color w:val="auto"/>
        </w:rPr>
      </w:pPr>
    </w:p>
    <w:p>
      <w:pPr>
        <w:ind w:left="724" w:hanging="284"/>
        <w:spacing w:after="0"/>
        <w:tabs>
          <w:tab w:leader="none" w:pos="724" w:val="left"/>
        </w:tabs>
        <w:numPr>
          <w:ilvl w:val="1"/>
          <w:numId w:val="339"/>
        </w:numPr>
        <w:rPr>
          <w:rFonts w:ascii="Arial" w:cs="Arial" w:eastAsia="Arial" w:hAnsi="Arial"/>
          <w:sz w:val="18"/>
          <w:szCs w:val="18"/>
          <w:color w:val="auto"/>
        </w:rPr>
      </w:pPr>
      <w:r>
        <w:rPr>
          <w:rFonts w:ascii="Arial" w:cs="Arial" w:eastAsia="Arial" w:hAnsi="Arial"/>
          <w:sz w:val="18"/>
          <w:szCs w:val="18"/>
          <w:color w:val="auto"/>
        </w:rPr>
        <w:t>Involving the making of any false filing with the Commission; or</w:t>
      </w:r>
    </w:p>
    <w:p>
      <w:pPr>
        <w:spacing w:after="0" w:line="117" w:lineRule="exact"/>
        <w:rPr>
          <w:rFonts w:ascii="Arial" w:cs="Arial" w:eastAsia="Arial" w:hAnsi="Arial"/>
          <w:sz w:val="18"/>
          <w:szCs w:val="18"/>
          <w:color w:val="auto"/>
        </w:rPr>
      </w:pPr>
    </w:p>
    <w:p>
      <w:pPr>
        <w:ind w:left="444" w:right="60" w:hanging="4"/>
        <w:spacing w:after="0" w:line="277" w:lineRule="auto"/>
        <w:tabs>
          <w:tab w:leader="none" w:pos="719" w:val="left"/>
        </w:tabs>
        <w:numPr>
          <w:ilvl w:val="1"/>
          <w:numId w:val="339"/>
        </w:numPr>
        <w:rPr>
          <w:rFonts w:ascii="Arial" w:cs="Arial" w:eastAsia="Arial" w:hAnsi="Arial"/>
          <w:sz w:val="18"/>
          <w:szCs w:val="18"/>
          <w:color w:val="auto"/>
        </w:rPr>
      </w:pPr>
      <w:r>
        <w:rPr>
          <w:rFonts w:ascii="Arial" w:cs="Arial" w:eastAsia="Arial" w:hAnsi="Arial"/>
          <w:sz w:val="18"/>
          <w:szCs w:val="18"/>
          <w:color w:val="auto"/>
        </w:rPr>
        <w:t>Arising out of the conduct of the business of an underwriter, broker, dealer, municipal securities dealer, investment adviser or paid solicitor of purchasers of securities;</w:t>
      </w:r>
    </w:p>
    <w:p>
      <w:pPr>
        <w:spacing w:after="0" w:line="62" w:lineRule="exact"/>
        <w:rPr>
          <w:rFonts w:ascii="Arial" w:cs="Arial" w:eastAsia="Arial" w:hAnsi="Arial"/>
          <w:sz w:val="18"/>
          <w:szCs w:val="18"/>
          <w:color w:val="auto"/>
        </w:rPr>
      </w:pPr>
    </w:p>
    <w:p>
      <w:pPr>
        <w:ind w:left="4" w:right="20" w:hanging="4"/>
        <w:spacing w:after="0" w:line="277" w:lineRule="auto"/>
        <w:tabs>
          <w:tab w:leader="none" w:pos="269" w:val="left"/>
        </w:tabs>
        <w:numPr>
          <w:ilvl w:val="0"/>
          <w:numId w:val="339"/>
        </w:numPr>
        <w:rPr>
          <w:rFonts w:ascii="Arial" w:cs="Arial" w:eastAsia="Arial" w:hAnsi="Arial"/>
          <w:sz w:val="18"/>
          <w:szCs w:val="18"/>
          <w:color w:val="auto"/>
        </w:rPr>
      </w:pPr>
      <w:r>
        <w:rPr>
          <w:rFonts w:ascii="Arial" w:cs="Arial" w:eastAsia="Arial" w:hAnsi="Arial"/>
          <w:sz w:val="18"/>
          <w:szCs w:val="18"/>
          <w:color w:val="auto"/>
        </w:rPr>
        <w:t>Is subject to any order, judgment or decree of any court of competent jurisdiction, entered within five years before such sale, that, at the time of such sale, restrains or enjoins such person from engaging or continuing to engage in any conduct or practice:</w:t>
      </w:r>
    </w:p>
    <w:p>
      <w:pPr>
        <w:spacing w:after="0" w:line="62" w:lineRule="exact"/>
        <w:rPr>
          <w:rFonts w:ascii="Arial" w:cs="Arial" w:eastAsia="Arial" w:hAnsi="Arial"/>
          <w:sz w:val="18"/>
          <w:szCs w:val="18"/>
          <w:color w:val="auto"/>
        </w:rPr>
      </w:pPr>
    </w:p>
    <w:p>
      <w:pPr>
        <w:ind w:left="744" w:hanging="304"/>
        <w:spacing w:after="0"/>
        <w:tabs>
          <w:tab w:leader="none" w:pos="744" w:val="left"/>
        </w:tabs>
        <w:numPr>
          <w:ilvl w:val="1"/>
          <w:numId w:val="339"/>
        </w:numPr>
        <w:rPr>
          <w:rFonts w:ascii="Arial" w:cs="Arial" w:eastAsia="Arial" w:hAnsi="Arial"/>
          <w:sz w:val="18"/>
          <w:szCs w:val="18"/>
          <w:color w:val="auto"/>
        </w:rPr>
      </w:pPr>
      <w:r>
        <w:rPr>
          <w:rFonts w:ascii="Arial" w:cs="Arial" w:eastAsia="Arial" w:hAnsi="Arial"/>
          <w:sz w:val="18"/>
          <w:szCs w:val="18"/>
          <w:color w:val="auto"/>
        </w:rPr>
        <w:t>In connection with the purchase or sale of any security;</w:t>
      </w:r>
    </w:p>
    <w:p>
      <w:pPr>
        <w:spacing w:after="0" w:line="117" w:lineRule="exact"/>
        <w:rPr>
          <w:rFonts w:ascii="Arial" w:cs="Arial" w:eastAsia="Arial" w:hAnsi="Arial"/>
          <w:sz w:val="18"/>
          <w:szCs w:val="18"/>
          <w:color w:val="auto"/>
        </w:rPr>
      </w:pPr>
    </w:p>
    <w:p>
      <w:pPr>
        <w:ind w:left="724" w:hanging="284"/>
        <w:spacing w:after="0"/>
        <w:tabs>
          <w:tab w:leader="none" w:pos="724" w:val="left"/>
        </w:tabs>
        <w:numPr>
          <w:ilvl w:val="1"/>
          <w:numId w:val="339"/>
        </w:numPr>
        <w:rPr>
          <w:rFonts w:ascii="Arial" w:cs="Arial" w:eastAsia="Arial" w:hAnsi="Arial"/>
          <w:sz w:val="18"/>
          <w:szCs w:val="18"/>
          <w:color w:val="auto"/>
        </w:rPr>
      </w:pPr>
      <w:r>
        <w:rPr>
          <w:rFonts w:ascii="Arial" w:cs="Arial" w:eastAsia="Arial" w:hAnsi="Arial"/>
          <w:sz w:val="18"/>
          <w:szCs w:val="18"/>
          <w:color w:val="auto"/>
        </w:rPr>
        <w:t>Involving the making of any false filing with the Commission; or</w:t>
      </w:r>
    </w:p>
    <w:p>
      <w:pPr>
        <w:spacing w:after="0" w:line="117" w:lineRule="exact"/>
        <w:rPr>
          <w:rFonts w:ascii="Arial" w:cs="Arial" w:eastAsia="Arial" w:hAnsi="Arial"/>
          <w:sz w:val="18"/>
          <w:szCs w:val="18"/>
          <w:color w:val="auto"/>
        </w:rPr>
      </w:pPr>
    </w:p>
    <w:p>
      <w:pPr>
        <w:ind w:left="444" w:right="60" w:hanging="4"/>
        <w:spacing w:after="0" w:line="277" w:lineRule="auto"/>
        <w:tabs>
          <w:tab w:leader="none" w:pos="719" w:val="left"/>
        </w:tabs>
        <w:numPr>
          <w:ilvl w:val="1"/>
          <w:numId w:val="339"/>
        </w:numPr>
        <w:rPr>
          <w:rFonts w:ascii="Arial" w:cs="Arial" w:eastAsia="Arial" w:hAnsi="Arial"/>
          <w:sz w:val="18"/>
          <w:szCs w:val="18"/>
          <w:color w:val="auto"/>
        </w:rPr>
      </w:pPr>
      <w:r>
        <w:rPr>
          <w:rFonts w:ascii="Arial" w:cs="Arial" w:eastAsia="Arial" w:hAnsi="Arial"/>
          <w:sz w:val="18"/>
          <w:szCs w:val="18"/>
          <w:color w:val="auto"/>
        </w:rPr>
        <w:t>Arising out of the conduct of the business of an underwriter, broker, dealer, municipal securities dealer, investment adviser or paid solicitor of purchasers of securities;</w:t>
      </w:r>
    </w:p>
    <w:p>
      <w:pPr>
        <w:spacing w:after="0" w:line="62" w:lineRule="exact"/>
        <w:rPr>
          <w:rFonts w:ascii="Arial" w:cs="Arial" w:eastAsia="Arial" w:hAnsi="Arial"/>
          <w:sz w:val="18"/>
          <w:szCs w:val="18"/>
          <w:color w:val="auto"/>
        </w:rPr>
      </w:pPr>
    </w:p>
    <w:p>
      <w:pPr>
        <w:ind w:left="324" w:hanging="324"/>
        <w:spacing w:after="0"/>
        <w:tabs>
          <w:tab w:leader="none" w:pos="324" w:val="left"/>
        </w:tabs>
        <w:numPr>
          <w:ilvl w:val="0"/>
          <w:numId w:val="339"/>
        </w:numPr>
        <w:rPr>
          <w:rFonts w:ascii="Arial" w:cs="Arial" w:eastAsia="Arial" w:hAnsi="Arial"/>
          <w:sz w:val="17"/>
          <w:szCs w:val="17"/>
          <w:color w:val="auto"/>
        </w:rPr>
      </w:pPr>
      <w:r>
        <w:rPr>
          <w:rFonts w:ascii="Arial" w:cs="Arial" w:eastAsia="Arial" w:hAnsi="Arial"/>
          <w:sz w:val="17"/>
          <w:szCs w:val="17"/>
          <w:color w:val="auto"/>
        </w:rPr>
        <w:t>Is subject to a final order of a state securities commission (or an agency or officer of a state performing like functions); a state authority that</w:t>
      </w:r>
    </w:p>
    <w:p>
      <w:pPr>
        <w:spacing w:after="0" w:line="34" w:lineRule="exact"/>
        <w:rPr>
          <w:rFonts w:ascii="Arial" w:cs="Arial" w:eastAsia="Arial" w:hAnsi="Arial"/>
          <w:sz w:val="17"/>
          <w:szCs w:val="17"/>
          <w:color w:val="auto"/>
        </w:rPr>
      </w:pPr>
    </w:p>
    <w:p>
      <w:pPr>
        <w:ind w:left="4"/>
        <w:spacing w:after="0" w:line="323" w:lineRule="auto"/>
        <w:rPr>
          <w:rFonts w:ascii="Arial" w:cs="Arial" w:eastAsia="Arial" w:hAnsi="Arial"/>
          <w:sz w:val="17"/>
          <w:szCs w:val="17"/>
          <w:color w:val="auto"/>
        </w:rPr>
      </w:pPr>
      <w:r>
        <w:rPr>
          <w:rFonts w:ascii="Arial" w:cs="Arial" w:eastAsia="Arial" w:hAnsi="Arial"/>
          <w:sz w:val="16"/>
          <w:szCs w:val="16"/>
          <w:color w:val="auto"/>
        </w:rPr>
        <w:t>supervises or examines banks, savings associations, or credit unions; a state insurance commission (or an agency or officer of a state performing like functions); an appropriate federal banking agency; the U.S. Commodity Futures Trading Commission; or the National Credit Union Administration that:</w:t>
      </w:r>
    </w:p>
    <w:p>
      <w:pPr>
        <w:spacing w:after="0" w:line="30" w:lineRule="exact"/>
        <w:rPr>
          <w:rFonts w:ascii="Arial" w:cs="Arial" w:eastAsia="Arial" w:hAnsi="Arial"/>
          <w:sz w:val="17"/>
          <w:szCs w:val="17"/>
          <w:color w:val="auto"/>
        </w:rPr>
      </w:pPr>
    </w:p>
    <w:p>
      <w:pPr>
        <w:ind w:left="724" w:hanging="284"/>
        <w:spacing w:after="0"/>
        <w:tabs>
          <w:tab w:leader="none" w:pos="724" w:val="left"/>
        </w:tabs>
        <w:numPr>
          <w:ilvl w:val="1"/>
          <w:numId w:val="339"/>
        </w:numPr>
        <w:rPr>
          <w:rFonts w:ascii="Arial" w:cs="Arial" w:eastAsia="Arial" w:hAnsi="Arial"/>
          <w:sz w:val="18"/>
          <w:szCs w:val="18"/>
          <w:color w:val="auto"/>
        </w:rPr>
      </w:pPr>
      <w:r>
        <w:rPr>
          <w:rFonts w:ascii="Arial" w:cs="Arial" w:eastAsia="Arial" w:hAnsi="Arial"/>
          <w:sz w:val="18"/>
          <w:szCs w:val="18"/>
          <w:color w:val="auto"/>
        </w:rPr>
        <w:t>At the time of such sale, bars the person from:</w:t>
      </w:r>
    </w:p>
    <w:p>
      <w:pPr>
        <w:spacing w:after="0" w:line="117" w:lineRule="exact"/>
        <w:rPr>
          <w:rFonts w:ascii="Arial" w:cs="Arial" w:eastAsia="Arial" w:hAnsi="Arial"/>
          <w:sz w:val="18"/>
          <w:szCs w:val="18"/>
          <w:color w:val="auto"/>
        </w:rPr>
      </w:pPr>
    </w:p>
    <w:p>
      <w:pPr>
        <w:ind w:left="1684" w:hanging="252"/>
        <w:spacing w:after="0"/>
        <w:tabs>
          <w:tab w:leader="none" w:pos="1684" w:val="left"/>
        </w:tabs>
        <w:numPr>
          <w:ilvl w:val="2"/>
          <w:numId w:val="339"/>
        </w:numPr>
        <w:rPr>
          <w:rFonts w:ascii="Arial" w:cs="Arial" w:eastAsia="Arial" w:hAnsi="Arial"/>
          <w:sz w:val="18"/>
          <w:szCs w:val="18"/>
          <w:color w:val="auto"/>
        </w:rPr>
      </w:pPr>
      <w:r>
        <w:rPr>
          <w:rFonts w:ascii="Arial" w:cs="Arial" w:eastAsia="Arial" w:hAnsi="Arial"/>
          <w:sz w:val="18"/>
          <w:szCs w:val="18"/>
          <w:color w:val="auto"/>
        </w:rPr>
        <w:t>Association with an entity regulated by such commission, authority, agency, or officer;</w:t>
      </w:r>
    </w:p>
    <w:p>
      <w:pPr>
        <w:spacing w:after="0" w:line="117" w:lineRule="exact"/>
        <w:rPr>
          <w:rFonts w:ascii="Arial" w:cs="Arial" w:eastAsia="Arial" w:hAnsi="Arial"/>
          <w:sz w:val="18"/>
          <w:szCs w:val="18"/>
          <w:color w:val="auto"/>
        </w:rPr>
      </w:pPr>
    </w:p>
    <w:p>
      <w:pPr>
        <w:ind w:left="1684" w:hanging="252"/>
        <w:spacing w:after="0"/>
        <w:tabs>
          <w:tab w:leader="none" w:pos="1684" w:val="left"/>
        </w:tabs>
        <w:numPr>
          <w:ilvl w:val="2"/>
          <w:numId w:val="339"/>
        </w:numPr>
        <w:rPr>
          <w:rFonts w:ascii="Arial" w:cs="Arial" w:eastAsia="Arial" w:hAnsi="Arial"/>
          <w:sz w:val="18"/>
          <w:szCs w:val="18"/>
          <w:color w:val="auto"/>
        </w:rPr>
      </w:pPr>
      <w:r>
        <w:rPr>
          <w:rFonts w:ascii="Arial" w:cs="Arial" w:eastAsia="Arial" w:hAnsi="Arial"/>
          <w:sz w:val="18"/>
          <w:szCs w:val="18"/>
          <w:color w:val="auto"/>
        </w:rPr>
        <w:t>Engaging in the business of securities, insurance or banking; or</w:t>
      </w:r>
    </w:p>
    <w:p>
      <w:pPr>
        <w:spacing w:after="0" w:line="117" w:lineRule="exact"/>
        <w:rPr>
          <w:rFonts w:ascii="Arial" w:cs="Arial" w:eastAsia="Arial" w:hAnsi="Arial"/>
          <w:sz w:val="18"/>
          <w:szCs w:val="18"/>
          <w:color w:val="auto"/>
        </w:rPr>
      </w:pPr>
    </w:p>
    <w:p>
      <w:pPr>
        <w:ind w:left="1684" w:hanging="252"/>
        <w:spacing w:after="0"/>
        <w:tabs>
          <w:tab w:leader="none" w:pos="1684" w:val="left"/>
        </w:tabs>
        <w:numPr>
          <w:ilvl w:val="2"/>
          <w:numId w:val="339"/>
        </w:numPr>
        <w:rPr>
          <w:rFonts w:ascii="Arial" w:cs="Arial" w:eastAsia="Arial" w:hAnsi="Arial"/>
          <w:sz w:val="18"/>
          <w:szCs w:val="18"/>
          <w:color w:val="auto"/>
        </w:rPr>
      </w:pPr>
      <w:r>
        <w:rPr>
          <w:rFonts w:ascii="Arial" w:cs="Arial" w:eastAsia="Arial" w:hAnsi="Arial"/>
          <w:sz w:val="18"/>
          <w:szCs w:val="18"/>
          <w:color w:val="auto"/>
        </w:rPr>
        <w:t>Engaging in savings association or credit union activities; or</w:t>
      </w:r>
    </w:p>
    <w:p>
      <w:pPr>
        <w:spacing w:after="0" w:line="117" w:lineRule="exact"/>
        <w:rPr>
          <w:rFonts w:ascii="Arial" w:cs="Arial" w:eastAsia="Arial" w:hAnsi="Arial"/>
          <w:sz w:val="18"/>
          <w:szCs w:val="18"/>
          <w:color w:val="auto"/>
        </w:rPr>
      </w:pPr>
    </w:p>
    <w:p>
      <w:pPr>
        <w:ind w:left="444" w:right="280" w:hanging="4"/>
        <w:spacing w:after="0" w:line="277" w:lineRule="auto"/>
        <w:tabs>
          <w:tab w:leader="none" w:pos="729" w:val="left"/>
        </w:tabs>
        <w:numPr>
          <w:ilvl w:val="1"/>
          <w:numId w:val="339"/>
        </w:numPr>
        <w:rPr>
          <w:rFonts w:ascii="Arial" w:cs="Arial" w:eastAsia="Arial" w:hAnsi="Arial"/>
          <w:sz w:val="18"/>
          <w:szCs w:val="18"/>
          <w:color w:val="auto"/>
        </w:rPr>
      </w:pPr>
      <w:r>
        <w:rPr>
          <w:rFonts w:ascii="Arial" w:cs="Arial" w:eastAsia="Arial" w:hAnsi="Arial"/>
          <w:sz w:val="18"/>
          <w:szCs w:val="18"/>
          <w:color w:val="auto"/>
        </w:rPr>
        <w:t>Constitutes a final order based on a violation of any law or regulation that prohibits fraudulent, manipulative, or deceptive conduct entered within ten years before such sale;</w:t>
      </w:r>
    </w:p>
    <w:p>
      <w:pPr>
        <w:spacing w:after="0" w:line="62" w:lineRule="exact"/>
        <w:rPr>
          <w:rFonts w:ascii="Arial" w:cs="Arial" w:eastAsia="Arial" w:hAnsi="Arial"/>
          <w:sz w:val="18"/>
          <w:szCs w:val="18"/>
          <w:color w:val="auto"/>
        </w:rPr>
      </w:pPr>
    </w:p>
    <w:p>
      <w:pPr>
        <w:ind w:left="304" w:hanging="304"/>
        <w:spacing w:after="0"/>
        <w:tabs>
          <w:tab w:leader="none" w:pos="304" w:val="left"/>
        </w:tabs>
        <w:numPr>
          <w:ilvl w:val="0"/>
          <w:numId w:val="339"/>
        </w:numPr>
        <w:rPr>
          <w:rFonts w:ascii="Arial" w:cs="Arial" w:eastAsia="Arial" w:hAnsi="Arial"/>
          <w:sz w:val="16"/>
          <w:szCs w:val="16"/>
          <w:color w:val="auto"/>
        </w:rPr>
      </w:pPr>
      <w:r>
        <w:rPr>
          <w:rFonts w:ascii="Arial" w:cs="Arial" w:eastAsia="Arial" w:hAnsi="Arial"/>
          <w:sz w:val="16"/>
          <w:szCs w:val="16"/>
          <w:color w:val="auto"/>
        </w:rPr>
        <w:t>Is subject to an order of the Commission entered pursuant to section 15(b) or 15B(c) of the Securities Exchange Act of 1934 (15 U.S.C. 78o(b) or</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78o-4(c)) or section 203(e) or (f) of the Investment Advisers Act of 1940 (15 U.S.C. 80b-3(e) or (f)) that, at the time of such sale:</w:t>
      </w:r>
    </w:p>
    <w:p>
      <w:pPr>
        <w:spacing w:after="0" w:line="102" w:lineRule="exact"/>
        <w:rPr>
          <w:rFonts w:ascii="Arial" w:cs="Arial" w:eastAsia="Arial" w:hAnsi="Arial"/>
          <w:sz w:val="16"/>
          <w:szCs w:val="16"/>
          <w:color w:val="auto"/>
        </w:rPr>
      </w:pPr>
    </w:p>
    <w:p>
      <w:pPr>
        <w:ind w:left="744" w:hanging="304"/>
        <w:spacing w:after="0"/>
        <w:tabs>
          <w:tab w:leader="none" w:pos="744" w:val="left"/>
        </w:tabs>
        <w:numPr>
          <w:ilvl w:val="1"/>
          <w:numId w:val="339"/>
        </w:numPr>
        <w:rPr>
          <w:rFonts w:ascii="Arial" w:cs="Arial" w:eastAsia="Arial" w:hAnsi="Arial"/>
          <w:sz w:val="18"/>
          <w:szCs w:val="18"/>
          <w:color w:val="auto"/>
        </w:rPr>
      </w:pPr>
      <w:r>
        <w:rPr>
          <w:rFonts w:ascii="Arial" w:cs="Arial" w:eastAsia="Arial" w:hAnsi="Arial"/>
          <w:sz w:val="18"/>
          <w:szCs w:val="18"/>
          <w:color w:val="auto"/>
        </w:rPr>
        <w:t>Suspends or revokes such person’s registration as a broker, dealer, municipal securities dealer or investment adviser;</w:t>
      </w:r>
    </w:p>
    <w:p>
      <w:pPr>
        <w:spacing w:after="0" w:line="117" w:lineRule="exact"/>
        <w:rPr>
          <w:rFonts w:ascii="Arial" w:cs="Arial" w:eastAsia="Arial" w:hAnsi="Arial"/>
          <w:sz w:val="18"/>
          <w:szCs w:val="18"/>
          <w:color w:val="auto"/>
        </w:rPr>
      </w:pPr>
    </w:p>
    <w:p>
      <w:pPr>
        <w:ind w:left="724" w:hanging="284"/>
        <w:spacing w:after="0"/>
        <w:tabs>
          <w:tab w:leader="none" w:pos="724" w:val="left"/>
        </w:tabs>
        <w:numPr>
          <w:ilvl w:val="1"/>
          <w:numId w:val="339"/>
        </w:numPr>
        <w:rPr>
          <w:rFonts w:ascii="Arial" w:cs="Arial" w:eastAsia="Arial" w:hAnsi="Arial"/>
          <w:sz w:val="18"/>
          <w:szCs w:val="18"/>
          <w:color w:val="auto"/>
        </w:rPr>
      </w:pPr>
      <w:r>
        <w:rPr>
          <w:rFonts w:ascii="Arial" w:cs="Arial" w:eastAsia="Arial" w:hAnsi="Arial"/>
          <w:sz w:val="18"/>
          <w:szCs w:val="18"/>
          <w:color w:val="auto"/>
        </w:rPr>
        <w:t>Places limitations on the activities, functions or operations of such person; or</w:t>
      </w:r>
    </w:p>
    <w:p>
      <w:pPr>
        <w:spacing w:after="0" w:line="117" w:lineRule="exact"/>
        <w:rPr>
          <w:rFonts w:ascii="Arial" w:cs="Arial" w:eastAsia="Arial" w:hAnsi="Arial"/>
          <w:sz w:val="18"/>
          <w:szCs w:val="18"/>
          <w:color w:val="auto"/>
        </w:rPr>
      </w:pPr>
    </w:p>
    <w:p>
      <w:pPr>
        <w:ind w:left="724" w:hanging="284"/>
        <w:spacing w:after="0"/>
        <w:tabs>
          <w:tab w:leader="none" w:pos="724" w:val="left"/>
        </w:tabs>
        <w:numPr>
          <w:ilvl w:val="1"/>
          <w:numId w:val="339"/>
        </w:numPr>
        <w:rPr>
          <w:rFonts w:ascii="Arial" w:cs="Arial" w:eastAsia="Arial" w:hAnsi="Arial"/>
          <w:sz w:val="18"/>
          <w:szCs w:val="18"/>
          <w:color w:val="auto"/>
        </w:rPr>
      </w:pPr>
      <w:r>
        <w:rPr>
          <w:rFonts w:ascii="Arial" w:cs="Arial" w:eastAsia="Arial" w:hAnsi="Arial"/>
          <w:sz w:val="18"/>
          <w:szCs w:val="18"/>
          <w:color w:val="auto"/>
        </w:rPr>
        <w:t>Bars such person from being associated with any entity or from participating in the offering of any penny stock;</w:t>
      </w:r>
    </w:p>
    <w:p>
      <w:pPr>
        <w:spacing w:after="0" w:line="117" w:lineRule="exact"/>
        <w:rPr>
          <w:rFonts w:ascii="Arial" w:cs="Arial" w:eastAsia="Arial" w:hAnsi="Arial"/>
          <w:sz w:val="18"/>
          <w:szCs w:val="18"/>
          <w:color w:val="auto"/>
        </w:rPr>
      </w:pPr>
    </w:p>
    <w:p>
      <w:pPr>
        <w:ind w:left="4" w:right="380" w:hanging="4"/>
        <w:spacing w:after="0" w:line="277" w:lineRule="auto"/>
        <w:tabs>
          <w:tab w:leader="none" w:pos="259" w:val="left"/>
        </w:tabs>
        <w:numPr>
          <w:ilvl w:val="0"/>
          <w:numId w:val="339"/>
        </w:numPr>
        <w:rPr>
          <w:rFonts w:ascii="Arial" w:cs="Arial" w:eastAsia="Arial" w:hAnsi="Arial"/>
          <w:sz w:val="18"/>
          <w:szCs w:val="18"/>
          <w:color w:val="auto"/>
        </w:rPr>
      </w:pPr>
      <w:r>
        <w:rPr>
          <w:rFonts w:ascii="Arial" w:cs="Arial" w:eastAsia="Arial" w:hAnsi="Arial"/>
          <w:sz w:val="18"/>
          <w:szCs w:val="18"/>
          <w:color w:val="auto"/>
        </w:rPr>
        <w:t>Is subject to any order of the Commission entered within five years before such sale that, at the time of such sale, orders the person to cease and desist from committing or causing a violation or future violation of:</w:t>
      </w:r>
    </w:p>
    <w:p>
      <w:pPr>
        <w:spacing w:after="0" w:line="62" w:lineRule="exact"/>
        <w:rPr>
          <w:rFonts w:ascii="Arial" w:cs="Arial" w:eastAsia="Arial" w:hAnsi="Arial"/>
          <w:sz w:val="18"/>
          <w:szCs w:val="18"/>
          <w:color w:val="auto"/>
        </w:rPr>
      </w:pPr>
    </w:p>
    <w:p>
      <w:pPr>
        <w:ind w:left="444" w:right="200" w:hanging="4"/>
        <w:spacing w:after="0" w:line="259" w:lineRule="auto"/>
        <w:tabs>
          <w:tab w:leader="none" w:pos="729" w:val="left"/>
        </w:tabs>
        <w:numPr>
          <w:ilvl w:val="1"/>
          <w:numId w:val="339"/>
        </w:numPr>
        <w:rPr>
          <w:rFonts w:ascii="Arial" w:cs="Arial" w:eastAsia="Arial" w:hAnsi="Arial"/>
          <w:sz w:val="18"/>
          <w:szCs w:val="18"/>
          <w:color w:val="auto"/>
        </w:rPr>
      </w:pPr>
      <w:r>
        <w:rPr>
          <w:rFonts w:ascii="Arial" w:cs="Arial" w:eastAsia="Arial" w:hAnsi="Arial"/>
          <w:sz w:val="18"/>
          <w:szCs w:val="18"/>
          <w:color w:val="auto"/>
        </w:rPr>
        <w:t>Any scienter-based anti-fraud provision of the federal securities laws, including without limitation section 17(a)(1) of the Securities Act of 1933 (15 U.S.C. 77q(a)(1)), section 10(b) of the Securities Exchange Act of 1934 (15 U.S.C. 78j(b)) and 17 CFR 240.10b-5, section 15(c)(1) of the Securities Exchange Act of 1934 (15 U.S.C. 78o(c)(1)) and section 206(1) of the Investment Advisers Act of 1940 (15 U.S.C. 80b-6(1)), or any other rule or regulation thereunder; or</w:t>
      </w:r>
    </w:p>
    <w:p>
      <w:pPr>
        <w:spacing w:after="0" w:line="11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4"/>
          </w:cols>
          <w:pgMar w:left="436" w:top="270" w:right="479" w:bottom="1440" w:gutter="0" w:footer="0" w:header="0"/>
        </w:sectPr>
      </w:pPr>
    </w:p>
    <w:bookmarkStart w:id="365" w:name="page366"/>
    <w:bookmarkEnd w:id="365"/>
    <w:p>
      <w:pPr>
        <w:ind w:left="724" w:hanging="284"/>
        <w:spacing w:after="0"/>
        <w:tabs>
          <w:tab w:leader="none" w:pos="724" w:val="left"/>
        </w:tabs>
        <w:numPr>
          <w:ilvl w:val="1"/>
          <w:numId w:val="3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5 of the Securities Act of 1933 (15 U.S.C. 77e).</w:t>
      </w:r>
    </w:p>
    <w:p>
      <w:pPr>
        <w:spacing w:after="0" w:line="117" w:lineRule="exact"/>
        <w:rPr>
          <w:rFonts w:ascii="Arial" w:cs="Arial" w:eastAsia="Arial" w:hAnsi="Arial"/>
          <w:sz w:val="18"/>
          <w:szCs w:val="18"/>
          <w:color w:val="auto"/>
        </w:rPr>
      </w:pPr>
    </w:p>
    <w:p>
      <w:pPr>
        <w:ind w:left="4" w:hanging="4"/>
        <w:spacing w:after="0" w:line="263" w:lineRule="auto"/>
        <w:tabs>
          <w:tab w:leader="none" w:pos="309" w:val="left"/>
        </w:tabs>
        <w:numPr>
          <w:ilvl w:val="0"/>
          <w:numId w:val="341"/>
        </w:numPr>
        <w:rPr>
          <w:rFonts w:ascii="Arial" w:cs="Arial" w:eastAsia="Arial" w:hAnsi="Arial"/>
          <w:sz w:val="18"/>
          <w:szCs w:val="18"/>
          <w:color w:val="auto"/>
        </w:rPr>
      </w:pPr>
      <w:r>
        <w:rPr>
          <w:rFonts w:ascii="Arial" w:cs="Arial" w:eastAsia="Arial" w:hAnsi="Arial"/>
          <w:sz w:val="18"/>
          <w:szCs w:val="18"/>
          <w:color w:val="auto"/>
        </w:rPr>
        <w:t>Is suspended or expelled from membership in, or suspended or barred from association with a member of, a registered national securities exchange or a registered national or affiliated securities association for any act or omission to act constituting conduct inconsistent with just and equitable principles of trade;</w:t>
      </w:r>
    </w:p>
    <w:p>
      <w:pPr>
        <w:spacing w:after="0" w:line="75" w:lineRule="exact"/>
        <w:rPr>
          <w:rFonts w:ascii="Arial" w:cs="Arial" w:eastAsia="Arial" w:hAnsi="Arial"/>
          <w:sz w:val="18"/>
          <w:szCs w:val="18"/>
          <w:color w:val="auto"/>
        </w:rPr>
      </w:pPr>
    </w:p>
    <w:p>
      <w:pPr>
        <w:ind w:left="4" w:right="20" w:hanging="4"/>
        <w:spacing w:after="0" w:line="259" w:lineRule="auto"/>
        <w:tabs>
          <w:tab w:leader="none" w:pos="359" w:val="left"/>
        </w:tabs>
        <w:numPr>
          <w:ilvl w:val="0"/>
          <w:numId w:val="341"/>
        </w:numPr>
        <w:rPr>
          <w:rFonts w:ascii="Arial" w:cs="Arial" w:eastAsia="Arial" w:hAnsi="Arial"/>
          <w:sz w:val="18"/>
          <w:szCs w:val="18"/>
          <w:color w:val="auto"/>
        </w:rPr>
      </w:pPr>
      <w:r>
        <w:rPr>
          <w:rFonts w:ascii="Arial" w:cs="Arial" w:eastAsia="Arial" w:hAnsi="Arial"/>
          <w:sz w:val="18"/>
          <w:szCs w:val="18"/>
          <w:color w:val="auto"/>
        </w:rPr>
        <w:t>Has filed (as a registrant or issuer), or was or was named as an underwriter in, any registration statement or Regulation A offering statement filed with the Commission that, within five years before such sale, was the subject of a refusal order, stop order, or order suspending the Regulation A exemption, or is, at the time of such sale, the subject of an investigation or proceeding to determine whether a stop order or suspension order should be issued; or</w:t>
      </w:r>
    </w:p>
    <w:p>
      <w:pPr>
        <w:spacing w:after="0" w:line="78" w:lineRule="exact"/>
        <w:rPr>
          <w:rFonts w:ascii="Arial" w:cs="Arial" w:eastAsia="Arial" w:hAnsi="Arial"/>
          <w:sz w:val="18"/>
          <w:szCs w:val="18"/>
          <w:color w:val="auto"/>
        </w:rPr>
      </w:pPr>
    </w:p>
    <w:p>
      <w:pPr>
        <w:jc w:val="both"/>
        <w:ind w:left="4" w:right="280" w:hanging="4"/>
        <w:spacing w:after="0" w:line="286" w:lineRule="auto"/>
        <w:tabs>
          <w:tab w:leader="none" w:pos="409" w:val="left"/>
        </w:tabs>
        <w:numPr>
          <w:ilvl w:val="0"/>
          <w:numId w:val="341"/>
        </w:numPr>
        <w:rPr>
          <w:rFonts w:ascii="Arial" w:cs="Arial" w:eastAsia="Arial" w:hAnsi="Arial"/>
          <w:sz w:val="17"/>
          <w:szCs w:val="17"/>
          <w:color w:val="auto"/>
        </w:rPr>
      </w:pPr>
      <w:r>
        <w:rPr>
          <w:rFonts w:ascii="Arial" w:cs="Arial" w:eastAsia="Arial" w:hAnsi="Arial"/>
          <w:sz w:val="17"/>
          <w:szCs w:val="17"/>
          <w:color w:val="auto"/>
        </w:rPr>
        <w:t>Is subject to a United States Postal Service false representation order entered within five years before such sale, or is, at the time of such sale, subject to a temporary restraining order or preliminary injunction with respect to conduct alleged by the United States Postal Service to constitute a scheme or device for obtaining money or property through the mail by means of false representations.</w:t>
      </w:r>
    </w:p>
    <w:p>
      <w:pPr>
        <w:spacing w:after="0" w:line="98"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884"/>
          </w:cols>
          <w:pgMar w:left="436" w:top="274" w:right="579" w:bottom="1440" w:gutter="0" w:footer="0" w:header="0"/>
        </w:sectPr>
      </w:pPr>
    </w:p>
    <w:bookmarkStart w:id="366" w:name="page367"/>
    <w:bookmarkEnd w:id="366"/>
    <w:tbl>
      <w:tblPr>
        <w:tblLayout w:type="fixed"/>
        <w:tblInd w:w="0" w:type="dxa"/>
        <w:tblCellMar>
          <w:top w:w="0" w:type="dxa"/>
          <w:left w:w="0" w:type="dxa"/>
          <w:bottom w:w="0" w:type="dxa"/>
          <w:right w:w="0" w:type="dxa"/>
        </w:tblCellMar>
      </w:tblP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ADOPTED November 20, 2019</w:t>
            </w:r>
          </w:p>
        </w:tc>
        <w:tc>
          <w:tcPr>
            <w:tcW w:w="1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20" w:type="dxa"/>
            <w:vAlign w:val="bottom"/>
          </w:tcPr>
          <w:p>
            <w:pPr>
              <w:spacing w:after="0"/>
              <w:rPr>
                <w:sz w:val="20"/>
                <w:szCs w:val="20"/>
                <w:color w:val="auto"/>
              </w:rPr>
            </w:pPr>
          </w:p>
        </w:tc>
      </w:tr>
      <w:tr>
        <w:trPr>
          <w:trHeight w:val="364"/>
        </w:trPr>
        <w:tc>
          <w:tcPr>
            <w:tcW w:w="28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140" w:type="dxa"/>
            <w:vAlign w:val="bottom"/>
            <w:gridSpan w:val="2"/>
          </w:tcPr>
          <w:p>
            <w:pPr>
              <w:jc w:val="center"/>
              <w:ind w:right="4780"/>
              <w:spacing w:after="0"/>
              <w:rPr>
                <w:sz w:val="20"/>
                <w:szCs w:val="20"/>
                <w:color w:val="auto"/>
              </w:rPr>
            </w:pPr>
            <w:r>
              <w:rPr>
                <w:rFonts w:ascii="Arial" w:cs="Arial" w:eastAsia="Arial" w:hAnsi="Arial"/>
                <w:sz w:val="18"/>
                <w:szCs w:val="18"/>
                <w:b w:val="1"/>
                <w:bCs w:val="1"/>
                <w:color w:val="auto"/>
                <w:w w:val="98"/>
              </w:rPr>
              <w:t>ASANA, INC.</w:t>
            </w:r>
          </w:p>
        </w:tc>
      </w:tr>
      <w:tr>
        <w:trPr>
          <w:trHeight w:val="432"/>
        </w:trPr>
        <w:tc>
          <w:tcPr>
            <w:tcW w:w="2860" w:type="dxa"/>
            <w:vAlign w:val="bottom"/>
          </w:tcPr>
          <w:p>
            <w:pPr>
              <w:spacing w:after="0"/>
              <w:rPr>
                <w:sz w:val="24"/>
                <w:szCs w:val="24"/>
                <w:color w:val="auto"/>
              </w:rPr>
            </w:pPr>
          </w:p>
        </w:tc>
        <w:tc>
          <w:tcPr>
            <w:tcW w:w="8100" w:type="dxa"/>
            <w:vAlign w:val="bottom"/>
            <w:gridSpan w:val="3"/>
          </w:tcPr>
          <w:p>
            <w:pPr>
              <w:jc w:val="center"/>
              <w:ind w:right="2820"/>
              <w:spacing w:after="0"/>
              <w:rPr>
                <w:sz w:val="20"/>
                <w:szCs w:val="20"/>
                <w:color w:val="auto"/>
              </w:rPr>
            </w:pPr>
            <w:r>
              <w:rPr>
                <w:rFonts w:ascii="Arial" w:cs="Arial" w:eastAsia="Arial" w:hAnsi="Arial"/>
                <w:sz w:val="18"/>
                <w:szCs w:val="18"/>
                <w:b w:val="1"/>
                <w:bCs w:val="1"/>
                <w:color w:val="auto"/>
                <w:w w:val="98"/>
              </w:rPr>
              <w:t>AMENDED AND RESTATED 2012 STOCK PLAN</w:t>
            </w:r>
          </w:p>
        </w:tc>
      </w:tr>
      <w:tr>
        <w:trPr>
          <w:trHeight w:val="432"/>
        </w:trPr>
        <w:tc>
          <w:tcPr>
            <w:tcW w:w="2860" w:type="dxa"/>
            <w:vAlign w:val="bottom"/>
          </w:tcPr>
          <w:p>
            <w:pPr>
              <w:spacing w:after="0"/>
              <w:rPr>
                <w:sz w:val="24"/>
                <w:szCs w:val="24"/>
                <w:color w:val="auto"/>
              </w:rPr>
            </w:pPr>
          </w:p>
        </w:tc>
        <w:tc>
          <w:tcPr>
            <w:tcW w:w="8100" w:type="dxa"/>
            <w:vAlign w:val="bottom"/>
            <w:gridSpan w:val="3"/>
          </w:tcPr>
          <w:p>
            <w:pPr>
              <w:jc w:val="center"/>
              <w:ind w:right="2800"/>
              <w:spacing w:after="0"/>
              <w:rPr>
                <w:sz w:val="20"/>
                <w:szCs w:val="20"/>
                <w:color w:val="auto"/>
              </w:rPr>
            </w:pPr>
            <w:r>
              <w:rPr>
                <w:rFonts w:ascii="Arial" w:cs="Arial" w:eastAsia="Arial" w:hAnsi="Arial"/>
                <w:sz w:val="18"/>
                <w:szCs w:val="18"/>
                <w:b w:val="1"/>
                <w:bCs w:val="1"/>
                <w:color w:val="auto"/>
              </w:rPr>
              <w:t>RESTRICTED STOCK UNIT GRANT NOTICE</w:t>
            </w:r>
          </w:p>
        </w:tc>
      </w:tr>
      <w:tr>
        <w:trPr>
          <w:trHeight w:val="459"/>
        </w:trPr>
        <w:tc>
          <w:tcPr>
            <w:tcW w:w="2860" w:type="dxa"/>
            <w:vAlign w:val="bottom"/>
          </w:tcPr>
          <w:p>
            <w:pPr>
              <w:spacing w:after="0"/>
              <w:rPr>
                <w:sz w:val="20"/>
                <w:szCs w:val="20"/>
                <w:color w:val="auto"/>
              </w:rPr>
            </w:pPr>
            <w:r>
              <w:rPr>
                <w:rFonts w:ascii="Arial" w:cs="Arial" w:eastAsia="Arial" w:hAnsi="Arial"/>
                <w:sz w:val="18"/>
                <w:szCs w:val="18"/>
                <w:b w:val="1"/>
                <w:bCs w:val="1"/>
                <w:color w:val="auto"/>
              </w:rPr>
              <w:t>Participant Name</w:t>
            </w:r>
            <w:r>
              <w:rPr>
                <w:rFonts w:ascii="Arial" w:cs="Arial" w:eastAsia="Arial" w:hAnsi="Arial"/>
                <w:sz w:val="18"/>
                <w:szCs w:val="18"/>
                <w:color w:val="auto"/>
              </w:rPr>
              <w:t>:</w:t>
            </w:r>
          </w:p>
        </w:tc>
        <w:tc>
          <w:tcPr>
            <w:tcW w:w="1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20" w:type="dxa"/>
            <w:vAlign w:val="bottom"/>
          </w:tcPr>
          <w:p>
            <w:pPr>
              <w:spacing w:after="0"/>
              <w:rPr>
                <w:sz w:val="24"/>
                <w:szCs w:val="24"/>
                <w:color w:val="auto"/>
              </w:rPr>
            </w:pPr>
          </w:p>
        </w:tc>
      </w:tr>
      <w:tr>
        <w:trPr>
          <w:trHeight w:val="324"/>
        </w:trPr>
        <w:tc>
          <w:tcPr>
            <w:tcW w:w="2860" w:type="dxa"/>
            <w:vAlign w:val="bottom"/>
          </w:tcPr>
          <w:p>
            <w:pPr>
              <w:spacing w:after="0"/>
              <w:rPr>
                <w:sz w:val="20"/>
                <w:szCs w:val="20"/>
                <w:color w:val="auto"/>
              </w:rPr>
            </w:pPr>
            <w:r>
              <w:rPr>
                <w:rFonts w:ascii="Arial" w:cs="Arial" w:eastAsia="Arial" w:hAnsi="Arial"/>
                <w:sz w:val="18"/>
                <w:szCs w:val="18"/>
                <w:b w:val="1"/>
                <w:bCs w:val="1"/>
                <w:color w:val="auto"/>
              </w:rPr>
              <w:t>Date of Grant:</w:t>
            </w:r>
          </w:p>
        </w:tc>
        <w:tc>
          <w:tcPr>
            <w:tcW w:w="1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20" w:type="dxa"/>
            <w:vAlign w:val="bottom"/>
          </w:tcPr>
          <w:p>
            <w:pPr>
              <w:spacing w:after="0"/>
              <w:rPr>
                <w:sz w:val="24"/>
                <w:szCs w:val="24"/>
                <w:color w:val="auto"/>
              </w:rPr>
            </w:pPr>
          </w:p>
        </w:tc>
      </w:tr>
      <w:tr>
        <w:trPr>
          <w:trHeight w:val="306"/>
        </w:trPr>
        <w:tc>
          <w:tcPr>
            <w:tcW w:w="2860" w:type="dxa"/>
            <w:vAlign w:val="bottom"/>
          </w:tcPr>
          <w:p>
            <w:pPr>
              <w:spacing w:after="0"/>
              <w:rPr>
                <w:sz w:val="20"/>
                <w:szCs w:val="20"/>
                <w:color w:val="auto"/>
              </w:rPr>
            </w:pPr>
            <w:r>
              <w:rPr>
                <w:rFonts w:ascii="Arial" w:cs="Arial" w:eastAsia="Arial" w:hAnsi="Arial"/>
                <w:sz w:val="18"/>
                <w:szCs w:val="18"/>
                <w:b w:val="1"/>
                <w:bCs w:val="1"/>
                <w:color w:val="auto"/>
              </w:rPr>
              <w:t>Total Number of</w:t>
            </w:r>
          </w:p>
        </w:tc>
        <w:tc>
          <w:tcPr>
            <w:tcW w:w="1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20" w:type="dxa"/>
            <w:vAlign w:val="bottom"/>
          </w:tcPr>
          <w:p>
            <w:pPr>
              <w:spacing w:after="0"/>
              <w:rPr>
                <w:sz w:val="24"/>
                <w:szCs w:val="24"/>
                <w:color w:val="auto"/>
              </w:rPr>
            </w:pPr>
          </w:p>
        </w:tc>
      </w:tr>
      <w:tr>
        <w:trPr>
          <w:trHeight w:val="234"/>
        </w:trPr>
        <w:tc>
          <w:tcPr>
            <w:tcW w:w="2860" w:type="dxa"/>
            <w:vAlign w:val="bottom"/>
          </w:tcPr>
          <w:p>
            <w:pPr>
              <w:spacing w:after="0"/>
              <w:rPr>
                <w:sz w:val="20"/>
                <w:szCs w:val="20"/>
                <w:color w:val="auto"/>
              </w:rPr>
            </w:pPr>
            <w:r>
              <w:rPr>
                <w:rFonts w:ascii="Arial" w:cs="Arial" w:eastAsia="Arial" w:hAnsi="Arial"/>
                <w:sz w:val="18"/>
                <w:szCs w:val="18"/>
                <w:b w:val="1"/>
                <w:bCs w:val="1"/>
                <w:color w:val="auto"/>
              </w:rPr>
              <w:t>Restricted Stock Units (“RSUs”)</w:t>
            </w:r>
            <w:r>
              <w:rPr>
                <w:rFonts w:ascii="Arial" w:cs="Arial" w:eastAsia="Arial" w:hAnsi="Arial"/>
                <w:sz w:val="18"/>
                <w:szCs w:val="18"/>
                <w:color w:val="auto"/>
              </w:rPr>
              <w:t>:</w:t>
            </w:r>
          </w:p>
        </w:tc>
        <w:tc>
          <w:tcPr>
            <w:tcW w:w="1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20" w:type="dxa"/>
            <w:vAlign w:val="bottom"/>
          </w:tcPr>
          <w:p>
            <w:pPr>
              <w:spacing w:after="0"/>
              <w:rPr>
                <w:sz w:val="20"/>
                <w:szCs w:val="20"/>
                <w:color w:val="auto"/>
              </w:rPr>
            </w:pPr>
          </w:p>
        </w:tc>
      </w:tr>
      <w:tr>
        <w:trPr>
          <w:trHeight w:val="323"/>
        </w:trPr>
        <w:tc>
          <w:tcPr>
            <w:tcW w:w="2860" w:type="dxa"/>
            <w:vAlign w:val="bottom"/>
          </w:tcPr>
          <w:p>
            <w:pPr>
              <w:spacing w:after="0"/>
              <w:rPr>
                <w:sz w:val="20"/>
                <w:szCs w:val="20"/>
                <w:color w:val="auto"/>
              </w:rPr>
            </w:pPr>
            <w:r>
              <w:rPr>
                <w:rFonts w:ascii="Arial" w:cs="Arial" w:eastAsia="Arial" w:hAnsi="Arial"/>
                <w:sz w:val="18"/>
                <w:szCs w:val="18"/>
                <w:b w:val="1"/>
                <w:bCs w:val="1"/>
                <w:color w:val="auto"/>
              </w:rPr>
              <w:t>Vesting Schedule</w:t>
            </w:r>
            <w:r>
              <w:rPr>
                <w:rFonts w:ascii="Arial" w:cs="Arial" w:eastAsia="Arial" w:hAnsi="Arial"/>
                <w:sz w:val="18"/>
                <w:szCs w:val="18"/>
                <w:color w:val="auto"/>
              </w:rPr>
              <w:t>:</w:t>
            </w:r>
          </w:p>
        </w:tc>
        <w:tc>
          <w:tcPr>
            <w:tcW w:w="8100" w:type="dxa"/>
            <w:vAlign w:val="bottom"/>
            <w:gridSpan w:val="3"/>
          </w:tcPr>
          <w:p>
            <w:pPr>
              <w:ind w:left="340"/>
              <w:spacing w:after="0"/>
              <w:rPr>
                <w:sz w:val="20"/>
                <w:szCs w:val="20"/>
                <w:color w:val="auto"/>
              </w:rPr>
            </w:pPr>
            <w:r>
              <w:rPr>
                <w:rFonts w:ascii="Arial" w:cs="Arial" w:eastAsia="Arial" w:hAnsi="Arial"/>
                <w:sz w:val="18"/>
                <w:szCs w:val="18"/>
                <w:color w:val="auto"/>
                <w:w w:val="89"/>
              </w:rPr>
              <w:t>So long as the Participant’s Continuous Service Status (as defined in the Asana, Inc. Amended and Restated</w:t>
            </w:r>
          </w:p>
        </w:tc>
      </w:tr>
      <w:tr>
        <w:trPr>
          <w:trHeight w:val="190"/>
        </w:trPr>
        <w:tc>
          <w:tcPr>
            <w:tcW w:w="2860" w:type="dxa"/>
            <w:vAlign w:val="bottom"/>
          </w:tcPr>
          <w:p>
            <w:pPr>
              <w:spacing w:after="0"/>
              <w:rPr>
                <w:sz w:val="16"/>
                <w:szCs w:val="16"/>
                <w:color w:val="auto"/>
              </w:rPr>
            </w:pPr>
          </w:p>
        </w:tc>
        <w:tc>
          <w:tcPr>
            <w:tcW w:w="8100" w:type="dxa"/>
            <w:vAlign w:val="bottom"/>
            <w:gridSpan w:val="3"/>
          </w:tcPr>
          <w:p>
            <w:pPr>
              <w:ind w:left="340"/>
              <w:spacing w:after="0" w:line="190" w:lineRule="exact"/>
              <w:rPr>
                <w:sz w:val="20"/>
                <w:szCs w:val="20"/>
                <w:color w:val="auto"/>
              </w:rPr>
            </w:pPr>
            <w:r>
              <w:rPr>
                <w:rFonts w:ascii="Arial" w:cs="Arial" w:eastAsia="Arial" w:hAnsi="Arial"/>
                <w:sz w:val="18"/>
                <w:szCs w:val="18"/>
                <w:color w:val="auto"/>
                <w:w w:val="91"/>
              </w:rPr>
              <w:t>2012 Stock Plan (the “Plan”)) does not terminate prior to any applicable vesting date (and provided that no</w:t>
            </w:r>
          </w:p>
        </w:tc>
      </w:tr>
      <w:tr>
        <w:trPr>
          <w:trHeight w:val="20"/>
        </w:trPr>
        <w:tc>
          <w:tcPr>
            <w:tcW w:w="28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r>
      <w:tr>
        <w:trPr>
          <w:trHeight w:val="222"/>
        </w:trPr>
        <w:tc>
          <w:tcPr>
            <w:tcW w:w="2860" w:type="dxa"/>
            <w:vAlign w:val="bottom"/>
          </w:tcPr>
          <w:p>
            <w:pPr>
              <w:spacing w:after="0"/>
              <w:rPr>
                <w:sz w:val="19"/>
                <w:szCs w:val="19"/>
                <w:color w:val="auto"/>
              </w:rPr>
            </w:pPr>
          </w:p>
        </w:tc>
        <w:tc>
          <w:tcPr>
            <w:tcW w:w="8100" w:type="dxa"/>
            <w:vAlign w:val="bottom"/>
            <w:gridSpan w:val="3"/>
          </w:tcPr>
          <w:p>
            <w:pPr>
              <w:ind w:left="340"/>
              <w:spacing w:after="0"/>
              <w:rPr>
                <w:sz w:val="20"/>
                <w:szCs w:val="20"/>
                <w:color w:val="auto"/>
              </w:rPr>
            </w:pPr>
            <w:r>
              <w:rPr>
                <w:rFonts w:ascii="Arial" w:cs="Arial" w:eastAsia="Arial" w:hAnsi="Arial"/>
                <w:sz w:val="18"/>
                <w:szCs w:val="18"/>
                <w:color w:val="auto"/>
                <w:w w:val="95"/>
              </w:rPr>
              <w:t>vesting shall occur following the Termination Date (as defined in Section 4 of the Restricted Stock Unit</w:t>
            </w:r>
          </w:p>
        </w:tc>
      </w:tr>
      <w:tr>
        <w:trPr>
          <w:trHeight w:val="216"/>
        </w:trPr>
        <w:tc>
          <w:tcPr>
            <w:tcW w:w="2860" w:type="dxa"/>
            <w:vAlign w:val="bottom"/>
          </w:tcPr>
          <w:p>
            <w:pPr>
              <w:spacing w:after="0"/>
              <w:rPr>
                <w:sz w:val="18"/>
                <w:szCs w:val="18"/>
                <w:color w:val="auto"/>
              </w:rPr>
            </w:pPr>
          </w:p>
        </w:tc>
        <w:tc>
          <w:tcPr>
            <w:tcW w:w="8100" w:type="dxa"/>
            <w:vAlign w:val="bottom"/>
            <w:gridSpan w:val="3"/>
          </w:tcPr>
          <w:p>
            <w:pPr>
              <w:ind w:left="340"/>
              <w:spacing w:after="0"/>
              <w:rPr>
                <w:sz w:val="20"/>
                <w:szCs w:val="20"/>
                <w:color w:val="auto"/>
              </w:rPr>
            </w:pPr>
            <w:r>
              <w:rPr>
                <w:rFonts w:ascii="Arial" w:cs="Arial" w:eastAsia="Arial" w:hAnsi="Arial"/>
                <w:sz w:val="18"/>
                <w:szCs w:val="18"/>
                <w:color w:val="auto"/>
                <w:w w:val="90"/>
              </w:rPr>
              <w:t>Agreement to which this Restricted Stock Unit Grant Notice is attached), the RSUs shall vest in accordance</w:t>
            </w:r>
          </w:p>
        </w:tc>
      </w:tr>
      <w:tr>
        <w:trPr>
          <w:trHeight w:val="230"/>
        </w:trPr>
        <w:tc>
          <w:tcPr>
            <w:tcW w:w="2860" w:type="dxa"/>
            <w:vAlign w:val="bottom"/>
          </w:tcPr>
          <w:p>
            <w:pPr>
              <w:spacing w:after="0"/>
              <w:rPr>
                <w:sz w:val="20"/>
                <w:szCs w:val="20"/>
                <w:color w:val="auto"/>
              </w:rPr>
            </w:pPr>
          </w:p>
        </w:tc>
        <w:tc>
          <w:tcPr>
            <w:tcW w:w="8100" w:type="dxa"/>
            <w:vAlign w:val="bottom"/>
            <w:gridSpan w:val="3"/>
          </w:tcPr>
          <w:p>
            <w:pPr>
              <w:ind w:left="340"/>
              <w:spacing w:after="0"/>
              <w:rPr>
                <w:sz w:val="20"/>
                <w:szCs w:val="20"/>
                <w:color w:val="auto"/>
              </w:rPr>
            </w:pPr>
            <w:r>
              <w:rPr>
                <w:rFonts w:ascii="Arial" w:cs="Arial" w:eastAsia="Arial" w:hAnsi="Arial"/>
                <w:sz w:val="18"/>
                <w:szCs w:val="18"/>
                <w:color w:val="auto"/>
              </w:rPr>
              <w:t>with the following schedule:</w:t>
            </w:r>
          </w:p>
        </w:tc>
      </w:tr>
      <w:tr>
        <w:trPr>
          <w:trHeight w:val="324"/>
        </w:trPr>
        <w:tc>
          <w:tcPr>
            <w:tcW w:w="2860" w:type="dxa"/>
            <w:vAlign w:val="bottom"/>
          </w:tcPr>
          <w:p>
            <w:pPr>
              <w:spacing w:after="0"/>
              <w:rPr>
                <w:sz w:val="24"/>
                <w:szCs w:val="24"/>
                <w:color w:val="auto"/>
              </w:rPr>
            </w:pPr>
          </w:p>
        </w:tc>
        <w:tc>
          <w:tcPr>
            <w:tcW w:w="8100" w:type="dxa"/>
            <w:vAlign w:val="bottom"/>
            <w:gridSpan w:val="3"/>
          </w:tcPr>
          <w:p>
            <w:pPr>
              <w:ind w:left="340"/>
              <w:spacing w:after="0"/>
              <w:rPr>
                <w:sz w:val="20"/>
                <w:szCs w:val="20"/>
                <w:color w:val="auto"/>
              </w:rPr>
            </w:pPr>
            <w:r>
              <w:rPr>
                <w:rFonts w:ascii="Arial" w:cs="Arial" w:eastAsia="Arial" w:hAnsi="Arial"/>
                <w:sz w:val="18"/>
                <w:szCs w:val="18"/>
                <w:color w:val="auto"/>
              </w:rPr>
              <w:t>[Insert fraction] of the Total Number of RSUs shall vest on [Insert quarterly vest date] and</w:t>
            </w:r>
          </w:p>
        </w:tc>
      </w:tr>
      <w:tr>
        <w:trPr>
          <w:trHeight w:val="324"/>
        </w:trPr>
        <w:tc>
          <w:tcPr>
            <w:tcW w:w="2860" w:type="dxa"/>
            <w:vAlign w:val="bottom"/>
          </w:tcPr>
          <w:p>
            <w:pPr>
              <w:spacing w:after="0"/>
              <w:rPr>
                <w:sz w:val="24"/>
                <w:szCs w:val="24"/>
                <w:color w:val="auto"/>
              </w:rPr>
            </w:pPr>
          </w:p>
        </w:tc>
        <w:tc>
          <w:tcPr>
            <w:tcW w:w="8100" w:type="dxa"/>
            <w:vAlign w:val="bottom"/>
            <w:gridSpan w:val="3"/>
          </w:tcPr>
          <w:p>
            <w:pPr>
              <w:ind w:left="340"/>
              <w:spacing w:after="0"/>
              <w:rPr>
                <w:sz w:val="20"/>
                <w:szCs w:val="20"/>
                <w:color w:val="auto"/>
              </w:rPr>
            </w:pPr>
            <w:r>
              <w:rPr>
                <w:rFonts w:ascii="Arial" w:cs="Arial" w:eastAsia="Arial" w:hAnsi="Arial"/>
                <w:sz w:val="18"/>
                <w:szCs w:val="18"/>
                <w:color w:val="auto"/>
                <w:w w:val="95"/>
              </w:rPr>
              <w:t>[Insert fraction] of the Total Number of RSUs shall vest on each [Insert quarterly vest dates] thereafter;</w:t>
            </w:r>
          </w:p>
        </w:tc>
      </w:tr>
      <w:tr>
        <w:trPr>
          <w:trHeight w:val="310"/>
        </w:trPr>
        <w:tc>
          <w:tcPr>
            <w:tcW w:w="2860" w:type="dxa"/>
            <w:vAlign w:val="bottom"/>
          </w:tcPr>
          <w:p>
            <w:pPr>
              <w:spacing w:after="0"/>
              <w:rPr>
                <w:sz w:val="24"/>
                <w:szCs w:val="24"/>
                <w:color w:val="auto"/>
              </w:rPr>
            </w:pPr>
          </w:p>
        </w:tc>
        <w:tc>
          <w:tcPr>
            <w:tcW w:w="8100" w:type="dxa"/>
            <w:vAlign w:val="bottom"/>
            <w:gridSpan w:val="3"/>
          </w:tcPr>
          <w:p>
            <w:pPr>
              <w:ind w:left="340"/>
              <w:spacing w:after="0"/>
              <w:rPr>
                <w:sz w:val="20"/>
                <w:szCs w:val="20"/>
                <w:color w:val="auto"/>
              </w:rPr>
            </w:pPr>
            <w:r>
              <w:rPr>
                <w:rFonts w:ascii="Arial" w:cs="Arial" w:eastAsia="Arial" w:hAnsi="Arial"/>
                <w:sz w:val="18"/>
                <w:szCs w:val="18"/>
                <w:color w:val="auto"/>
                <w:w w:val="91"/>
              </w:rPr>
              <w:t>provided on the last vest date applicable to this award, the total remaining RSUs subject to this award shall</w:t>
            </w:r>
          </w:p>
        </w:tc>
      </w:tr>
      <w:tr>
        <w:trPr>
          <w:trHeight w:val="230"/>
        </w:trPr>
        <w:tc>
          <w:tcPr>
            <w:tcW w:w="2860" w:type="dxa"/>
            <w:vAlign w:val="bottom"/>
          </w:tcPr>
          <w:p>
            <w:pPr>
              <w:spacing w:after="0"/>
              <w:rPr>
                <w:sz w:val="20"/>
                <w:szCs w:val="20"/>
                <w:color w:val="auto"/>
              </w:rPr>
            </w:pPr>
          </w:p>
        </w:tc>
        <w:tc>
          <w:tcPr>
            <w:tcW w:w="8100" w:type="dxa"/>
            <w:vAlign w:val="bottom"/>
            <w:gridSpan w:val="3"/>
          </w:tcPr>
          <w:p>
            <w:pPr>
              <w:ind w:left="340"/>
              <w:spacing w:after="0"/>
              <w:rPr>
                <w:sz w:val="20"/>
                <w:szCs w:val="20"/>
                <w:color w:val="auto"/>
              </w:rPr>
            </w:pPr>
            <w:r>
              <w:rPr>
                <w:rFonts w:ascii="Arial" w:cs="Arial" w:eastAsia="Arial" w:hAnsi="Arial"/>
                <w:sz w:val="18"/>
                <w:szCs w:val="18"/>
                <w:color w:val="auto"/>
              </w:rPr>
              <w:t>vest.</w:t>
            </w:r>
          </w:p>
        </w:tc>
      </w:tr>
      <w:tr>
        <w:trPr>
          <w:trHeight w:val="310"/>
        </w:trPr>
        <w:tc>
          <w:tcPr>
            <w:tcW w:w="2860" w:type="dxa"/>
            <w:vAlign w:val="bottom"/>
          </w:tcPr>
          <w:p>
            <w:pPr>
              <w:spacing w:after="0"/>
              <w:rPr>
                <w:sz w:val="20"/>
                <w:szCs w:val="20"/>
                <w:color w:val="auto"/>
              </w:rPr>
            </w:pPr>
            <w:r>
              <w:rPr>
                <w:rFonts w:ascii="Arial" w:cs="Arial" w:eastAsia="Arial" w:hAnsi="Arial"/>
                <w:sz w:val="18"/>
                <w:szCs w:val="18"/>
                <w:b w:val="1"/>
                <w:bCs w:val="1"/>
                <w:color w:val="auto"/>
              </w:rPr>
              <w:t>Expiration Date</w:t>
            </w:r>
            <w:r>
              <w:rPr>
                <w:rFonts w:ascii="Arial" w:cs="Arial" w:eastAsia="Arial" w:hAnsi="Arial"/>
                <w:sz w:val="18"/>
                <w:szCs w:val="18"/>
                <w:color w:val="auto"/>
              </w:rPr>
              <w:t>:</w:t>
            </w:r>
          </w:p>
        </w:tc>
        <w:tc>
          <w:tcPr>
            <w:tcW w:w="8100" w:type="dxa"/>
            <w:vAlign w:val="bottom"/>
            <w:gridSpan w:val="3"/>
          </w:tcPr>
          <w:p>
            <w:pPr>
              <w:ind w:left="340"/>
              <w:spacing w:after="0"/>
              <w:rPr>
                <w:sz w:val="20"/>
                <w:szCs w:val="20"/>
                <w:color w:val="auto"/>
              </w:rPr>
            </w:pPr>
            <w:r>
              <w:rPr>
                <w:rFonts w:ascii="Arial" w:cs="Arial" w:eastAsia="Arial" w:hAnsi="Arial"/>
                <w:sz w:val="18"/>
                <w:szCs w:val="18"/>
                <w:color w:val="auto"/>
                <w:w w:val="95"/>
              </w:rPr>
              <w:t>The 7th anniversary of the Date of Grant or, if earlier, the date on which all RSUs set forth herein have</w:t>
            </w:r>
          </w:p>
        </w:tc>
      </w:tr>
      <w:tr>
        <w:trPr>
          <w:trHeight w:val="216"/>
        </w:trPr>
        <w:tc>
          <w:tcPr>
            <w:tcW w:w="2860" w:type="dxa"/>
            <w:vAlign w:val="bottom"/>
          </w:tcPr>
          <w:p>
            <w:pPr>
              <w:spacing w:after="0"/>
              <w:rPr>
                <w:sz w:val="18"/>
                <w:szCs w:val="18"/>
                <w:color w:val="auto"/>
              </w:rPr>
            </w:pPr>
          </w:p>
        </w:tc>
        <w:tc>
          <w:tcPr>
            <w:tcW w:w="8100" w:type="dxa"/>
            <w:vAlign w:val="bottom"/>
            <w:gridSpan w:val="3"/>
          </w:tcPr>
          <w:p>
            <w:pPr>
              <w:ind w:left="340"/>
              <w:spacing w:after="0"/>
              <w:rPr>
                <w:sz w:val="20"/>
                <w:szCs w:val="20"/>
                <w:color w:val="auto"/>
              </w:rPr>
            </w:pPr>
            <w:r>
              <w:rPr>
                <w:rFonts w:ascii="Arial" w:cs="Arial" w:eastAsia="Arial" w:hAnsi="Arial"/>
                <w:sz w:val="18"/>
                <w:szCs w:val="18"/>
                <w:color w:val="auto"/>
                <w:w w:val="92"/>
              </w:rPr>
              <w:t>either been settled or forfeited pursuant to the terms of the Restricted Stock Unit Agreement to which this</w:t>
            </w:r>
          </w:p>
        </w:tc>
      </w:tr>
      <w:tr>
        <w:trPr>
          <w:trHeight w:val="230"/>
        </w:trPr>
        <w:tc>
          <w:tcPr>
            <w:tcW w:w="2860" w:type="dxa"/>
            <w:vAlign w:val="bottom"/>
          </w:tcPr>
          <w:p>
            <w:pPr>
              <w:spacing w:after="0"/>
              <w:rPr>
                <w:sz w:val="20"/>
                <w:szCs w:val="20"/>
                <w:color w:val="auto"/>
              </w:rPr>
            </w:pPr>
          </w:p>
        </w:tc>
        <w:tc>
          <w:tcPr>
            <w:tcW w:w="8100" w:type="dxa"/>
            <w:vAlign w:val="bottom"/>
            <w:gridSpan w:val="3"/>
          </w:tcPr>
          <w:p>
            <w:pPr>
              <w:ind w:left="340"/>
              <w:spacing w:after="0"/>
              <w:rPr>
                <w:sz w:val="20"/>
                <w:szCs w:val="20"/>
                <w:color w:val="auto"/>
              </w:rPr>
            </w:pPr>
            <w:r>
              <w:rPr>
                <w:rFonts w:ascii="Arial" w:cs="Arial" w:eastAsia="Arial" w:hAnsi="Arial"/>
                <w:sz w:val="18"/>
                <w:szCs w:val="18"/>
                <w:color w:val="auto"/>
              </w:rPr>
              <w:t>Restricted Stock Unit Grant Notice is attached (including, but not limited to, Section 4 therein).</w:t>
            </w:r>
          </w:p>
        </w:tc>
      </w:tr>
      <w:tr>
        <w:trPr>
          <w:trHeight w:val="310"/>
        </w:trPr>
        <w:tc>
          <w:tcPr>
            <w:tcW w:w="2860" w:type="dxa"/>
            <w:vAlign w:val="bottom"/>
          </w:tcPr>
          <w:p>
            <w:pPr>
              <w:spacing w:after="0"/>
              <w:rPr>
                <w:sz w:val="24"/>
                <w:szCs w:val="24"/>
                <w:color w:val="auto"/>
              </w:rPr>
            </w:pPr>
          </w:p>
        </w:tc>
        <w:tc>
          <w:tcPr>
            <w:tcW w:w="8100" w:type="dxa"/>
            <w:vAlign w:val="bottom"/>
            <w:gridSpan w:val="3"/>
          </w:tcPr>
          <w:p>
            <w:pPr>
              <w:ind w:left="340"/>
              <w:spacing w:after="0"/>
              <w:rPr>
                <w:sz w:val="20"/>
                <w:szCs w:val="20"/>
                <w:color w:val="auto"/>
              </w:rPr>
            </w:pPr>
            <w:r>
              <w:rPr>
                <w:rFonts w:ascii="Arial" w:cs="Arial" w:eastAsia="Arial" w:hAnsi="Arial"/>
                <w:sz w:val="18"/>
                <w:szCs w:val="18"/>
                <w:color w:val="auto"/>
                <w:w w:val="90"/>
              </w:rPr>
              <w:t>Upon the expiration date, any then outstanding RSUs shall be immediately forfeited to the Company and all</w:t>
            </w:r>
          </w:p>
        </w:tc>
      </w:tr>
      <w:tr>
        <w:trPr>
          <w:trHeight w:val="230"/>
        </w:trPr>
        <w:tc>
          <w:tcPr>
            <w:tcW w:w="2860" w:type="dxa"/>
            <w:vAlign w:val="bottom"/>
          </w:tcPr>
          <w:p>
            <w:pPr>
              <w:spacing w:after="0"/>
              <w:rPr>
                <w:sz w:val="20"/>
                <w:szCs w:val="20"/>
                <w:color w:val="auto"/>
              </w:rPr>
            </w:pPr>
          </w:p>
        </w:tc>
        <w:tc>
          <w:tcPr>
            <w:tcW w:w="8100" w:type="dxa"/>
            <w:vAlign w:val="bottom"/>
            <w:gridSpan w:val="3"/>
          </w:tcPr>
          <w:p>
            <w:pPr>
              <w:ind w:left="340"/>
              <w:spacing w:after="0"/>
              <w:rPr>
                <w:sz w:val="20"/>
                <w:szCs w:val="20"/>
                <w:color w:val="auto"/>
              </w:rPr>
            </w:pPr>
            <w:r>
              <w:rPr>
                <w:rFonts w:ascii="Arial" w:cs="Arial" w:eastAsia="Arial" w:hAnsi="Arial"/>
                <w:sz w:val="18"/>
                <w:szCs w:val="18"/>
                <w:color w:val="auto"/>
              </w:rPr>
              <w:t>rights of Participant to such RSUs shall immediately terminate.</w:t>
            </w:r>
          </w:p>
        </w:tc>
      </w:tr>
    </w:tbl>
    <w:p>
      <w:pPr>
        <w:ind w:left="340"/>
        <w:spacing w:after="0"/>
        <w:rPr>
          <w:sz w:val="20"/>
          <w:szCs w:val="20"/>
          <w:color w:val="auto"/>
        </w:rPr>
        <w:sectPr>
          <w:pgSz w:w="11900" w:h="16838" w:orient="portrait"/>
          <w:cols w:equalWidth="0" w:num="1">
            <w:col w:w="10960"/>
          </w:cols>
          <w:pgMar w:left="440" w:top="274"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367" w:name="page368"/>
    <w:bookmarkEnd w:id="36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ADOPTED November 20, 2019</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ASANA,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AMENDED AND RESTATED 2012 STOCK PLAN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RESTRICTED STOCK UNIT AGREEMENT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Asana,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pursuant to the Asana, Inc. Amended and Restated 2012 Stock Plan (the “</w:t>
      </w:r>
      <w:r>
        <w:rPr>
          <w:rFonts w:ascii="Arial" w:cs="Arial" w:eastAsia="Arial" w:hAnsi="Arial"/>
          <w:sz w:val="17"/>
          <w:szCs w:val="17"/>
          <w:u w:val="single" w:color="auto"/>
          <w:color w:val="auto"/>
        </w:rPr>
        <w:t>Plan</w:t>
      </w:r>
      <w:r>
        <w:rPr>
          <w:rFonts w:ascii="Arial" w:cs="Arial" w:eastAsia="Arial" w:hAnsi="Arial"/>
          <w:sz w:val="17"/>
          <w:szCs w:val="17"/>
          <w:color w:val="auto"/>
        </w:rPr>
        <w:t>”) has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granted to the participant (the “</w:t>
      </w:r>
      <w:r>
        <w:rPr>
          <w:rFonts w:ascii="Arial" w:cs="Arial" w:eastAsia="Arial" w:hAnsi="Arial"/>
          <w:sz w:val="16"/>
          <w:szCs w:val="16"/>
          <w:u w:val="single" w:color="auto"/>
          <w:color w:val="auto"/>
        </w:rPr>
        <w:t>Participant</w:t>
      </w:r>
      <w:r>
        <w:rPr>
          <w:rFonts w:ascii="Arial" w:cs="Arial" w:eastAsia="Arial" w:hAnsi="Arial"/>
          <w:sz w:val="16"/>
          <w:szCs w:val="16"/>
          <w:color w:val="auto"/>
        </w:rPr>
        <w:t>”) named in the Restricted Stock Unit Grant Notice (the “</w:t>
      </w:r>
      <w:r>
        <w:rPr>
          <w:rFonts w:ascii="Arial" w:cs="Arial" w:eastAsia="Arial" w:hAnsi="Arial"/>
          <w:sz w:val="16"/>
          <w:szCs w:val="16"/>
          <w:u w:val="single" w:color="auto"/>
          <w:color w:val="auto"/>
        </w:rPr>
        <w:t>RSU Grant Notice</w:t>
      </w:r>
      <w:r>
        <w:rPr>
          <w:rFonts w:ascii="Arial" w:cs="Arial" w:eastAsia="Arial" w:hAnsi="Arial"/>
          <w:sz w:val="16"/>
          <w:szCs w:val="16"/>
          <w:color w:val="auto"/>
        </w:rPr>
        <w:t>”) a restricted stock unit award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covering the number of units set forth in the RSU Grant Notice, each of which represents one (1) share of the Company’s Class B Common Stock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RSUs</w:t>
      </w:r>
      <w:r>
        <w:rPr>
          <w:rFonts w:ascii="Arial" w:cs="Arial" w:eastAsia="Arial" w:hAnsi="Arial"/>
          <w:sz w:val="17"/>
          <w:szCs w:val="17"/>
          <w:color w:val="auto"/>
        </w:rPr>
        <w:t>”). The RSUs are subject to all of the terms and conditions set forth in the RSU Grant Notice, this Restricted Stock Unit Agreement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and the Plan which is attached hereto and incorporated herein in its entirety. In the event of any conflict between the terms of the RSU</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Grant Notice and this Agreement and the Plan, the terms of the Plan will control. Capitalized terms not explicitly defined in this Agreement but defined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the Plan will have the same definitions as in the Plan.</w:t>
      </w:r>
    </w:p>
    <w:p>
      <w:pPr>
        <w:spacing w:after="0" w:line="99" w:lineRule="exact"/>
        <w:rPr>
          <w:sz w:val="20"/>
          <w:szCs w:val="20"/>
          <w:color w:val="auto"/>
        </w:rPr>
      </w:pPr>
    </w:p>
    <w:p>
      <w:pPr>
        <w:ind w:right="40" w:firstLine="436"/>
        <w:spacing w:after="0" w:line="274" w:lineRule="auto"/>
        <w:tabs>
          <w:tab w:leader="none" w:pos="620" w:val="left"/>
        </w:tabs>
        <w:numPr>
          <w:ilvl w:val="0"/>
          <w:numId w:val="342"/>
        </w:numPr>
        <w:rPr>
          <w:rFonts w:ascii="Arial" w:cs="Arial" w:eastAsia="Arial" w:hAnsi="Arial"/>
          <w:sz w:val="17"/>
          <w:szCs w:val="17"/>
          <w:color w:val="auto"/>
        </w:rPr>
      </w:pPr>
      <w:r>
        <w:rPr>
          <w:rFonts w:ascii="Arial" w:cs="Arial" w:eastAsia="Arial" w:hAnsi="Arial"/>
          <w:sz w:val="17"/>
          <w:szCs w:val="17"/>
          <w:b w:val="1"/>
          <w:bCs w:val="1"/>
          <w:u w:val="single" w:color="auto"/>
          <w:color w:val="auto"/>
        </w:rPr>
        <w:t>Vesting</w:t>
      </w:r>
      <w:r>
        <w:rPr>
          <w:rFonts w:ascii="Arial" w:cs="Arial" w:eastAsia="Arial" w:hAnsi="Arial"/>
          <w:sz w:val="17"/>
          <w:szCs w:val="17"/>
          <w:color w:val="auto"/>
        </w:rPr>
        <w:t>. The RSUs shall vest in accordance with the Vesting Schedule set out in the RSU Grant Notice and this Agreement, provided, pursuant</w:t>
      </w:r>
      <w:r>
        <w:rPr>
          <w:rFonts w:ascii="Arial" w:cs="Arial" w:eastAsia="Arial" w:hAnsi="Arial"/>
          <w:sz w:val="17"/>
          <w:szCs w:val="17"/>
          <w:b w:val="1"/>
          <w:bCs w:val="1"/>
          <w:color w:val="auto"/>
        </w:rPr>
        <w:t xml:space="preserve"> </w:t>
      </w:r>
      <w:r>
        <w:rPr>
          <w:rFonts w:ascii="Arial" w:cs="Arial" w:eastAsia="Arial" w:hAnsi="Arial"/>
          <w:sz w:val="17"/>
          <w:szCs w:val="17"/>
          <w:color w:val="auto"/>
        </w:rPr>
        <w:t>to Section 8(b)(ii)(2) of the Plan, the Administrator has the right to suspend vesting during all or any portion of any leave of absence and to extend the period over which the RSUs shall thereafter vest, if applicable. However, in no event shall any extension of vesting go beyond any period that would result in the RSUs, to the extent they are exempt from Code Section 409A under the short-term deferral exemption thereunder, ceasing to qualify for such exemption. Each tranche of RSUs that vests, or is scheduled to vest, pursuant to the RSU Grant Notice and this Agreement is hereby designated as a “separate payment” for purposes of Treasury Regulation Section 1.409A-2(b)(2).</w:t>
      </w:r>
    </w:p>
    <w:p>
      <w:pPr>
        <w:spacing w:after="0" w:line="17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Notwithstanding the RSU Grant Notice and anything to the contrary in the Plan and this Agreement, in no event shall the vesting or settlement of the RSUs be accelerated or deferred in connection with any event or otherwise unless such acceleration or deferral is specifically approved by the Board or a delegated committee of the Board, after taking into account the impact of such acceleration or deferral under the requirements of Section 409A of the Internal Revenue Code of 1986, as amended, the regulations and other guidance thereunder and any state law of similar effect (collectively “</w:t>
      </w: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76" w:lineRule="exact"/>
        <w:rPr>
          <w:sz w:val="20"/>
          <w:szCs w:val="20"/>
          <w:color w:val="auto"/>
        </w:rPr>
      </w:pPr>
    </w:p>
    <w:p>
      <w:pPr>
        <w:ind w:right="80" w:firstLine="436"/>
        <w:spacing w:after="0" w:line="294" w:lineRule="auto"/>
        <w:tabs>
          <w:tab w:leader="none" w:pos="620" w:val="left"/>
        </w:tabs>
        <w:numPr>
          <w:ilvl w:val="0"/>
          <w:numId w:val="343"/>
        </w:numPr>
        <w:rPr>
          <w:rFonts w:ascii="Arial" w:cs="Arial" w:eastAsia="Arial" w:hAnsi="Arial"/>
          <w:sz w:val="16"/>
          <w:szCs w:val="16"/>
          <w:color w:val="auto"/>
        </w:rPr>
      </w:pPr>
      <w:r>
        <w:rPr>
          <w:rFonts w:ascii="Arial" w:cs="Arial" w:eastAsia="Arial" w:hAnsi="Arial"/>
          <w:sz w:val="16"/>
          <w:szCs w:val="16"/>
          <w:b w:val="1"/>
          <w:bCs w:val="1"/>
          <w:u w:val="single" w:color="auto"/>
          <w:color w:val="auto"/>
        </w:rPr>
        <w:t>Settlement of RSUs and Issuance of Shares; Stockholder Rights</w:t>
      </w:r>
      <w:r>
        <w:rPr>
          <w:rFonts w:ascii="Arial" w:cs="Arial" w:eastAsia="Arial" w:hAnsi="Arial"/>
          <w:sz w:val="16"/>
          <w:szCs w:val="16"/>
          <w:color w:val="auto"/>
        </w:rPr>
        <w:t>. Vested RSUs shall be settled in Shares on a date determined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in its sole and absolute discretion, that is on or before the later of (i) March 15th of the calendar year following the year in which the vesting date occurs, and (ii) the 15th day of the third month of the Company’s tax year following the year in which the vesting date occurs. For purposes of clarity, the Company shall not be required to settle all vested RSUs on the same date during the applicable period set forth above. Unless and until such time as Shares are issued pursuant to this Agreement in settlement of vested RSUs, Participant shall have no ownership of the Shares allocated to the RSUs, including, without limitation, no right to dividends (or dividend equivalents) or to vote such Shares.</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ectPr>
          <w:pgSz w:w="11900" w:h="16838" w:orient="portrait"/>
          <w:cols w:equalWidth="0" w:num="1">
            <w:col w:w="10960"/>
          </w:cols>
          <w:pgMar w:left="440" w:top="274" w:right="499" w:bottom="1440" w:gutter="0" w:footer="0" w:header="0"/>
        </w:sectPr>
      </w:pPr>
    </w:p>
    <w:bookmarkStart w:id="368" w:name="page369"/>
    <w:bookmarkEnd w:id="36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ADOPTED November 20, 2019</w:t>
      </w:r>
    </w:p>
    <w:p>
      <w:pPr>
        <w:spacing w:after="0" w:line="154" w:lineRule="exact"/>
        <w:rPr>
          <w:sz w:val="20"/>
          <w:szCs w:val="20"/>
          <w:color w:val="auto"/>
        </w:rPr>
      </w:pPr>
    </w:p>
    <w:p>
      <w:pPr>
        <w:ind w:right="180" w:firstLine="436"/>
        <w:spacing w:after="0" w:line="282" w:lineRule="auto"/>
        <w:tabs>
          <w:tab w:leader="none" w:pos="620" w:val="left"/>
        </w:tabs>
        <w:numPr>
          <w:ilvl w:val="0"/>
          <w:numId w:val="344"/>
        </w:numPr>
        <w:rPr>
          <w:rFonts w:ascii="Arial" w:cs="Arial" w:eastAsia="Arial" w:hAnsi="Arial"/>
          <w:sz w:val="18"/>
          <w:szCs w:val="18"/>
          <w:color w:val="auto"/>
        </w:rPr>
      </w:pPr>
      <w:r>
        <w:rPr>
          <w:rFonts w:ascii="Arial" w:cs="Arial" w:eastAsia="Arial" w:hAnsi="Arial"/>
          <w:sz w:val="18"/>
          <w:szCs w:val="18"/>
          <w:b w:val="1"/>
          <w:bCs w:val="1"/>
          <w:u w:val="single" w:color="auto"/>
          <w:color w:val="auto"/>
        </w:rPr>
        <w:t>No Transfer</w:t>
      </w:r>
      <w:r>
        <w:rPr>
          <w:rFonts w:ascii="Arial" w:cs="Arial" w:eastAsia="Arial" w:hAnsi="Arial"/>
          <w:sz w:val="18"/>
          <w:szCs w:val="18"/>
          <w:color w:val="auto"/>
        </w:rPr>
        <w:t>. This Agreement, the RSUs and any interest therein shall not be sold, assigned, transferred, pledged, hypothecated,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disposed of.</w:t>
      </w:r>
    </w:p>
    <w:p>
      <w:pPr>
        <w:spacing w:after="0" w:line="53" w:lineRule="exact"/>
        <w:rPr>
          <w:rFonts w:ascii="Arial" w:cs="Arial" w:eastAsia="Arial" w:hAnsi="Arial"/>
          <w:sz w:val="18"/>
          <w:szCs w:val="18"/>
          <w:color w:val="auto"/>
        </w:rPr>
      </w:pPr>
    </w:p>
    <w:p>
      <w:pPr>
        <w:ind w:right="20" w:firstLine="436"/>
        <w:spacing w:after="0" w:line="288" w:lineRule="auto"/>
        <w:tabs>
          <w:tab w:leader="none" w:pos="620" w:val="left"/>
        </w:tabs>
        <w:numPr>
          <w:ilvl w:val="0"/>
          <w:numId w:val="344"/>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w:t>
      </w:r>
      <w:r>
        <w:rPr>
          <w:rFonts w:ascii="Arial" w:cs="Arial" w:eastAsia="Arial" w:hAnsi="Arial"/>
          <w:sz w:val="16"/>
          <w:szCs w:val="16"/>
          <w:color w:val="auto"/>
        </w:rPr>
        <w:t>. If Participant’s Continuous Service Status terminates at any time for any reason, all RSUs for which vesting is no longer possible</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terms of the RSU Grant Notice and this Agreement shall be forfeited to the Company on the date that is 3 calendar months following such termination of Continuous Service Status, and all rights of Participant to such RSUs shall immediately terminate at such time. Further, for purposes of the RSUs, Participant’s Continuous Service Status will be considered terminated as of the date Participant is no longer actively providing services to the Company, its Parent, Subsidiaries or Affiliates (the “</w:t>
      </w:r>
      <w:r>
        <w:rPr>
          <w:rFonts w:ascii="Arial" w:cs="Arial" w:eastAsia="Arial" w:hAnsi="Arial"/>
          <w:sz w:val="16"/>
          <w:szCs w:val="16"/>
          <w:u w:val="single" w:color="auto"/>
          <w:color w:val="auto"/>
        </w:rPr>
        <w:t>Company Group</w:t>
      </w:r>
      <w:r>
        <w:rPr>
          <w:rFonts w:ascii="Arial" w:cs="Arial" w:eastAsia="Arial" w:hAnsi="Arial"/>
          <w:sz w:val="16"/>
          <w:szCs w:val="16"/>
          <w:color w:val="auto"/>
        </w:rPr>
        <w:t>”), regardless of the reason for such termination and whether or not later found to be invalid or in breach of employment laws in the jurisdiction where Participant is employed or the terms of Participant’s employment agreement, if any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and, unless otherwise determined by the Company, Participant’s right to vest in the RSUs will terminate as of such date and will not be extended by any contractual notice period or any period of “garden leave” or similar notice period mandated under employment laws in the jurisdiction where Participant is employed or the terms of Participant’s employment agreement, if any. The Company shall have the exclusive discretion to determine when Participant is no longer actively providing services for purposes of the RSUs (including, subject to the terms of the Plan and Applicable Laws, whether Participant may still be considered to be providing services while on a leave of absence).</w:t>
      </w:r>
    </w:p>
    <w:p>
      <w:pPr>
        <w:spacing w:after="0" w:line="55" w:lineRule="exact"/>
        <w:rPr>
          <w:rFonts w:ascii="Arial" w:cs="Arial" w:eastAsia="Arial" w:hAnsi="Arial"/>
          <w:sz w:val="16"/>
          <w:szCs w:val="16"/>
          <w:color w:val="auto"/>
        </w:rPr>
      </w:pPr>
    </w:p>
    <w:p>
      <w:pPr>
        <w:ind w:firstLine="436"/>
        <w:spacing w:after="0" w:line="270" w:lineRule="auto"/>
        <w:tabs>
          <w:tab w:leader="none" w:pos="620" w:val="left"/>
        </w:tabs>
        <w:numPr>
          <w:ilvl w:val="0"/>
          <w:numId w:val="344"/>
        </w:numPr>
        <w:rPr>
          <w:rFonts w:ascii="Arial" w:cs="Arial" w:eastAsia="Arial" w:hAnsi="Arial"/>
          <w:sz w:val="17"/>
          <w:szCs w:val="17"/>
          <w:color w:val="auto"/>
        </w:rPr>
      </w:pPr>
      <w:r>
        <w:rPr>
          <w:rFonts w:ascii="Arial" w:cs="Arial" w:eastAsia="Arial" w:hAnsi="Arial"/>
          <w:sz w:val="17"/>
          <w:szCs w:val="17"/>
          <w:b w:val="1"/>
          <w:bCs w:val="1"/>
          <w:u w:val="single" w:color="auto"/>
          <w:color w:val="auto"/>
        </w:rPr>
        <w:t>Responsibility for Taxes</w:t>
      </w:r>
      <w:r>
        <w:rPr>
          <w:rFonts w:ascii="Arial" w:cs="Arial" w:eastAsia="Arial" w:hAnsi="Arial"/>
          <w:sz w:val="17"/>
          <w:szCs w:val="17"/>
          <w:color w:val="auto"/>
        </w:rPr>
        <w:t>. As a condition to the grant, vesting, and settlement of the RSUs, Participant acknowledges that, regardless of any</w:t>
      </w:r>
      <w:r>
        <w:rPr>
          <w:rFonts w:ascii="Arial" w:cs="Arial" w:eastAsia="Arial" w:hAnsi="Arial"/>
          <w:sz w:val="17"/>
          <w:szCs w:val="17"/>
          <w:b w:val="1"/>
          <w:bCs w:val="1"/>
          <w:color w:val="auto"/>
        </w:rPr>
        <w:t xml:space="preserve"> </w:t>
      </w:r>
      <w:r>
        <w:rPr>
          <w:rFonts w:ascii="Arial" w:cs="Arial" w:eastAsia="Arial" w:hAnsi="Arial"/>
          <w:sz w:val="17"/>
          <w:szCs w:val="17"/>
          <w:color w:val="auto"/>
        </w:rPr>
        <w:t>action taken by the Company or, if different, Participant’s employer (the “</w:t>
      </w:r>
      <w:r>
        <w:rPr>
          <w:rFonts w:ascii="Arial" w:cs="Arial" w:eastAsia="Arial" w:hAnsi="Arial"/>
          <w:sz w:val="17"/>
          <w:szCs w:val="17"/>
          <w:u w:val="single" w:color="auto"/>
          <w:color w:val="auto"/>
        </w:rPr>
        <w:t>Employer</w:t>
      </w:r>
      <w:r>
        <w:rPr>
          <w:rFonts w:ascii="Arial" w:cs="Arial" w:eastAsia="Arial" w:hAnsi="Arial"/>
          <w:sz w:val="17"/>
          <w:szCs w:val="17"/>
          <w:color w:val="auto"/>
        </w:rPr>
        <w:t>”), the ultimate liability for all income tax, social insurance, payroll tax, fringe benefits tax, payment on account or other tax-related items or required deductions or payments legally applicable to Participant and related to the receipt, vesting or settlement of the RSUs, the issuance or subsequent sale of the Shares allocated to the RSUs, or the participation in the Plan (“</w:t>
      </w:r>
      <w:r>
        <w:rPr>
          <w:rFonts w:ascii="Arial" w:cs="Arial" w:eastAsia="Arial" w:hAnsi="Arial"/>
          <w:sz w:val="17"/>
          <w:szCs w:val="17"/>
          <w:u w:val="single" w:color="auto"/>
          <w:color w:val="auto"/>
        </w:rPr>
        <w:t>Tax-Related Items</w:t>
      </w:r>
      <w:r>
        <w:rPr>
          <w:rFonts w:ascii="Arial" w:cs="Arial" w:eastAsia="Arial" w:hAnsi="Arial"/>
          <w:sz w:val="17"/>
          <w:szCs w:val="17"/>
          <w:color w:val="auto"/>
        </w:rPr>
        <w:t>”) is and remains Participant’s responsibility and may exceed the amount actually withheld by the Company or the Employer. Participant further acknowledges and agrees that Participant is solely responsible for filing all relevant documentation that may be required in relation to the RSUs or any Tax-Related Items (other than filings or documentation that is the specific obligation of the Company or any member of the Company Group pursuant to Applicable Law), such as, but not limited to, personal income tax returns or reporting statements in relation to the receipt, vesting or settlement of the RSUs, the issuance of the Shares allocated to the RSUs, the holding of Shares or any bank or brokerage account, the subsequent sale of Shares, and the receipt of any dividends.</w:t>
      </w:r>
    </w:p>
    <w:p>
      <w:pPr>
        <w:spacing w:after="0" w:line="181"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Participant further acknowledges that the Company and/or the Employer: (i) make no representations or undertakings regarding the treatment of any Tax-Related Items in connection with any aspect of the RSUs, including, but not limited to, the receipt, vesting or settlement of the RSUs, the issuance or subsequent sale of the Shares allocated to the RSUs and the receipt of any dividends; and (ii) do not commit to and are under no obligation to structure the terms of the grant or any aspect of the RSUs to reduce or eliminate Participant’s liability for Tax-Related Items or achieve any particular tax result. Participant also understands that Applicable Laws may require varying RSU or Share valuation methods for purposes of calculating Tax-Related Items, and the Company assumes no responsibility or liability in relation to any such valuation or for any calculation or reporting of income or Tax-Related Items that may be required of Participant under Applicable Laws.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ectPr>
          <w:pgSz w:w="11900" w:h="16838" w:orient="portrait"/>
          <w:cols w:equalWidth="0" w:num="1">
            <w:col w:w="10980"/>
          </w:cols>
          <w:pgMar w:left="440" w:top="274" w:right="479" w:bottom="1440" w:gutter="0" w:footer="0" w:header="0"/>
        </w:sectPr>
      </w:pPr>
    </w:p>
    <w:bookmarkStart w:id="369" w:name="page370"/>
    <w:bookmarkEnd w:id="36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ADOPTED November 20, 2019</w:t>
      </w:r>
    </w:p>
    <w:p>
      <w:pPr>
        <w:spacing w:after="0" w:line="158"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Further, if Participant is subject to Tax-Related Items in more than one jurisdiction between the Date of Grant and the date of any relevant taxable or tax withholding event, as applicable, Participant acknowledges that the Company and/or the Employer (or former employer, as applicable) may be required to withhold or account for Tax-Related Items in more than one jurisdiction.</w:t>
      </w:r>
    </w:p>
    <w:p>
      <w:pPr>
        <w:spacing w:after="0" w:line="184"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Prior to the relevant taxable or tax withholding event, as applicable, Participant agrees to make adequate arrangements satisfactory to the Company and/or the Employer to satisfy all Tax- Related Items. In this regard, Participant authorizes the Company and/or the Employer, or their respective agents, at their discretion, to satisfy their tax and/or withholding obligations with regard to all Tax-Related Items by (i) withholding from Participant’s wages or other compensation paid to Participant by the Company or the Employer, (ii) withholding from proceeds of the sale of Shares acquired pursuant to the RSUs either through a voluntary sale or through a mandatory sale arranged by the Company (on Participant’s behalf pursuant to this authorization) without further consent, (iii) withholding Shares that would otherwise be issued upon settlement of the RSUs or (iv) such other method as determined by the Company or the Employer to be in compliance with Applicable Laws.</w:t>
      </w:r>
    </w:p>
    <w:p>
      <w:pPr>
        <w:spacing w:after="0" w:line="17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Depending on the method of satisfying the tax and/or withholding obligations with regard to the Tax-Related Items, the Company may withhold or account for Tax-Related Items by considering applicable minimum statutory withholding amounts or other applicable tax or withholding rates, including maximum applicable rates, in which case Participant will receive a refund of any over-withheld or over-paid amount in cash and will have no entitlement to the Share equivalent.</w:t>
      </w:r>
    </w:p>
    <w:p>
      <w:pPr>
        <w:spacing w:after="0" w:line="187" w:lineRule="exact"/>
        <w:rPr>
          <w:sz w:val="20"/>
          <w:szCs w:val="20"/>
          <w:color w:val="auto"/>
        </w:rPr>
      </w:pPr>
    </w:p>
    <w:p>
      <w:pPr>
        <w:ind w:right="180" w:firstLine="440"/>
        <w:spacing w:after="0" w:line="257" w:lineRule="auto"/>
        <w:rPr>
          <w:sz w:val="20"/>
          <w:szCs w:val="20"/>
          <w:color w:val="auto"/>
        </w:rPr>
      </w:pPr>
      <w:r>
        <w:rPr>
          <w:rFonts w:ascii="Arial" w:cs="Arial" w:eastAsia="Arial" w:hAnsi="Arial"/>
          <w:sz w:val="18"/>
          <w:szCs w:val="18"/>
          <w:color w:val="auto"/>
        </w:rPr>
        <w:t>Finally, Participant agrees to pay to the Company or the Employer any amount of Tax- Related Items that the Company or the Employer may be required to pay, withhold or account for as a result of Participant’s receipt, vesting or settlement of the RSUs, the issuance or subsequent sale of the Shares allocated to the RSUs or the participation in the Plan that cannot be satisfied by the means previously described. The Company may refuse to issue or deliver the Shares or the proceeds of the sale of Shares if Participant fails to comply with Participant’s obligations in connection with the Tax-Related Items.</w:t>
      </w:r>
    </w:p>
    <w:p>
      <w:pPr>
        <w:spacing w:after="0" w:line="76" w:lineRule="exact"/>
        <w:rPr>
          <w:sz w:val="20"/>
          <w:szCs w:val="20"/>
          <w:color w:val="auto"/>
        </w:rPr>
      </w:pPr>
    </w:p>
    <w:p>
      <w:pPr>
        <w:ind w:left="620" w:hanging="184"/>
        <w:spacing w:after="0"/>
        <w:tabs>
          <w:tab w:leader="none" w:pos="620" w:val="left"/>
        </w:tabs>
        <w:numPr>
          <w:ilvl w:val="0"/>
          <w:numId w:val="345"/>
        </w:numPr>
        <w:rPr>
          <w:rFonts w:ascii="Arial" w:cs="Arial" w:eastAsia="Arial" w:hAnsi="Arial"/>
          <w:sz w:val="18"/>
          <w:szCs w:val="18"/>
          <w:color w:val="auto"/>
        </w:rPr>
      </w:pPr>
      <w:r>
        <w:rPr>
          <w:rFonts w:ascii="Arial" w:cs="Arial" w:eastAsia="Arial" w:hAnsi="Arial"/>
          <w:sz w:val="18"/>
          <w:szCs w:val="18"/>
          <w:b w:val="1"/>
          <w:bCs w:val="1"/>
          <w:u w:val="single" w:color="auto"/>
          <w:color w:val="auto"/>
        </w:rPr>
        <w:t>Nature of Grant</w:t>
      </w:r>
      <w:r>
        <w:rPr>
          <w:rFonts w:ascii="Arial" w:cs="Arial" w:eastAsia="Arial" w:hAnsi="Arial"/>
          <w:sz w:val="18"/>
          <w:szCs w:val="18"/>
          <w:color w:val="auto"/>
        </w:rPr>
        <w:t>. In accepting the RSUs, Participant acknowledges, understands and agrees that:</w:t>
      </w:r>
    </w:p>
    <w:p>
      <w:pPr>
        <w:spacing w:after="0" w:line="121" w:lineRule="exact"/>
        <w:rPr>
          <w:rFonts w:ascii="Arial" w:cs="Arial" w:eastAsia="Arial" w:hAnsi="Arial"/>
          <w:sz w:val="18"/>
          <w:szCs w:val="18"/>
          <w:color w:val="auto"/>
        </w:rPr>
      </w:pPr>
    </w:p>
    <w:p>
      <w:pPr>
        <w:ind w:right="300" w:firstLine="987"/>
        <w:spacing w:after="0" w:line="277" w:lineRule="auto"/>
        <w:tabs>
          <w:tab w:leader="none" w:pos="1236" w:val="left"/>
        </w:tabs>
        <w:numPr>
          <w:ilvl w:val="1"/>
          <w:numId w:val="345"/>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is discretionary in nature, and may be amended, suspended or terminated by the Company at any time, to the extent permitted by the Plan;</w:t>
      </w:r>
    </w:p>
    <w:p>
      <w:pPr>
        <w:spacing w:after="0" w:line="62" w:lineRule="exact"/>
        <w:rPr>
          <w:rFonts w:ascii="Arial" w:cs="Arial" w:eastAsia="Arial" w:hAnsi="Arial"/>
          <w:sz w:val="18"/>
          <w:szCs w:val="18"/>
          <w:color w:val="auto"/>
        </w:rPr>
      </w:pPr>
    </w:p>
    <w:p>
      <w:pPr>
        <w:ind w:firstLine="987"/>
        <w:spacing w:after="0" w:line="277" w:lineRule="auto"/>
        <w:tabs>
          <w:tab w:leader="none" w:pos="1246" w:val="left"/>
        </w:tabs>
        <w:numPr>
          <w:ilvl w:val="1"/>
          <w:numId w:val="345"/>
        </w:numPr>
        <w:rPr>
          <w:rFonts w:ascii="Arial" w:cs="Arial" w:eastAsia="Arial" w:hAnsi="Arial"/>
          <w:sz w:val="18"/>
          <w:szCs w:val="18"/>
          <w:color w:val="auto"/>
        </w:rPr>
      </w:pPr>
      <w:r>
        <w:rPr>
          <w:rFonts w:ascii="Arial" w:cs="Arial" w:eastAsia="Arial" w:hAnsi="Arial"/>
          <w:sz w:val="18"/>
          <w:szCs w:val="18"/>
          <w:color w:val="auto"/>
        </w:rPr>
        <w:t>the grant of the RSUs is voluntary and occasional and does not create any contractual or other right to receive future grants of restricted stock units, or benefits in lieu of restricted stock units, even if restricted stock units have been granted in the past;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ectPr>
          <w:pgSz w:w="11900" w:h="16838" w:orient="portrait"/>
          <w:cols w:equalWidth="0" w:num="1">
            <w:col w:w="11000"/>
          </w:cols>
          <w:pgMar w:left="440" w:top="274" w:right="459" w:bottom="1440" w:gutter="0" w:footer="0" w:header="0"/>
        </w:sectPr>
      </w:pPr>
    </w:p>
    <w:bookmarkStart w:id="370" w:name="page371"/>
    <w:bookmarkEnd w:id="37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ADOPTED November 20, 2019</w:t>
      </w:r>
    </w:p>
    <w:p>
      <w:pPr>
        <w:spacing w:after="0" w:line="158" w:lineRule="exact"/>
        <w:rPr>
          <w:sz w:val="20"/>
          <w:szCs w:val="20"/>
          <w:color w:val="auto"/>
        </w:rPr>
      </w:pPr>
    </w:p>
    <w:p>
      <w:pPr>
        <w:ind w:left="1240" w:hanging="253"/>
        <w:spacing w:after="0"/>
        <w:tabs>
          <w:tab w:leader="none" w:pos="1240" w:val="left"/>
        </w:tabs>
        <w:numPr>
          <w:ilvl w:val="0"/>
          <w:numId w:val="346"/>
        </w:numPr>
        <w:rPr>
          <w:rFonts w:ascii="Arial" w:cs="Arial" w:eastAsia="Arial" w:hAnsi="Arial"/>
          <w:sz w:val="17"/>
          <w:szCs w:val="17"/>
          <w:color w:val="auto"/>
        </w:rPr>
      </w:pPr>
      <w:r>
        <w:rPr>
          <w:rFonts w:ascii="Arial" w:cs="Arial" w:eastAsia="Arial" w:hAnsi="Arial"/>
          <w:sz w:val="17"/>
          <w:szCs w:val="17"/>
          <w:color w:val="auto"/>
        </w:rPr>
        <w:t>all decisions with respect to future restricted stock units or other grants, if any, will be at the sole discretion of the Company;</w:t>
      </w:r>
    </w:p>
    <w:p>
      <w:pPr>
        <w:spacing w:after="0" w:line="128" w:lineRule="exact"/>
        <w:rPr>
          <w:rFonts w:ascii="Arial" w:cs="Arial" w:eastAsia="Arial" w:hAnsi="Arial"/>
          <w:sz w:val="17"/>
          <w:szCs w:val="17"/>
          <w:color w:val="auto"/>
        </w:rPr>
      </w:pPr>
    </w:p>
    <w:p>
      <w:pPr>
        <w:ind w:left="1240" w:hanging="253"/>
        <w:spacing w:after="0"/>
        <w:tabs>
          <w:tab w:leader="none" w:pos="124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Participant is voluntarily participating in the Plan;</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the RSUs and the Shares allocated to the RSUs are not intended to replace any pension rights or compensation;</w:t>
      </w:r>
    </w:p>
    <w:p>
      <w:pPr>
        <w:spacing w:after="0" w:line="117" w:lineRule="exact"/>
        <w:rPr>
          <w:rFonts w:ascii="Arial" w:cs="Arial" w:eastAsia="Arial" w:hAnsi="Arial"/>
          <w:sz w:val="18"/>
          <w:szCs w:val="18"/>
          <w:color w:val="auto"/>
        </w:rPr>
      </w:pPr>
    </w:p>
    <w:p>
      <w:pPr>
        <w:ind w:right="20" w:firstLine="987"/>
        <w:spacing w:after="0" w:line="263" w:lineRule="auto"/>
        <w:tabs>
          <w:tab w:leader="none" w:pos="1216" w:val="left"/>
        </w:tabs>
        <w:numPr>
          <w:ilvl w:val="0"/>
          <w:numId w:val="346"/>
        </w:numPr>
        <w:rPr>
          <w:rFonts w:ascii="Arial" w:cs="Arial" w:eastAsia="Arial" w:hAnsi="Arial"/>
          <w:sz w:val="18"/>
          <w:szCs w:val="18"/>
          <w:color w:val="auto"/>
        </w:rPr>
      </w:pPr>
      <w:r>
        <w:rPr>
          <w:rFonts w:ascii="Arial" w:cs="Arial" w:eastAsia="Arial" w:hAnsi="Arial"/>
          <w:sz w:val="18"/>
          <w:szCs w:val="18"/>
          <w:color w:val="auto"/>
        </w:rPr>
        <w:t>the RSUs and the Shares allocated to the RSUs, and the income and value of same, are not part of normal or expected compensation for any purpose, including, without limitation, calculating any severance, resignation, termination, redundancy, dismissal, end-of- service payments, bonuses, long-service awards, pension or retirement or welfare benefits or similar payments;</w:t>
      </w:r>
    </w:p>
    <w:p>
      <w:pPr>
        <w:spacing w:after="0" w:line="75" w:lineRule="exact"/>
        <w:rPr>
          <w:rFonts w:ascii="Arial" w:cs="Arial" w:eastAsia="Arial" w:hAnsi="Arial"/>
          <w:sz w:val="18"/>
          <w:szCs w:val="18"/>
          <w:color w:val="auto"/>
        </w:rPr>
      </w:pPr>
    </w:p>
    <w:p>
      <w:pPr>
        <w:ind w:left="1240" w:hanging="253"/>
        <w:spacing w:after="0"/>
        <w:tabs>
          <w:tab w:leader="none" w:pos="124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the future value of the Shares is unknown, indeterminable, and cannot be predicted with certainty;</w:t>
      </w:r>
    </w:p>
    <w:p>
      <w:pPr>
        <w:spacing w:after="0" w:line="117" w:lineRule="exact"/>
        <w:rPr>
          <w:rFonts w:ascii="Arial" w:cs="Arial" w:eastAsia="Arial" w:hAnsi="Arial"/>
          <w:sz w:val="18"/>
          <w:szCs w:val="18"/>
          <w:color w:val="auto"/>
        </w:rPr>
      </w:pPr>
    </w:p>
    <w:p>
      <w:pPr>
        <w:ind w:right="100" w:firstLine="987"/>
        <w:spacing w:after="0" w:line="277" w:lineRule="auto"/>
        <w:tabs>
          <w:tab w:leader="none" w:pos="1246" w:val="left"/>
        </w:tabs>
        <w:numPr>
          <w:ilvl w:val="0"/>
          <w:numId w:val="346"/>
        </w:numPr>
        <w:rPr>
          <w:rFonts w:ascii="Arial" w:cs="Arial" w:eastAsia="Arial" w:hAnsi="Arial"/>
          <w:sz w:val="18"/>
          <w:szCs w:val="18"/>
          <w:color w:val="auto"/>
        </w:rPr>
      </w:pPr>
      <w:r>
        <w:rPr>
          <w:rFonts w:ascii="Arial" w:cs="Arial" w:eastAsia="Arial" w:hAnsi="Arial"/>
          <w:sz w:val="18"/>
          <w:szCs w:val="18"/>
          <w:color w:val="auto"/>
        </w:rPr>
        <w:t>if the RSUs are settled and Participant receives some or all of the Shares allocated to the RSUs, the value of such Shares may increase or decrease in value;</w:t>
      </w:r>
    </w:p>
    <w:p>
      <w:pPr>
        <w:spacing w:after="0" w:line="62" w:lineRule="exact"/>
        <w:rPr>
          <w:rFonts w:ascii="Arial" w:cs="Arial" w:eastAsia="Arial" w:hAnsi="Arial"/>
          <w:sz w:val="18"/>
          <w:szCs w:val="18"/>
          <w:color w:val="auto"/>
        </w:rPr>
      </w:pPr>
    </w:p>
    <w:p>
      <w:pPr>
        <w:ind w:right="80" w:firstLine="987"/>
        <w:spacing w:after="0" w:line="291" w:lineRule="auto"/>
        <w:tabs>
          <w:tab w:leader="none" w:pos="1206" w:val="left"/>
        </w:tabs>
        <w:numPr>
          <w:ilvl w:val="0"/>
          <w:numId w:val="346"/>
        </w:numPr>
        <w:rPr>
          <w:rFonts w:ascii="Arial" w:cs="Arial" w:eastAsia="Arial" w:hAnsi="Arial"/>
          <w:sz w:val="16"/>
          <w:szCs w:val="16"/>
          <w:color w:val="auto"/>
        </w:rPr>
      </w:pPr>
      <w:r>
        <w:rPr>
          <w:rFonts w:ascii="Arial" w:cs="Arial" w:eastAsia="Arial" w:hAnsi="Arial"/>
          <w:sz w:val="16"/>
          <w:szCs w:val="16"/>
          <w:color w:val="auto"/>
        </w:rPr>
        <w:t>no claim or entitlement to compensation or damages shall arise from forfeiture of the RSUs resulting from the termination of Participant’s Continuous Service Status (for any reason whatsoever, whether or not later found to be invalid or in breach of employment laws in the jurisdiction where Participant is employed or the terms of Participant’s employment agreement, if any), and in consideration of the grant of the RSUs to which Participant is otherwise not entitled, Participant irrevocably agrees never to institute any claim against the Company Group, waives Participant’s ability, if any, to bring any such claim, and releases the Company Group from any such claim; if, notwithstanding the foregoing, any such claim is allowed by a court of competent jurisdiction, then, by participating in the Plan, Participant shall be deemed irrevocably to have agreed not to pursue such claim and agree to execute any and all documents necessary to request dismissal or withdrawal of such claim;</w:t>
      </w:r>
    </w:p>
    <w:p>
      <w:pPr>
        <w:spacing w:after="0" w:line="58" w:lineRule="exact"/>
        <w:rPr>
          <w:rFonts w:ascii="Arial" w:cs="Arial" w:eastAsia="Arial" w:hAnsi="Arial"/>
          <w:sz w:val="16"/>
          <w:szCs w:val="16"/>
          <w:color w:val="auto"/>
        </w:rPr>
      </w:pPr>
    </w:p>
    <w:p>
      <w:pPr>
        <w:ind w:firstLine="987"/>
        <w:spacing w:after="0" w:line="286" w:lineRule="auto"/>
        <w:tabs>
          <w:tab w:leader="none" w:pos="1206" w:val="left"/>
        </w:tabs>
        <w:numPr>
          <w:ilvl w:val="0"/>
          <w:numId w:val="346"/>
        </w:numPr>
        <w:rPr>
          <w:rFonts w:ascii="Arial" w:cs="Arial" w:eastAsia="Arial" w:hAnsi="Arial"/>
          <w:sz w:val="17"/>
          <w:szCs w:val="17"/>
          <w:color w:val="auto"/>
        </w:rPr>
      </w:pPr>
      <w:r>
        <w:rPr>
          <w:rFonts w:ascii="Arial" w:cs="Arial" w:eastAsia="Arial" w:hAnsi="Arial"/>
          <w:sz w:val="17"/>
          <w:szCs w:val="17"/>
          <w:color w:val="auto"/>
        </w:rPr>
        <w:t>unless otherwise provided in the Plan or by the Company in its discretion, the RSUs and the benefits evidenced by the RSU Grant Notice and this Agreement do not create any entitlement to have the RSUs or any such benefits transferred to, or assumed by, another company nor to be exchanged, cashed out or substituted for, in connection with any corporate transaction affecting the Shares; and</w:t>
      </w:r>
    </w:p>
    <w:p>
      <w:pPr>
        <w:spacing w:after="0" w:line="57" w:lineRule="exact"/>
        <w:rPr>
          <w:rFonts w:ascii="Arial" w:cs="Arial" w:eastAsia="Arial" w:hAnsi="Arial"/>
          <w:sz w:val="17"/>
          <w:szCs w:val="17"/>
          <w:color w:val="auto"/>
        </w:rPr>
      </w:pPr>
    </w:p>
    <w:p>
      <w:pPr>
        <w:ind w:right="20" w:firstLine="987"/>
        <w:spacing w:after="0" w:line="259" w:lineRule="auto"/>
        <w:tabs>
          <w:tab w:leader="none" w:pos="1246" w:val="left"/>
        </w:tabs>
        <w:numPr>
          <w:ilvl w:val="0"/>
          <w:numId w:val="346"/>
        </w:numPr>
        <w:rPr>
          <w:rFonts w:ascii="Arial" w:cs="Arial" w:eastAsia="Arial" w:hAnsi="Arial"/>
          <w:sz w:val="18"/>
          <w:szCs w:val="18"/>
          <w:color w:val="auto"/>
        </w:rPr>
      </w:pPr>
      <w:r>
        <w:rPr>
          <w:rFonts w:ascii="Arial" w:cs="Arial" w:eastAsia="Arial" w:hAnsi="Arial"/>
          <w:sz w:val="18"/>
          <w:szCs w:val="18"/>
          <w:color w:val="auto"/>
        </w:rPr>
        <w:t>no entity in the Company Group shall be liable for any foreign exchange rate fluctuation between Participant’s local currency and the United States Dollar or the selection by the Company or any member of the Company Group in its sole discretion of an applicable foreign exchange rate that may affect the value of the RSUs (or the calculation of income or Tax- Related Items thereunder) or of any amounts due to Participant pursuant to the settlement of the RSUs or the subsequent sale of the Shares allocated to the RSUs.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4</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ectPr>
          <w:pgSz w:w="11900" w:h="16838" w:orient="portrait"/>
          <w:cols w:equalWidth="0" w:num="1">
            <w:col w:w="11000"/>
          </w:cols>
          <w:pgMar w:left="440" w:top="274" w:right="459" w:bottom="1440" w:gutter="0" w:footer="0" w:header="0"/>
        </w:sectPr>
      </w:pPr>
    </w:p>
    <w:bookmarkStart w:id="371" w:name="page372"/>
    <w:bookmarkEnd w:id="37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ADOPTED November 20, 2019</w:t>
      </w:r>
    </w:p>
    <w:p>
      <w:pPr>
        <w:spacing w:after="0" w:line="154" w:lineRule="exact"/>
        <w:rPr>
          <w:sz w:val="20"/>
          <w:szCs w:val="20"/>
          <w:color w:val="auto"/>
        </w:rPr>
      </w:pPr>
    </w:p>
    <w:p>
      <w:pPr>
        <w:ind w:right="220" w:firstLine="436"/>
        <w:spacing w:after="0" w:line="274" w:lineRule="auto"/>
        <w:tabs>
          <w:tab w:leader="none" w:pos="620" w:val="left"/>
        </w:tabs>
        <w:numPr>
          <w:ilvl w:val="0"/>
          <w:numId w:val="347"/>
        </w:numPr>
        <w:rPr>
          <w:rFonts w:ascii="Arial" w:cs="Arial" w:eastAsia="Arial" w:hAnsi="Arial"/>
          <w:sz w:val="17"/>
          <w:szCs w:val="17"/>
          <w:color w:val="auto"/>
        </w:rPr>
      </w:pPr>
      <w:r>
        <w:rPr>
          <w:rFonts w:ascii="Arial" w:cs="Arial" w:eastAsia="Arial" w:hAnsi="Arial"/>
          <w:sz w:val="17"/>
          <w:szCs w:val="17"/>
          <w:b w:val="1"/>
          <w:bCs w:val="1"/>
          <w:u w:val="single" w:color="auto"/>
          <w:color w:val="auto"/>
        </w:rPr>
        <w:t>Limitations on Transfer of Shares</w:t>
      </w:r>
      <w:r>
        <w:rPr>
          <w:rFonts w:ascii="Arial" w:cs="Arial" w:eastAsia="Arial" w:hAnsi="Arial"/>
          <w:sz w:val="17"/>
          <w:szCs w:val="17"/>
          <w:color w:val="auto"/>
        </w:rPr>
        <w:t>. Participant acknowledges and agrees that the Shares issued under this Agreement are subject to (i) the</w:t>
      </w:r>
      <w:r>
        <w:rPr>
          <w:rFonts w:ascii="Arial" w:cs="Arial" w:eastAsia="Arial" w:hAnsi="Arial"/>
          <w:sz w:val="17"/>
          <w:szCs w:val="17"/>
          <w:b w:val="1"/>
          <w:bCs w:val="1"/>
          <w:color w:val="auto"/>
        </w:rPr>
        <w:t xml:space="preserve"> </w:t>
      </w:r>
      <w:r>
        <w:rPr>
          <w:rFonts w:ascii="Arial" w:cs="Arial" w:eastAsia="Arial" w:hAnsi="Arial"/>
          <w:sz w:val="17"/>
          <w:szCs w:val="17"/>
          <w:color w:val="auto"/>
        </w:rPr>
        <w:t>terms and conditions that apply to the Company’s Common Stock, as set forth in the Company’s Amended and Restated Bylaws, including (without limitation) certain transfer restrictions set forth in Article X of the Company’s Amended and Restated Bylaws, as may be in effect at the time of any proposed transfer (the “</w:t>
      </w:r>
      <w:r>
        <w:rPr>
          <w:rFonts w:ascii="Arial" w:cs="Arial" w:eastAsia="Arial" w:hAnsi="Arial"/>
          <w:sz w:val="17"/>
          <w:szCs w:val="17"/>
          <w:u w:val="single" w:color="auto"/>
          <w:color w:val="auto"/>
        </w:rPr>
        <w:t>Bylaw Restrictions</w:t>
      </w:r>
      <w:r>
        <w:rPr>
          <w:rFonts w:ascii="Arial" w:cs="Arial" w:eastAsia="Arial" w:hAnsi="Arial"/>
          <w:sz w:val="17"/>
          <w:szCs w:val="17"/>
          <w:color w:val="auto"/>
        </w:rPr>
        <w:t>”), and (ii) any other limitation or restriction on transfer created by Applicable Laws. Participant shall not assign, encumber or dispose of any interest in the Shares issued pursuant to this Agreement except to the extent permitted by, and in compliance with, the Bylaw Restrictions, Applicable Laws, and the provisions below.</w:t>
      </w:r>
    </w:p>
    <w:p>
      <w:pPr>
        <w:spacing w:after="0" w:line="65" w:lineRule="exact"/>
        <w:rPr>
          <w:rFonts w:ascii="Arial" w:cs="Arial" w:eastAsia="Arial" w:hAnsi="Arial"/>
          <w:sz w:val="17"/>
          <w:szCs w:val="17"/>
          <w:color w:val="auto"/>
        </w:rPr>
      </w:pPr>
    </w:p>
    <w:p>
      <w:pPr>
        <w:ind w:firstLine="987"/>
        <w:spacing w:after="0" w:line="269" w:lineRule="auto"/>
        <w:tabs>
          <w:tab w:leader="none" w:pos="1236" w:val="left"/>
        </w:tabs>
        <w:numPr>
          <w:ilvl w:val="1"/>
          <w:numId w:val="347"/>
        </w:numPr>
        <w:rPr>
          <w:rFonts w:ascii="Arial" w:cs="Arial" w:eastAsia="Arial" w:hAnsi="Arial"/>
          <w:sz w:val="17"/>
          <w:szCs w:val="17"/>
          <w:color w:val="auto"/>
        </w:rPr>
      </w:pPr>
      <w:r>
        <w:rPr>
          <w:rFonts w:ascii="Arial" w:cs="Arial" w:eastAsia="Arial" w:hAnsi="Arial"/>
          <w:sz w:val="17"/>
          <w:szCs w:val="17"/>
          <w:b w:val="1"/>
          <w:bCs w:val="1"/>
          <w:u w:val="single" w:color="auto"/>
          <w:color w:val="auto"/>
        </w:rPr>
        <w:t>Transfer Restrictions; Right of First Refusal</w:t>
      </w:r>
      <w:r>
        <w:rPr>
          <w:rFonts w:ascii="Arial" w:cs="Arial" w:eastAsia="Arial" w:hAnsi="Arial"/>
          <w:sz w:val="17"/>
          <w:szCs w:val="17"/>
          <w:color w:val="auto"/>
        </w:rPr>
        <w:t>. Before any Shares held by Participant or any transferee of Participant (either being</w:t>
      </w:r>
      <w:r>
        <w:rPr>
          <w:rFonts w:ascii="Arial" w:cs="Arial" w:eastAsia="Arial" w:hAnsi="Arial"/>
          <w:sz w:val="17"/>
          <w:szCs w:val="17"/>
          <w:b w:val="1"/>
          <w:bCs w:val="1"/>
          <w:color w:val="auto"/>
        </w:rPr>
        <w:t xml:space="preserve"> </w:t>
      </w:r>
      <w:r>
        <w:rPr>
          <w:rFonts w:ascii="Arial" w:cs="Arial" w:eastAsia="Arial" w:hAnsi="Arial"/>
          <w:sz w:val="17"/>
          <w:szCs w:val="17"/>
          <w:color w:val="auto"/>
        </w:rPr>
        <w:t>sometimes referred to herein as the “</w:t>
      </w:r>
      <w:r>
        <w:rPr>
          <w:rFonts w:ascii="Arial" w:cs="Arial" w:eastAsia="Arial" w:hAnsi="Arial"/>
          <w:sz w:val="17"/>
          <w:szCs w:val="17"/>
          <w:u w:val="single" w:color="auto"/>
          <w:color w:val="auto"/>
        </w:rPr>
        <w:t>Holder</w:t>
      </w:r>
      <w:r>
        <w:rPr>
          <w:rFonts w:ascii="Arial" w:cs="Arial" w:eastAsia="Arial" w:hAnsi="Arial"/>
          <w:sz w:val="17"/>
          <w:szCs w:val="17"/>
          <w:color w:val="auto"/>
        </w:rPr>
        <w:t>”) may be sold or otherwise transferred (including transfer by gift or operation of law), the Company shall first, to the extent the Company’s approval is required by the Plan or any applicable Bylaw Restrictions, have the right to approve such sale or transfer, in full or in part, and shall then have the right to purchase all or any part of the Shares proposed to be sold or transferred, in each case, in its sole and absolute discretion (the “</w:t>
      </w:r>
      <w:r>
        <w:rPr>
          <w:rFonts w:ascii="Arial" w:cs="Arial" w:eastAsia="Arial" w:hAnsi="Arial"/>
          <w:sz w:val="17"/>
          <w:szCs w:val="17"/>
          <w:u w:val="single" w:color="auto"/>
          <w:color w:val="auto"/>
        </w:rPr>
        <w:t>Right of First Refusal</w:t>
      </w:r>
      <w:r>
        <w:rPr>
          <w:rFonts w:ascii="Arial" w:cs="Arial" w:eastAsia="Arial" w:hAnsi="Arial"/>
          <w:sz w:val="17"/>
          <w:szCs w:val="17"/>
          <w:color w:val="auto"/>
        </w:rPr>
        <w:t>”). If the Holder would like to sell or transfer any Shares issued pursuant to this Agreement, the Holder must provide the Company or its assignee(s) with a Notice (as defined below) requesting approval to sell or transfer the Shares and offering the Company or its assignee(s) a Right of First Refusal on the same terms and conditions set forth in this Section 7(a). The Company may either (1) exercise its Right of First Refusal in full or in part and purchase such Shares pursuant to this Section 7(a), (2) decline to exercise its Right of First Refusal in full or in part and permit the transfer of such Shares to the Proposed Transferee (as defined below) in full or in part or (3) decline to exercise its Right of First Refusal in full or in part and, to the extent the Company’s approval is required by the Plan or any applicable Bylaw Restrictions, decline the request to sell or transfer the Shares in full or in part.</w:t>
      </w:r>
    </w:p>
    <w:p>
      <w:pPr>
        <w:spacing w:after="0" w:line="73" w:lineRule="exact"/>
        <w:rPr>
          <w:rFonts w:ascii="Arial" w:cs="Arial" w:eastAsia="Arial" w:hAnsi="Arial"/>
          <w:sz w:val="17"/>
          <w:szCs w:val="17"/>
          <w:color w:val="auto"/>
        </w:rPr>
      </w:pPr>
    </w:p>
    <w:p>
      <w:pPr>
        <w:ind w:firstLine="1428"/>
        <w:spacing w:after="0" w:line="298" w:lineRule="auto"/>
        <w:tabs>
          <w:tab w:leader="none" w:pos="1647" w:val="left"/>
        </w:tabs>
        <w:numPr>
          <w:ilvl w:val="2"/>
          <w:numId w:val="347"/>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 of Proposed Transfer</w:t>
      </w:r>
      <w:r>
        <w:rPr>
          <w:rFonts w:ascii="Arial" w:cs="Arial" w:eastAsia="Arial" w:hAnsi="Arial"/>
          <w:sz w:val="16"/>
          <w:szCs w:val="16"/>
          <w:color w:val="auto"/>
        </w:rPr>
        <w:t>. The Holder of the Shares issued pursuant to this Agreement shall deliver to the Company a written</w:t>
      </w:r>
      <w:r>
        <w:rPr>
          <w:rFonts w:ascii="Arial" w:cs="Arial" w:eastAsia="Arial" w:hAnsi="Arial"/>
          <w:sz w:val="16"/>
          <w:szCs w:val="16"/>
          <w:b w:val="1"/>
          <w:bCs w:val="1"/>
          <w:color w:val="auto"/>
        </w:rPr>
        <w:t xml:space="preserve"> </w:t>
      </w:r>
      <w:r>
        <w:rPr>
          <w:rFonts w:ascii="Arial" w:cs="Arial" w:eastAsia="Arial" w:hAnsi="Arial"/>
          <w:sz w:val="16"/>
          <w:szCs w:val="16"/>
          <w:color w:val="auto"/>
        </w:rPr>
        <w:t>notice (the “</w:t>
      </w:r>
      <w:r>
        <w:rPr>
          <w:rFonts w:ascii="Arial" w:cs="Arial" w:eastAsia="Arial" w:hAnsi="Arial"/>
          <w:sz w:val="16"/>
          <w:szCs w:val="16"/>
          <w:u w:val="single" w:color="auto"/>
          <w:color w:val="auto"/>
        </w:rPr>
        <w:t>Notice</w:t>
      </w:r>
      <w:r>
        <w:rPr>
          <w:rFonts w:ascii="Arial" w:cs="Arial" w:eastAsia="Arial" w:hAnsi="Arial"/>
          <w:sz w:val="16"/>
          <w:szCs w:val="16"/>
          <w:color w:val="auto"/>
        </w:rPr>
        <w:t>”) stating: (A) the Holder’s intention to sell or otherwise transfer such Shares; (B) the name of each proposed purchaser or other transferee (“</w:t>
      </w:r>
      <w:r>
        <w:rPr>
          <w:rFonts w:ascii="Arial" w:cs="Arial" w:eastAsia="Arial" w:hAnsi="Arial"/>
          <w:sz w:val="16"/>
          <w:szCs w:val="16"/>
          <w:u w:val="single" w:color="auto"/>
          <w:color w:val="auto"/>
        </w:rPr>
        <w:t>Proposed Transferee</w:t>
      </w:r>
      <w:r>
        <w:rPr>
          <w:rFonts w:ascii="Arial" w:cs="Arial" w:eastAsia="Arial" w:hAnsi="Arial"/>
          <w:sz w:val="16"/>
          <w:szCs w:val="16"/>
          <w:color w:val="auto"/>
        </w:rPr>
        <w:t>”); (C) the number of Shares to be sold or transferred to each Proposed Transferee; (D) the terms and conditions of each proposed sale or transfer, including (without limitation) the purchase price for such Shares (the “</w:t>
      </w:r>
      <w:r>
        <w:rPr>
          <w:rFonts w:ascii="Arial" w:cs="Arial" w:eastAsia="Arial" w:hAnsi="Arial"/>
          <w:sz w:val="16"/>
          <w:szCs w:val="16"/>
          <w:u w:val="single" w:color="auto"/>
          <w:color w:val="auto"/>
        </w:rPr>
        <w:t>Purchase Price</w:t>
      </w:r>
      <w:r>
        <w:rPr>
          <w:rFonts w:ascii="Arial" w:cs="Arial" w:eastAsia="Arial" w:hAnsi="Arial"/>
          <w:sz w:val="16"/>
          <w:szCs w:val="16"/>
          <w:color w:val="auto"/>
        </w:rPr>
        <w:t>”); and (E) the Holder’s offer to the Company or its assignee(s) to purchase the Shares at the Purchase Price and upon the same terms (or terms that are no less favorable to the Company).</w:t>
      </w:r>
    </w:p>
    <w:p>
      <w:pPr>
        <w:spacing w:after="0" w:line="45" w:lineRule="exact"/>
        <w:rPr>
          <w:rFonts w:ascii="Arial" w:cs="Arial" w:eastAsia="Arial" w:hAnsi="Arial"/>
          <w:sz w:val="16"/>
          <w:szCs w:val="16"/>
          <w:color w:val="auto"/>
        </w:rPr>
      </w:pPr>
    </w:p>
    <w:p>
      <w:pPr>
        <w:ind w:right="160" w:firstLine="1428"/>
        <w:spacing w:after="0" w:line="294" w:lineRule="auto"/>
        <w:tabs>
          <w:tab w:leader="none" w:pos="1697" w:val="left"/>
        </w:tabs>
        <w:numPr>
          <w:ilvl w:val="2"/>
          <w:numId w:val="347"/>
        </w:numPr>
        <w:rPr>
          <w:rFonts w:ascii="Arial" w:cs="Arial" w:eastAsia="Arial" w:hAnsi="Arial"/>
          <w:sz w:val="16"/>
          <w:szCs w:val="16"/>
          <w:color w:val="auto"/>
        </w:rPr>
      </w:pPr>
      <w:r>
        <w:rPr>
          <w:rFonts w:ascii="Arial" w:cs="Arial" w:eastAsia="Arial" w:hAnsi="Arial"/>
          <w:sz w:val="16"/>
          <w:szCs w:val="16"/>
          <w:b w:val="1"/>
          <w:bCs w:val="1"/>
          <w:u w:val="single" w:color="auto"/>
          <w:color w:val="auto"/>
        </w:rPr>
        <w:t>Exercise of Right of First Refusal</w:t>
      </w:r>
      <w:r>
        <w:rPr>
          <w:rFonts w:ascii="Arial" w:cs="Arial" w:eastAsia="Arial" w:hAnsi="Arial"/>
          <w:sz w:val="16"/>
          <w:szCs w:val="16"/>
          <w:color w:val="auto"/>
        </w:rPr>
        <w:t>. At any time within 30 days after receipt of the Notice, the Company and/or its assignee(s)</w:t>
      </w:r>
      <w:r>
        <w:rPr>
          <w:rFonts w:ascii="Arial" w:cs="Arial" w:eastAsia="Arial" w:hAnsi="Arial"/>
          <w:sz w:val="16"/>
          <w:szCs w:val="16"/>
          <w:b w:val="1"/>
          <w:bCs w:val="1"/>
          <w:color w:val="auto"/>
        </w:rPr>
        <w:t xml:space="preserve"> </w:t>
      </w:r>
      <w:r>
        <w:rPr>
          <w:rFonts w:ascii="Arial" w:cs="Arial" w:eastAsia="Arial" w:hAnsi="Arial"/>
          <w:sz w:val="16"/>
          <w:szCs w:val="16"/>
          <w:color w:val="auto"/>
        </w:rPr>
        <w:t>shall deliver a written notice to the Holder indicating whether the Company and/or its assignee(s) elect to permit or reject the proposed sale or transfer, in full or in part, and/or elect to accept or decline the offer to purchase any or all of the Shares proposed to be sold or transferred to any one or more of the Proposed Transferees, at the Purchase Price, provided that if the Purchase Price consists of no legal consideration (as, for example, in the case of a transfer by gift), the purchase price will be the fair market value of the Shares as determined in good faith by the Company. If the Purchase Price includes consideration other than cash, the cash equivalent value of the non-cash consideration shall be determined by the Company in good faith.</w:t>
      </w:r>
    </w:p>
    <w:p>
      <w:pPr>
        <w:spacing w:after="0" w:line="51" w:lineRule="exact"/>
        <w:rPr>
          <w:rFonts w:ascii="Arial" w:cs="Arial" w:eastAsia="Arial" w:hAnsi="Arial"/>
          <w:sz w:val="16"/>
          <w:szCs w:val="16"/>
          <w:color w:val="auto"/>
        </w:rPr>
      </w:pPr>
    </w:p>
    <w:p>
      <w:pPr>
        <w:jc w:val="both"/>
        <w:ind w:right="20" w:firstLine="1428"/>
        <w:spacing w:after="0" w:line="266" w:lineRule="auto"/>
        <w:tabs>
          <w:tab w:leader="none" w:pos="1747" w:val="left"/>
        </w:tabs>
        <w:numPr>
          <w:ilvl w:val="2"/>
          <w:numId w:val="347"/>
        </w:numPr>
        <w:rPr>
          <w:rFonts w:ascii="Arial" w:cs="Arial" w:eastAsia="Arial" w:hAnsi="Arial"/>
          <w:sz w:val="18"/>
          <w:szCs w:val="18"/>
          <w:color w:val="auto"/>
        </w:rPr>
      </w:pPr>
      <w:r>
        <w:rPr>
          <w:rFonts w:ascii="Arial" w:cs="Arial" w:eastAsia="Arial" w:hAnsi="Arial"/>
          <w:sz w:val="18"/>
          <w:szCs w:val="18"/>
          <w:b w:val="1"/>
          <w:bCs w:val="1"/>
          <w:u w:val="single" w:color="auto"/>
          <w:color w:val="auto"/>
        </w:rPr>
        <w:t>Payment</w:t>
      </w:r>
      <w:r>
        <w:rPr>
          <w:rFonts w:ascii="Arial" w:cs="Arial" w:eastAsia="Arial" w:hAnsi="Arial"/>
          <w:sz w:val="18"/>
          <w:szCs w:val="18"/>
          <w:color w:val="auto"/>
        </w:rPr>
        <w:t>. Payment of the Purchase Price shall be made, at the election of the Company or its assignee(s), in cash (by check), by</w:t>
      </w:r>
      <w:r>
        <w:rPr>
          <w:rFonts w:ascii="Arial" w:cs="Arial" w:eastAsia="Arial" w:hAnsi="Arial"/>
          <w:sz w:val="18"/>
          <w:szCs w:val="18"/>
          <w:b w:val="1"/>
          <w:bCs w:val="1"/>
          <w:color w:val="auto"/>
        </w:rPr>
        <w:t xml:space="preserve"> </w:t>
      </w:r>
      <w:r>
        <w:rPr>
          <w:rFonts w:ascii="Arial" w:cs="Arial" w:eastAsia="Arial" w:hAnsi="Arial"/>
          <w:sz w:val="18"/>
          <w:szCs w:val="18"/>
          <w:color w:val="auto"/>
        </w:rPr>
        <w:t>cancellation of all or a portion of any outstanding indebtedness or by any combination thereof within 60 days after receipt of the Notice or in the manner and at the times set forth in the Notice.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5</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ectPr>
          <w:pgSz w:w="11900" w:h="16838" w:orient="portrait"/>
          <w:cols w:equalWidth="0" w:num="1">
            <w:col w:w="11000"/>
          </w:cols>
          <w:pgMar w:left="440" w:top="274" w:right="459" w:bottom="1440" w:gutter="0" w:footer="0" w:header="0"/>
        </w:sectPr>
      </w:pPr>
    </w:p>
    <w:bookmarkStart w:id="372" w:name="page373"/>
    <w:bookmarkEnd w:id="37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ADOPTED November 20, 2019</w:t>
      </w:r>
    </w:p>
    <w:p>
      <w:pPr>
        <w:spacing w:after="0" w:line="154" w:lineRule="exact"/>
        <w:rPr>
          <w:sz w:val="20"/>
          <w:szCs w:val="20"/>
          <w:color w:val="auto"/>
        </w:rPr>
      </w:pPr>
    </w:p>
    <w:p>
      <w:pPr>
        <w:ind w:firstLine="1428"/>
        <w:spacing w:after="0" w:line="269" w:lineRule="auto"/>
        <w:tabs>
          <w:tab w:leader="none" w:pos="1737" w:val="left"/>
        </w:tabs>
        <w:numPr>
          <w:ilvl w:val="1"/>
          <w:numId w:val="348"/>
        </w:numPr>
        <w:rPr>
          <w:rFonts w:ascii="Arial" w:cs="Arial" w:eastAsia="Arial" w:hAnsi="Arial"/>
          <w:sz w:val="17"/>
          <w:szCs w:val="17"/>
          <w:color w:val="auto"/>
        </w:rPr>
      </w:pPr>
      <w:r>
        <w:rPr>
          <w:rFonts w:ascii="Arial" w:cs="Arial" w:eastAsia="Arial" w:hAnsi="Arial"/>
          <w:sz w:val="17"/>
          <w:szCs w:val="17"/>
          <w:b w:val="1"/>
          <w:bCs w:val="1"/>
          <w:u w:val="single" w:color="auto"/>
          <w:color w:val="auto"/>
        </w:rPr>
        <w:t>Holder’s Right to Transfer</w:t>
      </w:r>
      <w:r>
        <w:rPr>
          <w:rFonts w:ascii="Arial" w:cs="Arial" w:eastAsia="Arial" w:hAnsi="Arial"/>
          <w:sz w:val="17"/>
          <w:szCs w:val="17"/>
          <w:color w:val="auto"/>
        </w:rPr>
        <w:t>. If any of the Shares proposed in the Notice to be sold or transferred to a given Proposed Transferee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are both (A) not purchased by the Company and/or its assignee(s) as provided in this Section 7(a) </w:t>
      </w:r>
      <w:r>
        <w:rPr>
          <w:rFonts w:ascii="Arial" w:cs="Arial" w:eastAsia="Arial" w:hAnsi="Arial"/>
          <w:sz w:val="17"/>
          <w:szCs w:val="17"/>
          <w:u w:val="single" w:color="auto"/>
          <w:color w:val="auto"/>
        </w:rPr>
        <w:t>and</w:t>
      </w:r>
      <w:r>
        <w:rPr>
          <w:rFonts w:ascii="Arial" w:cs="Arial" w:eastAsia="Arial" w:hAnsi="Arial"/>
          <w:sz w:val="17"/>
          <w:szCs w:val="17"/>
          <w:color w:val="auto"/>
        </w:rPr>
        <w:t xml:space="preserve"> (B) approved by the Company to be sold or transferred, then the Holder may sell or otherwise transfer any such Shares to the applicable Proposed Transferee at the Purchase Price or at a higher price, provided that such sale or other transfer is consummated within 120 days after the date of the Notice; provided that any such sale or other transfer is also effected in accordance with the Bylaw Restrictions, the transfer restrictions set forth in the Plan and any Applicable Laws and the Proposed Transferee agrees in writing that the Plan, the Bylaw Restrictions, and this Agreement, including this Section 7 and the waiver of statutory information rights in Section 15, shall continue to apply to the Shares in the hands of such Proposed Transferee. The Company, in consultation with its legal counsel, may require the Holder to provide an opinion of counsel evidencing compliance with Applicable Laws. If the Shares described in the Notice are not transferred to the Proposed Transferee within such period, or if the Holder proposes to change the price or other terms to make them more favorable to the Proposed Transferee, a new Notice shall be given to the Company, and the Company and/or its assignees shall again have the right to approve such transfer and be offered the Right of First Refusal.</w:t>
      </w:r>
    </w:p>
    <w:p>
      <w:pPr>
        <w:spacing w:after="0" w:line="73" w:lineRule="exact"/>
        <w:rPr>
          <w:rFonts w:ascii="Arial" w:cs="Arial" w:eastAsia="Arial" w:hAnsi="Arial"/>
          <w:sz w:val="17"/>
          <w:szCs w:val="17"/>
          <w:color w:val="auto"/>
        </w:rPr>
      </w:pPr>
    </w:p>
    <w:p>
      <w:pPr>
        <w:ind w:right="40" w:firstLine="1428"/>
        <w:spacing w:after="0" w:line="271" w:lineRule="auto"/>
        <w:tabs>
          <w:tab w:leader="none" w:pos="1687" w:val="left"/>
        </w:tabs>
        <w:numPr>
          <w:ilvl w:val="1"/>
          <w:numId w:val="348"/>
        </w:numPr>
        <w:rPr>
          <w:rFonts w:ascii="Arial" w:cs="Arial" w:eastAsia="Arial" w:hAnsi="Arial"/>
          <w:sz w:val="17"/>
          <w:szCs w:val="17"/>
          <w:color w:val="auto"/>
        </w:rPr>
      </w:pPr>
      <w:r>
        <w:rPr>
          <w:rFonts w:ascii="Arial" w:cs="Arial" w:eastAsia="Arial" w:hAnsi="Arial"/>
          <w:sz w:val="17"/>
          <w:szCs w:val="17"/>
          <w:b w:val="1"/>
          <w:bCs w:val="1"/>
          <w:u w:val="single" w:color="auto"/>
          <w:color w:val="auto"/>
        </w:rPr>
        <w:t>Exception for Certain Family Transfers</w:t>
      </w:r>
      <w:r>
        <w:rPr>
          <w:rFonts w:ascii="Arial" w:cs="Arial" w:eastAsia="Arial" w:hAnsi="Arial"/>
          <w:sz w:val="17"/>
          <w:szCs w:val="17"/>
          <w:color w:val="auto"/>
        </w:rPr>
        <w:t>. Anything to the contrary contained in this Section 7(a) notwithstanding, the 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of any or all of the Shares issued pursuant to this Agreement which transfer occurs during Holder’s lifetime or on Holder’s death by will or intestacy to Holder’s Immediate Family or a trust for the benefit of Holder’s Immediate Family shall be exempt from the provisions of this Section 7(a). “</w:t>
      </w:r>
      <w:r>
        <w:rPr>
          <w:rFonts w:ascii="Arial" w:cs="Arial" w:eastAsia="Arial" w:hAnsi="Arial"/>
          <w:sz w:val="17"/>
          <w:szCs w:val="17"/>
          <w:u w:val="single" w:color="auto"/>
          <w:color w:val="auto"/>
        </w:rPr>
        <w:t>Immediate</w:t>
      </w:r>
      <w:r>
        <w:rPr>
          <w:rFonts w:ascii="Arial" w:cs="Arial" w:eastAsia="Arial" w:hAnsi="Arial"/>
          <w:sz w:val="17"/>
          <w:szCs w:val="17"/>
          <w:color w:val="auto"/>
        </w:rPr>
        <w:t xml:space="preserve"> </w:t>
      </w:r>
      <w:r>
        <w:rPr>
          <w:rFonts w:ascii="Arial" w:cs="Arial" w:eastAsia="Arial" w:hAnsi="Arial"/>
          <w:sz w:val="17"/>
          <w:szCs w:val="17"/>
          <w:u w:val="single" w:color="auto"/>
          <w:color w:val="auto"/>
        </w:rPr>
        <w:t>Family</w:t>
      </w:r>
      <w:r>
        <w:rPr>
          <w:rFonts w:ascii="Arial" w:cs="Arial" w:eastAsia="Arial" w:hAnsi="Arial"/>
          <w:sz w:val="17"/>
          <w:szCs w:val="17"/>
          <w:color w:val="auto"/>
        </w:rPr>
        <w:t>” as used herein shall mean lineal descendant or antecedent, spouse (or spouse’s antecedents), father, mother, brother or sister (or their descendants), stepchild (or their antecedents or descendants), aunt or uncle (or their antecedents or descendants), brother-in-law or sister-in-law (or their antecedents or descendants) and shall include adoptive relationships, or any person sharing Holder’s household (other than a tenant or an employee). In such case, the transferee or other recipient shall receive and hold the Shares so transferred subject to the provisions of the Plan, the Bylaw Restrictions, and this Agreement, including this Section 7 and Section 15, and there shall be no further transfer of such Shares except in accordance with the terms of this Section 7, the Plan and the Bylaw Restrictions.</w:t>
      </w:r>
    </w:p>
    <w:p>
      <w:pPr>
        <w:spacing w:after="0" w:line="65" w:lineRule="exact"/>
        <w:rPr>
          <w:rFonts w:ascii="Arial" w:cs="Arial" w:eastAsia="Arial" w:hAnsi="Arial"/>
          <w:sz w:val="17"/>
          <w:szCs w:val="17"/>
          <w:color w:val="auto"/>
        </w:rPr>
      </w:pPr>
    </w:p>
    <w:p>
      <w:pPr>
        <w:ind w:right="120" w:firstLine="987"/>
        <w:spacing w:after="0" w:line="274" w:lineRule="auto"/>
        <w:tabs>
          <w:tab w:leader="none" w:pos="1246" w:val="left"/>
        </w:tabs>
        <w:numPr>
          <w:ilvl w:val="0"/>
          <w:numId w:val="349"/>
        </w:numPr>
        <w:rPr>
          <w:rFonts w:ascii="Arial" w:cs="Arial" w:eastAsia="Arial" w:hAnsi="Arial"/>
          <w:sz w:val="17"/>
          <w:szCs w:val="17"/>
          <w:color w:val="auto"/>
        </w:rPr>
      </w:pPr>
      <w:r>
        <w:rPr>
          <w:rFonts w:ascii="Arial" w:cs="Arial" w:eastAsia="Arial" w:hAnsi="Arial"/>
          <w:sz w:val="17"/>
          <w:szCs w:val="17"/>
          <w:b w:val="1"/>
          <w:bCs w:val="1"/>
          <w:u w:val="single" w:color="auto"/>
          <w:color w:val="auto"/>
        </w:rPr>
        <w:t>Company’s Right to Purchase upon Involuntary Transfer</w:t>
      </w:r>
      <w:r>
        <w:rPr>
          <w:rFonts w:ascii="Arial" w:cs="Arial" w:eastAsia="Arial" w:hAnsi="Arial"/>
          <w:sz w:val="17"/>
          <w:szCs w:val="17"/>
          <w:color w:val="auto"/>
        </w:rPr>
        <w:t>. In the event of any transfer by operation of law or other involuntary</w:t>
      </w:r>
      <w:r>
        <w:rPr>
          <w:rFonts w:ascii="Arial" w:cs="Arial" w:eastAsia="Arial" w:hAnsi="Arial"/>
          <w:sz w:val="17"/>
          <w:szCs w:val="17"/>
          <w:b w:val="1"/>
          <w:bCs w:val="1"/>
          <w:color w:val="auto"/>
        </w:rPr>
        <w:t xml:space="preserve"> </w:t>
      </w:r>
      <w:r>
        <w:rPr>
          <w:rFonts w:ascii="Arial" w:cs="Arial" w:eastAsia="Arial" w:hAnsi="Arial"/>
          <w:sz w:val="17"/>
          <w:szCs w:val="17"/>
          <w:color w:val="auto"/>
        </w:rPr>
        <w:t>transfer (including death or divorce, but excluding a transfer to Immediate Family as set forth in Section 7(a)(v) above) of all or a portion of the Shares issued pursuant to this Agreement by the record holder thereof, the Company shall have an option to purchase any or all of the Shares transferred at the Fair Market Value of the Shares on the date of transfer (as determined by the Company). Upon such a transfer, the Holder shall promptly notify the Corporate Secretary of the Company of such transfer. The right to purchase such Shares shall be provided to the Company for a period of 30 days following receipt by the Company of written notice from the Holder.</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6</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ectPr>
          <w:pgSz w:w="11900" w:h="16838" w:orient="portrait"/>
          <w:cols w:equalWidth="0" w:num="1">
            <w:col w:w="11000"/>
          </w:cols>
          <w:pgMar w:left="440" w:top="274" w:right="459" w:bottom="1440" w:gutter="0" w:footer="0" w:header="0"/>
        </w:sectPr>
      </w:pPr>
    </w:p>
    <w:bookmarkStart w:id="373" w:name="page374"/>
    <w:bookmarkEnd w:id="37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ADOPTED November 20, 2019</w:t>
      </w:r>
    </w:p>
    <w:p>
      <w:pPr>
        <w:spacing w:after="0" w:line="154" w:lineRule="exact"/>
        <w:rPr>
          <w:sz w:val="20"/>
          <w:szCs w:val="20"/>
          <w:color w:val="auto"/>
        </w:rPr>
      </w:pPr>
    </w:p>
    <w:p>
      <w:pPr>
        <w:ind w:firstLine="987"/>
        <w:spacing w:after="0" w:line="282" w:lineRule="auto"/>
        <w:tabs>
          <w:tab w:leader="none" w:pos="1236" w:val="left"/>
        </w:tabs>
        <w:numPr>
          <w:ilvl w:val="1"/>
          <w:numId w:val="350"/>
        </w:numPr>
        <w:rPr>
          <w:rFonts w:ascii="Arial" w:cs="Arial" w:eastAsia="Arial" w:hAnsi="Arial"/>
          <w:sz w:val="18"/>
          <w:szCs w:val="18"/>
          <w:color w:val="auto"/>
        </w:rPr>
      </w:pPr>
      <w:r>
        <w:rPr>
          <w:rFonts w:ascii="Arial" w:cs="Arial" w:eastAsia="Arial" w:hAnsi="Arial"/>
          <w:sz w:val="18"/>
          <w:szCs w:val="18"/>
          <w:b w:val="1"/>
          <w:bCs w:val="1"/>
          <w:u w:val="single" w:color="auto"/>
          <w:color w:val="auto"/>
        </w:rPr>
        <w:t>Assignment</w:t>
      </w:r>
      <w:r>
        <w:rPr>
          <w:rFonts w:ascii="Arial" w:cs="Arial" w:eastAsia="Arial" w:hAnsi="Arial"/>
          <w:sz w:val="18"/>
          <w:szCs w:val="18"/>
          <w:color w:val="auto"/>
        </w:rPr>
        <w:t>. The right of the Company to purchase any part of the Shares issued pursuant to this Agreement may be assigned in whole</w:t>
      </w:r>
      <w:r>
        <w:rPr>
          <w:rFonts w:ascii="Arial" w:cs="Arial" w:eastAsia="Arial" w:hAnsi="Arial"/>
          <w:sz w:val="18"/>
          <w:szCs w:val="18"/>
          <w:b w:val="1"/>
          <w:bCs w:val="1"/>
          <w:color w:val="auto"/>
        </w:rPr>
        <w:t xml:space="preserve"> </w:t>
      </w:r>
      <w:r>
        <w:rPr>
          <w:rFonts w:ascii="Arial" w:cs="Arial" w:eastAsia="Arial" w:hAnsi="Arial"/>
          <w:sz w:val="18"/>
          <w:szCs w:val="18"/>
          <w:color w:val="auto"/>
        </w:rPr>
        <w:t>or in part to any holder or holders of capital stock of the Company or other persons or organizations.</w:t>
      </w:r>
    </w:p>
    <w:p>
      <w:pPr>
        <w:spacing w:after="0" w:line="53" w:lineRule="exact"/>
        <w:rPr>
          <w:rFonts w:ascii="Arial" w:cs="Arial" w:eastAsia="Arial" w:hAnsi="Arial"/>
          <w:sz w:val="18"/>
          <w:szCs w:val="18"/>
          <w:color w:val="auto"/>
        </w:rPr>
      </w:pPr>
    </w:p>
    <w:p>
      <w:pPr>
        <w:jc w:val="both"/>
        <w:ind w:right="60" w:firstLine="987"/>
        <w:spacing w:after="0" w:line="261" w:lineRule="auto"/>
        <w:tabs>
          <w:tab w:leader="none" w:pos="1246" w:val="left"/>
        </w:tabs>
        <w:numPr>
          <w:ilvl w:val="1"/>
          <w:numId w:val="350"/>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Restrictions Binding on Transferees</w:t>
      </w:r>
      <w:r>
        <w:rPr>
          <w:rFonts w:ascii="Arial" w:cs="Arial" w:eastAsia="Arial" w:hAnsi="Arial"/>
          <w:sz w:val="18"/>
          <w:szCs w:val="18"/>
          <w:color w:val="auto"/>
        </w:rPr>
        <w:t>. All transferees of Shares issued pursuant to this Agreement or any interest therein will receive</w:t>
      </w:r>
      <w:r>
        <w:rPr>
          <w:rFonts w:ascii="Arial" w:cs="Arial" w:eastAsia="Arial" w:hAnsi="Arial"/>
          <w:sz w:val="18"/>
          <w:szCs w:val="18"/>
          <w:b w:val="1"/>
          <w:bCs w:val="1"/>
          <w:color w:val="auto"/>
        </w:rPr>
        <w:t xml:space="preserve"> </w:t>
      </w:r>
      <w:r>
        <w:rPr>
          <w:rFonts w:ascii="Arial" w:cs="Arial" w:eastAsia="Arial" w:hAnsi="Arial"/>
          <w:sz w:val="18"/>
          <w:szCs w:val="18"/>
          <w:color w:val="auto"/>
        </w:rPr>
        <w:t>and hold such Shares issued pursuant to this Agreement or interest subject to the Plan, the Bylaw Restrictions, and this Agreement, including, without limitation, Sections 7 and 15 of this Agreement. Any sale or transfer of the Shares issued pursuant to this Agreement shall be void unless the provisions of this Agreement are satisfied.</w:t>
      </w:r>
    </w:p>
    <w:p>
      <w:pPr>
        <w:spacing w:after="0" w:line="71" w:lineRule="exact"/>
        <w:rPr>
          <w:rFonts w:ascii="Arial" w:cs="Arial" w:eastAsia="Arial" w:hAnsi="Arial"/>
          <w:sz w:val="18"/>
          <w:szCs w:val="18"/>
          <w:color w:val="auto"/>
        </w:rPr>
      </w:pPr>
    </w:p>
    <w:p>
      <w:pPr>
        <w:ind w:right="60" w:firstLine="987"/>
        <w:spacing w:after="0" w:line="273" w:lineRule="auto"/>
        <w:tabs>
          <w:tab w:leader="none" w:pos="1236" w:val="left"/>
        </w:tabs>
        <w:numPr>
          <w:ilvl w:val="1"/>
          <w:numId w:val="350"/>
        </w:numPr>
        <w:rPr>
          <w:rFonts w:ascii="Arial" w:cs="Arial" w:eastAsia="Arial" w:hAnsi="Arial"/>
          <w:sz w:val="17"/>
          <w:szCs w:val="17"/>
          <w:color w:val="auto"/>
        </w:rPr>
      </w:pPr>
      <w:r>
        <w:rPr>
          <w:rFonts w:ascii="Arial" w:cs="Arial" w:eastAsia="Arial" w:hAnsi="Arial"/>
          <w:sz w:val="17"/>
          <w:szCs w:val="17"/>
          <w:b w:val="1"/>
          <w:bCs w:val="1"/>
          <w:u w:val="single" w:color="auto"/>
          <w:color w:val="auto"/>
        </w:rPr>
        <w:t>Termination of Rights</w:t>
      </w:r>
      <w:r>
        <w:rPr>
          <w:rFonts w:ascii="Arial" w:cs="Arial" w:eastAsia="Arial" w:hAnsi="Arial"/>
          <w:sz w:val="17"/>
          <w:szCs w:val="17"/>
          <w:color w:val="auto"/>
        </w:rPr>
        <w:t>. The transfer restrictions set forth in Section 7(a) above, the Right of First Refusal granted the Company by</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7(a) above and the right to repurchase the Shares in the event of an involuntary transfer granted the Company by Section 7(b) above shall terminate upon (i) the IPO Effective Date (as defined in Section 18 below), or (ii) any transfer or conversion of Shares made pursuant to a statutory merger or statutory consolidation of the Company with or into another corporation or corporations if the common stock of the surviving corporation or any direct or indirect parent corporation thereof is registered under the Exchange Act. Upon termination of such transfer restrictions, the Company will remove any stop-transfer notices referred to in Section 13(b) below and, upon request, will issue a new stock certificate (or, in the case of uncertificated securities, a notice of issuance) for the Shares without the legend referred to in Section 13(a)(ii) below.</w:t>
      </w:r>
    </w:p>
    <w:p>
      <w:pPr>
        <w:spacing w:after="0" w:line="63" w:lineRule="exact"/>
        <w:rPr>
          <w:rFonts w:ascii="Arial" w:cs="Arial" w:eastAsia="Arial" w:hAnsi="Arial"/>
          <w:sz w:val="17"/>
          <w:szCs w:val="17"/>
          <w:color w:val="auto"/>
        </w:rPr>
      </w:pPr>
    </w:p>
    <w:p>
      <w:pPr>
        <w:ind w:right="60" w:firstLine="436"/>
        <w:spacing w:after="0" w:line="282" w:lineRule="auto"/>
        <w:tabs>
          <w:tab w:leader="none" w:pos="620" w:val="left"/>
        </w:tabs>
        <w:numPr>
          <w:ilvl w:val="0"/>
          <w:numId w:val="351"/>
        </w:numPr>
        <w:rPr>
          <w:rFonts w:ascii="Arial" w:cs="Arial" w:eastAsia="Arial" w:hAnsi="Arial"/>
          <w:sz w:val="18"/>
          <w:szCs w:val="18"/>
          <w:color w:val="auto"/>
        </w:rPr>
      </w:pPr>
      <w:r>
        <w:rPr>
          <w:rFonts w:ascii="Arial" w:cs="Arial" w:eastAsia="Arial" w:hAnsi="Arial"/>
          <w:sz w:val="18"/>
          <w:szCs w:val="18"/>
          <w:b w:val="1"/>
          <w:bCs w:val="1"/>
          <w:u w:val="single" w:color="auto"/>
          <w:color w:val="auto"/>
        </w:rPr>
        <w:t>Investment and Taxation Representations</w:t>
      </w:r>
      <w:r>
        <w:rPr>
          <w:rFonts w:ascii="Arial" w:cs="Arial" w:eastAsia="Arial" w:hAnsi="Arial"/>
          <w:sz w:val="18"/>
          <w:szCs w:val="18"/>
          <w:color w:val="auto"/>
        </w:rPr>
        <w:t>. In connection with the receipt of the RSUs, and the Common Stock upon settlement of the RSUs,</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represents to the Company the following:</w:t>
      </w:r>
    </w:p>
    <w:p>
      <w:pPr>
        <w:spacing w:after="0" w:line="57" w:lineRule="exact"/>
        <w:rPr>
          <w:rFonts w:ascii="Arial" w:cs="Arial" w:eastAsia="Arial" w:hAnsi="Arial"/>
          <w:sz w:val="18"/>
          <w:szCs w:val="18"/>
          <w:color w:val="auto"/>
        </w:rPr>
      </w:pPr>
    </w:p>
    <w:p>
      <w:pPr>
        <w:ind w:right="100" w:firstLine="987"/>
        <w:spacing w:after="0" w:line="275" w:lineRule="auto"/>
        <w:tabs>
          <w:tab w:leader="none" w:pos="1236" w:val="left"/>
        </w:tabs>
        <w:numPr>
          <w:ilvl w:val="1"/>
          <w:numId w:val="351"/>
        </w:numPr>
        <w:rPr>
          <w:rFonts w:ascii="Arial" w:cs="Arial" w:eastAsia="Arial" w:hAnsi="Arial"/>
          <w:sz w:val="17"/>
          <w:szCs w:val="17"/>
          <w:color w:val="auto"/>
        </w:rPr>
      </w:pPr>
      <w:r>
        <w:rPr>
          <w:rFonts w:ascii="Arial" w:cs="Arial" w:eastAsia="Arial" w:hAnsi="Arial"/>
          <w:sz w:val="17"/>
          <w:szCs w:val="17"/>
          <w:color w:val="auto"/>
        </w:rPr>
        <w:t>Participant is aware of the Company’s business affairs and financial condition and has acquired sufficient information about the Company to reach an informed and knowledgeable decision to acquire the Shares issued pursuant to this Agreement. Participant is or will be acquiring the Shares for investment for Participant’s own account only and not with a view to, or for resale in connection with, any “distribution” thereof within the meaning of the Securities Act (as defined in Section 18 below) or under any applicable provision of state law. Participant does not have any present intention to transfer the Shares issued pursuant to this Agreement to any other person or entity.</w:t>
      </w:r>
    </w:p>
    <w:p>
      <w:pPr>
        <w:spacing w:after="0" w:line="68" w:lineRule="exact"/>
        <w:rPr>
          <w:rFonts w:ascii="Arial" w:cs="Arial" w:eastAsia="Arial" w:hAnsi="Arial"/>
          <w:sz w:val="17"/>
          <w:szCs w:val="17"/>
          <w:color w:val="auto"/>
        </w:rPr>
      </w:pPr>
    </w:p>
    <w:p>
      <w:pPr>
        <w:ind w:right="140" w:firstLine="987"/>
        <w:spacing w:after="0" w:line="263" w:lineRule="auto"/>
        <w:tabs>
          <w:tab w:leader="none" w:pos="1246" w:val="left"/>
        </w:tabs>
        <w:numPr>
          <w:ilvl w:val="1"/>
          <w:numId w:val="351"/>
        </w:numPr>
        <w:rPr>
          <w:rFonts w:ascii="Arial" w:cs="Arial" w:eastAsia="Arial" w:hAnsi="Arial"/>
          <w:sz w:val="18"/>
          <w:szCs w:val="18"/>
          <w:color w:val="auto"/>
        </w:rPr>
      </w:pPr>
      <w:r>
        <w:rPr>
          <w:rFonts w:ascii="Arial" w:cs="Arial" w:eastAsia="Arial" w:hAnsi="Arial"/>
          <w:sz w:val="18"/>
          <w:szCs w:val="18"/>
          <w:color w:val="auto"/>
        </w:rPr>
        <w:t>Participant understands that the Shares issued pursuant to this Agreement have not been registered under the Securities Act by reason of a specific exemption therefrom, which exemption depends upon, among other things, the bona fide nature of Participant’s investment intent as expressed herein.</w:t>
      </w:r>
    </w:p>
    <w:p>
      <w:pPr>
        <w:spacing w:after="0" w:line="75" w:lineRule="exact"/>
        <w:rPr>
          <w:rFonts w:ascii="Arial" w:cs="Arial" w:eastAsia="Arial" w:hAnsi="Arial"/>
          <w:sz w:val="18"/>
          <w:szCs w:val="18"/>
          <w:color w:val="auto"/>
        </w:rPr>
      </w:pPr>
    </w:p>
    <w:p>
      <w:pPr>
        <w:jc w:val="both"/>
        <w:ind w:right="360" w:firstLine="987"/>
        <w:spacing w:after="0" w:line="263" w:lineRule="auto"/>
        <w:tabs>
          <w:tab w:leader="none" w:pos="1236" w:val="left"/>
        </w:tabs>
        <w:numPr>
          <w:ilvl w:val="1"/>
          <w:numId w:val="351"/>
        </w:numPr>
        <w:rPr>
          <w:rFonts w:ascii="Arial" w:cs="Arial" w:eastAsia="Arial" w:hAnsi="Arial"/>
          <w:sz w:val="18"/>
          <w:szCs w:val="18"/>
          <w:color w:val="auto"/>
        </w:rPr>
      </w:pPr>
      <w:r>
        <w:rPr>
          <w:rFonts w:ascii="Arial" w:cs="Arial" w:eastAsia="Arial" w:hAnsi="Arial"/>
          <w:sz w:val="18"/>
          <w:szCs w:val="18"/>
          <w:color w:val="auto"/>
        </w:rPr>
        <w:t>Participant further acknowledges and understands that the Shares must be held indefinitely unless they are subsequently registered under the Securities Act or an exemption from such registration is available. Participant further acknowledges and understands that the Company is under no obligation to register the Shares.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7</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ectPr>
          <w:pgSz w:w="11900" w:h="16838" w:orient="portrait"/>
          <w:cols w:equalWidth="0" w:num="1">
            <w:col w:w="10980"/>
          </w:cols>
          <w:pgMar w:left="440" w:top="274" w:right="479" w:bottom="1440" w:gutter="0" w:footer="0" w:header="0"/>
        </w:sectPr>
      </w:pPr>
    </w:p>
    <w:bookmarkStart w:id="374" w:name="page375"/>
    <w:bookmarkEnd w:id="37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ADOPTED November 20, 2019</w:t>
      </w:r>
    </w:p>
    <w:p>
      <w:pPr>
        <w:spacing w:after="0" w:line="158" w:lineRule="exact"/>
        <w:rPr>
          <w:sz w:val="20"/>
          <w:szCs w:val="20"/>
          <w:color w:val="auto"/>
        </w:rPr>
      </w:pPr>
    </w:p>
    <w:p>
      <w:pPr>
        <w:ind w:right="80" w:firstLine="987"/>
        <w:spacing w:after="0" w:line="291" w:lineRule="auto"/>
        <w:tabs>
          <w:tab w:leader="none" w:pos="1246" w:val="left"/>
        </w:tabs>
        <w:numPr>
          <w:ilvl w:val="1"/>
          <w:numId w:val="352"/>
        </w:numPr>
        <w:rPr>
          <w:rFonts w:ascii="Arial" w:cs="Arial" w:eastAsia="Arial" w:hAnsi="Arial"/>
          <w:sz w:val="16"/>
          <w:szCs w:val="16"/>
          <w:color w:val="auto"/>
        </w:rPr>
      </w:pPr>
      <w:r>
        <w:rPr>
          <w:rFonts w:ascii="Arial" w:cs="Arial" w:eastAsia="Arial" w:hAnsi="Arial"/>
          <w:sz w:val="16"/>
          <w:szCs w:val="16"/>
          <w:color w:val="auto"/>
        </w:rPr>
        <w:t>Rule 144, which was promulgated under the Securities Act, applies to the Shares subject to the RSUs. The provisions of Rule 144, in substance, permit limited public resale of “restricted securities” acquired, directly or indirectly, from the issuer of the securities (or from an affiliate of such issuer), in a non-public offering subject to the satisfaction of certain conditions. Participant understands that the Company provides no assurances as to whether Participant will be able to resell any or all of the Shares pursuant to Rule 144, which requires, among other things, that the Company be subject to the reporting requirements of the Exchange Act, that resales of securities take place only after the holder of the Shares has held the Shares for certain specified time periods, and under certain circumstances, that resales of securities be limited in volume and take place only pursuant to brokered transactions. Notwithstanding this paragraph (d), Participant acknowledges and agrees to the restrictions set forth in paragraph (e) below.</w:t>
      </w:r>
    </w:p>
    <w:p>
      <w:pPr>
        <w:spacing w:after="0" w:line="58" w:lineRule="exact"/>
        <w:rPr>
          <w:rFonts w:ascii="Arial" w:cs="Arial" w:eastAsia="Arial" w:hAnsi="Arial"/>
          <w:sz w:val="16"/>
          <w:szCs w:val="16"/>
          <w:color w:val="auto"/>
        </w:rPr>
      </w:pPr>
    </w:p>
    <w:p>
      <w:pPr>
        <w:ind w:firstLine="987"/>
        <w:spacing w:after="0" w:line="255" w:lineRule="auto"/>
        <w:tabs>
          <w:tab w:leader="none" w:pos="1236" w:val="left"/>
        </w:tabs>
        <w:numPr>
          <w:ilvl w:val="1"/>
          <w:numId w:val="352"/>
        </w:numPr>
        <w:rPr>
          <w:rFonts w:ascii="Arial" w:cs="Arial" w:eastAsia="Arial" w:hAnsi="Arial"/>
          <w:sz w:val="18"/>
          <w:szCs w:val="18"/>
          <w:color w:val="auto"/>
        </w:rPr>
      </w:pPr>
      <w:r>
        <w:rPr>
          <w:rFonts w:ascii="Arial" w:cs="Arial" w:eastAsia="Arial" w:hAnsi="Arial"/>
          <w:sz w:val="18"/>
          <w:szCs w:val="18"/>
          <w:color w:val="auto"/>
        </w:rPr>
        <w:t>Participant further understands that in the event all of the applicable requirements of Rule 144 are not satisfied, registration under the Securities Act, compliance with Regulation A, or some other registration exemption will be required; and that, notwithstanding the fact that Rule 144 is not exclusive, the Staff of the Securities and Exchange Commission has expressed its opinion that persons proposing to sell private placement securities other than in a registered offering and otherwise than pursuant to Rule 144 will have a substantial burden of proof in establishing that an exemption from registration is available for such offers or sales, and that such persons and their respective brokers who participate in such transactions do so at their own risk.</w:t>
      </w:r>
    </w:p>
    <w:p>
      <w:pPr>
        <w:spacing w:after="0" w:line="84" w:lineRule="exact"/>
        <w:rPr>
          <w:rFonts w:ascii="Arial" w:cs="Arial" w:eastAsia="Arial" w:hAnsi="Arial"/>
          <w:sz w:val="18"/>
          <w:szCs w:val="18"/>
          <w:color w:val="auto"/>
        </w:rPr>
      </w:pPr>
    </w:p>
    <w:p>
      <w:pPr>
        <w:jc w:val="both"/>
        <w:ind w:right="20" w:firstLine="987"/>
        <w:spacing w:after="0" w:line="301" w:lineRule="auto"/>
        <w:tabs>
          <w:tab w:leader="none" w:pos="1216" w:val="left"/>
        </w:tabs>
        <w:numPr>
          <w:ilvl w:val="1"/>
          <w:numId w:val="352"/>
        </w:numPr>
        <w:rPr>
          <w:rFonts w:ascii="Arial" w:cs="Arial" w:eastAsia="Arial" w:hAnsi="Arial"/>
          <w:sz w:val="16"/>
          <w:szCs w:val="16"/>
          <w:color w:val="auto"/>
        </w:rPr>
      </w:pPr>
      <w:r>
        <w:rPr>
          <w:rFonts w:ascii="Arial" w:cs="Arial" w:eastAsia="Arial" w:hAnsi="Arial"/>
          <w:sz w:val="16"/>
          <w:szCs w:val="16"/>
          <w:color w:val="auto"/>
        </w:rPr>
        <w:t>Participant understands that Participant may suffer adverse tax consequences as a result of Participant’s receipt of the RSUs, the vesting and/or settlement of the RSUs, the issuance of Shares allocated to the RSUs and/or the disposition of such Shares. Participant represents that Participant has consulted any tax consultants Participant deems advisable in connection with the receipt of the RSUs, the vesting and/or settlement of the RSUs, the issuance of Shares allocated to the RSUs and/or the disposition of such Shares and that Participant is not relying on the Company for any tax advice.</w:t>
      </w:r>
    </w:p>
    <w:p>
      <w:pPr>
        <w:spacing w:after="0" w:line="45" w:lineRule="exact"/>
        <w:rPr>
          <w:rFonts w:ascii="Arial" w:cs="Arial" w:eastAsia="Arial" w:hAnsi="Arial"/>
          <w:sz w:val="16"/>
          <w:szCs w:val="16"/>
          <w:color w:val="auto"/>
        </w:rPr>
      </w:pPr>
    </w:p>
    <w:p>
      <w:pPr>
        <w:ind w:right="160" w:firstLine="436"/>
        <w:spacing w:after="0" w:line="258" w:lineRule="auto"/>
        <w:tabs>
          <w:tab w:leader="none" w:pos="620" w:val="left"/>
        </w:tabs>
        <w:numPr>
          <w:ilvl w:val="0"/>
          <w:numId w:val="353"/>
        </w:numPr>
        <w:rPr>
          <w:rFonts w:ascii="Arial" w:cs="Arial" w:eastAsia="Arial" w:hAnsi="Arial"/>
          <w:sz w:val="18"/>
          <w:szCs w:val="18"/>
          <w:color w:val="auto"/>
        </w:rPr>
      </w:pPr>
      <w:r>
        <w:rPr>
          <w:rFonts w:ascii="Arial" w:cs="Arial" w:eastAsia="Arial" w:hAnsi="Arial"/>
          <w:sz w:val="18"/>
          <w:szCs w:val="18"/>
          <w:b w:val="1"/>
          <w:bCs w:val="1"/>
          <w:u w:val="single" w:color="auto"/>
          <w:color w:val="auto"/>
        </w:rPr>
        <w:t>Section 409A</w:t>
      </w:r>
      <w:r>
        <w:rPr>
          <w:rFonts w:ascii="Arial" w:cs="Arial" w:eastAsia="Arial" w:hAnsi="Arial"/>
          <w:sz w:val="18"/>
          <w:szCs w:val="18"/>
          <w:color w:val="auto"/>
        </w:rPr>
        <w:t>. All payments made and benefits provided to Participants who are U.S. taxpayers under the RSU Grant Notice and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are intended to be exempt from the requirements of Section 409A to the maximum extent permitted pursuant to Treasury Regulation Section 1.409A-1(b)(4) so that none of the payments or benefits will be subject to the adverse tax penalties imposed under Section 409A, and any ambiguities herein will be interpreted to be so exempt. In no event will the Company reimburse Participant for any taxes or other penalties that may be imposed on Participant as a result of Section 409A.</w:t>
      </w:r>
    </w:p>
    <w:p>
      <w:pPr>
        <w:spacing w:after="0" w:line="75" w:lineRule="exact"/>
        <w:rPr>
          <w:rFonts w:ascii="Arial" w:cs="Arial" w:eastAsia="Arial" w:hAnsi="Arial"/>
          <w:sz w:val="18"/>
          <w:szCs w:val="18"/>
          <w:color w:val="auto"/>
        </w:rPr>
      </w:pPr>
    </w:p>
    <w:p>
      <w:pPr>
        <w:ind w:right="20" w:firstLine="436"/>
        <w:spacing w:after="0" w:line="256" w:lineRule="auto"/>
        <w:tabs>
          <w:tab w:leader="none" w:pos="710" w:val="left"/>
        </w:tabs>
        <w:numPr>
          <w:ilvl w:val="0"/>
          <w:numId w:val="353"/>
        </w:numPr>
        <w:rPr>
          <w:rFonts w:ascii="Arial" w:cs="Arial" w:eastAsia="Arial" w:hAnsi="Arial"/>
          <w:sz w:val="18"/>
          <w:szCs w:val="18"/>
          <w:color w:val="auto"/>
        </w:rPr>
      </w:pPr>
      <w:r>
        <w:rPr>
          <w:rFonts w:ascii="Arial" w:cs="Arial" w:eastAsia="Arial" w:hAnsi="Arial"/>
          <w:sz w:val="18"/>
          <w:szCs w:val="18"/>
          <w:b w:val="1"/>
          <w:bCs w:val="1"/>
          <w:u w:val="single" w:color="auto"/>
          <w:color w:val="auto"/>
        </w:rPr>
        <w:t>Securities Law Compliance</w:t>
      </w:r>
      <w:r>
        <w:rPr>
          <w:rFonts w:ascii="Arial" w:cs="Arial" w:eastAsia="Arial" w:hAnsi="Arial"/>
          <w:sz w:val="18"/>
          <w:szCs w:val="18"/>
          <w:color w:val="auto"/>
        </w:rPr>
        <w:t>. Notwithstanding anything to the contrary contained herein, Shares will not be issued pursuant to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unless the Shares are then registered under the Securities Act or, if such Shares are not then so registered, the Company has determined that such issuance would be exempt from the registration requirements of the Securities Act. The issuance of Shares pursuant to this Agreement also must comply with other Applicable Laws and regulations governing the RSUs, and the Company is not obligated, and will have no liability for failure, to issue or deliver any Shares upon settlement of the RSUs unless such issuance or delivery would comply with the Applicable Laws, with such compliance determined by the Company in consultation with its legal counsel.</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8</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ectPr>
          <w:pgSz w:w="11900" w:h="16838" w:orient="portrait"/>
          <w:cols w:equalWidth="0" w:num="1">
            <w:col w:w="11000"/>
          </w:cols>
          <w:pgMar w:left="440" w:top="274" w:right="459" w:bottom="1440" w:gutter="0" w:footer="0" w:header="0"/>
        </w:sectPr>
      </w:pPr>
    </w:p>
    <w:bookmarkStart w:id="375" w:name="page376"/>
    <w:bookmarkEnd w:id="37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ADOPTED November 20, 2019</w:t>
      </w:r>
    </w:p>
    <w:p>
      <w:pPr>
        <w:spacing w:after="0" w:line="154" w:lineRule="exact"/>
        <w:rPr>
          <w:sz w:val="20"/>
          <w:szCs w:val="20"/>
          <w:color w:val="auto"/>
        </w:rPr>
      </w:pPr>
    </w:p>
    <w:p>
      <w:pPr>
        <w:ind w:right="20" w:firstLine="436"/>
        <w:spacing w:after="0" w:line="256" w:lineRule="auto"/>
        <w:tabs>
          <w:tab w:leader="none" w:pos="703" w:val="left"/>
        </w:tabs>
        <w:numPr>
          <w:ilvl w:val="0"/>
          <w:numId w:val="354"/>
        </w:numPr>
        <w:rPr>
          <w:rFonts w:ascii="Arial" w:cs="Arial" w:eastAsia="Arial" w:hAnsi="Arial"/>
          <w:sz w:val="18"/>
          <w:szCs w:val="18"/>
          <w:color w:val="auto"/>
        </w:rPr>
      </w:pPr>
      <w:r>
        <w:rPr>
          <w:rFonts w:ascii="Arial" w:cs="Arial" w:eastAsia="Arial" w:hAnsi="Arial"/>
          <w:sz w:val="18"/>
          <w:szCs w:val="18"/>
          <w:b w:val="1"/>
          <w:bCs w:val="1"/>
          <w:u w:val="single" w:color="auto"/>
          <w:color w:val="auto"/>
        </w:rPr>
        <w:t>Lock-Up Agreement</w:t>
      </w:r>
      <w:r>
        <w:rPr>
          <w:rFonts w:ascii="Arial" w:cs="Arial" w:eastAsia="Arial" w:hAnsi="Arial"/>
          <w:sz w:val="18"/>
          <w:szCs w:val="18"/>
          <w:color w:val="auto"/>
        </w:rPr>
        <w:t>. In connection with any IPO (as defined in Section 18 below) and upon request of the Company or the underwriters</w:t>
      </w:r>
      <w:r>
        <w:rPr>
          <w:rFonts w:ascii="Arial" w:cs="Arial" w:eastAsia="Arial" w:hAnsi="Arial"/>
          <w:sz w:val="18"/>
          <w:szCs w:val="18"/>
          <w:b w:val="1"/>
          <w:bCs w:val="1"/>
          <w:color w:val="auto"/>
        </w:rPr>
        <w:t xml:space="preserve"> </w:t>
      </w:r>
      <w:r>
        <w:rPr>
          <w:rFonts w:ascii="Arial" w:cs="Arial" w:eastAsia="Arial" w:hAnsi="Arial"/>
          <w:sz w:val="18"/>
          <w:szCs w:val="18"/>
          <w:color w:val="auto"/>
        </w:rPr>
        <w:t>managing such IPO, Participant hereby agrees not to sell, make any short sale of, loan, grant any option for the purchase of, or otherwise dispose of any securities of the Company however or whenever acquired (other than those included in the registration) without the prior written consent of the Company or such underwriters, as the case may be, for such period of time (not to exceed 180 days) from the IPO Effective Date, if any, as may be requested by the Company or such managing underwriters and to execute an agreement reflecting the foregoing as may be requested by the Company or the underwriters in connection with the IPO.</w:t>
      </w:r>
    </w:p>
    <w:p>
      <w:pPr>
        <w:spacing w:after="0" w:line="79" w:lineRule="exact"/>
        <w:rPr>
          <w:rFonts w:ascii="Arial" w:cs="Arial" w:eastAsia="Arial" w:hAnsi="Arial"/>
          <w:sz w:val="18"/>
          <w:szCs w:val="18"/>
          <w:color w:val="auto"/>
        </w:rPr>
      </w:pPr>
    </w:p>
    <w:p>
      <w:pPr>
        <w:ind w:right="120" w:firstLine="436"/>
        <w:spacing w:after="0" w:line="281" w:lineRule="auto"/>
        <w:tabs>
          <w:tab w:leader="none" w:pos="710" w:val="left"/>
        </w:tabs>
        <w:numPr>
          <w:ilvl w:val="0"/>
          <w:numId w:val="354"/>
        </w:numPr>
        <w:rPr>
          <w:rFonts w:ascii="Arial" w:cs="Arial" w:eastAsia="Arial" w:hAnsi="Arial"/>
          <w:sz w:val="17"/>
          <w:szCs w:val="17"/>
          <w:color w:val="auto"/>
        </w:rPr>
      </w:pPr>
      <w:r>
        <w:rPr>
          <w:rFonts w:ascii="Arial" w:cs="Arial" w:eastAsia="Arial" w:hAnsi="Arial"/>
          <w:sz w:val="17"/>
          <w:szCs w:val="17"/>
          <w:b w:val="1"/>
          <w:bCs w:val="1"/>
          <w:u w:val="single" w:color="auto"/>
          <w:color w:val="auto"/>
        </w:rPr>
        <w:t>Voting Provisions</w:t>
      </w:r>
      <w:r>
        <w:rPr>
          <w:rFonts w:ascii="Arial" w:cs="Arial" w:eastAsia="Arial" w:hAnsi="Arial"/>
          <w:sz w:val="17"/>
          <w:szCs w:val="17"/>
          <w:color w:val="auto"/>
        </w:rPr>
        <w:t>. As a condition precedent to receiving Shares pursuant to this Agreement, at the request of the Company, Participant must</w:t>
      </w:r>
      <w:r>
        <w:rPr>
          <w:rFonts w:ascii="Arial" w:cs="Arial" w:eastAsia="Arial" w:hAnsi="Arial"/>
          <w:sz w:val="17"/>
          <w:szCs w:val="17"/>
          <w:b w:val="1"/>
          <w:bCs w:val="1"/>
          <w:color w:val="auto"/>
        </w:rPr>
        <w:t xml:space="preserve"> </w:t>
      </w:r>
      <w:r>
        <w:rPr>
          <w:rFonts w:ascii="Arial" w:cs="Arial" w:eastAsia="Arial" w:hAnsi="Arial"/>
          <w:sz w:val="17"/>
          <w:szCs w:val="17"/>
          <w:color w:val="auto"/>
        </w:rPr>
        <w:t>execute and deliver a counterpart signature page to that certain Amended and Restated Voting Agreement dated July 18, 2012 by and among the Company and certain of its stockholders (as may be amended or restated from time to time) (the “</w:t>
      </w:r>
      <w:r>
        <w:rPr>
          <w:rFonts w:ascii="Arial" w:cs="Arial" w:eastAsia="Arial" w:hAnsi="Arial"/>
          <w:sz w:val="17"/>
          <w:szCs w:val="17"/>
          <w:u w:val="single" w:color="auto"/>
          <w:color w:val="auto"/>
        </w:rPr>
        <w:t>Voting Agreement</w:t>
      </w:r>
      <w:r>
        <w:rPr>
          <w:rFonts w:ascii="Arial" w:cs="Arial" w:eastAsia="Arial" w:hAnsi="Arial"/>
          <w:sz w:val="17"/>
          <w:szCs w:val="17"/>
          <w:color w:val="auto"/>
        </w:rPr>
        <w:t>”) so as to become a party thereto, and to be bound by the terms and conditions thereof, as a 1% Holder (as defined in the Voting Agreement).</w:t>
      </w:r>
    </w:p>
    <w:p>
      <w:pPr>
        <w:spacing w:after="0" w:line="56" w:lineRule="exact"/>
        <w:rPr>
          <w:rFonts w:ascii="Arial" w:cs="Arial" w:eastAsia="Arial" w:hAnsi="Arial"/>
          <w:sz w:val="17"/>
          <w:szCs w:val="17"/>
          <w:color w:val="auto"/>
        </w:rPr>
      </w:pPr>
    </w:p>
    <w:p>
      <w:pPr>
        <w:ind w:left="700" w:hanging="264"/>
        <w:spacing w:after="0"/>
        <w:tabs>
          <w:tab w:leader="none" w:pos="700" w:val="left"/>
        </w:tabs>
        <w:numPr>
          <w:ilvl w:val="0"/>
          <w:numId w:val="354"/>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Restrictive Legends and Stop-Transfer Orders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987"/>
        <w:spacing w:after="0" w:line="266" w:lineRule="auto"/>
        <w:tabs>
          <w:tab w:leader="none" w:pos="1236" w:val="left"/>
        </w:tabs>
        <w:numPr>
          <w:ilvl w:val="1"/>
          <w:numId w:val="354"/>
        </w:numPr>
        <w:rPr>
          <w:rFonts w:ascii="Arial" w:cs="Arial" w:eastAsia="Arial" w:hAnsi="Arial"/>
          <w:sz w:val="18"/>
          <w:szCs w:val="18"/>
          <w:color w:val="auto"/>
        </w:rPr>
      </w:pPr>
      <w:r>
        <w:rPr>
          <w:rFonts w:ascii="Arial" w:cs="Arial" w:eastAsia="Arial" w:hAnsi="Arial"/>
          <w:sz w:val="18"/>
          <w:szCs w:val="18"/>
          <w:b w:val="1"/>
          <w:bCs w:val="1"/>
          <w:u w:val="single" w:color="auto"/>
          <w:color w:val="auto"/>
        </w:rPr>
        <w:t>Legends</w:t>
      </w:r>
      <w:r>
        <w:rPr>
          <w:rFonts w:ascii="Arial" w:cs="Arial" w:eastAsia="Arial" w:hAnsi="Arial"/>
          <w:sz w:val="18"/>
          <w:szCs w:val="18"/>
          <w:color w:val="auto"/>
        </w:rPr>
        <w:t>. Any certificate or, in the case of uncertificated securities, any notice of issuance, representing the Shares issued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bear the following legends (as well as any legends required by the Company or applicable state and federal corporate and securities laws):</w:t>
      </w:r>
    </w:p>
    <w:p>
      <w:pPr>
        <w:spacing w:after="0" w:line="71" w:lineRule="exact"/>
        <w:rPr>
          <w:rFonts w:ascii="Arial" w:cs="Arial" w:eastAsia="Arial" w:hAnsi="Arial"/>
          <w:sz w:val="18"/>
          <w:szCs w:val="18"/>
          <w:color w:val="auto"/>
        </w:rPr>
      </w:pPr>
    </w:p>
    <w:p>
      <w:pPr>
        <w:ind w:right="200" w:firstLine="1428"/>
        <w:spacing w:after="0" w:line="257" w:lineRule="auto"/>
        <w:tabs>
          <w:tab w:leader="none" w:pos="1647" w:val="left"/>
        </w:tabs>
        <w:numPr>
          <w:ilvl w:val="2"/>
          <w:numId w:val="354"/>
        </w:numPr>
        <w:rPr>
          <w:rFonts w:ascii="Arial" w:cs="Arial" w:eastAsia="Arial" w:hAnsi="Arial"/>
          <w:sz w:val="18"/>
          <w:szCs w:val="18"/>
          <w:color w:val="auto"/>
        </w:rPr>
      </w:pPr>
      <w:r>
        <w:rPr>
          <w:rFonts w:ascii="Arial" w:cs="Arial" w:eastAsia="Arial" w:hAnsi="Arial"/>
          <w:sz w:val="18"/>
          <w:szCs w:val="18"/>
          <w:color w:val="auto"/>
        </w:rPr>
        <w:t>THE SECURITIES REFERENCED HEREIN HAVE NOT BEEN REGISTERED UNDER THE SECURITIES ACT OF 1933 AND HAVE BEEN ACQUIRED FOR INVESTMENT AND NOT WITH A VIEW TO, OR IN CONNECTION WITH, THE SALE OR DISTRIBUTION THEREOF. NO SUCH SALE OR DISTRIBUTION MAY BE EFFECTED WITHOUT AN EFFECTIVE REGISTRATION STATEMENT RELATED THERETO OR AN OPINION OF COUNSEL IN A FORM SATISFACTORY TO THE COMPANY THAT SUCH REGISTRATION IS NOT REQUIRED UNDER THE SECURITIES ACT OF 1933.</w:t>
      </w:r>
    </w:p>
    <w:p>
      <w:pPr>
        <w:spacing w:after="0" w:line="79" w:lineRule="exact"/>
        <w:rPr>
          <w:rFonts w:ascii="Arial" w:cs="Arial" w:eastAsia="Arial" w:hAnsi="Arial"/>
          <w:sz w:val="18"/>
          <w:szCs w:val="18"/>
          <w:color w:val="auto"/>
        </w:rPr>
      </w:pPr>
    </w:p>
    <w:p>
      <w:pPr>
        <w:ind w:right="60" w:firstLine="1428"/>
        <w:spacing w:after="0" w:line="263" w:lineRule="auto"/>
        <w:tabs>
          <w:tab w:leader="none" w:pos="1697" w:val="left"/>
        </w:tabs>
        <w:numPr>
          <w:ilvl w:val="2"/>
          <w:numId w:val="354"/>
        </w:numPr>
        <w:rPr>
          <w:rFonts w:ascii="Arial" w:cs="Arial" w:eastAsia="Arial" w:hAnsi="Arial"/>
          <w:sz w:val="18"/>
          <w:szCs w:val="18"/>
          <w:color w:val="auto"/>
        </w:rPr>
      </w:pPr>
      <w:r>
        <w:rPr>
          <w:rFonts w:ascii="Arial" w:cs="Arial" w:eastAsia="Arial" w:hAnsi="Arial"/>
          <w:sz w:val="18"/>
          <w:szCs w:val="18"/>
          <w:color w:val="auto"/>
        </w:rPr>
        <w:t>THE SECURITIES REFERENCED HEREIN MAY BE TRANSFERRED ONLY IN ACCORDANCE WITH THE TERMS OF AN AGREEMENT BETWEEN THE COMPANY AND THE HOLDER, A COPY OF WHICH IS ON FILE WITH AND MAY BE OBTAINED FROM THE SECRETARY OF THE COMPANY AT NO CHARGE.</w:t>
      </w:r>
    </w:p>
    <w:p>
      <w:pPr>
        <w:spacing w:after="0" w:line="75" w:lineRule="exact"/>
        <w:rPr>
          <w:rFonts w:ascii="Arial" w:cs="Arial" w:eastAsia="Arial" w:hAnsi="Arial"/>
          <w:sz w:val="18"/>
          <w:szCs w:val="18"/>
          <w:color w:val="auto"/>
        </w:rPr>
      </w:pPr>
    </w:p>
    <w:p>
      <w:pPr>
        <w:ind w:firstLine="1428"/>
        <w:spacing w:after="0" w:line="255" w:lineRule="auto"/>
        <w:tabs>
          <w:tab w:leader="none" w:pos="1747" w:val="left"/>
        </w:tabs>
        <w:numPr>
          <w:ilvl w:val="2"/>
          <w:numId w:val="354"/>
        </w:numPr>
        <w:rPr>
          <w:rFonts w:ascii="Arial" w:cs="Arial" w:eastAsia="Arial" w:hAnsi="Arial"/>
          <w:sz w:val="18"/>
          <w:szCs w:val="18"/>
          <w:color w:val="auto"/>
        </w:rPr>
      </w:pPr>
      <w:r>
        <w:rPr>
          <w:rFonts w:ascii="Arial" w:cs="Arial" w:eastAsia="Arial" w:hAnsi="Arial"/>
          <w:sz w:val="18"/>
          <w:szCs w:val="18"/>
          <w:color w:val="auto"/>
        </w:rPr>
        <w:t>THE TRANSFER OF THE SECURITIES REFERENCED HEREIN IS SUBJECT TO RESTRICTIONS REQUIRING APPROVAL OF THE BOARD OF DIRECTORS PURSUANT TO AND IN ACCORDANCE WITH ARTICLE X OF THE AMENDED AND RESTATED BYLAWS OF THE COMPANY, COPIES OF WHICH MAY BE OBTAINED UPON WRITTEN REQUEST TO THE COMPANY AT ITS PRINCIPAL PLACE OF BUSINESS. THE COMPANY SHALL NOT REGISTER OR OTHERWISE RECOGNIZE OR GIVE EFFECT TO ANY PURPORTED TRANSFER OF SHARES OF STOCK THAT DOES NOT COMPLY WITH ARTICLE X OF THE AMENDED AND RESTATED BYLAWS OF THE COMPANY.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9</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ectPr>
          <w:pgSz w:w="11900" w:h="16838" w:orient="portrait"/>
          <w:cols w:equalWidth="0" w:num="1">
            <w:col w:w="10980"/>
          </w:cols>
          <w:pgMar w:left="440" w:top="274" w:right="479" w:bottom="1440" w:gutter="0" w:footer="0" w:header="0"/>
        </w:sectPr>
      </w:pPr>
    </w:p>
    <w:bookmarkStart w:id="376" w:name="page377"/>
    <w:bookmarkEnd w:id="37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ADOPTED November 20, 2019</w:t>
      </w:r>
    </w:p>
    <w:p>
      <w:pPr>
        <w:spacing w:after="0" w:line="158" w:lineRule="exact"/>
        <w:rPr>
          <w:sz w:val="20"/>
          <w:szCs w:val="20"/>
          <w:color w:val="auto"/>
        </w:rPr>
      </w:pPr>
    </w:p>
    <w:p>
      <w:pPr>
        <w:ind w:left="1740" w:hanging="312"/>
        <w:spacing w:after="0"/>
        <w:tabs>
          <w:tab w:leader="none" w:pos="1740" w:val="left"/>
        </w:tabs>
        <w:numPr>
          <w:ilvl w:val="2"/>
          <w:numId w:val="355"/>
        </w:numPr>
        <w:rPr>
          <w:rFonts w:ascii="Arial" w:cs="Arial" w:eastAsia="Arial" w:hAnsi="Arial"/>
          <w:sz w:val="18"/>
          <w:szCs w:val="18"/>
          <w:color w:val="auto"/>
        </w:rPr>
      </w:pPr>
      <w:r>
        <w:rPr>
          <w:rFonts w:ascii="Arial" w:cs="Arial" w:eastAsia="Arial" w:hAnsi="Arial"/>
          <w:sz w:val="18"/>
          <w:szCs w:val="18"/>
          <w:color w:val="auto"/>
        </w:rPr>
        <w:t>Any legend required by the Voting Agreement, as applicable.</w:t>
      </w:r>
    </w:p>
    <w:p>
      <w:pPr>
        <w:spacing w:after="0" w:line="113" w:lineRule="exact"/>
        <w:rPr>
          <w:rFonts w:ascii="Arial" w:cs="Arial" w:eastAsia="Arial" w:hAnsi="Arial"/>
          <w:sz w:val="18"/>
          <w:szCs w:val="18"/>
          <w:color w:val="auto"/>
        </w:rPr>
      </w:pPr>
    </w:p>
    <w:p>
      <w:pPr>
        <w:ind w:right="340" w:firstLine="987"/>
        <w:spacing w:after="0" w:line="266" w:lineRule="auto"/>
        <w:tabs>
          <w:tab w:leader="none" w:pos="1246" w:val="left"/>
        </w:tabs>
        <w:numPr>
          <w:ilvl w:val="1"/>
          <w:numId w:val="356"/>
        </w:numPr>
        <w:rPr>
          <w:rFonts w:ascii="Arial" w:cs="Arial" w:eastAsia="Arial" w:hAnsi="Arial"/>
          <w:sz w:val="18"/>
          <w:szCs w:val="18"/>
          <w:color w:val="auto"/>
        </w:rPr>
      </w:pPr>
      <w:r>
        <w:rPr>
          <w:rFonts w:ascii="Arial" w:cs="Arial" w:eastAsia="Arial" w:hAnsi="Arial"/>
          <w:sz w:val="18"/>
          <w:szCs w:val="18"/>
          <w:b w:val="1"/>
          <w:bCs w:val="1"/>
          <w:u w:val="single" w:color="auto"/>
          <w:color w:val="auto"/>
        </w:rPr>
        <w:t>Stop-Transfer Notices</w:t>
      </w:r>
      <w:r>
        <w:rPr>
          <w:rFonts w:ascii="Arial" w:cs="Arial" w:eastAsia="Arial" w:hAnsi="Arial"/>
          <w:sz w:val="18"/>
          <w:szCs w:val="18"/>
          <w:color w:val="auto"/>
        </w:rPr>
        <w:t>. Participant agrees that, in order to ensure compliance with the restrictions referred to herein,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may issue appropriate “stop transfer” instructions to its transfer agent, if any, and that, if the Company transfers its own securities, it may make appropriate notations to the same effect in its own records.</w:t>
      </w:r>
    </w:p>
    <w:p>
      <w:pPr>
        <w:spacing w:after="0" w:line="67" w:lineRule="exact"/>
        <w:rPr>
          <w:rFonts w:ascii="Arial" w:cs="Arial" w:eastAsia="Arial" w:hAnsi="Arial"/>
          <w:sz w:val="18"/>
          <w:szCs w:val="18"/>
          <w:color w:val="auto"/>
        </w:rPr>
      </w:pPr>
    </w:p>
    <w:p>
      <w:pPr>
        <w:ind w:right="120" w:firstLine="987"/>
        <w:spacing w:after="0" w:line="289" w:lineRule="auto"/>
        <w:tabs>
          <w:tab w:leader="none" w:pos="1236" w:val="left"/>
        </w:tabs>
        <w:numPr>
          <w:ilvl w:val="1"/>
          <w:numId w:val="356"/>
        </w:numPr>
        <w:rPr>
          <w:rFonts w:ascii="Arial" w:cs="Arial" w:eastAsia="Arial" w:hAnsi="Arial"/>
          <w:sz w:val="17"/>
          <w:szCs w:val="17"/>
          <w:color w:val="auto"/>
        </w:rPr>
      </w:pPr>
      <w:r>
        <w:rPr>
          <w:rFonts w:ascii="Arial" w:cs="Arial" w:eastAsia="Arial" w:hAnsi="Arial"/>
          <w:sz w:val="17"/>
          <w:szCs w:val="17"/>
          <w:b w:val="1"/>
          <w:bCs w:val="1"/>
          <w:u w:val="single" w:color="auto"/>
          <w:color w:val="auto"/>
        </w:rPr>
        <w:t>Refusal to Transfer</w:t>
      </w:r>
      <w:r>
        <w:rPr>
          <w:rFonts w:ascii="Arial" w:cs="Arial" w:eastAsia="Arial" w:hAnsi="Arial"/>
          <w:sz w:val="17"/>
          <w:szCs w:val="17"/>
          <w:color w:val="auto"/>
        </w:rPr>
        <w:t>. The Company shall not be required (i) to transfer on its books any Shares issued pursuant to this Agreement that</w:t>
      </w:r>
      <w:r>
        <w:rPr>
          <w:rFonts w:ascii="Arial" w:cs="Arial" w:eastAsia="Arial" w:hAnsi="Arial"/>
          <w:sz w:val="17"/>
          <w:szCs w:val="17"/>
          <w:b w:val="1"/>
          <w:bCs w:val="1"/>
          <w:color w:val="auto"/>
        </w:rPr>
        <w:t xml:space="preserve"> </w:t>
      </w:r>
      <w:r>
        <w:rPr>
          <w:rFonts w:ascii="Arial" w:cs="Arial" w:eastAsia="Arial" w:hAnsi="Arial"/>
          <w:sz w:val="17"/>
          <w:szCs w:val="17"/>
          <w:color w:val="auto"/>
        </w:rPr>
        <w:t>have been sold or otherwise transferred in violation of any of the provisions of this Agreement or (ii) to treat as owner of such Shares or to accord the right to vote or pay dividends to any purchaser or other transferee to whom such Shares shall have been so transferred.</w:t>
      </w:r>
    </w:p>
    <w:p>
      <w:pPr>
        <w:spacing w:after="0" w:line="49" w:lineRule="exact"/>
        <w:rPr>
          <w:rFonts w:ascii="Arial" w:cs="Arial" w:eastAsia="Arial" w:hAnsi="Arial"/>
          <w:sz w:val="17"/>
          <w:szCs w:val="17"/>
          <w:color w:val="auto"/>
        </w:rPr>
      </w:pPr>
    </w:p>
    <w:p>
      <w:pPr>
        <w:ind w:firstLine="436"/>
        <w:spacing w:after="0" w:line="258" w:lineRule="auto"/>
        <w:tabs>
          <w:tab w:leader="none" w:pos="710" w:val="left"/>
        </w:tabs>
        <w:numPr>
          <w:ilvl w:val="0"/>
          <w:numId w:val="357"/>
        </w:numPr>
        <w:rPr>
          <w:rFonts w:ascii="Arial" w:cs="Arial" w:eastAsia="Arial" w:hAnsi="Arial"/>
          <w:sz w:val="18"/>
          <w:szCs w:val="18"/>
          <w:color w:val="auto"/>
        </w:rPr>
      </w:pPr>
      <w:r>
        <w:rPr>
          <w:rFonts w:ascii="Arial" w:cs="Arial" w:eastAsia="Arial" w:hAnsi="Arial"/>
          <w:sz w:val="18"/>
          <w:szCs w:val="18"/>
          <w:b w:val="1"/>
          <w:bCs w:val="1"/>
          <w:u w:val="single" w:color="auto"/>
          <w:color w:val="auto"/>
        </w:rPr>
        <w:t>No Employment Rights</w:t>
      </w:r>
      <w:r>
        <w:rPr>
          <w:rFonts w:ascii="Arial" w:cs="Arial" w:eastAsia="Arial" w:hAnsi="Arial"/>
          <w:sz w:val="18"/>
          <w:szCs w:val="18"/>
          <w:color w:val="auto"/>
        </w:rPr>
        <w:t>. Nothing contained in the RSU Grant Notice or this Agreement is intended to constitute or create a contract of</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nor shall it constitute or create the right to remain associated with or in the employ of the Company or any Subsidiary or Affiliate for any particular period of time. Nothing in RSU Grant Notice or this Agreement shall affect in any manner whatsoever the right or power of the Company, or a parent, subsidiary or affiliate of the Company, to terminate Participant’s employment or consulting relationship, for any reason, with or without cause, subject to Applicable Laws.</w:t>
      </w:r>
    </w:p>
    <w:p>
      <w:pPr>
        <w:spacing w:after="0" w:line="75" w:lineRule="exact"/>
        <w:rPr>
          <w:rFonts w:ascii="Arial" w:cs="Arial" w:eastAsia="Arial" w:hAnsi="Arial"/>
          <w:sz w:val="18"/>
          <w:szCs w:val="18"/>
          <w:color w:val="auto"/>
        </w:rPr>
      </w:pPr>
    </w:p>
    <w:p>
      <w:pPr>
        <w:ind w:right="120" w:firstLine="436"/>
        <w:spacing w:after="0" w:line="288" w:lineRule="auto"/>
        <w:tabs>
          <w:tab w:leader="none" w:pos="710" w:val="left"/>
        </w:tabs>
        <w:numPr>
          <w:ilvl w:val="0"/>
          <w:numId w:val="357"/>
        </w:numPr>
        <w:rPr>
          <w:rFonts w:ascii="Arial" w:cs="Arial" w:eastAsia="Arial" w:hAnsi="Arial"/>
          <w:sz w:val="16"/>
          <w:szCs w:val="16"/>
          <w:color w:val="auto"/>
        </w:rPr>
      </w:pPr>
      <w:r>
        <w:rPr>
          <w:rFonts w:ascii="Arial" w:cs="Arial" w:eastAsia="Arial" w:hAnsi="Arial"/>
          <w:sz w:val="16"/>
          <w:szCs w:val="16"/>
          <w:b w:val="1"/>
          <w:bCs w:val="1"/>
          <w:u w:val="single" w:color="auto"/>
          <w:color w:val="auto"/>
        </w:rPr>
        <w:t>Waiver of Statutory Information Rights</w:t>
      </w:r>
      <w:r>
        <w:rPr>
          <w:rFonts w:ascii="Arial" w:cs="Arial" w:eastAsia="Arial" w:hAnsi="Arial"/>
          <w:sz w:val="16"/>
          <w:szCs w:val="16"/>
          <w:color w:val="auto"/>
        </w:rPr>
        <w:t>. Participant acknowledges and understands that, but for the waiver made herein, upon delivery of</w:t>
      </w:r>
      <w:r>
        <w:rPr>
          <w:rFonts w:ascii="Arial" w:cs="Arial" w:eastAsia="Arial" w:hAnsi="Arial"/>
          <w:sz w:val="16"/>
          <w:szCs w:val="16"/>
          <w:b w:val="1"/>
          <w:bCs w:val="1"/>
          <w:color w:val="auto"/>
        </w:rPr>
        <w:t xml:space="preserve"> </w:t>
      </w:r>
      <w:r>
        <w:rPr>
          <w:rFonts w:ascii="Arial" w:cs="Arial" w:eastAsia="Arial" w:hAnsi="Arial"/>
          <w:sz w:val="16"/>
          <w:szCs w:val="16"/>
          <w:color w:val="auto"/>
        </w:rPr>
        <w:t>any Shares issued to Participant pursuant to this Agreement, Participant would be entitled, upon written demand under oath stating the purpose thereof, to inspect for any proper purpose, and to make copies and extracts from, the Company’s stock ledger, a list of its stockholders, and its other books and records, and the books and records of subsidiaries of the Company, if any, under the circumstances and in the manner provided in Section 220 of the General Corporation Law of Delaware (any and all such rights, and any and all such other rights of Participant as may be provided for in Section 220, the “</w:t>
      </w:r>
      <w:r>
        <w:rPr>
          <w:rFonts w:ascii="Arial" w:cs="Arial" w:eastAsia="Arial" w:hAnsi="Arial"/>
          <w:sz w:val="16"/>
          <w:szCs w:val="16"/>
          <w:u w:val="single" w:color="auto"/>
          <w:color w:val="auto"/>
        </w:rPr>
        <w:t>Inspection Rights</w:t>
      </w:r>
      <w:r>
        <w:rPr>
          <w:rFonts w:ascii="Arial" w:cs="Arial" w:eastAsia="Arial" w:hAnsi="Arial"/>
          <w:sz w:val="16"/>
          <w:szCs w:val="16"/>
          <w:color w:val="auto"/>
        </w:rPr>
        <w:t>”). In light of the foregoing, until an IPO, Participant hereby unconditionally and irrevocably waives the Inspection Rights, whether such Inspection Rights would be exercised or pursued directly or indirectly pursuant to Section 220 or otherwise, and covenants and agrees never to directly or indirectly commence, voluntarily aid in any way, prosecute, assign, transfer, or cause to be commenced any claim, action, cause of action, or other proceeding to pursue or exercise the Inspection Rights. The foregoing waiver applies to the Inspection Rights of Participant in Participant’s capacity as a stockholder and shall not affect any rights of a director, in their capacity as such, under Section 220. The foregoing waiver shall not apply to any contractual inspection rights of Participant under any written agreement with the Company.</w:t>
      </w:r>
    </w:p>
    <w:p>
      <w:pPr>
        <w:spacing w:after="0" w:line="55" w:lineRule="exact"/>
        <w:rPr>
          <w:rFonts w:ascii="Arial" w:cs="Arial" w:eastAsia="Arial" w:hAnsi="Arial"/>
          <w:sz w:val="16"/>
          <w:szCs w:val="16"/>
          <w:color w:val="auto"/>
        </w:rPr>
      </w:pPr>
    </w:p>
    <w:p>
      <w:pPr>
        <w:ind w:left="700" w:hanging="264"/>
        <w:spacing w:after="0"/>
        <w:tabs>
          <w:tab w:leader="none" w:pos="700" w:val="left"/>
        </w:tabs>
        <w:numPr>
          <w:ilvl w:val="0"/>
          <w:numId w:val="357"/>
        </w:numPr>
        <w:rPr>
          <w:rFonts w:ascii="Arial" w:cs="Arial" w:eastAsia="Arial" w:hAnsi="Arial"/>
          <w:sz w:val="18"/>
          <w:szCs w:val="18"/>
          <w:color w:val="auto"/>
        </w:rPr>
      </w:pPr>
      <w:r>
        <w:rPr>
          <w:rFonts w:ascii="Arial" w:cs="Arial" w:eastAsia="Arial" w:hAnsi="Arial"/>
          <w:sz w:val="18"/>
          <w:szCs w:val="18"/>
          <w:b w:val="1"/>
          <w:bCs w:val="1"/>
          <w:u w:val="single" w:color="auto"/>
          <w:color w:val="auto"/>
        </w:rPr>
        <w:t>No Advice Regarding Grant</w:t>
      </w:r>
      <w:r>
        <w:rPr>
          <w:rFonts w:ascii="Arial" w:cs="Arial" w:eastAsia="Arial" w:hAnsi="Arial"/>
          <w:sz w:val="18"/>
          <w:szCs w:val="18"/>
          <w:color w:val="auto"/>
        </w:rPr>
        <w:t>. The Company is not providing any tax, legal or financial advice, nor is the Company making any</w:t>
      </w:r>
    </w:p>
    <w:p>
      <w:pPr>
        <w:spacing w:after="0" w:line="27" w:lineRule="exact"/>
        <w:rPr>
          <w:rFonts w:ascii="Arial" w:cs="Arial" w:eastAsia="Arial" w:hAnsi="Arial"/>
          <w:sz w:val="18"/>
          <w:szCs w:val="18"/>
          <w:color w:val="auto"/>
        </w:rPr>
      </w:pPr>
    </w:p>
    <w:p>
      <w:pPr>
        <w:ind w:right="360"/>
        <w:spacing w:after="0" w:line="302" w:lineRule="auto"/>
        <w:rPr>
          <w:rFonts w:ascii="Arial" w:cs="Arial" w:eastAsia="Arial" w:hAnsi="Arial"/>
          <w:sz w:val="18"/>
          <w:szCs w:val="18"/>
          <w:color w:val="auto"/>
        </w:rPr>
      </w:pPr>
      <w:r>
        <w:rPr>
          <w:rFonts w:ascii="Arial" w:cs="Arial" w:eastAsia="Arial" w:hAnsi="Arial"/>
          <w:sz w:val="16"/>
          <w:szCs w:val="16"/>
          <w:color w:val="auto"/>
        </w:rPr>
        <w:t>recommendations regarding Participant’s participation in the Plan, or Participant’s receipt, vesting or settlement of the RSUs or the Shares allocated thereto or the sale of such Shares. Participant is hereby advised to consult with their own personal tax, legal and financial advisors regarding their participation in the Plan and the RSUs before accepting the RSUs or otherwise taking any action related to the RSUs or the Plan.</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10</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ectPr>
          <w:pgSz w:w="11900" w:h="16838" w:orient="portrait"/>
          <w:cols w:equalWidth="0" w:num="1">
            <w:col w:w="11000"/>
          </w:cols>
          <w:pgMar w:left="440" w:top="274" w:right="459" w:bottom="1440" w:gutter="0" w:footer="0" w:header="0"/>
        </w:sectPr>
      </w:pPr>
    </w:p>
    <w:bookmarkStart w:id="377" w:name="page378"/>
    <w:bookmarkEnd w:id="377"/>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ADOPTED November 20, 2019</w:t>
      </w:r>
    </w:p>
    <w:p>
      <w:pPr>
        <w:spacing w:after="0" w:line="154" w:lineRule="exact"/>
        <w:rPr>
          <w:sz w:val="20"/>
          <w:szCs w:val="20"/>
          <w:color w:val="auto"/>
        </w:rPr>
      </w:pPr>
    </w:p>
    <w:p>
      <w:pPr>
        <w:ind w:left="704" w:hanging="264"/>
        <w:spacing w:after="0"/>
        <w:tabs>
          <w:tab w:leader="none" w:pos="704" w:val="left"/>
        </w:tabs>
        <w:numPr>
          <w:ilvl w:val="0"/>
          <w:numId w:val="358"/>
        </w:numPr>
        <w:rPr>
          <w:rFonts w:ascii="Arial" w:cs="Arial" w:eastAsia="Arial" w:hAnsi="Arial"/>
          <w:sz w:val="16"/>
          <w:szCs w:val="16"/>
          <w:color w:val="auto"/>
        </w:rPr>
      </w:pPr>
      <w:r>
        <w:rPr>
          <w:rFonts w:ascii="Arial" w:cs="Arial" w:eastAsia="Arial" w:hAnsi="Arial"/>
          <w:sz w:val="16"/>
          <w:szCs w:val="16"/>
          <w:b w:val="1"/>
          <w:bCs w:val="1"/>
          <w:u w:val="single" w:color="auto"/>
          <w:color w:val="auto"/>
        </w:rPr>
        <w:t>Data Privacy</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Participant hereby explicitly and unambiguously agrees to the collection, use and transfer, in electronic or other form, of</w:t>
      </w:r>
    </w:p>
    <w:p>
      <w:pPr>
        <w:spacing w:after="0" w:line="50" w:lineRule="exact"/>
        <w:rPr>
          <w:rFonts w:ascii="Arial" w:cs="Arial" w:eastAsia="Arial" w:hAnsi="Arial"/>
          <w:sz w:val="16"/>
          <w:szCs w:val="16"/>
          <w:color w:val="auto"/>
        </w:rPr>
      </w:pPr>
    </w:p>
    <w:p>
      <w:pPr>
        <w:ind w:left="4" w:right="20"/>
        <w:spacing w:after="0" w:line="323" w:lineRule="auto"/>
        <w:rPr>
          <w:rFonts w:ascii="Arial" w:cs="Arial" w:eastAsia="Arial" w:hAnsi="Arial"/>
          <w:sz w:val="16"/>
          <w:szCs w:val="16"/>
          <w:color w:val="auto"/>
        </w:rPr>
      </w:pPr>
      <w:r>
        <w:rPr>
          <w:rFonts w:ascii="Arial" w:cs="Arial" w:eastAsia="Arial" w:hAnsi="Arial"/>
          <w:sz w:val="16"/>
          <w:szCs w:val="16"/>
          <w:b w:val="1"/>
          <w:bCs w:val="1"/>
          <w:i w:val="1"/>
          <w:iCs w:val="1"/>
          <w:color w:val="auto"/>
        </w:rPr>
        <w:t>Participant’s personal data as described in RSU Grant Notice and/or this Agreement and any other award materials by and among the entities in the Company Group for the exclusive purpose of implementing, administering and managing Participant’s participation in the Plan.</w:t>
      </w:r>
    </w:p>
    <w:p>
      <w:pPr>
        <w:spacing w:after="0" w:line="138" w:lineRule="exact"/>
        <w:rPr>
          <w:sz w:val="20"/>
          <w:szCs w:val="20"/>
          <w:color w:val="auto"/>
        </w:rPr>
      </w:pPr>
    </w:p>
    <w:p>
      <w:pPr>
        <w:ind w:left="4" w:right="120" w:firstLine="440"/>
        <w:spacing w:after="0" w:line="327" w:lineRule="auto"/>
        <w:rPr>
          <w:sz w:val="20"/>
          <w:szCs w:val="20"/>
          <w:color w:val="auto"/>
        </w:rPr>
      </w:pPr>
      <w:r>
        <w:rPr>
          <w:rFonts w:ascii="Arial" w:cs="Arial" w:eastAsia="Arial" w:hAnsi="Arial"/>
          <w:sz w:val="15"/>
          <w:szCs w:val="15"/>
          <w:b w:val="1"/>
          <w:bCs w:val="1"/>
          <w:i w:val="1"/>
          <w:iCs w:val="1"/>
          <w:color w:val="auto"/>
        </w:rPr>
        <w:t>Participant understands that the Company Group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Awards, or any other entitlement to Shares awarded, canceled, exercised, vested, unvested or outstanding in Participant’s favor (“</w:t>
      </w:r>
      <w:r>
        <w:rPr>
          <w:rFonts w:ascii="Arial" w:cs="Arial" w:eastAsia="Arial" w:hAnsi="Arial"/>
          <w:sz w:val="15"/>
          <w:szCs w:val="15"/>
          <w:b w:val="1"/>
          <w:bCs w:val="1"/>
          <w:i w:val="1"/>
          <w:iCs w:val="1"/>
          <w:u w:val="single" w:color="auto"/>
          <w:color w:val="auto"/>
        </w:rPr>
        <w:t>Data</w:t>
      </w:r>
      <w:r>
        <w:rPr>
          <w:rFonts w:ascii="Arial" w:cs="Arial" w:eastAsia="Arial" w:hAnsi="Arial"/>
          <w:sz w:val="15"/>
          <w:szCs w:val="15"/>
          <w:b w:val="1"/>
          <w:bCs w:val="1"/>
          <w:i w:val="1"/>
          <w:iCs w:val="1"/>
          <w:color w:val="auto"/>
        </w:rPr>
        <w:t>”), for the exclusive purpose of implementing, administering and managing the Plan.</w:t>
      </w:r>
    </w:p>
    <w:p>
      <w:pPr>
        <w:spacing w:after="0" w:line="140" w:lineRule="exact"/>
        <w:rPr>
          <w:sz w:val="20"/>
          <w:szCs w:val="20"/>
          <w:color w:val="auto"/>
        </w:rPr>
      </w:pPr>
    </w:p>
    <w:p>
      <w:pPr>
        <w:ind w:left="4" w:firstLine="440"/>
        <w:spacing w:after="0" w:line="286" w:lineRule="auto"/>
        <w:rPr>
          <w:sz w:val="20"/>
          <w:szCs w:val="20"/>
          <w:color w:val="auto"/>
        </w:rPr>
      </w:pPr>
      <w:r>
        <w:rPr>
          <w:rFonts w:ascii="Arial" w:cs="Arial" w:eastAsia="Arial" w:hAnsi="Arial"/>
          <w:sz w:val="16"/>
          <w:szCs w:val="16"/>
          <w:b w:val="1"/>
          <w:bCs w:val="1"/>
          <w:i w:val="1"/>
          <w:iCs w:val="1"/>
          <w:color w:val="auto"/>
        </w:rPr>
        <w:t>Participant understands that Data will be transferred to such stock plan service provider as may be selected by the Company, presently or the in future, which may be assisting the Company with the implementation, administration and management of the Plan. Participant understands that the recipients of the Data may be located in the United States or elsewhere, and that the recipient’s country (e.g., the United States) may have different data privacy laws and protections than Participant’s country. Participant authorizes the Company, the stock plan service provider as may be selected by the Company, and any other possible recipients which may assist the Company, presently or in the future, with implementing, administering, and managing the Plan to receive, possess, use, copy, retain, transfer, and otherwise process the Data, in electronic or other form, for the sole purposes of implementing, administering and managing Participant’s participation in the Plan. Further, Participant understands that Participant is providing the consents herein on a purely voluntary basis. If Participant does not consent, or if Participant later seeks to revoke their consent, their Continuous Service Status will not be adversely affected; the only adverse consequence of refusing or withdrawing Participant’s consent is that the Company would not be able to grant Participant RSUs, awards or any other equity awards or administer or maintain such awards. Therefore, Participant understands that refusing or withdrawing their consent may affect Participant’s ability to participate in the Plan. For more information on the consequences of Participant’s refusal to consent or withdrawal of consent, Participant understands that Participant may contact their people operations representative.</w:t>
      </w:r>
    </w:p>
    <w:p>
      <w:pPr>
        <w:spacing w:after="0" w:line="62" w:lineRule="exact"/>
        <w:rPr>
          <w:sz w:val="20"/>
          <w:szCs w:val="20"/>
          <w:color w:val="auto"/>
        </w:rPr>
      </w:pPr>
    </w:p>
    <w:p>
      <w:pPr>
        <w:ind w:left="704" w:hanging="264"/>
        <w:spacing w:after="0"/>
        <w:tabs>
          <w:tab w:leader="none" w:pos="704" w:val="left"/>
        </w:tabs>
        <w:numPr>
          <w:ilvl w:val="1"/>
          <w:numId w:val="359"/>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For purposes of this Agreement, the terms set forth below shall have the meanings set forth below.</w:t>
      </w:r>
    </w:p>
    <w:p>
      <w:pPr>
        <w:spacing w:after="0" w:line="117" w:lineRule="exact"/>
        <w:rPr>
          <w:rFonts w:ascii="Arial" w:cs="Arial" w:eastAsia="Arial" w:hAnsi="Arial"/>
          <w:sz w:val="18"/>
          <w:szCs w:val="18"/>
          <w:color w:val="auto"/>
        </w:rPr>
      </w:pPr>
    </w:p>
    <w:p>
      <w:pPr>
        <w:ind w:left="4" w:right="40" w:firstLine="987"/>
        <w:spacing w:after="0" w:line="286" w:lineRule="auto"/>
        <w:tabs>
          <w:tab w:leader="none" w:pos="1240" w:val="left"/>
        </w:tabs>
        <w:numPr>
          <w:ilvl w:val="2"/>
          <w:numId w:val="35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IPO</w:t>
      </w:r>
      <w:r>
        <w:rPr>
          <w:rFonts w:ascii="Arial" w:cs="Arial" w:eastAsia="Arial" w:hAnsi="Arial"/>
          <w:sz w:val="16"/>
          <w:szCs w:val="16"/>
          <w:color w:val="auto"/>
        </w:rPr>
        <w:t>” shall mean (i) the first sale of Company equity securities to the general public pursuant to a registration statement filed with and declared effective by the Securities and Exchange Commission under the Securities Act (other than a registration statement relating solely to the issuance of Company equity securities pursuant to a business combination or an employee incentive or benefit plan), (ii) the Company first becoming subject to the periodic reporting requirements of Section 12(g) or 15(d) of the Exchange Act, (iii) a “direct listing” of any Company equity securities after which such equity securities are listed on a Principal Exchange (as defined below), or (iv) an event similar to any event described in clauses</w:t>
      </w:r>
    </w:p>
    <w:p>
      <w:pPr>
        <w:spacing w:after="0" w:line="2" w:lineRule="exact"/>
        <w:rPr>
          <w:rFonts w:ascii="Arial" w:cs="Arial" w:eastAsia="Arial" w:hAnsi="Arial"/>
          <w:sz w:val="16"/>
          <w:szCs w:val="16"/>
          <w:color w:val="auto"/>
        </w:rPr>
      </w:pPr>
    </w:p>
    <w:p>
      <w:pPr>
        <w:ind w:left="224" w:hanging="224"/>
        <w:spacing w:after="0"/>
        <w:tabs>
          <w:tab w:leader="none" w:pos="224" w:val="left"/>
        </w:tabs>
        <w:numPr>
          <w:ilvl w:val="0"/>
          <w:numId w:val="360"/>
        </w:numPr>
        <w:rPr>
          <w:rFonts w:ascii="Arial" w:cs="Arial" w:eastAsia="Arial" w:hAnsi="Arial"/>
          <w:sz w:val="18"/>
          <w:szCs w:val="18"/>
          <w:color w:val="auto"/>
        </w:rPr>
      </w:pPr>
      <w:r>
        <w:rPr>
          <w:rFonts w:ascii="Arial" w:cs="Arial" w:eastAsia="Arial" w:hAnsi="Arial"/>
          <w:sz w:val="18"/>
          <w:szCs w:val="18"/>
          <w:color w:val="auto"/>
        </w:rPr>
        <w:t>through (iii) above in any jurisdiction outside of the United States.</w:t>
      </w:r>
    </w:p>
    <w:p>
      <w:pPr>
        <w:spacing w:after="0" w:line="13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11</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ectPr>
          <w:pgSz w:w="11900" w:h="16838" w:orient="portrait"/>
          <w:cols w:equalWidth="0" w:num="1">
            <w:col w:w="11004"/>
          </w:cols>
          <w:pgMar w:left="436" w:top="274" w:right="459" w:bottom="1440" w:gutter="0" w:footer="0" w:header="0"/>
        </w:sectPr>
      </w:pPr>
    </w:p>
    <w:bookmarkStart w:id="378" w:name="page379"/>
    <w:bookmarkEnd w:id="37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ADOPTED November 20, 2019</w:t>
      </w:r>
    </w:p>
    <w:p>
      <w:pPr>
        <w:spacing w:after="0" w:line="154" w:lineRule="exact"/>
        <w:rPr>
          <w:sz w:val="20"/>
          <w:szCs w:val="20"/>
          <w:color w:val="auto"/>
        </w:rPr>
      </w:pPr>
    </w:p>
    <w:p>
      <w:pPr>
        <w:ind w:right="120" w:firstLine="987"/>
        <w:spacing w:after="0" w:line="261" w:lineRule="auto"/>
        <w:tabs>
          <w:tab w:leader="none" w:pos="1246" w:val="left"/>
        </w:tabs>
        <w:numPr>
          <w:ilvl w:val="1"/>
          <w:numId w:val="3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IPO Effective Date</w:t>
      </w:r>
      <w:r>
        <w:rPr>
          <w:rFonts w:ascii="Arial" w:cs="Arial" w:eastAsia="Arial" w:hAnsi="Arial"/>
          <w:sz w:val="18"/>
          <w:szCs w:val="18"/>
          <w:color w:val="auto"/>
        </w:rPr>
        <w:t>” shall mean (A) in the case of clause (i) of the definition of IPO, the closing date of the offering, (B) in the case of clause (ii) of the definition of IPO, the date on which the Company first becomes subject to the periodic reporting requirements, (C) in the case of clause (iii) of the definition of IPO, the listing date for the direct listing, and (D) in the case of clause (iv) of the definition of IPO, a date determined by the Company, in its sole discretion, based on the type event.</w:t>
      </w:r>
    </w:p>
    <w:p>
      <w:pPr>
        <w:spacing w:after="0" w:line="71" w:lineRule="exact"/>
        <w:rPr>
          <w:rFonts w:ascii="Arial" w:cs="Arial" w:eastAsia="Arial" w:hAnsi="Arial"/>
          <w:sz w:val="18"/>
          <w:szCs w:val="18"/>
          <w:color w:val="auto"/>
        </w:rPr>
      </w:pPr>
    </w:p>
    <w:p>
      <w:pPr>
        <w:ind w:right="400" w:firstLine="987"/>
        <w:spacing w:after="0" w:line="282" w:lineRule="auto"/>
        <w:tabs>
          <w:tab w:leader="none" w:pos="1236" w:val="left"/>
        </w:tabs>
        <w:numPr>
          <w:ilvl w:val="1"/>
          <w:numId w:val="3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Principal Exchange</w:t>
      </w:r>
      <w:r>
        <w:rPr>
          <w:rFonts w:ascii="Arial" w:cs="Arial" w:eastAsia="Arial" w:hAnsi="Arial"/>
          <w:sz w:val="18"/>
          <w:szCs w:val="18"/>
          <w:color w:val="auto"/>
        </w:rPr>
        <w:t>” shall mean either the New York Stock Exchange, The Nasdaq Global Select Market or The Nasdaq Global Market (or their respective successors).</w:t>
      </w:r>
    </w:p>
    <w:p>
      <w:pPr>
        <w:spacing w:after="0" w:line="53" w:lineRule="exact"/>
        <w:rPr>
          <w:rFonts w:ascii="Arial" w:cs="Arial" w:eastAsia="Arial" w:hAnsi="Arial"/>
          <w:sz w:val="18"/>
          <w:szCs w:val="18"/>
          <w:color w:val="auto"/>
        </w:rPr>
      </w:pPr>
    </w:p>
    <w:p>
      <w:pPr>
        <w:ind w:left="1240" w:hanging="253"/>
        <w:spacing w:after="0"/>
        <w:tabs>
          <w:tab w:leader="none" w:pos="1240" w:val="left"/>
        </w:tabs>
        <w:numPr>
          <w:ilvl w:val="1"/>
          <w:numId w:val="3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Securities Act</w:t>
      </w:r>
      <w:r>
        <w:rPr>
          <w:rFonts w:ascii="Arial" w:cs="Arial" w:eastAsia="Arial" w:hAnsi="Arial"/>
          <w:sz w:val="18"/>
          <w:szCs w:val="18"/>
          <w:color w:val="auto"/>
        </w:rPr>
        <w:t>” shall mean the Securities Act of 1933, as amended.</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362"/>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20" w:firstLine="987"/>
        <w:spacing w:after="0" w:line="256" w:lineRule="auto"/>
        <w:tabs>
          <w:tab w:leader="none" w:pos="1236" w:val="left"/>
        </w:tabs>
        <w:numPr>
          <w:ilvl w:val="1"/>
          <w:numId w:val="362"/>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The validity, interpretation, construction and performance of the RSU Grant Notice and this Agreement and all acts</w:t>
      </w:r>
      <w:r>
        <w:rPr>
          <w:rFonts w:ascii="Arial" w:cs="Arial" w:eastAsia="Arial" w:hAnsi="Arial"/>
          <w:sz w:val="18"/>
          <w:szCs w:val="18"/>
          <w:b w:val="1"/>
          <w:bCs w:val="1"/>
          <w:color w:val="auto"/>
        </w:rPr>
        <w:t xml:space="preserve"> </w:t>
      </w:r>
      <w:r>
        <w:rPr>
          <w:rFonts w:ascii="Arial" w:cs="Arial" w:eastAsia="Arial" w:hAnsi="Arial"/>
          <w:sz w:val="18"/>
          <w:szCs w:val="18"/>
          <w:color w:val="auto"/>
        </w:rPr>
        <w:t>and transactions pursuant hereto and the rights and obligations of the parties hereto shall be governed, construed and interpreted in accordance with the laws of the State of California, without giving effect to principles of conflicts of law. For purposes of litigating any dispute that may arise directly or indirectly from the RSU Grant Notice or this Agreement, the parties hereby submit and consent to the exclusive jurisdiction of the State of California and agree that any such litigation shall be conducted only in the courts of California or the federal courts of the United States located in California and no other courts.</w:t>
      </w:r>
    </w:p>
    <w:p>
      <w:pPr>
        <w:spacing w:after="0" w:line="79" w:lineRule="exact"/>
        <w:rPr>
          <w:rFonts w:ascii="Arial" w:cs="Arial" w:eastAsia="Arial" w:hAnsi="Arial"/>
          <w:sz w:val="18"/>
          <w:szCs w:val="18"/>
          <w:color w:val="auto"/>
        </w:rPr>
      </w:pPr>
    </w:p>
    <w:p>
      <w:pPr>
        <w:ind w:right="20" w:firstLine="987"/>
        <w:spacing w:after="0" w:line="303" w:lineRule="auto"/>
        <w:tabs>
          <w:tab w:leader="none" w:pos="1246" w:val="left"/>
        </w:tabs>
        <w:numPr>
          <w:ilvl w:val="1"/>
          <w:numId w:val="362"/>
        </w:numPr>
        <w:rPr>
          <w:rFonts w:ascii="Arial" w:cs="Arial" w:eastAsia="Arial" w:hAnsi="Arial"/>
          <w:sz w:val="16"/>
          <w:szCs w:val="16"/>
          <w:color w:val="auto"/>
        </w:rPr>
      </w:pPr>
      <w:r>
        <w:rPr>
          <w:rFonts w:ascii="Arial" w:cs="Arial" w:eastAsia="Arial" w:hAnsi="Arial"/>
          <w:sz w:val="16"/>
          <w:szCs w:val="16"/>
          <w:b w:val="1"/>
          <w:bCs w:val="1"/>
          <w:u w:val="single" w:color="auto"/>
          <w:color w:val="auto"/>
        </w:rPr>
        <w:t>Addendum</w:t>
      </w:r>
      <w:r>
        <w:rPr>
          <w:rFonts w:ascii="Arial" w:cs="Arial" w:eastAsia="Arial" w:hAnsi="Arial"/>
          <w:sz w:val="16"/>
          <w:szCs w:val="16"/>
          <w:color w:val="auto"/>
        </w:rPr>
        <w:t>. Notwithstanding any provisions in the RSU Grant Notice or this Agreement, the RSUs shall be subject to any special</w:t>
      </w:r>
      <w:r>
        <w:rPr>
          <w:rFonts w:ascii="Arial" w:cs="Arial" w:eastAsia="Arial" w:hAnsi="Arial"/>
          <w:sz w:val="16"/>
          <w:szCs w:val="16"/>
          <w:b w:val="1"/>
          <w:bCs w:val="1"/>
          <w:color w:val="auto"/>
        </w:rPr>
        <w:t xml:space="preserve"> </w:t>
      </w:r>
      <w:r>
        <w:rPr>
          <w:rFonts w:ascii="Arial" w:cs="Arial" w:eastAsia="Arial" w:hAnsi="Arial"/>
          <w:sz w:val="16"/>
          <w:szCs w:val="16"/>
          <w:color w:val="auto"/>
        </w:rPr>
        <w:t>terms and conditions set forth in any Addendum to this Agreement for Participant’s country. Moreover, if Participant relocates to one of the countries included in the Addendum, the special terms and conditions for such country will apply to Participant, to the extent the Company determines that the application of such terms and conditions is necessary or advisable for legal or administrative reasons. The Addendum constitutes part of this Agreement.</w:t>
      </w:r>
    </w:p>
    <w:p>
      <w:pPr>
        <w:spacing w:after="0" w:line="42" w:lineRule="exact"/>
        <w:rPr>
          <w:rFonts w:ascii="Arial" w:cs="Arial" w:eastAsia="Arial" w:hAnsi="Arial"/>
          <w:sz w:val="16"/>
          <w:szCs w:val="16"/>
          <w:color w:val="auto"/>
        </w:rPr>
      </w:pPr>
    </w:p>
    <w:p>
      <w:pPr>
        <w:ind w:right="20" w:firstLine="987"/>
        <w:spacing w:after="0" w:line="274" w:lineRule="auto"/>
        <w:tabs>
          <w:tab w:leader="none" w:pos="1236" w:val="left"/>
        </w:tabs>
        <w:numPr>
          <w:ilvl w:val="1"/>
          <w:numId w:val="362"/>
        </w:numPr>
        <w:rPr>
          <w:rFonts w:ascii="Arial" w:cs="Arial" w:eastAsia="Arial" w:hAnsi="Arial"/>
          <w:sz w:val="17"/>
          <w:szCs w:val="17"/>
          <w:color w:val="auto"/>
        </w:rPr>
      </w:pPr>
      <w:r>
        <w:rPr>
          <w:rFonts w:ascii="Arial" w:cs="Arial" w:eastAsia="Arial" w:hAnsi="Arial"/>
          <w:sz w:val="17"/>
          <w:szCs w:val="17"/>
          <w:b w:val="1"/>
          <w:bCs w:val="1"/>
          <w:u w:val="single" w:color="auto"/>
          <w:color w:val="auto"/>
        </w:rPr>
        <w:t>Entire Agreement; Enforcement of Rights</w:t>
      </w:r>
      <w:r>
        <w:rPr>
          <w:rFonts w:ascii="Arial" w:cs="Arial" w:eastAsia="Arial" w:hAnsi="Arial"/>
          <w:sz w:val="17"/>
          <w:szCs w:val="17"/>
          <w:color w:val="auto"/>
        </w:rPr>
        <w:t>. This Agreement, together with the Addendum, the RSU Grant Notice and the Plan, sets</w:t>
      </w:r>
      <w:r>
        <w:rPr>
          <w:rFonts w:ascii="Arial" w:cs="Arial" w:eastAsia="Arial" w:hAnsi="Arial"/>
          <w:sz w:val="17"/>
          <w:szCs w:val="17"/>
          <w:b w:val="1"/>
          <w:bCs w:val="1"/>
          <w:color w:val="auto"/>
        </w:rPr>
        <w:t xml:space="preserve"> </w:t>
      </w:r>
      <w:r>
        <w:rPr>
          <w:rFonts w:ascii="Arial" w:cs="Arial" w:eastAsia="Arial" w:hAnsi="Arial"/>
          <w:sz w:val="17"/>
          <w:szCs w:val="17"/>
          <w:color w:val="auto"/>
        </w:rPr>
        <w:t>forth the entire agreement and understanding of the parties relating to the subject matter herein and therein and supersedes all prior or contemporaneous discussions, understandings and agreements, whether oral or written, between the parties related to the subject matter hereof. Except as contemplated by the Plan, no modification of or amendment to the RSU Grant Notice or this Agreement, nor any waiver of any rights under the RSU Grant Notice or this Agreement, shall be effective unless in writing signed by the parties to this Agreement. The failure by either party to enforce any rights under the RSU Grant Notice or this Agreement shall not be construed as a waiver of any rights of such party.</w:t>
      </w:r>
    </w:p>
    <w:p>
      <w:pPr>
        <w:spacing w:after="0" w:line="65" w:lineRule="exact"/>
        <w:rPr>
          <w:rFonts w:ascii="Arial" w:cs="Arial" w:eastAsia="Arial" w:hAnsi="Arial"/>
          <w:sz w:val="17"/>
          <w:szCs w:val="17"/>
          <w:color w:val="auto"/>
        </w:rPr>
      </w:pPr>
    </w:p>
    <w:p>
      <w:pPr>
        <w:ind w:firstLine="987"/>
        <w:spacing w:after="0" w:line="277" w:lineRule="auto"/>
        <w:tabs>
          <w:tab w:leader="none" w:pos="1246" w:val="left"/>
        </w:tabs>
        <w:numPr>
          <w:ilvl w:val="1"/>
          <w:numId w:val="362"/>
        </w:numPr>
        <w:rPr>
          <w:rFonts w:ascii="Arial" w:cs="Arial" w:eastAsia="Arial" w:hAnsi="Arial"/>
          <w:sz w:val="17"/>
          <w:szCs w:val="17"/>
          <w:color w:val="auto"/>
        </w:rPr>
      </w:pPr>
      <w:r>
        <w:rPr>
          <w:rFonts w:ascii="Arial" w:cs="Arial" w:eastAsia="Arial" w:hAnsi="Arial"/>
          <w:sz w:val="17"/>
          <w:szCs w:val="17"/>
          <w:b w:val="1"/>
          <w:bCs w:val="1"/>
          <w:u w:val="single" w:color="auto"/>
          <w:color w:val="auto"/>
        </w:rPr>
        <w:t>Severability</w:t>
      </w:r>
      <w:r>
        <w:rPr>
          <w:rFonts w:ascii="Arial" w:cs="Arial" w:eastAsia="Arial" w:hAnsi="Arial"/>
          <w:sz w:val="17"/>
          <w:szCs w:val="17"/>
          <w:color w:val="auto"/>
        </w:rPr>
        <w:t>. If one or more provisions of the RSU Grant Notice, this Agreement or the Plan are held to be unenforceable under</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Laws, the parties agree to renegotiate such provision in good faith. In the event that the parties cannot reach a mutually agreeable and enforceable replacement for such provision, then (i) such provision shall be excluded from the RSU Grant Notice, this Agreement and the Plan, (ii) the balance of the RSU Grant Notice, this Agreement and the Plan shall be interpreted as if such provision were so excluded and (iii) the balance of the RSU Grant Notice, this Agreement and the Plan shall be enforceable in accordance with its terms.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12</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ectPr>
          <w:pgSz w:w="11900" w:h="16838" w:orient="portrait"/>
          <w:cols w:equalWidth="0" w:num="1">
            <w:col w:w="11000"/>
          </w:cols>
          <w:pgMar w:left="440" w:top="274" w:right="459" w:bottom="1440" w:gutter="0" w:footer="0" w:header="0"/>
        </w:sectPr>
      </w:pPr>
    </w:p>
    <w:bookmarkStart w:id="379" w:name="page380"/>
    <w:bookmarkEnd w:id="37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ADOPTED November 20, 2019</w:t>
      </w:r>
    </w:p>
    <w:p>
      <w:pPr>
        <w:spacing w:after="0" w:line="154" w:lineRule="exact"/>
        <w:rPr>
          <w:sz w:val="20"/>
          <w:szCs w:val="20"/>
          <w:color w:val="auto"/>
        </w:rPr>
      </w:pPr>
    </w:p>
    <w:p>
      <w:pPr>
        <w:ind w:firstLine="987"/>
        <w:spacing w:after="0" w:line="291" w:lineRule="auto"/>
        <w:tabs>
          <w:tab w:leader="none" w:pos="1236" w:val="left"/>
        </w:tabs>
        <w:numPr>
          <w:ilvl w:val="0"/>
          <w:numId w:val="363"/>
        </w:numPr>
        <w:rPr>
          <w:rFonts w:ascii="Arial" w:cs="Arial" w:eastAsia="Arial" w:hAnsi="Arial"/>
          <w:sz w:val="16"/>
          <w:szCs w:val="16"/>
          <w:color w:val="auto"/>
        </w:rPr>
      </w:pPr>
      <w:r>
        <w:rPr>
          <w:rFonts w:ascii="Arial" w:cs="Arial" w:eastAsia="Arial" w:hAnsi="Arial"/>
          <w:sz w:val="16"/>
          <w:szCs w:val="16"/>
          <w:b w:val="1"/>
          <w:bCs w:val="1"/>
          <w:u w:val="single" w:color="auto"/>
          <w:color w:val="auto"/>
        </w:rPr>
        <w:t>Imposition of Other Requirements</w:t>
      </w:r>
      <w:r>
        <w:rPr>
          <w:rFonts w:ascii="Arial" w:cs="Arial" w:eastAsia="Arial" w:hAnsi="Arial"/>
          <w:sz w:val="16"/>
          <w:szCs w:val="16"/>
          <w:color w:val="auto"/>
        </w:rPr>
        <w:t>. The Company reserves the right to impose other requirements on Participant’s participation in the</w:t>
      </w:r>
      <w:r>
        <w:rPr>
          <w:rFonts w:ascii="Arial" w:cs="Arial" w:eastAsia="Arial" w:hAnsi="Arial"/>
          <w:sz w:val="16"/>
          <w:szCs w:val="16"/>
          <w:b w:val="1"/>
          <w:bCs w:val="1"/>
          <w:color w:val="auto"/>
        </w:rPr>
        <w:t xml:space="preserve"> </w:t>
      </w:r>
      <w:r>
        <w:rPr>
          <w:rFonts w:ascii="Arial" w:cs="Arial" w:eastAsia="Arial" w:hAnsi="Arial"/>
          <w:sz w:val="16"/>
          <w:szCs w:val="16"/>
          <w:color w:val="auto"/>
        </w:rPr>
        <w:t>Plan, on the RSUs and on any Shares allocated to the RSUs, to the extent the Company determines it is necessary or advisable for legal or administrative reasons, and to require Participant to sign any additional agreements or undertakings that may be necessary to accomplish the foregoing. Participant also acknowledges that the Applicable Laws of the country in which Participant is residing or working at the time of grant, vesting and settlement of the RSUs or the sale of Shares received pursuant to the RSUs (including any rules or regulations governing securities, foreign exchange, tax, labor, or other matters) may subject Participant to additional procedural or regulatory requirements that Participant is and will be solely responsible for and must fulfill. Such requirements may be outlined in but are not limited to the Addendum. Notwithstanding any provision herein, the RSUs and Participant’s participation in the Plan shall be subject to any applicable special terms and conditions or disclosures as set forth in the Addendum.</w:t>
      </w:r>
    </w:p>
    <w:p>
      <w:pPr>
        <w:spacing w:after="0" w:line="51" w:lineRule="exact"/>
        <w:rPr>
          <w:rFonts w:ascii="Arial" w:cs="Arial" w:eastAsia="Arial" w:hAnsi="Arial"/>
          <w:sz w:val="16"/>
          <w:szCs w:val="16"/>
          <w:color w:val="auto"/>
        </w:rPr>
      </w:pPr>
    </w:p>
    <w:p>
      <w:pPr>
        <w:ind w:right="200" w:firstLine="987"/>
        <w:spacing w:after="0" w:line="261" w:lineRule="auto"/>
        <w:tabs>
          <w:tab w:leader="none" w:pos="1216" w:val="left"/>
        </w:tabs>
        <w:numPr>
          <w:ilvl w:val="0"/>
          <w:numId w:val="363"/>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Any notice required or permitted by this Agreement shall be in writing and shall be deemed sufficient when delivered</w:t>
      </w:r>
      <w:r>
        <w:rPr>
          <w:rFonts w:ascii="Arial" w:cs="Arial" w:eastAsia="Arial" w:hAnsi="Arial"/>
          <w:sz w:val="18"/>
          <w:szCs w:val="18"/>
          <w:b w:val="1"/>
          <w:bCs w:val="1"/>
          <w:color w:val="auto"/>
        </w:rPr>
        <w:t xml:space="preserve"> </w:t>
      </w:r>
      <w:r>
        <w:rPr>
          <w:rFonts w:ascii="Arial" w:cs="Arial" w:eastAsia="Arial" w:hAnsi="Arial"/>
          <w:sz w:val="18"/>
          <w:szCs w:val="18"/>
          <w:color w:val="auto"/>
        </w:rPr>
        <w:t>personally or by overnight courier or sent by email or fax, or 48 hours after being deposited in the U.S. mail or a comparable foreign mail service, as certified or registered mail with postage or shipping charges prepaid and addressed to the party to be notified at such party’s last known address or fax number, as subsequently modified by written notice.</w:t>
      </w:r>
    </w:p>
    <w:p>
      <w:pPr>
        <w:spacing w:after="0" w:line="71" w:lineRule="exact"/>
        <w:rPr>
          <w:rFonts w:ascii="Arial" w:cs="Arial" w:eastAsia="Arial" w:hAnsi="Arial"/>
          <w:sz w:val="18"/>
          <w:szCs w:val="18"/>
          <w:color w:val="auto"/>
        </w:rPr>
      </w:pPr>
    </w:p>
    <w:p>
      <w:pPr>
        <w:ind w:right="100" w:firstLine="987"/>
        <w:spacing w:after="0" w:line="266" w:lineRule="auto"/>
        <w:tabs>
          <w:tab w:leader="none" w:pos="1246" w:val="left"/>
        </w:tabs>
        <w:numPr>
          <w:ilvl w:val="0"/>
          <w:numId w:val="363"/>
        </w:numPr>
        <w:rPr>
          <w:rFonts w:ascii="Arial" w:cs="Arial" w:eastAsia="Arial" w:hAnsi="Arial"/>
          <w:sz w:val="18"/>
          <w:szCs w:val="18"/>
          <w:color w:val="auto"/>
        </w:rPr>
      </w:pPr>
      <w:r>
        <w:rPr>
          <w:rFonts w:ascii="Arial" w:cs="Arial" w:eastAsia="Arial" w:hAnsi="Arial"/>
          <w:sz w:val="18"/>
          <w:szCs w:val="18"/>
          <w:b w:val="1"/>
          <w:bCs w:val="1"/>
          <w:u w:val="single" w:color="auto"/>
          <w:color w:val="auto"/>
        </w:rPr>
        <w:t>Successors and Assigns</w:t>
      </w:r>
      <w:r>
        <w:rPr>
          <w:rFonts w:ascii="Arial" w:cs="Arial" w:eastAsia="Arial" w:hAnsi="Arial"/>
          <w:sz w:val="18"/>
          <w:szCs w:val="18"/>
          <w:color w:val="auto"/>
        </w:rPr>
        <w:t>. The rights and benefits of the RSU Grant Notice and this Agreement shall inure to the benefit of, and be</w:t>
      </w:r>
      <w:r>
        <w:rPr>
          <w:rFonts w:ascii="Arial" w:cs="Arial" w:eastAsia="Arial" w:hAnsi="Arial"/>
          <w:sz w:val="18"/>
          <w:szCs w:val="18"/>
          <w:b w:val="1"/>
          <w:bCs w:val="1"/>
          <w:color w:val="auto"/>
        </w:rPr>
        <w:t xml:space="preserve"> </w:t>
      </w:r>
      <w:r>
        <w:rPr>
          <w:rFonts w:ascii="Arial" w:cs="Arial" w:eastAsia="Arial" w:hAnsi="Arial"/>
          <w:sz w:val="18"/>
          <w:szCs w:val="18"/>
          <w:color w:val="auto"/>
        </w:rPr>
        <w:t>enforceable by, the Company’s successors and assigns. The rights and obligations of Participant under RSU Grant Notice and this Agreement may only be assigned with the prior written consent of the Company by an authorized officer of the Company.</w:t>
      </w:r>
    </w:p>
    <w:p>
      <w:pPr>
        <w:spacing w:after="0" w:line="67" w:lineRule="exact"/>
        <w:rPr>
          <w:rFonts w:ascii="Arial" w:cs="Arial" w:eastAsia="Arial" w:hAnsi="Arial"/>
          <w:sz w:val="18"/>
          <w:szCs w:val="18"/>
          <w:color w:val="auto"/>
        </w:rPr>
      </w:pPr>
    </w:p>
    <w:p>
      <w:pPr>
        <w:ind w:right="20" w:firstLine="987"/>
        <w:spacing w:after="0" w:line="254" w:lineRule="auto"/>
        <w:tabs>
          <w:tab w:leader="none" w:pos="1246" w:val="left"/>
        </w:tabs>
        <w:numPr>
          <w:ilvl w:val="0"/>
          <w:numId w:val="363"/>
        </w:numPr>
        <w:rPr>
          <w:rFonts w:ascii="Arial" w:cs="Arial" w:eastAsia="Arial" w:hAnsi="Arial"/>
          <w:sz w:val="18"/>
          <w:szCs w:val="18"/>
          <w:color w:val="auto"/>
        </w:rPr>
      </w:pPr>
      <w:r>
        <w:rPr>
          <w:rFonts w:ascii="Arial" w:cs="Arial" w:eastAsia="Arial" w:hAnsi="Arial"/>
          <w:sz w:val="18"/>
          <w:szCs w:val="18"/>
          <w:b w:val="1"/>
          <w:bCs w:val="1"/>
          <w:u w:val="single" w:color="auto"/>
          <w:color w:val="auto"/>
        </w:rPr>
        <w:t>Electronic Delivery; Translation</w:t>
      </w:r>
      <w:r>
        <w:rPr>
          <w:rFonts w:ascii="Arial" w:cs="Arial" w:eastAsia="Arial" w:hAnsi="Arial"/>
          <w:sz w:val="18"/>
          <w:szCs w:val="18"/>
          <w:color w:val="auto"/>
        </w:rPr>
        <w:t>. The Company may, in its sole discretion, decide to deliver any documents related to Participant’s</w:t>
      </w:r>
      <w:r>
        <w:rPr>
          <w:rFonts w:ascii="Arial" w:cs="Arial" w:eastAsia="Arial" w:hAnsi="Arial"/>
          <w:sz w:val="18"/>
          <w:szCs w:val="18"/>
          <w:b w:val="1"/>
          <w:bCs w:val="1"/>
          <w:color w:val="auto"/>
        </w:rPr>
        <w:t xml:space="preserve"> </w:t>
      </w:r>
      <w:r>
        <w:rPr>
          <w:rFonts w:ascii="Arial" w:cs="Arial" w:eastAsia="Arial" w:hAnsi="Arial"/>
          <w:sz w:val="18"/>
          <w:szCs w:val="18"/>
          <w:color w:val="auto"/>
        </w:rPr>
        <w:t>current or future participation in the Plan, the RSUs, the Shares allocated to the RSUs, securities of the Company or any member of the Company or any other Company Group or any other related documents by electronic means. By accepting the RSUs, whether electronically or otherwise, Participant hereby (i) consents to receive such documents by electronic means, and (ii) consents to the use of electronic signatures, and (iii) if applicable, agrees to participate in the Plan and/or receive any such documents through an on-line or electronic system established and maintained by the Company or a third party designated by the Company, including but not limited to the use of electronic signatures or click-through electronic acceptance of terms and conditions. To the extent Participant has been provided with a copy of the RSU Grant Notice, this Agreement, the Plan, or any other documents relating to the RSUs in a language other than English, the English language documents will prevail in case of any ambiguities or divergences as a result of translation.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13</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ectPr>
          <w:pgSz w:w="11900" w:h="16838" w:orient="portrait"/>
          <w:cols w:equalWidth="0" w:num="1">
            <w:col w:w="11000"/>
          </w:cols>
          <w:pgMar w:left="440" w:top="274" w:right="459" w:bottom="1440" w:gutter="0" w:footer="0" w:header="0"/>
        </w:sectPr>
      </w:pPr>
    </w:p>
    <w:bookmarkStart w:id="380" w:name="page381"/>
    <w:bookmarkEnd w:id="38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ADOPTED November 20, 2019</w:t>
      </w:r>
    </w:p>
    <w:p>
      <w:pPr>
        <w:spacing w:after="0" w:line="154" w:lineRule="exact"/>
        <w:rPr>
          <w:sz w:val="20"/>
          <w:szCs w:val="20"/>
          <w:color w:val="auto"/>
        </w:rPr>
      </w:pPr>
    </w:p>
    <w:p>
      <w:pPr>
        <w:ind w:right="20" w:firstLine="987"/>
        <w:spacing w:after="0" w:line="274" w:lineRule="auto"/>
        <w:tabs>
          <w:tab w:leader="none" w:pos="1206" w:val="left"/>
        </w:tabs>
        <w:numPr>
          <w:ilvl w:val="1"/>
          <w:numId w:val="364"/>
        </w:numPr>
        <w:rPr>
          <w:rFonts w:ascii="Arial" w:cs="Arial" w:eastAsia="Arial" w:hAnsi="Arial"/>
          <w:sz w:val="17"/>
          <w:szCs w:val="17"/>
          <w:color w:val="auto"/>
        </w:rPr>
      </w:pPr>
      <w:r>
        <w:rPr>
          <w:rFonts w:ascii="Arial" w:cs="Arial" w:eastAsia="Arial" w:hAnsi="Arial"/>
          <w:sz w:val="17"/>
          <w:szCs w:val="17"/>
          <w:b w:val="1"/>
          <w:bCs w:val="1"/>
          <w:u w:val="single" w:color="auto"/>
          <w:color w:val="auto"/>
        </w:rPr>
        <w:t>California Corporate Securities Law</w:t>
      </w:r>
      <w:r>
        <w:rPr>
          <w:rFonts w:ascii="Arial" w:cs="Arial" w:eastAsia="Arial" w:hAnsi="Arial"/>
          <w:sz w:val="17"/>
          <w:szCs w:val="17"/>
          <w:color w:val="auto"/>
        </w:rPr>
        <w:t>. THE SALE OF THE SECURITIES WHICH ARE THE SUBJECT OF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HAS NOT BEEN QUALIFIED WITH THE COMMISSIONER OF CORPORATIONS OF THE STATE OF CALIFORNIA AND THE ISSUANCE OF THE SECURITIES OR THE PAYMENT OR RECEIPT OF ANY PART OF THE CONSIDERATION THEREFOR PRIOR TO THE QUALIFICATION IS UNLAWFUL, UNLESS THE SALE OF SECURITIES IS EXEMPT FROM QUALIFICATION BY SECTION 25100, 25102 OR 25105 OF THE CALIFORNIA CORPORATIONS CODE. THE RIGHTS OF ALL PARTIES TO THIS AGREEMENT ARE EXPRESSLY CONDITIONED UPON THE QUALIFICATION BEING OBTAINED, UNLESS THE SALE IS SO EXEMPT.</w:t>
      </w:r>
    </w:p>
    <w:p>
      <w:pPr>
        <w:spacing w:after="0" w:line="65" w:lineRule="exact"/>
        <w:rPr>
          <w:rFonts w:ascii="Arial" w:cs="Arial" w:eastAsia="Arial" w:hAnsi="Arial"/>
          <w:sz w:val="17"/>
          <w:szCs w:val="17"/>
          <w:color w:val="auto"/>
        </w:rPr>
      </w:pPr>
    </w:p>
    <w:p>
      <w:pPr>
        <w:ind w:right="40" w:firstLine="436"/>
        <w:spacing w:after="0" w:line="294" w:lineRule="auto"/>
        <w:tabs>
          <w:tab w:leader="none" w:pos="710" w:val="left"/>
        </w:tabs>
        <w:numPr>
          <w:ilvl w:val="0"/>
          <w:numId w:val="365"/>
        </w:numPr>
        <w:rPr>
          <w:rFonts w:ascii="Arial" w:cs="Arial" w:eastAsia="Arial" w:hAnsi="Arial"/>
          <w:sz w:val="16"/>
          <w:szCs w:val="16"/>
          <w:color w:val="auto"/>
        </w:rPr>
      </w:pPr>
      <w:r>
        <w:rPr>
          <w:rFonts w:ascii="Arial" w:cs="Arial" w:eastAsia="Arial" w:hAnsi="Arial"/>
          <w:sz w:val="16"/>
          <w:szCs w:val="16"/>
          <w:b w:val="1"/>
          <w:bCs w:val="1"/>
          <w:u w:val="single" w:color="auto"/>
          <w:color w:val="auto"/>
        </w:rPr>
        <w:t>Acceptance and Effectiveness of RSUs</w:t>
      </w:r>
      <w:r>
        <w:rPr>
          <w:rFonts w:ascii="Arial" w:cs="Arial" w:eastAsia="Arial" w:hAnsi="Arial"/>
          <w:sz w:val="16"/>
          <w:szCs w:val="16"/>
          <w:color w:val="auto"/>
        </w:rPr>
        <w:t>. This award of RSUs, the RSU Grant Notice and this Agreement shall be effective with respect to</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upon acceptance of this award of RSUs and the terms and conditions set forth herein through an on-line or electronic system established and maintained by the Company or a third party designated by the Company. Such acceptance shall be accomplished in any manner deemed appropriate by the Company, including but not limited to, by electronic signature or click-through electronic acceptance. Notwithstanding the foregoing, if not accepted (or declined) earlier this award of RSUs, the RSU Grant Notice and this Agreement shall be deemed accepted effective as of immediately prior to the first settlement of RSUs subject to this award, and the delivery of Shares pursuant to this award to Participant.</w:t>
      </w:r>
    </w:p>
    <w:p>
      <w:pPr>
        <w:spacing w:after="0" w:line="164" w:lineRule="exact"/>
        <w:rPr>
          <w:sz w:val="20"/>
          <w:szCs w:val="20"/>
          <w:color w:val="auto"/>
        </w:rPr>
      </w:pPr>
    </w:p>
    <w:p>
      <w:pPr>
        <w:ind w:right="100" w:firstLine="440"/>
        <w:spacing w:after="0" w:line="293" w:lineRule="auto"/>
        <w:rPr>
          <w:sz w:val="20"/>
          <w:szCs w:val="20"/>
          <w:color w:val="auto"/>
        </w:rPr>
      </w:pPr>
      <w:r>
        <w:rPr>
          <w:rFonts w:ascii="Arial" w:cs="Arial" w:eastAsia="Arial" w:hAnsi="Arial"/>
          <w:sz w:val="16"/>
          <w:szCs w:val="16"/>
          <w:color w:val="auto"/>
        </w:rPr>
        <w:t>By Participant’s acceptance of this award of RSUs, the RSU Grant Notice and this Agreement, Participant and the Company agree that this award of RSUs is granted under and governed by the terms and conditions of the Plan, the RSU Grant Notice and this Agreement (including any Country-Specific Addendum attached hereto). Participant agrees to accept as binding, conclusive and final all decisions or interpretations of the Administrator upon any questions relating to the Plan, the RSU Grant Notice and this Agreement. In addition, Participant acknowledges and agrees that Participant’s rights to any Shares underlying the RSUs will vest only as Participant provides services to the Company over time and certain other conditions are satisfied, and that the grant of the RSUs is not as consideration for services Participant rendered to the Company prior to Participant’s hire date.</w:t>
      </w:r>
    </w:p>
    <w:p>
      <w:pPr>
        <w:spacing w:after="0" w:line="164" w:lineRule="exact"/>
        <w:rPr>
          <w:sz w:val="20"/>
          <w:szCs w:val="20"/>
          <w:color w:val="auto"/>
        </w:rPr>
      </w:pPr>
    </w:p>
    <w:p>
      <w:pPr>
        <w:ind w:right="400" w:firstLine="440"/>
        <w:spacing w:after="0" w:line="308" w:lineRule="auto"/>
        <w:rPr>
          <w:sz w:val="20"/>
          <w:szCs w:val="20"/>
          <w:color w:val="auto"/>
        </w:rPr>
      </w:pPr>
      <w:r>
        <w:rPr>
          <w:rFonts w:ascii="Arial" w:cs="Arial" w:eastAsia="Arial" w:hAnsi="Arial"/>
          <w:sz w:val="17"/>
          <w:szCs w:val="17"/>
          <w:color w:val="auto"/>
        </w:rPr>
        <w:t>By accepting this award of RSUs, Participant acknowledges and agrees that Participant has reviewed the Plan, the RSU Grant Notice and this Agreement in their entirety, and that Participant has an opportunity to obtain the advice of counsel prior to accepting the RSUs.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THE COMPANY</w:t>
            </w:r>
          </w:p>
        </w:tc>
        <w:tc>
          <w:tcPr>
            <w:tcW w:w="66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b w:val="1"/>
                <w:bCs w:val="1"/>
                <w:color w:val="auto"/>
              </w:rPr>
              <w:t>PARTICIPANT</w:t>
            </w:r>
          </w:p>
        </w:tc>
      </w:tr>
      <w:tr>
        <w:trPr>
          <w:trHeight w:val="432"/>
        </w:trPr>
        <w:tc>
          <w:tcPr>
            <w:tcW w:w="5740" w:type="dxa"/>
            <w:vAlign w:val="bottom"/>
            <w:gridSpan w:val="2"/>
          </w:tcPr>
          <w:p>
            <w:pPr>
              <w:spacing w:after="0"/>
              <w:rPr>
                <w:sz w:val="20"/>
                <w:szCs w:val="20"/>
                <w:color w:val="auto"/>
              </w:rPr>
            </w:pPr>
            <w:r>
              <w:rPr>
                <w:rFonts w:ascii="Arial" w:cs="Arial" w:eastAsia="Arial" w:hAnsi="Arial"/>
                <w:sz w:val="18"/>
                <w:szCs w:val="18"/>
                <w:color w:val="auto"/>
              </w:rPr>
              <w:t>ASANA, INC.</w:t>
            </w:r>
          </w:p>
        </w:tc>
        <w:tc>
          <w:tcPr>
            <w:tcW w:w="660" w:type="dxa"/>
            <w:vAlign w:val="bottom"/>
          </w:tcPr>
          <w:p>
            <w:pPr>
              <w:spacing w:after="0"/>
              <w:rPr>
                <w:sz w:val="24"/>
                <w:szCs w:val="24"/>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[PARTICIPANT]</w:t>
            </w:r>
          </w:p>
        </w:tc>
      </w:tr>
      <w:tr>
        <w:trPr>
          <w:trHeight w:val="432"/>
        </w:trPr>
        <w:tc>
          <w:tcPr>
            <w:tcW w:w="5740" w:type="dxa"/>
            <w:vAlign w:val="bottom"/>
            <w:gridSpan w:val="2"/>
          </w:tcPr>
          <w:p>
            <w:pPr>
              <w:spacing w:after="0"/>
              <w:rPr>
                <w:sz w:val="20"/>
                <w:szCs w:val="20"/>
                <w:color w:val="auto"/>
              </w:rPr>
            </w:pPr>
            <w:r>
              <w:rPr>
                <w:rFonts w:ascii="Arial" w:cs="Arial" w:eastAsia="Arial" w:hAnsi="Arial"/>
                <w:sz w:val="18"/>
                <w:szCs w:val="18"/>
                <w:color w:val="auto"/>
              </w:rPr>
              <w:t>By:</w:t>
            </w:r>
          </w:p>
        </w:tc>
        <w:tc>
          <w:tcPr>
            <w:tcW w:w="66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24"/>
        </w:trPr>
        <w:tc>
          <w:tcPr>
            <w:tcW w:w="680" w:type="dxa"/>
            <w:vAlign w:val="bottom"/>
          </w:tcPr>
          <w:p>
            <w:pPr>
              <w:spacing w:after="0"/>
              <w:rPr>
                <w:sz w:val="19"/>
                <w:szCs w:val="19"/>
                <w:color w:val="auto"/>
              </w:rPr>
            </w:pPr>
          </w:p>
        </w:tc>
        <w:tc>
          <w:tcPr>
            <w:tcW w:w="5060" w:type="dxa"/>
            <w:vAlign w:val="bottom"/>
            <w:tcBorders>
              <w:top w:val="single" w:sz="8" w:color="auto"/>
            </w:tcBorders>
          </w:tcPr>
          <w:p>
            <w:pPr>
              <w:ind w:left="1780"/>
              <w:spacing w:after="0"/>
              <w:rPr>
                <w:sz w:val="20"/>
                <w:szCs w:val="20"/>
                <w:color w:val="auto"/>
              </w:rPr>
            </w:pPr>
            <w:r>
              <w:rPr>
                <w:rFonts w:ascii="Arial" w:cs="Arial" w:eastAsia="Arial" w:hAnsi="Arial"/>
                <w:sz w:val="18"/>
                <w:szCs w:val="18"/>
                <w:color w:val="auto"/>
              </w:rPr>
              <w:t>(Signature)</w:t>
            </w:r>
          </w:p>
        </w:tc>
        <w:tc>
          <w:tcPr>
            <w:tcW w:w="660" w:type="dxa"/>
            <w:vAlign w:val="bottom"/>
          </w:tcPr>
          <w:p>
            <w:pPr>
              <w:spacing w:after="0"/>
              <w:rPr>
                <w:sz w:val="19"/>
                <w:szCs w:val="19"/>
                <w:color w:val="auto"/>
              </w:rPr>
            </w:pPr>
          </w:p>
        </w:tc>
        <w:tc>
          <w:tcPr>
            <w:tcW w:w="4620" w:type="dxa"/>
            <w:vAlign w:val="bottom"/>
            <w:tcBorders>
              <w:top w:val="single" w:sz="8" w:color="auto"/>
            </w:tcBorders>
          </w:tcPr>
          <w:p>
            <w:pPr>
              <w:ind w:left="1900"/>
              <w:spacing w:after="0"/>
              <w:rPr>
                <w:sz w:val="20"/>
                <w:szCs w:val="20"/>
                <w:color w:val="auto"/>
              </w:rPr>
            </w:pPr>
            <w:r>
              <w:rPr>
                <w:rFonts w:ascii="Arial" w:cs="Arial" w:eastAsia="Arial" w:hAnsi="Arial"/>
                <w:sz w:val="18"/>
                <w:szCs w:val="18"/>
                <w:color w:val="auto"/>
              </w:rPr>
              <w:t>(Signature)</w:t>
            </w:r>
          </w:p>
        </w:tc>
      </w:tr>
      <w:tr>
        <w:trPr>
          <w:trHeight w:val="431"/>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506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Address:</w:t>
            </w:r>
          </w:p>
        </w:tc>
      </w:tr>
      <w:tr>
        <w:trPr>
          <w:trHeight w:val="439"/>
        </w:trPr>
        <w:tc>
          <w:tcPr>
            <w:tcW w:w="5740" w:type="dxa"/>
            <w:vAlign w:val="bottom"/>
            <w:gridSpan w:val="2"/>
          </w:tcPr>
          <w:p>
            <w:pPr>
              <w:spacing w:after="0"/>
              <w:rPr>
                <w:sz w:val="20"/>
                <w:szCs w:val="20"/>
                <w:color w:val="auto"/>
              </w:rPr>
            </w:pPr>
            <w:r>
              <w:rPr>
                <w:rFonts w:ascii="Arial" w:cs="Arial" w:eastAsia="Arial" w:hAnsi="Arial"/>
                <w:sz w:val="18"/>
                <w:szCs w:val="18"/>
                <w:color w:val="auto"/>
              </w:rPr>
              <w:t>Title:</w:t>
            </w:r>
          </w:p>
        </w:tc>
        <w:tc>
          <w:tcPr>
            <w:tcW w:w="66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23"/>
        </w:trPr>
        <w:tc>
          <w:tcPr>
            <w:tcW w:w="680" w:type="dxa"/>
            <w:vAlign w:val="bottom"/>
          </w:tcPr>
          <w:p>
            <w:pPr>
              <w:spacing w:after="0"/>
              <w:rPr>
                <w:sz w:val="19"/>
                <w:szCs w:val="19"/>
                <w:color w:val="auto"/>
              </w:rPr>
            </w:pPr>
          </w:p>
        </w:tc>
        <w:tc>
          <w:tcPr>
            <w:tcW w:w="506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4620" w:type="dxa"/>
            <w:vAlign w:val="bottom"/>
            <w:tcBorders>
              <w:top w:val="single" w:sz="8" w:color="auto"/>
              <w:bottom w:val="single" w:sz="8" w:color="auto"/>
            </w:tcBorders>
          </w:tcPr>
          <w:p>
            <w:pPr>
              <w:spacing w:after="0"/>
              <w:rPr>
                <w:sz w:val="19"/>
                <w:szCs w:val="19"/>
                <w:color w:val="auto"/>
              </w:rPr>
            </w:pPr>
          </w:p>
        </w:tc>
      </w:tr>
      <w:tr>
        <w:trPr>
          <w:trHeight w:val="223"/>
        </w:trPr>
        <w:tc>
          <w:tcPr>
            <w:tcW w:w="68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20" w:type="dxa"/>
            <w:vAlign w:val="bottom"/>
            <w:tcBorders>
              <w:bottom w:val="single" w:sz="8" w:color="auto"/>
            </w:tcBorders>
          </w:tcPr>
          <w:p>
            <w:pPr>
              <w:spacing w:after="0"/>
              <w:rPr>
                <w:sz w:val="19"/>
                <w:szCs w:val="19"/>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14</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ectPr>
          <w:pgSz w:w="11900" w:h="16838" w:orient="portrait"/>
          <w:cols w:equalWidth="0" w:num="1">
            <w:col w:w="11020"/>
          </w:cols>
          <w:pgMar w:left="440" w:top="274" w:right="439" w:bottom="1440" w:gutter="0" w:footer="0" w:header="0"/>
        </w:sectPr>
      </w:pPr>
    </w:p>
    <w:bookmarkStart w:id="381" w:name="page382"/>
    <w:bookmarkEnd w:id="38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ADOPTED November 20, 2019</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Country-Specific Addendum</w:t>
      </w:r>
    </w:p>
    <w:p>
      <w:pPr>
        <w:spacing w:after="0" w:line="22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This Addendum includes additional country-specific notices, disclaimers, and/or terms and conditions that apply to individuals who work or reside in the countries listed below and that may be material to Participant’s participation in the Plan. Such notices, disclaimers, and/or terms and conditions may also apply, as from the date of grant, if Participant moves to or otherwise is or becomes subject to the Applicable Laws or Company policies of the country listed. However, because foreign exchange regulations and other local laws are subject to frequent change, Participant is advised to seek advice from Participant’s personal legal and tax advisor prior to accepting the RSUs or holding or selling Shares acquired under the Plan. The Company is not providing any tax, legal or financial advice, nor is the Company making any recommendations regarding Participant’s acceptance of the RSUs or participation in the Plan. Unless otherwise noted below, capitalized terms shall have the same meaning assigned to them under the Plan and the Agreement. This Addendum forms part of the Agreement and should be read in conjunction with the Agreement and the Plan.</w:t>
      </w:r>
    </w:p>
    <w:p>
      <w:pPr>
        <w:spacing w:after="0" w:line="161"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Securities Law Notice</w:t>
      </w:r>
      <w:r>
        <w:rPr>
          <w:rFonts w:ascii="Arial" w:cs="Arial" w:eastAsia="Arial" w:hAnsi="Arial"/>
          <w:sz w:val="18"/>
          <w:szCs w:val="18"/>
          <w:color w:val="auto"/>
        </w:rPr>
        <w:t>: Unless otherwise noted, neither the Company nor the Shares are registered with any local stock exchange or under the control of</w:t>
      </w:r>
      <w:r>
        <w:rPr>
          <w:rFonts w:ascii="Arial" w:cs="Arial" w:eastAsia="Arial" w:hAnsi="Arial"/>
          <w:sz w:val="18"/>
          <w:szCs w:val="18"/>
          <w:b w:val="1"/>
          <w:bCs w:val="1"/>
          <w:color w:val="auto"/>
        </w:rPr>
        <w:t xml:space="preserve"> </w:t>
      </w:r>
      <w:r>
        <w:rPr>
          <w:rFonts w:ascii="Arial" w:cs="Arial" w:eastAsia="Arial" w:hAnsi="Arial"/>
          <w:sz w:val="18"/>
          <w:szCs w:val="18"/>
          <w:color w:val="auto"/>
        </w:rPr>
        <w:t>any local securities regulator outside the United States. The Agreement (of which this Addendum is a part), the Plan, and any other communications or materials that Participant may receive regarding participation in the Plan do not constitute advertising or an offering of securities outside the United States, and the issuance of securities described in any Plan-related documents is not intended for public offering or circulation in Participant’s jurisdiction.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Grant</w:t>
      </w:r>
      <w:r>
        <w:rPr>
          <w:rFonts w:ascii="Arial" w:cs="Arial" w:eastAsia="Arial" w:hAnsi="Arial"/>
          <w:sz w:val="18"/>
          <w:szCs w:val="18"/>
          <w:color w:val="auto"/>
        </w:rPr>
        <w:t>: The following supplements Section 6 of the Agreement:</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accepting the RSUs, Participant acknowledges, understands, and agrees that the RSUs and the Shares allocated to the RSUs are outside the scope of Participant’s employment contract, if any.</w:t>
      </w:r>
    </w:p>
    <w:p>
      <w:pPr>
        <w:sectPr>
          <w:pgSz w:w="11900" w:h="16838" w:orient="portrait"/>
          <w:cols w:equalWidth="0" w:num="1">
            <w:col w:w="11000"/>
          </w:cols>
          <w:pgMar w:left="440" w:top="274" w:right="459" w:bottom="1440" w:gutter="0" w:footer="0" w:header="0"/>
        </w:sectPr>
      </w:pPr>
    </w:p>
    <w:p>
      <w:pPr>
        <w:spacing w:after="0" w:line="207"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European Union (“EU”)/Europe an Economic Area (“EEA”)</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280"/>
        <w:spacing w:after="0" w:line="347" w:lineRule="auto"/>
        <w:rPr>
          <w:sz w:val="20"/>
          <w:szCs w:val="20"/>
          <w:color w:val="auto"/>
        </w:rPr>
      </w:pPr>
      <w:r>
        <w:rPr>
          <w:rFonts w:ascii="Arial" w:cs="Arial" w:eastAsia="Arial" w:hAnsi="Arial"/>
          <w:sz w:val="16"/>
          <w:szCs w:val="16"/>
          <w:b w:val="1"/>
          <w:bCs w:val="1"/>
          <w:color w:val="auto"/>
        </w:rPr>
        <w:t xml:space="preserve">Data Privacy. </w:t>
      </w:r>
      <w:r>
        <w:rPr>
          <w:rFonts w:ascii="Arial" w:cs="Arial" w:eastAsia="Arial" w:hAnsi="Arial"/>
          <w:sz w:val="16"/>
          <w:szCs w:val="16"/>
          <w:b w:val="1"/>
          <w:bCs w:val="1"/>
          <w:i w:val="1"/>
          <w:iCs w:val="1"/>
          <w:color w:val="auto"/>
        </w:rPr>
        <w:t>For residents of the EU/EEA and elsewhere as may be applicable, the following provision applies</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and supplements Section 17 of the Agreement. Participant understands and acknowledges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-1538605</wp:posOffset>
            </wp:positionH>
            <wp:positionV relativeFrom="paragraph">
              <wp:posOffset>-334010</wp:posOffset>
            </wp:positionV>
            <wp:extent cx="699516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 w:lineRule="exact"/>
        <w:rPr>
          <w:sz w:val="20"/>
          <w:szCs w:val="20"/>
          <w:color w:val="auto"/>
        </w:rPr>
      </w:pPr>
    </w:p>
    <w:p>
      <w:pPr>
        <w:ind w:left="360" w:right="260" w:hanging="264"/>
        <w:spacing w:after="0" w:line="263" w:lineRule="auto"/>
        <w:tabs>
          <w:tab w:leader="none" w:pos="344" w:val="left"/>
        </w:tabs>
        <w:numPr>
          <w:ilvl w:val="0"/>
          <w:numId w:val="36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The data controller is the Company; queries or requests regarding the Participant’s Data should be made in writing to the Company’s representative relating to the Plan or award matters, who may be contacted at: </w:t>
      </w:r>
      <w:r>
        <w:rPr>
          <w:rFonts w:ascii="Arial" w:cs="Arial" w:eastAsia="Arial" w:hAnsi="Arial"/>
          <w:sz w:val="18"/>
          <w:szCs w:val="18"/>
          <w:b w:val="1"/>
          <w:bCs w:val="1"/>
          <w:i w:val="1"/>
          <w:iCs w:val="1"/>
          <w:u w:val="single" w:color="auto"/>
          <w:color w:val="auto"/>
        </w:rPr>
        <w:t>legal@asana.com</w:t>
      </w:r>
      <w:r>
        <w:rPr>
          <w:rFonts w:ascii="Arial" w:cs="Arial" w:eastAsia="Arial" w:hAnsi="Arial"/>
          <w:sz w:val="18"/>
          <w:szCs w:val="18"/>
          <w:b w:val="1"/>
          <w:bCs w:val="1"/>
          <w:i w:val="1"/>
          <w:iCs w:val="1"/>
          <w:color w:val="auto"/>
        </w:rPr>
        <w:t>;</w:t>
      </w:r>
    </w:p>
    <w:p>
      <w:pPr>
        <w:spacing w:after="0" w:line="89" w:lineRule="exact"/>
        <w:rPr>
          <w:rFonts w:ascii="Arial" w:cs="Arial" w:eastAsia="Arial" w:hAnsi="Arial"/>
          <w:sz w:val="18"/>
          <w:szCs w:val="18"/>
          <w:color w:val="auto"/>
        </w:rPr>
      </w:pPr>
    </w:p>
    <w:p>
      <w:pPr>
        <w:ind w:left="360" w:right="80" w:hanging="264"/>
        <w:spacing w:after="0" w:line="308" w:lineRule="auto"/>
        <w:tabs>
          <w:tab w:leader="none" w:pos="344" w:val="left"/>
        </w:tabs>
        <w:numPr>
          <w:ilvl w:val="0"/>
          <w:numId w:val="366"/>
        </w:numPr>
        <w:rPr>
          <w:rFonts w:ascii="Arial" w:cs="Arial" w:eastAsia="Arial" w:hAnsi="Arial"/>
          <w:sz w:val="17"/>
          <w:szCs w:val="17"/>
          <w:color w:val="auto"/>
        </w:rPr>
      </w:pPr>
      <w:r>
        <w:rPr>
          <w:rFonts w:ascii="Arial" w:cs="Arial" w:eastAsia="Arial" w:hAnsi="Arial"/>
          <w:sz w:val="17"/>
          <w:szCs w:val="17"/>
          <w:b w:val="1"/>
          <w:bCs w:val="1"/>
          <w:i w:val="1"/>
          <w:iCs w:val="1"/>
          <w:color w:val="auto"/>
        </w:rPr>
        <w:t>The legal basis for the processing of Data is that the processing is necessary for the performance of a contract to which the Participant is a party (namely, the RSU Grant Notice and this Agreement);</w:t>
      </w:r>
    </w:p>
    <w:p>
      <w:pPr>
        <w:spacing w:after="0" w:line="52" w:lineRule="exact"/>
        <w:rPr>
          <w:sz w:val="20"/>
          <w:szCs w:val="20"/>
          <w:color w:val="auto"/>
        </w:rPr>
      </w:pPr>
    </w:p>
    <w:p>
      <w:pPr>
        <w:sectPr>
          <w:pgSz w:w="11900" w:h="16838" w:orient="portrait"/>
          <w:cols w:equalWidth="0" w:num="2">
            <w:col w:w="2200" w:space="220"/>
            <w:col w:w="8580"/>
          </w:cols>
          <w:pgMar w:left="440" w:top="274" w:right="459" w:bottom="1440" w:gutter="0" w:footer="0" w:header="0"/>
          <w:type w:val="continuous"/>
        </w:sectPr>
      </w:pPr>
    </w:p>
    <w:p>
      <w:pPr>
        <w:ind w:left="2780" w:right="60" w:hanging="264"/>
        <w:spacing w:after="0" w:line="277" w:lineRule="auto"/>
        <w:tabs>
          <w:tab w:leader="none" w:pos="2764" w:val="left"/>
        </w:tabs>
        <w:numPr>
          <w:ilvl w:val="0"/>
          <w:numId w:val="367"/>
        </w:numPr>
        <w:rPr>
          <w:rFonts w:ascii="Arial" w:cs="Arial" w:eastAsia="Arial" w:hAnsi="Arial"/>
          <w:sz w:val="18"/>
          <w:szCs w:val="18"/>
          <w:color w:val="auto"/>
        </w:rPr>
      </w:pPr>
      <w:r>
        <w:rPr>
          <w:rFonts w:ascii="Arial" w:cs="Arial" w:eastAsia="Arial" w:hAnsi="Arial"/>
          <w:sz w:val="18"/>
          <w:szCs w:val="18"/>
          <w:b w:val="1"/>
          <w:bCs w:val="1"/>
          <w:i w:val="1"/>
          <w:iCs w:val="1"/>
          <w:color w:val="auto"/>
        </w:rPr>
        <w:t>Data will be held only as long as is necessary to implement, administer and manage Participant’s participation in the Plan; and</w:t>
      </w:r>
    </w:p>
    <w:p>
      <w:pPr>
        <w:spacing w:after="0" w:line="75" w:lineRule="exact"/>
        <w:rPr>
          <w:rFonts w:ascii="Arial" w:cs="Arial" w:eastAsia="Arial" w:hAnsi="Arial"/>
          <w:sz w:val="18"/>
          <w:szCs w:val="18"/>
          <w:color w:val="auto"/>
        </w:rPr>
      </w:pPr>
    </w:p>
    <w:p>
      <w:pPr>
        <w:ind w:left="2780" w:hanging="264"/>
        <w:spacing w:after="0" w:line="259" w:lineRule="auto"/>
        <w:tabs>
          <w:tab w:leader="none" w:pos="2764" w:val="left"/>
        </w:tabs>
        <w:numPr>
          <w:ilvl w:val="0"/>
          <w:numId w:val="36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Participant may, at any time, access his or her Data, request additional information about the storage and processing of Data, require any necessary amendments to Data without cost or exercise any other rights they may have in relation to their Data under applicable law, including the right to make a complaint to an EU data protection regulator.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699516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w:t>
      </w:r>
      <w:r>
        <w:rPr>
          <w:rFonts w:ascii="Arial" w:cs="Arial" w:eastAsia="Arial" w:hAnsi="Arial"/>
          <w:sz w:val="18"/>
          <w:szCs w:val="18"/>
          <w:color w:val="auto"/>
        </w:rPr>
        <w:t xml:space="preserve"> of </w:t>
      </w:r>
      <w:r>
        <w:rPr>
          <w:rFonts w:ascii="Arial" w:cs="Arial" w:eastAsia="Arial" w:hAnsi="Arial"/>
          <w:sz w:val="18"/>
          <w:szCs w:val="18"/>
          <w:b w:val="1"/>
          <w:bCs w:val="1"/>
          <w:color w:val="auto"/>
        </w:rPr>
        <w:t>6</w:t>
      </w:r>
    </w:p>
    <w:p>
      <w:pPr>
        <w:sectPr>
          <w:pgSz w:w="11900" w:h="16838" w:orient="portrait"/>
          <w:cols w:equalWidth="0" w:num="1">
            <w:col w:w="11000"/>
          </w:cols>
          <w:pgMar w:left="440" w:top="274" w:right="459" w:bottom="1440" w:gutter="0" w:footer="0" w:header="0"/>
          <w:type w:val="continuous"/>
        </w:sectPr>
      </w:pPr>
    </w:p>
    <w:bookmarkStart w:id="382" w:name="page383"/>
    <w:bookmarkEnd w:id="38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ADOPTED November 20, 2019</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5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Australia</w:t>
            </w:r>
          </w:p>
        </w:tc>
        <w:tc>
          <w:tcPr>
            <w:tcW w:w="9440" w:type="dxa"/>
            <w:vAlign w:val="bottom"/>
            <w:tcBorders>
              <w:top w:val="single" w:sz="8" w:color="auto"/>
            </w:tcBorders>
          </w:tcPr>
          <w:p>
            <w:pPr>
              <w:ind w:left="840"/>
              <w:spacing w:after="0"/>
              <w:rPr>
                <w:sz w:val="20"/>
                <w:szCs w:val="20"/>
                <w:color w:val="auto"/>
              </w:rPr>
            </w:pPr>
            <w:r>
              <w:rPr>
                <w:rFonts w:ascii="Arial" w:cs="Arial" w:eastAsia="Arial" w:hAnsi="Arial"/>
                <w:sz w:val="18"/>
                <w:szCs w:val="18"/>
                <w:b w:val="1"/>
                <w:bCs w:val="1"/>
                <w:color w:val="auto"/>
                <w:w w:val="91"/>
              </w:rPr>
              <w:t>Settlement</w:t>
            </w:r>
            <w:r>
              <w:rPr>
                <w:rFonts w:ascii="Arial" w:cs="Arial" w:eastAsia="Arial" w:hAnsi="Arial"/>
                <w:sz w:val="18"/>
                <w:szCs w:val="18"/>
                <w:color w:val="auto"/>
                <w:w w:val="91"/>
              </w:rPr>
              <w:t>. Notwithstanding any discretion in the Plan or the Agreement to the contrary, settlement of the RSUs shall</w:t>
            </w:r>
          </w:p>
        </w:tc>
      </w:tr>
      <w:tr>
        <w:trPr>
          <w:trHeight w:val="230"/>
        </w:trPr>
        <w:tc>
          <w:tcPr>
            <w:tcW w:w="1580" w:type="dxa"/>
            <w:vAlign w:val="bottom"/>
          </w:tcPr>
          <w:p>
            <w:pPr>
              <w:spacing w:after="0"/>
              <w:rPr>
                <w:sz w:val="20"/>
                <w:szCs w:val="20"/>
                <w:color w:val="auto"/>
              </w:rPr>
            </w:pPr>
          </w:p>
        </w:tc>
        <w:tc>
          <w:tcPr>
            <w:tcW w:w="9440" w:type="dxa"/>
            <w:vAlign w:val="bottom"/>
          </w:tcPr>
          <w:p>
            <w:pPr>
              <w:ind w:left="840"/>
              <w:spacing w:after="0"/>
              <w:rPr>
                <w:sz w:val="20"/>
                <w:szCs w:val="20"/>
                <w:color w:val="auto"/>
              </w:rPr>
            </w:pPr>
            <w:r>
              <w:rPr>
                <w:rFonts w:ascii="Arial" w:cs="Arial" w:eastAsia="Arial" w:hAnsi="Arial"/>
                <w:sz w:val="18"/>
                <w:szCs w:val="18"/>
                <w:color w:val="auto"/>
              </w:rPr>
              <w:t>be in Shares and not, in whole or in part, in the form of cash.</w:t>
            </w:r>
          </w:p>
        </w:tc>
      </w:tr>
      <w:tr>
        <w:trPr>
          <w:trHeight w:val="135"/>
        </w:trPr>
        <w:tc>
          <w:tcPr>
            <w:tcW w:w="1580" w:type="dxa"/>
            <w:vAlign w:val="bottom"/>
            <w:tcBorders>
              <w:bottom w:val="single" w:sz="8" w:color="auto"/>
            </w:tcBorders>
          </w:tcPr>
          <w:p>
            <w:pPr>
              <w:spacing w:after="0"/>
              <w:rPr>
                <w:sz w:val="11"/>
                <w:szCs w:val="11"/>
                <w:color w:val="auto"/>
              </w:rPr>
            </w:pPr>
          </w:p>
        </w:tc>
        <w:tc>
          <w:tcPr>
            <w:tcW w:w="9440" w:type="dxa"/>
            <w:vAlign w:val="bottom"/>
            <w:tcBorders>
              <w:bottom w:val="single" w:sz="8" w:color="auto"/>
            </w:tcBorders>
          </w:tcPr>
          <w:p>
            <w:pPr>
              <w:spacing w:after="0"/>
              <w:rPr>
                <w:sz w:val="11"/>
                <w:szCs w:val="11"/>
                <w:color w:val="auto"/>
              </w:rPr>
            </w:pPr>
          </w:p>
        </w:tc>
      </w:tr>
      <w:tr>
        <w:trPr>
          <w:trHeight w:val="195"/>
        </w:trPr>
        <w:tc>
          <w:tcPr>
            <w:tcW w:w="1580" w:type="dxa"/>
            <w:vAlign w:val="bottom"/>
          </w:tcPr>
          <w:p>
            <w:pPr>
              <w:spacing w:after="0" w:line="195" w:lineRule="exact"/>
              <w:rPr>
                <w:sz w:val="20"/>
                <w:szCs w:val="20"/>
                <w:color w:val="auto"/>
              </w:rPr>
            </w:pPr>
            <w:r>
              <w:rPr>
                <w:rFonts w:ascii="Arial" w:cs="Arial" w:eastAsia="Arial" w:hAnsi="Arial"/>
                <w:sz w:val="18"/>
                <w:szCs w:val="18"/>
                <w:b w:val="1"/>
                <w:bCs w:val="1"/>
                <w:color w:val="auto"/>
              </w:rPr>
              <w:t>Canada</w:t>
            </w:r>
          </w:p>
        </w:tc>
        <w:tc>
          <w:tcPr>
            <w:tcW w:w="9440" w:type="dxa"/>
            <w:vAlign w:val="bottom"/>
          </w:tcPr>
          <w:p>
            <w:pPr>
              <w:ind w:left="840"/>
              <w:spacing w:after="0" w:line="195" w:lineRule="exact"/>
              <w:rPr>
                <w:sz w:val="20"/>
                <w:szCs w:val="20"/>
                <w:color w:val="auto"/>
              </w:rPr>
            </w:pPr>
            <w:r>
              <w:rPr>
                <w:rFonts w:ascii="Arial" w:cs="Arial" w:eastAsia="Arial" w:hAnsi="Arial"/>
                <w:sz w:val="18"/>
                <w:szCs w:val="18"/>
                <w:b w:val="1"/>
                <w:bCs w:val="1"/>
                <w:color w:val="auto"/>
                <w:w w:val="98"/>
              </w:rPr>
              <w:t>Securities Law Notice</w:t>
            </w:r>
            <w:r>
              <w:rPr>
                <w:rFonts w:ascii="Arial" w:cs="Arial" w:eastAsia="Arial" w:hAnsi="Arial"/>
                <w:sz w:val="18"/>
                <w:szCs w:val="18"/>
                <w:color w:val="auto"/>
                <w:w w:val="98"/>
              </w:rPr>
              <w:t>. The security represented by the RSUs was issued pursuant to an exemption from the</w:t>
            </w:r>
          </w:p>
        </w:tc>
      </w:tr>
      <w:tr>
        <w:trPr>
          <w:trHeight w:val="216"/>
        </w:trPr>
        <w:tc>
          <w:tcPr>
            <w:tcW w:w="1580" w:type="dxa"/>
            <w:vAlign w:val="bottom"/>
          </w:tcPr>
          <w:p>
            <w:pPr>
              <w:spacing w:after="0"/>
              <w:rPr>
                <w:sz w:val="18"/>
                <w:szCs w:val="18"/>
                <w:color w:val="auto"/>
              </w:rPr>
            </w:pPr>
          </w:p>
        </w:tc>
        <w:tc>
          <w:tcPr>
            <w:tcW w:w="9440" w:type="dxa"/>
            <w:vAlign w:val="bottom"/>
          </w:tcPr>
          <w:p>
            <w:pPr>
              <w:ind w:left="840"/>
              <w:spacing w:after="0"/>
              <w:rPr>
                <w:sz w:val="20"/>
                <w:szCs w:val="20"/>
                <w:color w:val="auto"/>
              </w:rPr>
            </w:pPr>
            <w:r>
              <w:rPr>
                <w:rFonts w:ascii="Arial" w:cs="Arial" w:eastAsia="Arial" w:hAnsi="Arial"/>
                <w:sz w:val="18"/>
                <w:szCs w:val="18"/>
                <w:color w:val="auto"/>
                <w:w w:val="92"/>
              </w:rPr>
              <w:t>prospectus requirements of applicable securities legislation in Canada. Participant acknowledges that, as long as the</w:t>
            </w:r>
          </w:p>
        </w:tc>
      </w:tr>
      <w:tr>
        <w:trPr>
          <w:trHeight w:val="216"/>
        </w:trPr>
        <w:tc>
          <w:tcPr>
            <w:tcW w:w="1580" w:type="dxa"/>
            <w:vAlign w:val="bottom"/>
          </w:tcPr>
          <w:p>
            <w:pPr>
              <w:spacing w:after="0"/>
              <w:rPr>
                <w:sz w:val="18"/>
                <w:szCs w:val="18"/>
                <w:color w:val="auto"/>
              </w:rPr>
            </w:pPr>
          </w:p>
        </w:tc>
        <w:tc>
          <w:tcPr>
            <w:tcW w:w="9440" w:type="dxa"/>
            <w:vAlign w:val="bottom"/>
          </w:tcPr>
          <w:p>
            <w:pPr>
              <w:ind w:left="840"/>
              <w:spacing w:after="0"/>
              <w:rPr>
                <w:sz w:val="20"/>
                <w:szCs w:val="20"/>
                <w:color w:val="auto"/>
              </w:rPr>
            </w:pPr>
            <w:r>
              <w:rPr>
                <w:rFonts w:ascii="Arial" w:cs="Arial" w:eastAsia="Arial" w:hAnsi="Arial"/>
                <w:sz w:val="18"/>
                <w:szCs w:val="18"/>
                <w:color w:val="auto"/>
                <w:w w:val="91"/>
              </w:rPr>
              <w:t>Company is not a reporting issuer in any jurisdiction in Canada, the RSUs and the underlying Shares will be subject to</w:t>
            </w:r>
          </w:p>
        </w:tc>
      </w:tr>
      <w:tr>
        <w:trPr>
          <w:trHeight w:val="216"/>
        </w:trPr>
        <w:tc>
          <w:tcPr>
            <w:tcW w:w="1580" w:type="dxa"/>
            <w:vAlign w:val="bottom"/>
          </w:tcPr>
          <w:p>
            <w:pPr>
              <w:spacing w:after="0"/>
              <w:rPr>
                <w:sz w:val="18"/>
                <w:szCs w:val="18"/>
                <w:color w:val="auto"/>
              </w:rPr>
            </w:pPr>
          </w:p>
        </w:tc>
        <w:tc>
          <w:tcPr>
            <w:tcW w:w="9440" w:type="dxa"/>
            <w:vAlign w:val="bottom"/>
          </w:tcPr>
          <w:p>
            <w:pPr>
              <w:ind w:left="840"/>
              <w:spacing w:after="0"/>
              <w:rPr>
                <w:sz w:val="20"/>
                <w:szCs w:val="20"/>
                <w:color w:val="auto"/>
              </w:rPr>
            </w:pPr>
            <w:r>
              <w:rPr>
                <w:rFonts w:ascii="Arial" w:cs="Arial" w:eastAsia="Arial" w:hAnsi="Arial"/>
                <w:sz w:val="18"/>
                <w:szCs w:val="18"/>
                <w:color w:val="auto"/>
                <w:w w:val="94"/>
              </w:rPr>
              <w:t>an indefinite hold period in Canada and subject to restrictions on their transfer in Canada. Subject to the terms and</w:t>
            </w:r>
          </w:p>
        </w:tc>
      </w:tr>
      <w:tr>
        <w:trPr>
          <w:trHeight w:val="216"/>
        </w:trPr>
        <w:tc>
          <w:tcPr>
            <w:tcW w:w="1580" w:type="dxa"/>
            <w:vAlign w:val="bottom"/>
          </w:tcPr>
          <w:p>
            <w:pPr>
              <w:spacing w:after="0"/>
              <w:rPr>
                <w:sz w:val="18"/>
                <w:szCs w:val="18"/>
                <w:color w:val="auto"/>
              </w:rPr>
            </w:pPr>
          </w:p>
        </w:tc>
        <w:tc>
          <w:tcPr>
            <w:tcW w:w="9440" w:type="dxa"/>
            <w:vAlign w:val="bottom"/>
          </w:tcPr>
          <w:p>
            <w:pPr>
              <w:ind w:left="840"/>
              <w:spacing w:after="0"/>
              <w:rPr>
                <w:sz w:val="20"/>
                <w:szCs w:val="20"/>
                <w:color w:val="auto"/>
              </w:rPr>
            </w:pPr>
            <w:r>
              <w:rPr>
                <w:rFonts w:ascii="Arial" w:cs="Arial" w:eastAsia="Arial" w:hAnsi="Arial"/>
                <w:sz w:val="18"/>
                <w:szCs w:val="18"/>
                <w:color w:val="auto"/>
                <w:w w:val="90"/>
              </w:rPr>
              <w:t>conditions of the Agreement and applicable securities laws, Participant is permitted to sell Shares acquired through the</w:t>
            </w:r>
          </w:p>
        </w:tc>
      </w:tr>
      <w:tr>
        <w:trPr>
          <w:trHeight w:val="230"/>
        </w:trPr>
        <w:tc>
          <w:tcPr>
            <w:tcW w:w="1580" w:type="dxa"/>
            <w:vAlign w:val="bottom"/>
          </w:tcPr>
          <w:p>
            <w:pPr>
              <w:spacing w:after="0"/>
              <w:rPr>
                <w:sz w:val="20"/>
                <w:szCs w:val="20"/>
                <w:color w:val="auto"/>
              </w:rPr>
            </w:pPr>
          </w:p>
        </w:tc>
        <w:tc>
          <w:tcPr>
            <w:tcW w:w="9440" w:type="dxa"/>
            <w:vAlign w:val="bottom"/>
          </w:tcPr>
          <w:p>
            <w:pPr>
              <w:ind w:left="840"/>
              <w:spacing w:after="0"/>
              <w:rPr>
                <w:sz w:val="20"/>
                <w:szCs w:val="20"/>
                <w:color w:val="auto"/>
              </w:rPr>
            </w:pPr>
            <w:r>
              <w:rPr>
                <w:rFonts w:ascii="Arial" w:cs="Arial" w:eastAsia="Arial" w:hAnsi="Arial"/>
                <w:sz w:val="18"/>
                <w:szCs w:val="18"/>
                <w:color w:val="auto"/>
              </w:rPr>
              <w:t>Plan, assuming the sale of such Shares takes place outside Canada.</w:t>
            </w:r>
          </w:p>
        </w:tc>
      </w:tr>
      <w:tr>
        <w:trPr>
          <w:trHeight w:val="310"/>
        </w:trPr>
        <w:tc>
          <w:tcPr>
            <w:tcW w:w="1580" w:type="dxa"/>
            <w:vAlign w:val="bottom"/>
          </w:tcPr>
          <w:p>
            <w:pPr>
              <w:spacing w:after="0"/>
              <w:rPr>
                <w:sz w:val="24"/>
                <w:szCs w:val="24"/>
                <w:color w:val="auto"/>
              </w:rPr>
            </w:pPr>
          </w:p>
        </w:tc>
        <w:tc>
          <w:tcPr>
            <w:tcW w:w="9440" w:type="dxa"/>
            <w:vAlign w:val="bottom"/>
          </w:tcPr>
          <w:p>
            <w:pPr>
              <w:ind w:left="840"/>
              <w:spacing w:after="0"/>
              <w:rPr>
                <w:sz w:val="20"/>
                <w:szCs w:val="20"/>
                <w:color w:val="auto"/>
              </w:rPr>
            </w:pPr>
            <w:r>
              <w:rPr>
                <w:rFonts w:ascii="Arial" w:cs="Arial" w:eastAsia="Arial" w:hAnsi="Arial"/>
                <w:sz w:val="18"/>
                <w:szCs w:val="18"/>
                <w:b w:val="1"/>
                <w:bCs w:val="1"/>
                <w:color w:val="auto"/>
                <w:w w:val="90"/>
              </w:rPr>
              <w:t>Settlement in Shares Only</w:t>
            </w:r>
            <w:r>
              <w:rPr>
                <w:rFonts w:ascii="Arial" w:cs="Arial" w:eastAsia="Arial" w:hAnsi="Arial"/>
                <w:sz w:val="18"/>
                <w:szCs w:val="18"/>
                <w:color w:val="auto"/>
                <w:w w:val="90"/>
              </w:rPr>
              <w:t>. Notwithstanding any discretion in the Plan or the Agreement to the contrary, settlement of</w:t>
            </w:r>
          </w:p>
        </w:tc>
      </w:tr>
      <w:tr>
        <w:trPr>
          <w:trHeight w:val="216"/>
        </w:trPr>
        <w:tc>
          <w:tcPr>
            <w:tcW w:w="1580" w:type="dxa"/>
            <w:vAlign w:val="bottom"/>
          </w:tcPr>
          <w:p>
            <w:pPr>
              <w:spacing w:after="0"/>
              <w:rPr>
                <w:sz w:val="18"/>
                <w:szCs w:val="18"/>
                <w:color w:val="auto"/>
              </w:rPr>
            </w:pPr>
          </w:p>
        </w:tc>
        <w:tc>
          <w:tcPr>
            <w:tcW w:w="9440" w:type="dxa"/>
            <w:vAlign w:val="bottom"/>
          </w:tcPr>
          <w:p>
            <w:pPr>
              <w:ind w:left="840"/>
              <w:spacing w:after="0"/>
              <w:rPr>
                <w:sz w:val="20"/>
                <w:szCs w:val="20"/>
                <w:color w:val="auto"/>
              </w:rPr>
            </w:pPr>
            <w:r>
              <w:rPr>
                <w:rFonts w:ascii="Arial" w:cs="Arial" w:eastAsia="Arial" w:hAnsi="Arial"/>
                <w:sz w:val="18"/>
                <w:szCs w:val="18"/>
                <w:color w:val="auto"/>
                <w:w w:val="92"/>
              </w:rPr>
              <w:t>the RSUs shall only be made in Shares issued by the Company from treasury and not, in whole or in part, in the form</w:t>
            </w:r>
          </w:p>
        </w:tc>
      </w:tr>
      <w:tr>
        <w:trPr>
          <w:trHeight w:val="216"/>
        </w:trPr>
        <w:tc>
          <w:tcPr>
            <w:tcW w:w="1580" w:type="dxa"/>
            <w:vAlign w:val="bottom"/>
          </w:tcPr>
          <w:p>
            <w:pPr>
              <w:spacing w:after="0"/>
              <w:rPr>
                <w:sz w:val="18"/>
                <w:szCs w:val="18"/>
                <w:color w:val="auto"/>
              </w:rPr>
            </w:pPr>
          </w:p>
        </w:tc>
        <w:tc>
          <w:tcPr>
            <w:tcW w:w="9440" w:type="dxa"/>
            <w:vAlign w:val="bottom"/>
          </w:tcPr>
          <w:p>
            <w:pPr>
              <w:ind w:left="840"/>
              <w:spacing w:after="0"/>
              <w:rPr>
                <w:sz w:val="20"/>
                <w:szCs w:val="20"/>
                <w:color w:val="auto"/>
              </w:rPr>
            </w:pPr>
            <w:r>
              <w:rPr>
                <w:rFonts w:ascii="Arial" w:cs="Arial" w:eastAsia="Arial" w:hAnsi="Arial"/>
                <w:sz w:val="18"/>
                <w:szCs w:val="18"/>
                <w:color w:val="auto"/>
                <w:w w:val="93"/>
              </w:rPr>
              <w:t>of cash (other than as explicitly consented to by you in Section 5 of the Agreement for tax withholding and payment</w:t>
            </w:r>
          </w:p>
        </w:tc>
      </w:tr>
      <w:tr>
        <w:trPr>
          <w:trHeight w:val="230"/>
        </w:trPr>
        <w:tc>
          <w:tcPr>
            <w:tcW w:w="1580" w:type="dxa"/>
            <w:vAlign w:val="bottom"/>
          </w:tcPr>
          <w:p>
            <w:pPr>
              <w:spacing w:after="0"/>
              <w:rPr>
                <w:sz w:val="20"/>
                <w:szCs w:val="20"/>
                <w:color w:val="auto"/>
              </w:rPr>
            </w:pPr>
          </w:p>
        </w:tc>
        <w:tc>
          <w:tcPr>
            <w:tcW w:w="9440" w:type="dxa"/>
            <w:vAlign w:val="bottom"/>
          </w:tcPr>
          <w:p>
            <w:pPr>
              <w:ind w:left="840"/>
              <w:spacing w:after="0"/>
              <w:rPr>
                <w:sz w:val="20"/>
                <w:szCs w:val="20"/>
                <w:color w:val="auto"/>
              </w:rPr>
            </w:pPr>
            <w:r>
              <w:rPr>
                <w:rFonts w:ascii="Arial" w:cs="Arial" w:eastAsia="Arial" w:hAnsi="Arial"/>
                <w:sz w:val="18"/>
                <w:szCs w:val="18"/>
                <w:color w:val="auto"/>
              </w:rPr>
              <w:t>purposes) or other consideration.</w:t>
            </w:r>
          </w:p>
        </w:tc>
      </w:tr>
      <w:tr>
        <w:trPr>
          <w:trHeight w:val="310"/>
        </w:trPr>
        <w:tc>
          <w:tcPr>
            <w:tcW w:w="1580" w:type="dxa"/>
            <w:vAlign w:val="bottom"/>
          </w:tcPr>
          <w:p>
            <w:pPr>
              <w:spacing w:after="0"/>
              <w:rPr>
                <w:sz w:val="24"/>
                <w:szCs w:val="24"/>
                <w:color w:val="auto"/>
              </w:rPr>
            </w:pPr>
          </w:p>
        </w:tc>
        <w:tc>
          <w:tcPr>
            <w:tcW w:w="9440" w:type="dxa"/>
            <w:vAlign w:val="bottom"/>
          </w:tcPr>
          <w:p>
            <w:pPr>
              <w:ind w:left="840"/>
              <w:spacing w:after="0"/>
              <w:rPr>
                <w:sz w:val="20"/>
                <w:szCs w:val="20"/>
                <w:color w:val="auto"/>
              </w:rPr>
            </w:pPr>
            <w:r>
              <w:rPr>
                <w:rFonts w:ascii="Arial" w:cs="Arial" w:eastAsia="Arial" w:hAnsi="Arial"/>
                <w:sz w:val="18"/>
                <w:szCs w:val="18"/>
                <w:b w:val="1"/>
                <w:bCs w:val="1"/>
                <w:color w:val="auto"/>
                <w:w w:val="91"/>
              </w:rPr>
              <w:t>Employee Tax Treatment</w:t>
            </w:r>
            <w:r>
              <w:rPr>
                <w:rFonts w:ascii="Arial" w:cs="Arial" w:eastAsia="Arial" w:hAnsi="Arial"/>
                <w:sz w:val="18"/>
                <w:szCs w:val="18"/>
                <w:color w:val="auto"/>
                <w:w w:val="91"/>
              </w:rPr>
              <w:t>. For Canadian federal income tax purposes, the RSU award is intended to be treated as an</w:t>
            </w:r>
          </w:p>
        </w:tc>
      </w:tr>
      <w:tr>
        <w:trPr>
          <w:trHeight w:val="216"/>
        </w:trPr>
        <w:tc>
          <w:tcPr>
            <w:tcW w:w="1580" w:type="dxa"/>
            <w:vAlign w:val="bottom"/>
          </w:tcPr>
          <w:p>
            <w:pPr>
              <w:spacing w:after="0"/>
              <w:rPr>
                <w:sz w:val="18"/>
                <w:szCs w:val="18"/>
                <w:color w:val="auto"/>
              </w:rPr>
            </w:pPr>
          </w:p>
        </w:tc>
        <w:tc>
          <w:tcPr>
            <w:tcW w:w="9440" w:type="dxa"/>
            <w:vAlign w:val="bottom"/>
          </w:tcPr>
          <w:p>
            <w:pPr>
              <w:ind w:left="840"/>
              <w:spacing w:after="0"/>
              <w:rPr>
                <w:sz w:val="20"/>
                <w:szCs w:val="20"/>
                <w:color w:val="auto"/>
              </w:rPr>
            </w:pPr>
            <w:r>
              <w:rPr>
                <w:rFonts w:ascii="Arial" w:cs="Arial" w:eastAsia="Arial" w:hAnsi="Arial"/>
                <w:sz w:val="18"/>
                <w:szCs w:val="18"/>
                <w:color w:val="auto"/>
                <w:w w:val="89"/>
              </w:rPr>
              <w:t>agreement by the Company to sell or issue Shares to the employee and, as such, is intended to be subject to the rules in</w:t>
            </w:r>
          </w:p>
        </w:tc>
      </w:tr>
      <w:tr>
        <w:trPr>
          <w:trHeight w:val="216"/>
        </w:trPr>
        <w:tc>
          <w:tcPr>
            <w:tcW w:w="1580" w:type="dxa"/>
            <w:vAlign w:val="bottom"/>
          </w:tcPr>
          <w:p>
            <w:pPr>
              <w:spacing w:after="0"/>
              <w:rPr>
                <w:sz w:val="18"/>
                <w:szCs w:val="18"/>
                <w:color w:val="auto"/>
              </w:rPr>
            </w:pPr>
          </w:p>
        </w:tc>
        <w:tc>
          <w:tcPr>
            <w:tcW w:w="9440" w:type="dxa"/>
            <w:vAlign w:val="bottom"/>
          </w:tcPr>
          <w:p>
            <w:pPr>
              <w:ind w:left="840"/>
              <w:spacing w:after="0"/>
              <w:rPr>
                <w:sz w:val="20"/>
                <w:szCs w:val="20"/>
                <w:color w:val="auto"/>
              </w:rPr>
            </w:pPr>
            <w:r>
              <w:rPr>
                <w:rFonts w:ascii="Arial" w:cs="Arial" w:eastAsia="Arial" w:hAnsi="Arial"/>
                <w:sz w:val="18"/>
                <w:szCs w:val="18"/>
                <w:color w:val="auto"/>
                <w:w w:val="94"/>
              </w:rPr>
              <w:t>section 7 of the Income Tax Act (Canada). Under those rules, the employee will be considered to have received an</w:t>
            </w:r>
          </w:p>
        </w:tc>
      </w:tr>
      <w:tr>
        <w:trPr>
          <w:trHeight w:val="216"/>
        </w:trPr>
        <w:tc>
          <w:tcPr>
            <w:tcW w:w="1580" w:type="dxa"/>
            <w:vAlign w:val="bottom"/>
          </w:tcPr>
          <w:p>
            <w:pPr>
              <w:spacing w:after="0"/>
              <w:rPr>
                <w:sz w:val="18"/>
                <w:szCs w:val="18"/>
                <w:color w:val="auto"/>
              </w:rPr>
            </w:pPr>
          </w:p>
        </w:tc>
        <w:tc>
          <w:tcPr>
            <w:tcW w:w="9440" w:type="dxa"/>
            <w:vAlign w:val="bottom"/>
          </w:tcPr>
          <w:p>
            <w:pPr>
              <w:ind w:left="840"/>
              <w:spacing w:after="0"/>
              <w:rPr>
                <w:sz w:val="20"/>
                <w:szCs w:val="20"/>
                <w:color w:val="auto"/>
              </w:rPr>
            </w:pPr>
            <w:r>
              <w:rPr>
                <w:rFonts w:ascii="Arial" w:cs="Arial" w:eastAsia="Arial" w:hAnsi="Arial"/>
                <w:sz w:val="18"/>
                <w:szCs w:val="18"/>
                <w:color w:val="auto"/>
                <w:w w:val="92"/>
              </w:rPr>
              <w:t>employment benefit at the time of settlement of the vested RSUs equal to the full value of the Shares received, which</w:t>
            </w:r>
          </w:p>
        </w:tc>
      </w:tr>
      <w:tr>
        <w:trPr>
          <w:trHeight w:val="230"/>
        </w:trPr>
        <w:tc>
          <w:tcPr>
            <w:tcW w:w="1580" w:type="dxa"/>
            <w:vAlign w:val="bottom"/>
          </w:tcPr>
          <w:p>
            <w:pPr>
              <w:spacing w:after="0"/>
              <w:rPr>
                <w:sz w:val="20"/>
                <w:szCs w:val="20"/>
                <w:color w:val="auto"/>
              </w:rPr>
            </w:pPr>
          </w:p>
        </w:tc>
        <w:tc>
          <w:tcPr>
            <w:tcW w:w="9440" w:type="dxa"/>
            <w:vAlign w:val="bottom"/>
          </w:tcPr>
          <w:p>
            <w:pPr>
              <w:ind w:left="840"/>
              <w:spacing w:after="0"/>
              <w:rPr>
                <w:sz w:val="20"/>
                <w:szCs w:val="20"/>
                <w:color w:val="auto"/>
              </w:rPr>
            </w:pPr>
            <w:r>
              <w:rPr>
                <w:rFonts w:ascii="Arial" w:cs="Arial" w:eastAsia="Arial" w:hAnsi="Arial"/>
                <w:sz w:val="18"/>
                <w:szCs w:val="18"/>
                <w:color w:val="auto"/>
              </w:rPr>
              <w:t>amount will be taxed as employment income and will be subject to withholding at source.</w:t>
            </w:r>
          </w:p>
        </w:tc>
      </w:tr>
      <w:tr>
        <w:trPr>
          <w:trHeight w:val="310"/>
        </w:trPr>
        <w:tc>
          <w:tcPr>
            <w:tcW w:w="1580" w:type="dxa"/>
            <w:vAlign w:val="bottom"/>
          </w:tcPr>
          <w:p>
            <w:pPr>
              <w:spacing w:after="0"/>
              <w:rPr>
                <w:sz w:val="24"/>
                <w:szCs w:val="24"/>
                <w:color w:val="auto"/>
              </w:rPr>
            </w:pPr>
          </w:p>
        </w:tc>
        <w:tc>
          <w:tcPr>
            <w:tcW w:w="9440" w:type="dxa"/>
            <w:vAlign w:val="bottom"/>
          </w:tcPr>
          <w:p>
            <w:pPr>
              <w:ind w:left="840"/>
              <w:spacing w:after="0"/>
              <w:rPr>
                <w:sz w:val="20"/>
                <w:szCs w:val="20"/>
                <w:color w:val="auto"/>
              </w:rPr>
            </w:pPr>
            <w:r>
              <w:rPr>
                <w:rFonts w:ascii="Arial" w:cs="Arial" w:eastAsia="Arial" w:hAnsi="Arial"/>
                <w:sz w:val="18"/>
                <w:szCs w:val="18"/>
                <w:b w:val="1"/>
                <w:bCs w:val="1"/>
                <w:color w:val="auto"/>
                <w:w w:val="96"/>
              </w:rPr>
              <w:t>Foreign Ownership Reporting</w:t>
            </w:r>
            <w:r>
              <w:rPr>
                <w:rFonts w:ascii="Arial" w:cs="Arial" w:eastAsia="Arial" w:hAnsi="Arial"/>
                <w:sz w:val="18"/>
                <w:szCs w:val="18"/>
                <w:color w:val="auto"/>
                <w:w w:val="96"/>
              </w:rPr>
              <w:t>. If Participant is a Canadian resident, their ownership of certain foreign property</w:t>
            </w:r>
          </w:p>
        </w:tc>
      </w:tr>
      <w:tr>
        <w:trPr>
          <w:trHeight w:val="216"/>
        </w:trPr>
        <w:tc>
          <w:tcPr>
            <w:tcW w:w="1580" w:type="dxa"/>
            <w:vAlign w:val="bottom"/>
          </w:tcPr>
          <w:p>
            <w:pPr>
              <w:spacing w:after="0"/>
              <w:rPr>
                <w:sz w:val="18"/>
                <w:szCs w:val="18"/>
                <w:color w:val="auto"/>
              </w:rPr>
            </w:pPr>
          </w:p>
        </w:tc>
        <w:tc>
          <w:tcPr>
            <w:tcW w:w="9440" w:type="dxa"/>
            <w:vAlign w:val="bottom"/>
          </w:tcPr>
          <w:p>
            <w:pPr>
              <w:ind w:left="840"/>
              <w:spacing w:after="0"/>
              <w:rPr>
                <w:sz w:val="20"/>
                <w:szCs w:val="20"/>
                <w:color w:val="auto"/>
              </w:rPr>
            </w:pPr>
            <w:r>
              <w:rPr>
                <w:rFonts w:ascii="Arial" w:cs="Arial" w:eastAsia="Arial" w:hAnsi="Arial"/>
                <w:sz w:val="18"/>
                <w:szCs w:val="18"/>
                <w:color w:val="auto"/>
              </w:rPr>
              <w:t>(including shares of foreign corporations) in excess of $100,000 may be subject to ongoing annual reporting</w:t>
            </w:r>
          </w:p>
        </w:tc>
      </w:tr>
      <w:tr>
        <w:trPr>
          <w:trHeight w:val="216"/>
        </w:trPr>
        <w:tc>
          <w:tcPr>
            <w:tcW w:w="1580" w:type="dxa"/>
            <w:vAlign w:val="bottom"/>
          </w:tcPr>
          <w:p>
            <w:pPr>
              <w:spacing w:after="0"/>
              <w:rPr>
                <w:sz w:val="18"/>
                <w:szCs w:val="18"/>
                <w:color w:val="auto"/>
              </w:rPr>
            </w:pPr>
          </w:p>
        </w:tc>
        <w:tc>
          <w:tcPr>
            <w:tcW w:w="9440" w:type="dxa"/>
            <w:vAlign w:val="bottom"/>
          </w:tcPr>
          <w:p>
            <w:pPr>
              <w:ind w:left="840"/>
              <w:spacing w:after="0"/>
              <w:rPr>
                <w:sz w:val="20"/>
                <w:szCs w:val="20"/>
                <w:color w:val="auto"/>
              </w:rPr>
            </w:pPr>
            <w:r>
              <w:rPr>
                <w:rFonts w:ascii="Arial" w:cs="Arial" w:eastAsia="Arial" w:hAnsi="Arial"/>
                <w:sz w:val="18"/>
                <w:szCs w:val="18"/>
                <w:color w:val="auto"/>
                <w:w w:val="92"/>
              </w:rPr>
              <w:t>obligations. Participant should please refer to CRA Form T1135 (Foreign Income Verification Statement) and consult</w:t>
            </w:r>
          </w:p>
        </w:tc>
      </w:tr>
      <w:tr>
        <w:trPr>
          <w:trHeight w:val="230"/>
        </w:trPr>
        <w:tc>
          <w:tcPr>
            <w:tcW w:w="1580" w:type="dxa"/>
            <w:vAlign w:val="bottom"/>
          </w:tcPr>
          <w:p>
            <w:pPr>
              <w:spacing w:after="0"/>
              <w:rPr>
                <w:sz w:val="20"/>
                <w:szCs w:val="20"/>
                <w:color w:val="auto"/>
              </w:rPr>
            </w:pPr>
          </w:p>
        </w:tc>
        <w:tc>
          <w:tcPr>
            <w:tcW w:w="9440" w:type="dxa"/>
            <w:vAlign w:val="bottom"/>
          </w:tcPr>
          <w:p>
            <w:pPr>
              <w:ind w:left="840"/>
              <w:spacing w:after="0"/>
              <w:rPr>
                <w:sz w:val="20"/>
                <w:szCs w:val="20"/>
                <w:color w:val="auto"/>
              </w:rPr>
            </w:pPr>
            <w:r>
              <w:rPr>
                <w:rFonts w:ascii="Arial" w:cs="Arial" w:eastAsia="Arial" w:hAnsi="Arial"/>
                <w:sz w:val="18"/>
                <w:szCs w:val="18"/>
                <w:color w:val="auto"/>
              </w:rPr>
              <w:t>their tax advisor for further details.</w:t>
            </w:r>
          </w:p>
        </w:tc>
      </w:tr>
      <w:tr>
        <w:trPr>
          <w:trHeight w:val="324"/>
        </w:trPr>
        <w:tc>
          <w:tcPr>
            <w:tcW w:w="1580" w:type="dxa"/>
            <w:vAlign w:val="bottom"/>
          </w:tcPr>
          <w:p>
            <w:pPr>
              <w:spacing w:after="0"/>
              <w:rPr>
                <w:sz w:val="24"/>
                <w:szCs w:val="24"/>
                <w:color w:val="auto"/>
              </w:rPr>
            </w:pPr>
          </w:p>
        </w:tc>
        <w:tc>
          <w:tcPr>
            <w:tcW w:w="9440" w:type="dxa"/>
            <w:vAlign w:val="bottom"/>
          </w:tcPr>
          <w:p>
            <w:pPr>
              <w:ind w:left="840"/>
              <w:spacing w:after="0"/>
              <w:rPr>
                <w:sz w:val="20"/>
                <w:szCs w:val="20"/>
                <w:color w:val="auto"/>
              </w:rPr>
            </w:pPr>
            <w:r>
              <w:rPr>
                <w:rFonts w:ascii="Arial" w:cs="Arial" w:eastAsia="Arial" w:hAnsi="Arial"/>
                <w:sz w:val="18"/>
                <w:szCs w:val="18"/>
                <w:b w:val="1"/>
                <w:bCs w:val="1"/>
                <w:color w:val="auto"/>
                <w:w w:val="93"/>
              </w:rPr>
              <w:t>Quebec: Consent to Receive Information in English</w:t>
            </w:r>
            <w:r>
              <w:rPr>
                <w:rFonts w:ascii="Arial" w:cs="Arial" w:eastAsia="Arial" w:hAnsi="Arial"/>
                <w:sz w:val="18"/>
                <w:szCs w:val="18"/>
                <w:color w:val="auto"/>
                <w:w w:val="93"/>
              </w:rPr>
              <w:t>. The following applies if Participant is a resident of Quebec:</w:t>
            </w:r>
          </w:p>
        </w:tc>
      </w:tr>
      <w:tr>
        <w:trPr>
          <w:trHeight w:val="310"/>
        </w:trPr>
        <w:tc>
          <w:tcPr>
            <w:tcW w:w="1580" w:type="dxa"/>
            <w:vAlign w:val="bottom"/>
          </w:tcPr>
          <w:p>
            <w:pPr>
              <w:spacing w:after="0"/>
              <w:rPr>
                <w:sz w:val="24"/>
                <w:szCs w:val="24"/>
                <w:color w:val="auto"/>
              </w:rPr>
            </w:pPr>
          </w:p>
        </w:tc>
        <w:tc>
          <w:tcPr>
            <w:tcW w:w="9440" w:type="dxa"/>
            <w:vAlign w:val="bottom"/>
          </w:tcPr>
          <w:p>
            <w:pPr>
              <w:ind w:left="840"/>
              <w:spacing w:after="0"/>
              <w:rPr>
                <w:sz w:val="20"/>
                <w:szCs w:val="20"/>
                <w:color w:val="auto"/>
              </w:rPr>
            </w:pPr>
            <w:r>
              <w:rPr>
                <w:rFonts w:ascii="Arial" w:cs="Arial" w:eastAsia="Arial" w:hAnsi="Arial"/>
                <w:sz w:val="18"/>
                <w:szCs w:val="18"/>
                <w:color w:val="auto"/>
                <w:w w:val="92"/>
              </w:rPr>
              <w:t>The parties acknowledge that it is their express wish that this Agreement, as well as all documents, notices and legal</w:t>
            </w:r>
          </w:p>
        </w:tc>
      </w:tr>
      <w:tr>
        <w:trPr>
          <w:trHeight w:val="216"/>
        </w:trPr>
        <w:tc>
          <w:tcPr>
            <w:tcW w:w="1580" w:type="dxa"/>
            <w:vAlign w:val="bottom"/>
          </w:tcPr>
          <w:p>
            <w:pPr>
              <w:spacing w:after="0"/>
              <w:rPr>
                <w:sz w:val="18"/>
                <w:szCs w:val="18"/>
                <w:color w:val="auto"/>
              </w:rPr>
            </w:pPr>
          </w:p>
        </w:tc>
        <w:tc>
          <w:tcPr>
            <w:tcW w:w="9440" w:type="dxa"/>
            <w:vAlign w:val="bottom"/>
          </w:tcPr>
          <w:p>
            <w:pPr>
              <w:ind w:left="840"/>
              <w:spacing w:after="0"/>
              <w:rPr>
                <w:sz w:val="20"/>
                <w:szCs w:val="20"/>
                <w:color w:val="auto"/>
              </w:rPr>
            </w:pPr>
            <w:r>
              <w:rPr>
                <w:rFonts w:ascii="Arial" w:cs="Arial" w:eastAsia="Arial" w:hAnsi="Arial"/>
                <w:sz w:val="18"/>
                <w:szCs w:val="18"/>
                <w:color w:val="auto"/>
                <w:w w:val="94"/>
              </w:rPr>
              <w:t>proceedings entered into, given or instituted pursuant hereto or relating directly or indirectly hereto, be drawn up in</w:t>
            </w:r>
          </w:p>
        </w:tc>
      </w:tr>
      <w:tr>
        <w:trPr>
          <w:trHeight w:val="230"/>
        </w:trPr>
        <w:tc>
          <w:tcPr>
            <w:tcW w:w="1580" w:type="dxa"/>
            <w:vAlign w:val="bottom"/>
          </w:tcPr>
          <w:p>
            <w:pPr>
              <w:spacing w:after="0"/>
              <w:rPr>
                <w:sz w:val="20"/>
                <w:szCs w:val="20"/>
                <w:color w:val="auto"/>
              </w:rPr>
            </w:pPr>
          </w:p>
        </w:tc>
        <w:tc>
          <w:tcPr>
            <w:tcW w:w="9440" w:type="dxa"/>
            <w:vAlign w:val="bottom"/>
          </w:tcPr>
          <w:p>
            <w:pPr>
              <w:ind w:left="840"/>
              <w:spacing w:after="0"/>
              <w:rPr>
                <w:sz w:val="20"/>
                <w:szCs w:val="20"/>
                <w:color w:val="auto"/>
              </w:rPr>
            </w:pPr>
            <w:r>
              <w:rPr>
                <w:rFonts w:ascii="Arial" w:cs="Arial" w:eastAsia="Arial" w:hAnsi="Arial"/>
                <w:sz w:val="18"/>
                <w:szCs w:val="18"/>
                <w:color w:val="auto"/>
              </w:rPr>
              <w:t>English.</w:t>
            </w:r>
          </w:p>
        </w:tc>
      </w:tr>
      <w:tr>
        <w:trPr>
          <w:trHeight w:val="365"/>
        </w:trPr>
        <w:tc>
          <w:tcPr>
            <w:tcW w:w="1580" w:type="dxa"/>
            <w:vAlign w:val="bottom"/>
          </w:tcPr>
          <w:p>
            <w:pPr>
              <w:spacing w:after="0"/>
              <w:rPr>
                <w:sz w:val="24"/>
                <w:szCs w:val="24"/>
                <w:color w:val="auto"/>
              </w:rPr>
            </w:pPr>
          </w:p>
        </w:tc>
        <w:tc>
          <w:tcPr>
            <w:tcW w:w="9440" w:type="dxa"/>
            <w:vAlign w:val="bottom"/>
          </w:tcPr>
          <w:p>
            <w:pPr>
              <w:ind w:left="352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6</w:t>
            </w:r>
          </w:p>
        </w:tc>
      </w:tr>
    </w:tbl>
    <w:p>
      <w:pPr>
        <w:sectPr>
          <w:pgSz w:w="11900" w:h="16838" w:orient="portrait"/>
          <w:cols w:equalWidth="0" w:num="1">
            <w:col w:w="11020"/>
          </w:cols>
          <w:pgMar w:left="440" w:top="274" w:right="439" w:bottom="1440" w:gutter="0" w:footer="0" w:header="0"/>
        </w:sectPr>
      </w:pPr>
    </w:p>
    <w:bookmarkStart w:id="383" w:name="page384"/>
    <w:bookmarkEnd w:id="38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ADOPTED November 20, 2019</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9520" w:type="dxa"/>
            <w:vAlign w:val="bottom"/>
            <w:gridSpan w:val="3"/>
          </w:tcPr>
          <w:p>
            <w:pPr>
              <w:ind w:left="920"/>
              <w:spacing w:after="0"/>
              <w:rPr>
                <w:sz w:val="20"/>
                <w:szCs w:val="20"/>
                <w:color w:val="auto"/>
              </w:rPr>
            </w:pPr>
            <w:r>
              <w:rPr>
                <w:rFonts w:ascii="Arial" w:cs="Arial" w:eastAsia="Arial" w:hAnsi="Arial"/>
                <w:sz w:val="18"/>
                <w:szCs w:val="18"/>
                <w:i w:val="1"/>
                <w:iCs w:val="1"/>
                <w:color w:val="auto"/>
                <w:w w:val="97"/>
              </w:rPr>
              <w:t>Les parties reconnaissent avoir exigé la redaction en anglais de cette convention, ainsi que de tous documents</w:t>
            </w:r>
          </w:p>
        </w:tc>
      </w:tr>
      <w:tr>
        <w:trPr>
          <w:trHeight w:val="216"/>
        </w:trPr>
        <w:tc>
          <w:tcPr>
            <w:tcW w:w="1500" w:type="dxa"/>
            <w:vAlign w:val="bottom"/>
          </w:tcPr>
          <w:p>
            <w:pPr>
              <w:spacing w:after="0"/>
              <w:rPr>
                <w:sz w:val="18"/>
                <w:szCs w:val="18"/>
                <w:color w:val="auto"/>
              </w:rPr>
            </w:pPr>
          </w:p>
        </w:tc>
        <w:tc>
          <w:tcPr>
            <w:tcW w:w="9520" w:type="dxa"/>
            <w:vAlign w:val="bottom"/>
            <w:gridSpan w:val="3"/>
          </w:tcPr>
          <w:p>
            <w:pPr>
              <w:ind w:left="920"/>
              <w:spacing w:after="0"/>
              <w:rPr>
                <w:sz w:val="20"/>
                <w:szCs w:val="20"/>
                <w:color w:val="auto"/>
              </w:rPr>
            </w:pPr>
            <w:r>
              <w:rPr>
                <w:rFonts w:ascii="Arial" w:cs="Arial" w:eastAsia="Arial" w:hAnsi="Arial"/>
                <w:sz w:val="18"/>
                <w:szCs w:val="18"/>
                <w:i w:val="1"/>
                <w:iCs w:val="1"/>
                <w:color w:val="auto"/>
                <w:w w:val="93"/>
              </w:rPr>
              <w:t>exécutés, avis donnés et procedures judiciaries intentées, directement ou indirectement, relativement à la présente</w:t>
            </w:r>
          </w:p>
        </w:tc>
      </w:tr>
      <w:tr>
        <w:trPr>
          <w:trHeight w:val="230"/>
        </w:trPr>
        <w:tc>
          <w:tcPr>
            <w:tcW w:w="1500" w:type="dxa"/>
            <w:vAlign w:val="bottom"/>
          </w:tcPr>
          <w:p>
            <w:pPr>
              <w:spacing w:after="0"/>
              <w:rPr>
                <w:sz w:val="20"/>
                <w:szCs w:val="20"/>
                <w:color w:val="auto"/>
              </w:rPr>
            </w:pPr>
          </w:p>
        </w:tc>
        <w:tc>
          <w:tcPr>
            <w:tcW w:w="9520" w:type="dxa"/>
            <w:vAlign w:val="bottom"/>
            <w:gridSpan w:val="3"/>
          </w:tcPr>
          <w:p>
            <w:pPr>
              <w:ind w:left="920"/>
              <w:spacing w:after="0"/>
              <w:rPr>
                <w:sz w:val="20"/>
                <w:szCs w:val="20"/>
                <w:color w:val="auto"/>
              </w:rPr>
            </w:pPr>
            <w:r>
              <w:rPr>
                <w:rFonts w:ascii="Arial" w:cs="Arial" w:eastAsia="Arial" w:hAnsi="Arial"/>
                <w:sz w:val="18"/>
                <w:szCs w:val="18"/>
                <w:i w:val="1"/>
                <w:iCs w:val="1"/>
                <w:color w:val="auto"/>
              </w:rPr>
              <w:t>convention.</w:t>
            </w:r>
          </w:p>
        </w:tc>
      </w:tr>
      <w:tr>
        <w:trPr>
          <w:trHeight w:val="135"/>
        </w:trPr>
        <w:tc>
          <w:tcPr>
            <w:tcW w:w="1500" w:type="dxa"/>
            <w:vAlign w:val="bottom"/>
            <w:tcBorders>
              <w:bottom w:val="single" w:sz="8" w:color="auto"/>
            </w:tcBorders>
          </w:tcPr>
          <w:p>
            <w:pPr>
              <w:spacing w:after="0"/>
              <w:rPr>
                <w:sz w:val="11"/>
                <w:szCs w:val="11"/>
                <w:color w:val="auto"/>
              </w:rPr>
            </w:pPr>
          </w:p>
        </w:tc>
        <w:tc>
          <w:tcPr>
            <w:tcW w:w="78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r>
      <w:tr>
        <w:trPr>
          <w:trHeight w:val="195"/>
        </w:trPr>
        <w:tc>
          <w:tcPr>
            <w:tcW w:w="1500" w:type="dxa"/>
            <w:vAlign w:val="bottom"/>
          </w:tcPr>
          <w:p>
            <w:pPr>
              <w:spacing w:after="0" w:line="195" w:lineRule="exact"/>
              <w:rPr>
                <w:sz w:val="20"/>
                <w:szCs w:val="20"/>
                <w:color w:val="auto"/>
              </w:rPr>
            </w:pPr>
            <w:r>
              <w:rPr>
                <w:rFonts w:ascii="Arial" w:cs="Arial" w:eastAsia="Arial" w:hAnsi="Arial"/>
                <w:sz w:val="18"/>
                <w:szCs w:val="18"/>
                <w:b w:val="1"/>
                <w:bCs w:val="1"/>
                <w:color w:val="auto"/>
              </w:rPr>
              <w:t>Ireland</w:t>
            </w:r>
          </w:p>
        </w:tc>
        <w:tc>
          <w:tcPr>
            <w:tcW w:w="9520" w:type="dxa"/>
            <w:vAlign w:val="bottom"/>
            <w:gridSpan w:val="3"/>
          </w:tcPr>
          <w:p>
            <w:pPr>
              <w:ind w:left="920"/>
              <w:spacing w:after="0" w:line="195" w:lineRule="exact"/>
              <w:rPr>
                <w:sz w:val="20"/>
                <w:szCs w:val="20"/>
                <w:color w:val="auto"/>
              </w:rPr>
            </w:pPr>
            <w:r>
              <w:rPr>
                <w:rFonts w:ascii="Arial" w:cs="Arial" w:eastAsia="Arial" w:hAnsi="Arial"/>
                <w:sz w:val="18"/>
                <w:szCs w:val="18"/>
                <w:b w:val="1"/>
                <w:bCs w:val="1"/>
                <w:color w:val="auto"/>
                <w:w w:val="90"/>
              </w:rPr>
              <w:t>Settlement in Shares Only</w:t>
            </w:r>
            <w:r>
              <w:rPr>
                <w:rFonts w:ascii="Arial" w:cs="Arial" w:eastAsia="Arial" w:hAnsi="Arial"/>
                <w:sz w:val="18"/>
                <w:szCs w:val="18"/>
                <w:color w:val="auto"/>
                <w:w w:val="90"/>
              </w:rPr>
              <w:t>. Notwithstanding any discretion in the Plan or the Agreement to the contrary, settlement of</w:t>
            </w:r>
          </w:p>
        </w:tc>
      </w:tr>
      <w:tr>
        <w:trPr>
          <w:trHeight w:val="230"/>
        </w:trPr>
        <w:tc>
          <w:tcPr>
            <w:tcW w:w="1500" w:type="dxa"/>
            <w:vAlign w:val="bottom"/>
          </w:tcPr>
          <w:p>
            <w:pPr>
              <w:spacing w:after="0"/>
              <w:rPr>
                <w:sz w:val="20"/>
                <w:szCs w:val="20"/>
                <w:color w:val="auto"/>
              </w:rPr>
            </w:pPr>
          </w:p>
        </w:tc>
        <w:tc>
          <w:tcPr>
            <w:tcW w:w="9520" w:type="dxa"/>
            <w:vAlign w:val="bottom"/>
            <w:gridSpan w:val="3"/>
          </w:tcPr>
          <w:p>
            <w:pPr>
              <w:ind w:left="920"/>
              <w:spacing w:after="0"/>
              <w:rPr>
                <w:sz w:val="20"/>
                <w:szCs w:val="20"/>
                <w:color w:val="auto"/>
              </w:rPr>
            </w:pPr>
            <w:r>
              <w:rPr>
                <w:rFonts w:ascii="Arial" w:cs="Arial" w:eastAsia="Arial" w:hAnsi="Arial"/>
                <w:sz w:val="18"/>
                <w:szCs w:val="18"/>
                <w:color w:val="auto"/>
              </w:rPr>
              <w:t>the RSUs shall be in Shares and not, in whole or in part, in the form of cash.</w:t>
            </w:r>
          </w:p>
        </w:tc>
      </w:tr>
      <w:tr>
        <w:trPr>
          <w:trHeight w:val="310"/>
        </w:trPr>
        <w:tc>
          <w:tcPr>
            <w:tcW w:w="1500" w:type="dxa"/>
            <w:vAlign w:val="bottom"/>
          </w:tcPr>
          <w:p>
            <w:pPr>
              <w:spacing w:after="0"/>
              <w:rPr>
                <w:sz w:val="24"/>
                <w:szCs w:val="24"/>
                <w:color w:val="auto"/>
              </w:rPr>
            </w:pPr>
          </w:p>
        </w:tc>
        <w:tc>
          <w:tcPr>
            <w:tcW w:w="9520" w:type="dxa"/>
            <w:vAlign w:val="bottom"/>
            <w:gridSpan w:val="3"/>
          </w:tcPr>
          <w:p>
            <w:pPr>
              <w:ind w:left="920"/>
              <w:spacing w:after="0"/>
              <w:rPr>
                <w:sz w:val="20"/>
                <w:szCs w:val="20"/>
                <w:color w:val="auto"/>
              </w:rPr>
            </w:pPr>
            <w:r>
              <w:rPr>
                <w:rFonts w:ascii="Arial" w:cs="Arial" w:eastAsia="Arial" w:hAnsi="Arial"/>
                <w:sz w:val="18"/>
                <w:szCs w:val="18"/>
                <w:b w:val="1"/>
                <w:bCs w:val="1"/>
                <w:color w:val="auto"/>
                <w:w w:val="98"/>
              </w:rPr>
              <w:t>Director Notification</w:t>
            </w:r>
            <w:r>
              <w:rPr>
                <w:rFonts w:ascii="Arial" w:cs="Arial" w:eastAsia="Arial" w:hAnsi="Arial"/>
                <w:sz w:val="18"/>
                <w:szCs w:val="18"/>
                <w:color w:val="auto"/>
                <w:w w:val="98"/>
              </w:rPr>
              <w:t>. If Participant is a director or shadow director of the Company or a Parent, Subsidiary or</w:t>
            </w:r>
          </w:p>
        </w:tc>
      </w:tr>
      <w:tr>
        <w:trPr>
          <w:trHeight w:val="216"/>
        </w:trPr>
        <w:tc>
          <w:tcPr>
            <w:tcW w:w="1500" w:type="dxa"/>
            <w:vAlign w:val="bottom"/>
          </w:tcPr>
          <w:p>
            <w:pPr>
              <w:spacing w:after="0"/>
              <w:rPr>
                <w:sz w:val="18"/>
                <w:szCs w:val="18"/>
                <w:color w:val="auto"/>
              </w:rPr>
            </w:pPr>
          </w:p>
        </w:tc>
        <w:tc>
          <w:tcPr>
            <w:tcW w:w="9520" w:type="dxa"/>
            <w:vAlign w:val="bottom"/>
            <w:gridSpan w:val="3"/>
          </w:tcPr>
          <w:p>
            <w:pPr>
              <w:ind w:left="920"/>
              <w:spacing w:after="0"/>
              <w:rPr>
                <w:sz w:val="20"/>
                <w:szCs w:val="20"/>
                <w:color w:val="auto"/>
              </w:rPr>
            </w:pPr>
            <w:r>
              <w:rPr>
                <w:rFonts w:ascii="Arial" w:cs="Arial" w:eastAsia="Arial" w:hAnsi="Arial"/>
                <w:sz w:val="18"/>
                <w:szCs w:val="18"/>
                <w:color w:val="auto"/>
                <w:w w:val="91"/>
              </w:rPr>
              <w:t>Affiliate, Participant may be subject to special reporting requirements with regard to the acquisition of Shares or rights</w:t>
            </w:r>
          </w:p>
        </w:tc>
      </w:tr>
      <w:tr>
        <w:trPr>
          <w:trHeight w:val="216"/>
        </w:trPr>
        <w:tc>
          <w:tcPr>
            <w:tcW w:w="1500" w:type="dxa"/>
            <w:vAlign w:val="bottom"/>
          </w:tcPr>
          <w:p>
            <w:pPr>
              <w:spacing w:after="0"/>
              <w:rPr>
                <w:sz w:val="18"/>
                <w:szCs w:val="18"/>
                <w:color w:val="auto"/>
              </w:rPr>
            </w:pPr>
          </w:p>
        </w:tc>
        <w:tc>
          <w:tcPr>
            <w:tcW w:w="9520" w:type="dxa"/>
            <w:vAlign w:val="bottom"/>
            <w:gridSpan w:val="3"/>
          </w:tcPr>
          <w:p>
            <w:pPr>
              <w:ind w:left="920"/>
              <w:spacing w:after="0"/>
              <w:rPr>
                <w:sz w:val="20"/>
                <w:szCs w:val="20"/>
                <w:color w:val="auto"/>
              </w:rPr>
            </w:pPr>
            <w:r>
              <w:rPr>
                <w:rFonts w:ascii="Arial" w:cs="Arial" w:eastAsia="Arial" w:hAnsi="Arial"/>
                <w:sz w:val="18"/>
                <w:szCs w:val="18"/>
                <w:color w:val="auto"/>
                <w:w w:val="95"/>
              </w:rPr>
              <w:t>over Shares. Participant is advised to consult their own personal legal advisor for further details if Participant is a</w:t>
            </w:r>
          </w:p>
        </w:tc>
      </w:tr>
      <w:tr>
        <w:trPr>
          <w:trHeight w:val="230"/>
        </w:trPr>
        <w:tc>
          <w:tcPr>
            <w:tcW w:w="1500" w:type="dxa"/>
            <w:vAlign w:val="bottom"/>
          </w:tcPr>
          <w:p>
            <w:pPr>
              <w:spacing w:after="0"/>
              <w:rPr>
                <w:sz w:val="20"/>
                <w:szCs w:val="20"/>
                <w:color w:val="auto"/>
              </w:rPr>
            </w:pPr>
          </w:p>
        </w:tc>
        <w:tc>
          <w:tcPr>
            <w:tcW w:w="9520" w:type="dxa"/>
            <w:vAlign w:val="bottom"/>
            <w:gridSpan w:val="3"/>
          </w:tcPr>
          <w:p>
            <w:pPr>
              <w:ind w:left="920"/>
              <w:spacing w:after="0"/>
              <w:rPr>
                <w:sz w:val="20"/>
                <w:szCs w:val="20"/>
                <w:color w:val="auto"/>
              </w:rPr>
            </w:pPr>
            <w:r>
              <w:rPr>
                <w:rFonts w:ascii="Arial" w:cs="Arial" w:eastAsia="Arial" w:hAnsi="Arial"/>
                <w:sz w:val="18"/>
                <w:szCs w:val="18"/>
                <w:color w:val="auto"/>
              </w:rPr>
              <w:t>director or shadow director.</w:t>
            </w:r>
          </w:p>
        </w:tc>
      </w:tr>
      <w:tr>
        <w:trPr>
          <w:trHeight w:val="135"/>
        </w:trPr>
        <w:tc>
          <w:tcPr>
            <w:tcW w:w="1500" w:type="dxa"/>
            <w:vAlign w:val="bottom"/>
            <w:tcBorders>
              <w:bottom w:val="single" w:sz="8" w:color="auto"/>
            </w:tcBorders>
          </w:tcPr>
          <w:p>
            <w:pPr>
              <w:spacing w:after="0"/>
              <w:rPr>
                <w:sz w:val="11"/>
                <w:szCs w:val="11"/>
                <w:color w:val="auto"/>
              </w:rPr>
            </w:pPr>
          </w:p>
        </w:tc>
        <w:tc>
          <w:tcPr>
            <w:tcW w:w="78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r>
      <w:tr>
        <w:trPr>
          <w:trHeight w:val="191"/>
        </w:trPr>
        <w:tc>
          <w:tcPr>
            <w:tcW w:w="1500" w:type="dxa"/>
            <w:vAlign w:val="bottom"/>
          </w:tcPr>
          <w:p>
            <w:pPr>
              <w:spacing w:after="0" w:line="191" w:lineRule="exact"/>
              <w:rPr>
                <w:sz w:val="20"/>
                <w:szCs w:val="20"/>
                <w:color w:val="auto"/>
              </w:rPr>
            </w:pPr>
            <w:r>
              <w:rPr>
                <w:rFonts w:ascii="Arial" w:cs="Arial" w:eastAsia="Arial" w:hAnsi="Arial"/>
                <w:sz w:val="18"/>
                <w:szCs w:val="18"/>
                <w:b w:val="1"/>
                <w:bCs w:val="1"/>
                <w:color w:val="auto"/>
              </w:rPr>
              <w:t>Japan</w:t>
            </w:r>
          </w:p>
        </w:tc>
        <w:tc>
          <w:tcPr>
            <w:tcW w:w="9520" w:type="dxa"/>
            <w:vAlign w:val="bottom"/>
            <w:gridSpan w:val="3"/>
          </w:tcPr>
          <w:p>
            <w:pPr>
              <w:ind w:left="920"/>
              <w:spacing w:after="0" w:line="191" w:lineRule="exact"/>
              <w:rPr>
                <w:sz w:val="20"/>
                <w:szCs w:val="20"/>
                <w:color w:val="auto"/>
              </w:rPr>
            </w:pPr>
            <w:r>
              <w:rPr>
                <w:rFonts w:ascii="Arial" w:cs="Arial" w:eastAsia="Arial" w:hAnsi="Arial"/>
                <w:sz w:val="18"/>
                <w:szCs w:val="18"/>
                <w:b w:val="1"/>
                <w:bCs w:val="1"/>
                <w:color w:val="auto"/>
                <w:w w:val="99"/>
              </w:rPr>
              <w:t>Securities Acquisition Report</w:t>
            </w:r>
            <w:r>
              <w:rPr>
                <w:rFonts w:ascii="Arial" w:cs="Arial" w:eastAsia="Arial" w:hAnsi="Arial"/>
                <w:sz w:val="18"/>
                <w:szCs w:val="18"/>
                <w:color w:val="auto"/>
                <w:w w:val="99"/>
              </w:rPr>
              <w:t>. If Participant acquires Shares valued at more than ¥100,000,000 in a single</w:t>
            </w:r>
          </w:p>
        </w:tc>
      </w:tr>
      <w:tr>
        <w:trPr>
          <w:trHeight w:val="194"/>
        </w:trPr>
        <w:tc>
          <w:tcPr>
            <w:tcW w:w="1500" w:type="dxa"/>
            <w:vAlign w:val="bottom"/>
          </w:tcPr>
          <w:p>
            <w:pPr>
              <w:spacing w:after="0"/>
              <w:rPr>
                <w:sz w:val="16"/>
                <w:szCs w:val="16"/>
                <w:color w:val="auto"/>
              </w:rPr>
            </w:pPr>
          </w:p>
        </w:tc>
        <w:tc>
          <w:tcPr>
            <w:tcW w:w="9520" w:type="dxa"/>
            <w:vAlign w:val="bottom"/>
            <w:gridSpan w:val="3"/>
          </w:tcPr>
          <w:p>
            <w:pPr>
              <w:ind w:left="920"/>
              <w:spacing w:after="0" w:line="194" w:lineRule="exact"/>
              <w:rPr>
                <w:sz w:val="20"/>
                <w:szCs w:val="20"/>
                <w:color w:val="auto"/>
              </w:rPr>
            </w:pPr>
            <w:r>
              <w:rPr>
                <w:rFonts w:ascii="Arial" w:cs="Arial" w:eastAsia="Arial" w:hAnsi="Arial"/>
                <w:sz w:val="18"/>
                <w:szCs w:val="18"/>
                <w:color w:val="auto"/>
                <w:w w:val="96"/>
              </w:rPr>
              <w:t>transaction, Participant must file a Securities Acquisition Report with the Ministry of Finance (“</w:t>
            </w:r>
            <w:r>
              <w:rPr>
                <w:rFonts w:ascii="Arial" w:cs="Arial" w:eastAsia="Arial" w:hAnsi="Arial"/>
                <w:sz w:val="18"/>
                <w:szCs w:val="18"/>
                <w:b w:val="1"/>
                <w:bCs w:val="1"/>
                <w:color w:val="auto"/>
                <w:w w:val="96"/>
              </w:rPr>
              <w:t>MOF</w:t>
            </w:r>
            <w:r>
              <w:rPr>
                <w:rFonts w:ascii="Arial" w:cs="Arial" w:eastAsia="Arial" w:hAnsi="Arial"/>
                <w:sz w:val="18"/>
                <w:szCs w:val="18"/>
                <w:color w:val="auto"/>
                <w:w w:val="96"/>
              </w:rPr>
              <w:t>”) through the</w:t>
            </w:r>
          </w:p>
        </w:tc>
      </w:tr>
      <w:tr>
        <w:trPr>
          <w:trHeight w:val="237"/>
        </w:trPr>
        <w:tc>
          <w:tcPr>
            <w:tcW w:w="1500" w:type="dxa"/>
            <w:vAlign w:val="bottom"/>
          </w:tcPr>
          <w:p>
            <w:pPr>
              <w:spacing w:after="0"/>
              <w:rPr>
                <w:sz w:val="20"/>
                <w:szCs w:val="20"/>
                <w:color w:val="auto"/>
              </w:rPr>
            </w:pPr>
          </w:p>
        </w:tc>
        <w:tc>
          <w:tcPr>
            <w:tcW w:w="7860" w:type="dxa"/>
            <w:vAlign w:val="bottom"/>
          </w:tcPr>
          <w:p>
            <w:pPr>
              <w:ind w:left="920"/>
              <w:spacing w:after="0"/>
              <w:rPr>
                <w:sz w:val="20"/>
                <w:szCs w:val="20"/>
                <w:color w:val="auto"/>
              </w:rPr>
            </w:pPr>
            <w:r>
              <w:rPr>
                <w:rFonts w:ascii="Arial" w:cs="Arial" w:eastAsia="Arial" w:hAnsi="Arial"/>
                <w:sz w:val="18"/>
                <w:szCs w:val="18"/>
                <w:color w:val="auto"/>
              </w:rPr>
              <w:t>Bank of Japan within 20 days of the acquisition of the Shares.</w:t>
            </w:r>
          </w:p>
        </w:tc>
        <w:tc>
          <w:tcPr>
            <w:tcW w:w="420" w:type="dxa"/>
            <w:vAlign w:val="bottom"/>
            <w:tcBorders>
              <w:top w:val="single" w:sz="8" w:color="auto"/>
            </w:tcBorders>
          </w:tcPr>
          <w:p>
            <w:pPr>
              <w:spacing w:after="0"/>
              <w:rPr>
                <w:sz w:val="20"/>
                <w:szCs w:val="20"/>
                <w:color w:val="auto"/>
              </w:rPr>
            </w:pPr>
          </w:p>
        </w:tc>
        <w:tc>
          <w:tcPr>
            <w:tcW w:w="1240" w:type="dxa"/>
            <w:vAlign w:val="bottom"/>
          </w:tcPr>
          <w:p>
            <w:pPr>
              <w:spacing w:after="0"/>
              <w:rPr>
                <w:sz w:val="20"/>
                <w:szCs w:val="20"/>
                <w:color w:val="auto"/>
              </w:rPr>
            </w:pPr>
          </w:p>
        </w:tc>
      </w:tr>
    </w:tbl>
    <w:p>
      <w:pPr>
        <w:spacing w:after="0" w:line="90" w:lineRule="exact"/>
        <w:rPr>
          <w:sz w:val="20"/>
          <w:szCs w:val="20"/>
          <w:color w:val="auto"/>
        </w:rPr>
      </w:pPr>
    </w:p>
    <w:p>
      <w:pPr>
        <w:ind w:left="2420" w:right="100"/>
        <w:spacing w:after="0" w:line="293" w:lineRule="auto"/>
        <w:rPr>
          <w:sz w:val="20"/>
          <w:szCs w:val="20"/>
          <w:color w:val="auto"/>
        </w:rPr>
      </w:pPr>
      <w:r>
        <w:rPr>
          <w:rFonts w:ascii="Arial" w:cs="Arial" w:eastAsia="Arial" w:hAnsi="Arial"/>
          <w:sz w:val="16"/>
          <w:szCs w:val="16"/>
          <w:b w:val="1"/>
          <w:bCs w:val="1"/>
          <w:color w:val="auto"/>
        </w:rPr>
        <w:t>Exit Tax</w:t>
      </w:r>
      <w:r>
        <w:rPr>
          <w:rFonts w:ascii="Arial" w:cs="Arial" w:eastAsia="Arial" w:hAnsi="Arial"/>
          <w:sz w:val="16"/>
          <w:szCs w:val="16"/>
          <w:color w:val="auto"/>
        </w:rPr>
        <w:t>. Participant may be subject to tax on the RSUs, even prior to vesting, if Participant relocates from Japan if</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(1) holds financial assets with an aggregate value of ¥100,000,000 or more upon departure from Japan and</w:t>
      </w:r>
    </w:p>
    <w:p>
      <w:pPr>
        <w:spacing w:after="0" w:line="1" w:lineRule="exact"/>
        <w:rPr>
          <w:sz w:val="20"/>
          <w:szCs w:val="20"/>
          <w:color w:val="auto"/>
        </w:rPr>
      </w:pPr>
    </w:p>
    <w:p>
      <w:pPr>
        <w:ind w:left="2420" w:right="180" w:firstLine="6"/>
        <w:spacing w:after="0" w:line="255" w:lineRule="auto"/>
        <w:tabs>
          <w:tab w:leader="none" w:pos="2675" w:val="left"/>
        </w:tabs>
        <w:numPr>
          <w:ilvl w:val="0"/>
          <w:numId w:val="368"/>
        </w:numPr>
        <w:rPr>
          <w:rFonts w:ascii="Arial" w:cs="Arial" w:eastAsia="Arial" w:hAnsi="Arial"/>
          <w:sz w:val="18"/>
          <w:szCs w:val="18"/>
          <w:color w:val="auto"/>
        </w:rPr>
      </w:pPr>
      <w:r>
        <w:rPr>
          <w:rFonts w:ascii="Arial" w:cs="Arial" w:eastAsia="Arial" w:hAnsi="Arial"/>
          <w:sz w:val="18"/>
          <w:szCs w:val="18"/>
          <w:color w:val="auto"/>
        </w:rPr>
        <w:t>maintained a principle place of residence (</w:t>
      </w:r>
      <w:r>
        <w:rPr>
          <w:rFonts w:ascii="Arial" w:cs="Arial" w:eastAsia="Arial" w:hAnsi="Arial"/>
          <w:sz w:val="18"/>
          <w:szCs w:val="18"/>
          <w:i w:val="1"/>
          <w:iCs w:val="1"/>
          <w:color w:val="auto"/>
        </w:rPr>
        <w:t>jusho</w:t>
      </w:r>
      <w:r>
        <w:rPr>
          <w:rFonts w:ascii="Arial" w:cs="Arial" w:eastAsia="Arial" w:hAnsi="Arial"/>
          <w:sz w:val="18"/>
          <w:szCs w:val="18"/>
          <w:color w:val="auto"/>
        </w:rPr>
        <w:t>) or temporary place of abode in Japan for 5 years or more during the 10-year period immediately prior to departing Japan. Participant is advised to discuss Participant’s tax treatment with Participant’s personal tax advisor.</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8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United Kingdom</w:t>
            </w:r>
          </w:p>
        </w:tc>
        <w:tc>
          <w:tcPr>
            <w:tcW w:w="9160" w:type="dxa"/>
            <w:vAlign w:val="bottom"/>
            <w:tcBorders>
              <w:top w:val="single" w:sz="8" w:color="auto"/>
            </w:tcBorders>
            <w:gridSpan w:val="5"/>
          </w:tcPr>
          <w:p>
            <w:pPr>
              <w:ind w:left="560"/>
              <w:spacing w:after="0"/>
              <w:rPr>
                <w:sz w:val="20"/>
                <w:szCs w:val="20"/>
                <w:color w:val="auto"/>
              </w:rPr>
            </w:pPr>
            <w:r>
              <w:rPr>
                <w:rFonts w:ascii="Arial" w:cs="Arial" w:eastAsia="Arial" w:hAnsi="Arial"/>
                <w:sz w:val="18"/>
                <w:szCs w:val="18"/>
                <w:b w:val="1"/>
                <w:bCs w:val="1"/>
                <w:color w:val="auto"/>
                <w:w w:val="91"/>
              </w:rPr>
              <w:t>Settlement</w:t>
            </w:r>
            <w:r>
              <w:rPr>
                <w:rFonts w:ascii="Arial" w:cs="Arial" w:eastAsia="Arial" w:hAnsi="Arial"/>
                <w:sz w:val="18"/>
                <w:szCs w:val="18"/>
                <w:color w:val="auto"/>
                <w:w w:val="91"/>
              </w:rPr>
              <w:t>. Notwithstanding any discretion in the Plan or the Agreement to the contrary, settlement of the RSUs shall</w:t>
            </w:r>
          </w:p>
        </w:tc>
      </w:tr>
      <w:tr>
        <w:trPr>
          <w:trHeight w:val="230"/>
        </w:trPr>
        <w:tc>
          <w:tcPr>
            <w:tcW w:w="1860" w:type="dxa"/>
            <w:vAlign w:val="bottom"/>
          </w:tcPr>
          <w:p>
            <w:pPr>
              <w:spacing w:after="0"/>
              <w:rPr>
                <w:sz w:val="20"/>
                <w:szCs w:val="20"/>
                <w:color w:val="auto"/>
              </w:rPr>
            </w:pPr>
          </w:p>
        </w:tc>
        <w:tc>
          <w:tcPr>
            <w:tcW w:w="9160" w:type="dxa"/>
            <w:vAlign w:val="bottom"/>
            <w:gridSpan w:val="5"/>
          </w:tcPr>
          <w:p>
            <w:pPr>
              <w:ind w:left="560"/>
              <w:spacing w:after="0"/>
              <w:rPr>
                <w:sz w:val="20"/>
                <w:szCs w:val="20"/>
                <w:color w:val="auto"/>
              </w:rPr>
            </w:pPr>
            <w:r>
              <w:rPr>
                <w:rFonts w:ascii="Arial" w:cs="Arial" w:eastAsia="Arial" w:hAnsi="Arial"/>
                <w:sz w:val="18"/>
                <w:szCs w:val="18"/>
                <w:color w:val="auto"/>
              </w:rPr>
              <w:t>be in Shares and not, in whole or in part, in the form of cash.</w:t>
            </w:r>
          </w:p>
        </w:tc>
      </w:tr>
      <w:tr>
        <w:trPr>
          <w:trHeight w:val="324"/>
        </w:trPr>
        <w:tc>
          <w:tcPr>
            <w:tcW w:w="1860" w:type="dxa"/>
            <w:vAlign w:val="bottom"/>
          </w:tcPr>
          <w:p>
            <w:pPr>
              <w:spacing w:after="0"/>
              <w:rPr>
                <w:sz w:val="24"/>
                <w:szCs w:val="24"/>
                <w:color w:val="auto"/>
              </w:rPr>
            </w:pPr>
          </w:p>
        </w:tc>
        <w:tc>
          <w:tcPr>
            <w:tcW w:w="9160" w:type="dxa"/>
            <w:vAlign w:val="bottom"/>
            <w:gridSpan w:val="5"/>
          </w:tcPr>
          <w:p>
            <w:pPr>
              <w:ind w:left="560"/>
              <w:spacing w:after="0"/>
              <w:rPr>
                <w:sz w:val="20"/>
                <w:szCs w:val="20"/>
                <w:color w:val="auto"/>
              </w:rPr>
            </w:pPr>
            <w:r>
              <w:rPr>
                <w:rFonts w:ascii="Arial" w:cs="Arial" w:eastAsia="Arial" w:hAnsi="Arial"/>
                <w:sz w:val="18"/>
                <w:szCs w:val="18"/>
                <w:color w:val="auto"/>
              </w:rPr>
              <w:t>The following supplements Section 5 of the Agreement:</w:t>
            </w:r>
          </w:p>
        </w:tc>
      </w:tr>
      <w:tr>
        <w:trPr>
          <w:trHeight w:val="306"/>
        </w:trPr>
        <w:tc>
          <w:tcPr>
            <w:tcW w:w="1860" w:type="dxa"/>
            <w:vAlign w:val="bottom"/>
          </w:tcPr>
          <w:p>
            <w:pPr>
              <w:spacing w:after="0"/>
              <w:rPr>
                <w:sz w:val="24"/>
                <w:szCs w:val="24"/>
                <w:color w:val="auto"/>
              </w:rPr>
            </w:pPr>
          </w:p>
        </w:tc>
        <w:tc>
          <w:tcPr>
            <w:tcW w:w="9160" w:type="dxa"/>
            <w:vAlign w:val="bottom"/>
            <w:gridSpan w:val="5"/>
          </w:tcPr>
          <w:p>
            <w:pPr>
              <w:ind w:left="560"/>
              <w:spacing w:after="0"/>
              <w:rPr>
                <w:sz w:val="20"/>
                <w:szCs w:val="20"/>
                <w:color w:val="auto"/>
              </w:rPr>
            </w:pPr>
            <w:r>
              <w:rPr>
                <w:rFonts w:ascii="Arial" w:cs="Arial" w:eastAsia="Arial" w:hAnsi="Arial"/>
                <w:sz w:val="18"/>
                <w:szCs w:val="18"/>
                <w:b w:val="1"/>
                <w:bCs w:val="1"/>
                <w:color w:val="auto"/>
                <w:w w:val="92"/>
              </w:rPr>
              <w:t>Withholding of Tax</w:t>
            </w:r>
            <w:r>
              <w:rPr>
                <w:rFonts w:ascii="Arial" w:cs="Arial" w:eastAsia="Arial" w:hAnsi="Arial"/>
                <w:sz w:val="18"/>
                <w:szCs w:val="18"/>
                <w:color w:val="auto"/>
                <w:w w:val="92"/>
              </w:rPr>
              <w:t>. If payment or withholding of the Tax-Related Items is not made within 90 days of the end of the</w:t>
            </w:r>
          </w:p>
        </w:tc>
      </w:tr>
      <w:tr>
        <w:trPr>
          <w:trHeight w:val="194"/>
        </w:trPr>
        <w:tc>
          <w:tcPr>
            <w:tcW w:w="1860" w:type="dxa"/>
            <w:vAlign w:val="bottom"/>
          </w:tcPr>
          <w:p>
            <w:pPr>
              <w:spacing w:after="0"/>
              <w:rPr>
                <w:sz w:val="16"/>
                <w:szCs w:val="16"/>
                <w:color w:val="auto"/>
              </w:rPr>
            </w:pPr>
          </w:p>
        </w:tc>
        <w:tc>
          <w:tcPr>
            <w:tcW w:w="9160" w:type="dxa"/>
            <w:vAlign w:val="bottom"/>
            <w:gridSpan w:val="5"/>
          </w:tcPr>
          <w:p>
            <w:pPr>
              <w:ind w:left="560"/>
              <w:spacing w:after="0" w:line="194" w:lineRule="exact"/>
              <w:rPr>
                <w:sz w:val="20"/>
                <w:szCs w:val="20"/>
                <w:color w:val="auto"/>
              </w:rPr>
            </w:pPr>
            <w:r>
              <w:rPr>
                <w:rFonts w:ascii="Arial" w:cs="Arial" w:eastAsia="Arial" w:hAnsi="Arial"/>
                <w:sz w:val="18"/>
                <w:szCs w:val="18"/>
                <w:color w:val="auto"/>
                <w:w w:val="96"/>
              </w:rPr>
              <w:t>UK tax year in which the event giving rise to the Tax-Related Items occurs (the “</w:t>
            </w:r>
            <w:r>
              <w:rPr>
                <w:rFonts w:ascii="Arial" w:cs="Arial" w:eastAsia="Arial" w:hAnsi="Arial"/>
                <w:sz w:val="18"/>
                <w:szCs w:val="18"/>
                <w:b w:val="1"/>
                <w:bCs w:val="1"/>
                <w:color w:val="auto"/>
                <w:w w:val="96"/>
              </w:rPr>
              <w:t>Due Date</w:t>
            </w:r>
            <w:r>
              <w:rPr>
                <w:rFonts w:ascii="Arial" w:cs="Arial" w:eastAsia="Arial" w:hAnsi="Arial"/>
                <w:sz w:val="18"/>
                <w:szCs w:val="18"/>
                <w:color w:val="auto"/>
                <w:w w:val="96"/>
              </w:rPr>
              <w:t>”) or such other period</w:t>
            </w:r>
          </w:p>
        </w:tc>
      </w:tr>
      <w:tr>
        <w:trPr>
          <w:trHeight w:val="20"/>
        </w:trPr>
        <w:tc>
          <w:tcPr>
            <w:tcW w:w="1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22"/>
        </w:trPr>
        <w:tc>
          <w:tcPr>
            <w:tcW w:w="1860" w:type="dxa"/>
            <w:vAlign w:val="bottom"/>
          </w:tcPr>
          <w:p>
            <w:pPr>
              <w:spacing w:after="0"/>
              <w:rPr>
                <w:sz w:val="19"/>
                <w:szCs w:val="19"/>
                <w:color w:val="auto"/>
              </w:rPr>
            </w:pPr>
          </w:p>
        </w:tc>
        <w:tc>
          <w:tcPr>
            <w:tcW w:w="9160" w:type="dxa"/>
            <w:vAlign w:val="bottom"/>
            <w:gridSpan w:val="5"/>
          </w:tcPr>
          <w:p>
            <w:pPr>
              <w:ind w:left="560"/>
              <w:spacing w:after="0"/>
              <w:rPr>
                <w:sz w:val="20"/>
                <w:szCs w:val="20"/>
                <w:color w:val="auto"/>
              </w:rPr>
            </w:pPr>
            <w:r>
              <w:rPr>
                <w:rFonts w:ascii="Arial" w:cs="Arial" w:eastAsia="Arial" w:hAnsi="Arial"/>
                <w:sz w:val="18"/>
                <w:szCs w:val="18"/>
                <w:color w:val="auto"/>
              </w:rPr>
              <w:t>specified in Section 222(1)(c) of the U.K. Income Tax (Earnings and Pensions) Act 2003, the amount of any</w:t>
            </w:r>
          </w:p>
        </w:tc>
      </w:tr>
      <w:tr>
        <w:trPr>
          <w:trHeight w:val="216"/>
        </w:trPr>
        <w:tc>
          <w:tcPr>
            <w:tcW w:w="1860" w:type="dxa"/>
            <w:vAlign w:val="bottom"/>
          </w:tcPr>
          <w:p>
            <w:pPr>
              <w:spacing w:after="0"/>
              <w:rPr>
                <w:sz w:val="18"/>
                <w:szCs w:val="18"/>
                <w:color w:val="auto"/>
              </w:rPr>
            </w:pPr>
          </w:p>
        </w:tc>
        <w:tc>
          <w:tcPr>
            <w:tcW w:w="9160" w:type="dxa"/>
            <w:vAlign w:val="bottom"/>
            <w:gridSpan w:val="5"/>
          </w:tcPr>
          <w:p>
            <w:pPr>
              <w:ind w:left="560"/>
              <w:spacing w:after="0"/>
              <w:rPr>
                <w:sz w:val="20"/>
                <w:szCs w:val="20"/>
                <w:color w:val="auto"/>
              </w:rPr>
            </w:pPr>
            <w:r>
              <w:rPr>
                <w:rFonts w:ascii="Arial" w:cs="Arial" w:eastAsia="Arial" w:hAnsi="Arial"/>
                <w:sz w:val="18"/>
                <w:szCs w:val="18"/>
                <w:color w:val="auto"/>
                <w:w w:val="93"/>
              </w:rPr>
              <w:t>uncollected Tax-Related Items will constitute a loan owed by Participant to the Employer, effective on the Due Date.</w:t>
            </w:r>
          </w:p>
        </w:tc>
      </w:tr>
      <w:tr>
        <w:trPr>
          <w:trHeight w:val="212"/>
        </w:trPr>
        <w:tc>
          <w:tcPr>
            <w:tcW w:w="1860" w:type="dxa"/>
            <w:vAlign w:val="bottom"/>
          </w:tcPr>
          <w:p>
            <w:pPr>
              <w:spacing w:after="0"/>
              <w:rPr>
                <w:sz w:val="18"/>
                <w:szCs w:val="18"/>
                <w:color w:val="auto"/>
              </w:rPr>
            </w:pPr>
          </w:p>
        </w:tc>
        <w:tc>
          <w:tcPr>
            <w:tcW w:w="9160" w:type="dxa"/>
            <w:vAlign w:val="bottom"/>
            <w:gridSpan w:val="5"/>
          </w:tcPr>
          <w:p>
            <w:pPr>
              <w:ind w:left="560"/>
              <w:spacing w:after="0"/>
              <w:rPr>
                <w:sz w:val="20"/>
                <w:szCs w:val="20"/>
                <w:color w:val="auto"/>
              </w:rPr>
            </w:pPr>
            <w:r>
              <w:rPr>
                <w:rFonts w:ascii="Arial" w:cs="Arial" w:eastAsia="Arial" w:hAnsi="Arial"/>
                <w:sz w:val="18"/>
                <w:szCs w:val="18"/>
                <w:color w:val="auto"/>
                <w:w w:val="96"/>
              </w:rPr>
              <w:t>Participant agrees that the loan will bear interest at the then-current Official Rate of Her Majesty’s Revenue and</w:t>
            </w:r>
          </w:p>
        </w:tc>
      </w:tr>
      <w:tr>
        <w:trPr>
          <w:trHeight w:val="194"/>
        </w:trPr>
        <w:tc>
          <w:tcPr>
            <w:tcW w:w="1860" w:type="dxa"/>
            <w:vAlign w:val="bottom"/>
          </w:tcPr>
          <w:p>
            <w:pPr>
              <w:spacing w:after="0"/>
              <w:rPr>
                <w:sz w:val="16"/>
                <w:szCs w:val="16"/>
                <w:color w:val="auto"/>
              </w:rPr>
            </w:pPr>
          </w:p>
        </w:tc>
        <w:tc>
          <w:tcPr>
            <w:tcW w:w="9160" w:type="dxa"/>
            <w:vAlign w:val="bottom"/>
            <w:gridSpan w:val="5"/>
          </w:tcPr>
          <w:p>
            <w:pPr>
              <w:ind w:left="560"/>
              <w:spacing w:after="0" w:line="194" w:lineRule="exact"/>
              <w:rPr>
                <w:sz w:val="20"/>
                <w:szCs w:val="20"/>
                <w:color w:val="auto"/>
              </w:rPr>
            </w:pPr>
            <w:r>
              <w:rPr>
                <w:rFonts w:ascii="Arial" w:cs="Arial" w:eastAsia="Arial" w:hAnsi="Arial"/>
                <w:sz w:val="18"/>
                <w:szCs w:val="18"/>
                <w:color w:val="auto"/>
                <w:w w:val="92"/>
              </w:rPr>
              <w:t>Customs (“</w:t>
            </w:r>
            <w:r>
              <w:rPr>
                <w:rFonts w:ascii="Arial" w:cs="Arial" w:eastAsia="Arial" w:hAnsi="Arial"/>
                <w:sz w:val="18"/>
                <w:szCs w:val="18"/>
                <w:b w:val="1"/>
                <w:bCs w:val="1"/>
                <w:color w:val="auto"/>
                <w:w w:val="92"/>
              </w:rPr>
              <w:t>HMRC</w:t>
            </w:r>
            <w:r>
              <w:rPr>
                <w:rFonts w:ascii="Arial" w:cs="Arial" w:eastAsia="Arial" w:hAnsi="Arial"/>
                <w:sz w:val="18"/>
                <w:szCs w:val="18"/>
                <w:color w:val="auto"/>
                <w:w w:val="92"/>
              </w:rPr>
              <w:t>”), the loan will be immediately due and repayable, and the Company or the Employer may recover</w:t>
            </w:r>
          </w:p>
        </w:tc>
      </w:tr>
      <w:tr>
        <w:trPr>
          <w:trHeight w:val="20"/>
        </w:trPr>
        <w:tc>
          <w:tcPr>
            <w:tcW w:w="1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200" w:type="dxa"/>
            <w:vAlign w:val="bottom"/>
            <w:gridSpan w:val="3"/>
          </w:tcPr>
          <w:p>
            <w:pPr>
              <w:spacing w:after="0" w:line="20" w:lineRule="exact"/>
              <w:rPr>
                <w:sz w:val="1"/>
                <w:szCs w:val="1"/>
                <w:color w:val="auto"/>
              </w:rPr>
            </w:pPr>
          </w:p>
        </w:tc>
      </w:tr>
      <w:tr>
        <w:trPr>
          <w:trHeight w:val="237"/>
        </w:trPr>
        <w:tc>
          <w:tcPr>
            <w:tcW w:w="1860" w:type="dxa"/>
            <w:vAlign w:val="bottom"/>
          </w:tcPr>
          <w:p>
            <w:pPr>
              <w:spacing w:after="0"/>
              <w:rPr>
                <w:sz w:val="20"/>
                <w:szCs w:val="20"/>
                <w:color w:val="auto"/>
              </w:rPr>
            </w:pPr>
          </w:p>
        </w:tc>
        <w:tc>
          <w:tcPr>
            <w:tcW w:w="9160" w:type="dxa"/>
            <w:vAlign w:val="bottom"/>
            <w:gridSpan w:val="5"/>
          </w:tcPr>
          <w:p>
            <w:pPr>
              <w:ind w:left="560"/>
              <w:spacing w:after="0"/>
              <w:rPr>
                <w:sz w:val="20"/>
                <w:szCs w:val="20"/>
                <w:color w:val="auto"/>
              </w:rPr>
            </w:pPr>
            <w:r>
              <w:rPr>
                <w:rFonts w:ascii="Arial" w:cs="Arial" w:eastAsia="Arial" w:hAnsi="Arial"/>
                <w:sz w:val="18"/>
                <w:szCs w:val="18"/>
                <w:color w:val="auto"/>
              </w:rPr>
              <w:t>the loan at any time thereafter by any of the means referred to</w:t>
            </w:r>
          </w:p>
        </w:tc>
      </w:tr>
      <w:tr>
        <w:trPr>
          <w:trHeight w:val="364"/>
        </w:trPr>
        <w:tc>
          <w:tcPr>
            <w:tcW w:w="1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0" w:type="dxa"/>
            <w:vAlign w:val="bottom"/>
            <w:gridSpan w:val="3"/>
          </w:tcPr>
          <w:p>
            <w:pPr>
              <w:ind w:left="128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w:t>
            </w:r>
            <w:r>
              <w:rPr>
                <w:rFonts w:ascii="Arial" w:cs="Arial" w:eastAsia="Arial" w:hAnsi="Arial"/>
                <w:sz w:val="18"/>
                <w:szCs w:val="18"/>
                <w:color w:val="auto"/>
              </w:rPr>
              <w:t xml:space="preserve"> of </w:t>
            </w:r>
            <w:r>
              <w:rPr>
                <w:rFonts w:ascii="Arial" w:cs="Arial" w:eastAsia="Arial" w:hAnsi="Arial"/>
                <w:sz w:val="18"/>
                <w:szCs w:val="18"/>
                <w:b w:val="1"/>
                <w:bCs w:val="1"/>
                <w:color w:val="auto"/>
              </w:rPr>
              <w:t>6</w:t>
            </w:r>
          </w:p>
        </w:tc>
      </w:tr>
    </w:tbl>
    <w:p>
      <w:pPr>
        <w:sectPr>
          <w:pgSz w:w="11900" w:h="16838" w:orient="portrait"/>
          <w:cols w:equalWidth="0" w:num="1">
            <w:col w:w="11020"/>
          </w:cols>
          <w:pgMar w:left="440" w:top="274" w:right="439" w:bottom="1440" w:gutter="0" w:footer="0" w:header="0"/>
        </w:sectPr>
      </w:pPr>
    </w:p>
    <w:bookmarkStart w:id="384" w:name="page385"/>
    <w:bookmarkEnd w:id="38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ADOPTED November 20, 2019</w:t>
      </w:r>
    </w:p>
    <w:p>
      <w:pPr>
        <w:spacing w:after="0" w:line="158" w:lineRule="exact"/>
        <w:rPr>
          <w:sz w:val="20"/>
          <w:szCs w:val="20"/>
          <w:color w:val="auto"/>
        </w:rPr>
      </w:pPr>
    </w:p>
    <w:p>
      <w:pPr>
        <w:ind w:left="2420" w:right="20"/>
        <w:spacing w:after="0" w:line="272" w:lineRule="auto"/>
        <w:rPr>
          <w:sz w:val="20"/>
          <w:szCs w:val="20"/>
          <w:color w:val="auto"/>
        </w:rPr>
      </w:pPr>
      <w:r>
        <w:rPr>
          <w:rFonts w:ascii="Arial" w:cs="Arial" w:eastAsia="Arial" w:hAnsi="Arial"/>
          <w:sz w:val="17"/>
          <w:szCs w:val="17"/>
          <w:color w:val="auto"/>
        </w:rPr>
        <w:t>in Section 5 of the Agreement. Notwithstanding the foregoing, if Participant is a director or executive officer of the Company (within the meaning of Section 13(k) of the U.S. Securities and Exchange Act of 1934, as amended), Participant will not be eligible for such a loan to cover the Tax-Related Items. In the event that Participant is a director or executive officer and the Tax-Related Items are not collected from or paid by Participant by the Due Date, the amount of any uncollected Tax-Related Items will constitute a benefit to Participant on which additional income tax and national insurance contributions will be payable. Participant will be responsible for reporting and paying any income tax due on this additional benefit directly to HMRC under the self-assessment regime.</w:t>
      </w:r>
    </w:p>
    <w:p>
      <w:pPr>
        <w:spacing w:after="0" w:line="65"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HMRC National Insurance Contributions</w:t>
      </w:r>
      <w:r>
        <w:rPr>
          <w:rFonts w:ascii="Arial" w:cs="Arial" w:eastAsia="Arial" w:hAnsi="Arial"/>
          <w:sz w:val="18"/>
          <w:szCs w:val="18"/>
          <w:color w:val="auto"/>
        </w:rPr>
        <w:t>. Participant agrees that:</w:t>
      </w:r>
    </w:p>
    <w:p>
      <w:pPr>
        <w:spacing w:after="0" w:line="121" w:lineRule="exact"/>
        <w:rPr>
          <w:sz w:val="20"/>
          <w:szCs w:val="20"/>
          <w:color w:val="auto"/>
        </w:rPr>
      </w:pPr>
    </w:p>
    <w:p>
      <w:pPr>
        <w:ind w:left="3140" w:right="560" w:hanging="354"/>
        <w:spacing w:after="0" w:line="277" w:lineRule="auto"/>
        <w:tabs>
          <w:tab w:leader="none" w:pos="3133" w:val="left"/>
        </w:tabs>
        <w:numPr>
          <w:ilvl w:val="0"/>
          <w:numId w:val="369"/>
        </w:numPr>
        <w:rPr>
          <w:rFonts w:ascii="Arial" w:cs="Arial" w:eastAsia="Arial" w:hAnsi="Arial"/>
          <w:sz w:val="18"/>
          <w:szCs w:val="18"/>
          <w:color w:val="auto"/>
        </w:rPr>
      </w:pPr>
      <w:r>
        <w:rPr>
          <w:rFonts w:ascii="Arial" w:cs="Arial" w:eastAsia="Arial" w:hAnsi="Arial"/>
          <w:sz w:val="18"/>
          <w:szCs w:val="18"/>
          <w:color w:val="auto"/>
        </w:rPr>
        <w:t>Tax-Related Items within Section 5 of the Agreement shall include any secondary class 1 (employer) National Insurance Contributions that:</w:t>
      </w:r>
    </w:p>
    <w:p>
      <w:pPr>
        <w:spacing w:after="0" w:line="62" w:lineRule="exact"/>
        <w:rPr>
          <w:rFonts w:ascii="Arial" w:cs="Arial" w:eastAsia="Arial" w:hAnsi="Arial"/>
          <w:sz w:val="18"/>
          <w:szCs w:val="18"/>
          <w:color w:val="auto"/>
        </w:rPr>
      </w:pPr>
    </w:p>
    <w:p>
      <w:pPr>
        <w:ind w:left="3500" w:right="100" w:hanging="354"/>
        <w:spacing w:after="0" w:line="277" w:lineRule="auto"/>
        <w:tabs>
          <w:tab w:leader="none" w:pos="3487" w:val="left"/>
        </w:tabs>
        <w:numPr>
          <w:ilvl w:val="1"/>
          <w:numId w:val="369"/>
        </w:numPr>
        <w:rPr>
          <w:rFonts w:ascii="Arial" w:cs="Arial" w:eastAsia="Arial" w:hAnsi="Arial"/>
          <w:sz w:val="18"/>
          <w:szCs w:val="18"/>
          <w:color w:val="auto"/>
        </w:rPr>
      </w:pPr>
      <w:r>
        <w:rPr>
          <w:rFonts w:ascii="Arial" w:cs="Arial" w:eastAsia="Arial" w:hAnsi="Arial"/>
          <w:sz w:val="18"/>
          <w:szCs w:val="18"/>
          <w:color w:val="auto"/>
        </w:rPr>
        <w:t>any Employer (or former employer) of Participant is liable to pay (or reasonably believes it is liable to pay), and</w:t>
      </w:r>
    </w:p>
    <w:p>
      <w:pPr>
        <w:spacing w:after="0" w:line="75" w:lineRule="exact"/>
        <w:rPr>
          <w:rFonts w:ascii="Arial" w:cs="Arial" w:eastAsia="Arial" w:hAnsi="Arial"/>
          <w:sz w:val="18"/>
          <w:szCs w:val="18"/>
          <w:color w:val="auto"/>
        </w:rPr>
      </w:pPr>
    </w:p>
    <w:p>
      <w:pPr>
        <w:ind w:left="3480" w:hanging="334"/>
        <w:spacing w:after="0"/>
        <w:tabs>
          <w:tab w:leader="none" w:pos="3480" w:val="left"/>
        </w:tabs>
        <w:numPr>
          <w:ilvl w:val="1"/>
          <w:numId w:val="369"/>
        </w:numPr>
        <w:rPr>
          <w:rFonts w:ascii="Arial" w:cs="Arial" w:eastAsia="Arial" w:hAnsi="Arial"/>
          <w:sz w:val="18"/>
          <w:szCs w:val="18"/>
          <w:color w:val="auto"/>
        </w:rPr>
      </w:pPr>
      <w:r>
        <w:rPr>
          <w:rFonts w:ascii="Arial" w:cs="Arial" w:eastAsia="Arial" w:hAnsi="Arial"/>
          <w:sz w:val="18"/>
          <w:szCs w:val="18"/>
          <w:color w:val="auto"/>
        </w:rPr>
        <w:t>may be lawfully recovered from Participant; and</w:t>
      </w:r>
    </w:p>
    <w:p>
      <w:pPr>
        <w:spacing w:after="0" w:line="130" w:lineRule="exact"/>
        <w:rPr>
          <w:rFonts w:ascii="Arial" w:cs="Arial" w:eastAsia="Arial" w:hAnsi="Arial"/>
          <w:sz w:val="18"/>
          <w:szCs w:val="18"/>
          <w:color w:val="auto"/>
        </w:rPr>
      </w:pPr>
    </w:p>
    <w:p>
      <w:pPr>
        <w:ind w:left="3140" w:right="180" w:hanging="354"/>
        <w:spacing w:after="0" w:line="263" w:lineRule="auto"/>
        <w:tabs>
          <w:tab w:leader="none" w:pos="3121" w:val="left"/>
        </w:tabs>
        <w:numPr>
          <w:ilvl w:val="0"/>
          <w:numId w:val="369"/>
        </w:numPr>
        <w:rPr>
          <w:rFonts w:ascii="Arial" w:cs="Arial" w:eastAsia="Arial" w:hAnsi="Arial"/>
          <w:sz w:val="18"/>
          <w:szCs w:val="18"/>
          <w:color w:val="auto"/>
        </w:rPr>
      </w:pPr>
      <w:r>
        <w:rPr>
          <w:rFonts w:ascii="Arial" w:cs="Arial" w:eastAsia="Arial" w:hAnsi="Arial"/>
          <w:sz w:val="18"/>
          <w:szCs w:val="18"/>
          <w:color w:val="auto"/>
        </w:rPr>
        <w:t>if required to do so by the Company (at any time when the relevant election can be made) Participant shall enter into arrangements required by HMRC (or any other tax authority) to secure the payment of the transferred liability.</w:t>
      </w:r>
    </w:p>
    <w:p>
      <w:pPr>
        <w:spacing w:after="0" w:line="85" w:lineRule="exact"/>
        <w:rPr>
          <w:sz w:val="20"/>
          <w:szCs w:val="20"/>
          <w:color w:val="auto"/>
        </w:rPr>
      </w:pPr>
    </w:p>
    <w:p>
      <w:pPr>
        <w:ind w:left="2420"/>
        <w:spacing w:after="0" w:line="258" w:lineRule="auto"/>
        <w:rPr>
          <w:sz w:val="20"/>
          <w:szCs w:val="20"/>
          <w:color w:val="auto"/>
        </w:rPr>
      </w:pPr>
      <w:r>
        <w:rPr>
          <w:rFonts w:ascii="Arial" w:cs="Arial" w:eastAsia="Arial" w:hAnsi="Arial"/>
          <w:sz w:val="18"/>
          <w:szCs w:val="18"/>
          <w:b w:val="1"/>
          <w:bCs w:val="1"/>
          <w:color w:val="auto"/>
        </w:rPr>
        <w:t>National Insurance Contributions Joint Election (“</w:t>
      </w:r>
      <w:r>
        <w:rPr>
          <w:rFonts w:ascii="Arial" w:cs="Arial" w:eastAsia="Arial" w:hAnsi="Arial"/>
          <w:sz w:val="18"/>
          <w:szCs w:val="18"/>
          <w:b w:val="1"/>
          <w:bCs w:val="1"/>
          <w:u w:val="single" w:color="auto"/>
          <w:color w:val="auto"/>
        </w:rPr>
        <w:t>NIC Election</w:t>
      </w:r>
      <w:r>
        <w:rPr>
          <w:rFonts w:ascii="Arial" w:cs="Arial" w:eastAsia="Arial" w:hAnsi="Arial"/>
          <w:sz w:val="18"/>
          <w:szCs w:val="18"/>
          <w:b w:val="1"/>
          <w:bCs w:val="1"/>
          <w:color w:val="auto"/>
        </w:rPr>
        <w:t>”)</w:t>
      </w:r>
      <w:r>
        <w:rPr>
          <w:rFonts w:ascii="Arial" w:cs="Arial" w:eastAsia="Arial" w:hAnsi="Arial"/>
          <w:sz w:val="18"/>
          <w:szCs w:val="18"/>
          <w:color w:val="auto"/>
        </w:rPr>
        <w:t>. In order to vest in the RSUs, Participant agrees</w:t>
      </w:r>
      <w:r>
        <w:rPr>
          <w:rFonts w:ascii="Arial" w:cs="Arial" w:eastAsia="Arial" w:hAnsi="Arial"/>
          <w:sz w:val="18"/>
          <w:szCs w:val="18"/>
          <w:b w:val="1"/>
          <w:bCs w:val="1"/>
          <w:color w:val="auto"/>
        </w:rPr>
        <w:t xml:space="preserve"> </w:t>
      </w:r>
      <w:r>
        <w:rPr>
          <w:rFonts w:ascii="Arial" w:cs="Arial" w:eastAsia="Arial" w:hAnsi="Arial"/>
          <w:sz w:val="18"/>
          <w:szCs w:val="18"/>
          <w:color w:val="auto"/>
        </w:rPr>
        <w:t>to enter into a joint election with the Company and/or any Subsidiary in accordance with Paragraph 3B(1) of Schedule 1 of the Social Security Contributions and Benefits Act 1992 (the “</w:t>
      </w:r>
      <w:r>
        <w:rPr>
          <w:rFonts w:ascii="Arial" w:cs="Arial" w:eastAsia="Arial" w:hAnsi="Arial"/>
          <w:sz w:val="18"/>
          <w:szCs w:val="18"/>
          <w:b w:val="1"/>
          <w:bCs w:val="1"/>
          <w:u w:val="single" w:color="auto"/>
          <w:color w:val="auto"/>
        </w:rPr>
        <w:t>SSCBA</w:t>
      </w:r>
      <w:r>
        <w:rPr>
          <w:rFonts w:ascii="Arial" w:cs="Arial" w:eastAsia="Arial" w:hAnsi="Arial"/>
          <w:sz w:val="18"/>
          <w:szCs w:val="18"/>
          <w:color w:val="auto"/>
        </w:rPr>
        <w:t>”) by accepting this Agreement so as to be bound by the terms below for the whole of any liability for Employer National Insurance Contributions to be transferred to Participant.</w:t>
      </w:r>
    </w:p>
    <w:p>
      <w:pPr>
        <w:spacing w:after="0" w:line="75"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For purposes of this Agreement, “</w:t>
      </w:r>
      <w:r>
        <w:rPr>
          <w:rFonts w:ascii="Arial" w:cs="Arial" w:eastAsia="Arial" w:hAnsi="Arial"/>
          <w:sz w:val="18"/>
          <w:szCs w:val="18"/>
          <w:b w:val="1"/>
          <w:bCs w:val="1"/>
          <w:u w:val="single" w:color="auto"/>
          <w:color w:val="auto"/>
        </w:rPr>
        <w:t>Relevant Employment Income</w:t>
      </w:r>
      <w:r>
        <w:rPr>
          <w:rFonts w:ascii="Arial" w:cs="Arial" w:eastAsia="Arial" w:hAnsi="Arial"/>
          <w:sz w:val="18"/>
          <w:szCs w:val="18"/>
          <w:color w:val="auto"/>
        </w:rPr>
        <w:t>” means:</w:t>
      </w:r>
    </w:p>
    <w:p>
      <w:pPr>
        <w:spacing w:after="0" w:line="121" w:lineRule="exact"/>
        <w:rPr>
          <w:sz w:val="20"/>
          <w:szCs w:val="20"/>
          <w:color w:val="auto"/>
        </w:rPr>
      </w:pPr>
    </w:p>
    <w:p>
      <w:pPr>
        <w:ind w:left="2780" w:right="180" w:hanging="354"/>
        <w:spacing w:after="0" w:line="308" w:lineRule="auto"/>
        <w:tabs>
          <w:tab w:leader="none" w:pos="2770" w:val="left"/>
        </w:tabs>
        <w:numPr>
          <w:ilvl w:val="0"/>
          <w:numId w:val="370"/>
        </w:numPr>
        <w:rPr>
          <w:rFonts w:ascii="Arial" w:cs="Arial" w:eastAsia="Arial" w:hAnsi="Arial"/>
          <w:sz w:val="17"/>
          <w:szCs w:val="17"/>
          <w:color w:val="auto"/>
        </w:rPr>
      </w:pPr>
      <w:r>
        <w:rPr>
          <w:rFonts w:ascii="Arial" w:cs="Arial" w:eastAsia="Arial" w:hAnsi="Arial"/>
          <w:sz w:val="17"/>
          <w:szCs w:val="17"/>
          <w:color w:val="auto"/>
        </w:rPr>
        <w:t>an amount that counts as employment income of the Participant under section 426 of the Income Tax (Earnings and Pensions) Act 2003 (restricted securities: charge on certain post-acquisition events);</w:t>
      </w:r>
    </w:p>
    <w:p>
      <w:pPr>
        <w:spacing w:after="0" w:line="38" w:lineRule="exact"/>
        <w:rPr>
          <w:rFonts w:ascii="Arial" w:cs="Arial" w:eastAsia="Arial" w:hAnsi="Arial"/>
          <w:sz w:val="17"/>
          <w:szCs w:val="17"/>
          <w:color w:val="auto"/>
        </w:rPr>
      </w:pPr>
    </w:p>
    <w:p>
      <w:pPr>
        <w:ind w:left="2780" w:right="180" w:hanging="354"/>
        <w:spacing w:after="0" w:line="308" w:lineRule="auto"/>
        <w:tabs>
          <w:tab w:leader="none" w:pos="2766" w:val="left"/>
        </w:tabs>
        <w:numPr>
          <w:ilvl w:val="0"/>
          <w:numId w:val="370"/>
        </w:numPr>
        <w:rPr>
          <w:rFonts w:ascii="Arial" w:cs="Arial" w:eastAsia="Arial" w:hAnsi="Arial"/>
          <w:sz w:val="17"/>
          <w:szCs w:val="17"/>
          <w:color w:val="auto"/>
        </w:rPr>
      </w:pPr>
      <w:r>
        <w:rPr>
          <w:rFonts w:ascii="Arial" w:cs="Arial" w:eastAsia="Arial" w:hAnsi="Arial"/>
          <w:sz w:val="17"/>
          <w:szCs w:val="17"/>
          <w:color w:val="auto"/>
        </w:rPr>
        <w:t>an amount that counts as employment income of the Participant under section 438 of the Income Tax (Earnings and Pensions) Act 2003 (convertible securities: charge on certain post-acquisition events); or</w:t>
      </w:r>
    </w:p>
    <w:p>
      <w:pPr>
        <w:spacing w:after="0" w:line="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4</w:t>
      </w:r>
      <w:r>
        <w:rPr>
          <w:rFonts w:ascii="Arial" w:cs="Arial" w:eastAsia="Arial" w:hAnsi="Arial"/>
          <w:sz w:val="18"/>
          <w:szCs w:val="18"/>
          <w:color w:val="auto"/>
        </w:rPr>
        <w:t xml:space="preserve"> of </w:t>
      </w:r>
      <w:r>
        <w:rPr>
          <w:rFonts w:ascii="Arial" w:cs="Arial" w:eastAsia="Arial" w:hAnsi="Arial"/>
          <w:sz w:val="18"/>
          <w:szCs w:val="18"/>
          <w:b w:val="1"/>
          <w:bCs w:val="1"/>
          <w:color w:val="auto"/>
        </w:rPr>
        <w:t>6</w:t>
      </w:r>
    </w:p>
    <w:p>
      <w:pPr>
        <w:sectPr>
          <w:pgSz w:w="11900" w:h="16838" w:orient="portrait"/>
          <w:cols w:equalWidth="0" w:num="1">
            <w:col w:w="10960"/>
          </w:cols>
          <w:pgMar w:left="440" w:top="274" w:right="499" w:bottom="1440" w:gutter="0" w:footer="0" w:header="0"/>
        </w:sectPr>
      </w:pPr>
    </w:p>
    <w:bookmarkStart w:id="385" w:name="page386"/>
    <w:bookmarkEnd w:id="38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ADOPTED November 20, 2019</w:t>
      </w:r>
    </w:p>
    <w:p>
      <w:pPr>
        <w:spacing w:after="0" w:line="158" w:lineRule="exact"/>
        <w:rPr>
          <w:sz w:val="20"/>
          <w:szCs w:val="20"/>
          <w:color w:val="auto"/>
        </w:rPr>
      </w:pPr>
    </w:p>
    <w:p>
      <w:pPr>
        <w:ind w:left="2760" w:hanging="334"/>
        <w:spacing w:after="0"/>
        <w:tabs>
          <w:tab w:leader="none" w:pos="2760" w:val="left"/>
        </w:tabs>
        <w:numPr>
          <w:ilvl w:val="0"/>
          <w:numId w:val="371"/>
        </w:numPr>
        <w:rPr>
          <w:rFonts w:ascii="Arial" w:cs="Arial" w:eastAsia="Arial" w:hAnsi="Arial"/>
          <w:sz w:val="17"/>
          <w:szCs w:val="17"/>
          <w:color w:val="auto"/>
        </w:rPr>
      </w:pPr>
      <w:r>
        <w:rPr>
          <w:rFonts w:ascii="Arial" w:cs="Arial" w:eastAsia="Arial" w:hAnsi="Arial"/>
          <w:sz w:val="17"/>
          <w:szCs w:val="17"/>
          <w:color w:val="auto"/>
        </w:rPr>
        <w:t>any gain that is treated as remuneration derived from the Participant’s employment by virtue of section 4(4)(a)</w:t>
      </w:r>
    </w:p>
    <w:p>
      <w:pPr>
        <w:spacing w:after="0" w:line="34" w:lineRule="exact"/>
        <w:rPr>
          <w:rFonts w:ascii="Arial" w:cs="Arial" w:eastAsia="Arial" w:hAnsi="Arial"/>
          <w:sz w:val="17"/>
          <w:szCs w:val="17"/>
          <w:color w:val="auto"/>
        </w:rPr>
      </w:pPr>
    </w:p>
    <w:p>
      <w:pPr>
        <w:ind w:left="2780"/>
        <w:spacing w:after="0"/>
        <w:rPr>
          <w:rFonts w:ascii="Arial" w:cs="Arial" w:eastAsia="Arial" w:hAnsi="Arial"/>
          <w:sz w:val="17"/>
          <w:szCs w:val="17"/>
          <w:color w:val="auto"/>
        </w:rPr>
      </w:pPr>
      <w:r>
        <w:rPr>
          <w:rFonts w:ascii="Arial" w:cs="Arial" w:eastAsia="Arial" w:hAnsi="Arial"/>
          <w:sz w:val="18"/>
          <w:szCs w:val="18"/>
          <w:color w:val="auto"/>
        </w:rPr>
        <w:t>SSCBA,</w:t>
      </w:r>
    </w:p>
    <w:p>
      <w:pPr>
        <w:spacing w:after="0" w:line="238" w:lineRule="exact"/>
        <w:rPr>
          <w:sz w:val="20"/>
          <w:szCs w:val="20"/>
          <w:color w:val="auto"/>
        </w:rPr>
      </w:pPr>
    </w:p>
    <w:p>
      <w:pPr>
        <w:ind w:left="2420" w:right="120"/>
        <w:spacing w:after="0" w:line="277" w:lineRule="auto"/>
        <w:rPr>
          <w:sz w:val="20"/>
          <w:szCs w:val="20"/>
          <w:color w:val="auto"/>
        </w:rPr>
      </w:pPr>
      <w:r>
        <w:rPr>
          <w:rFonts w:ascii="Arial" w:cs="Arial" w:eastAsia="Arial" w:hAnsi="Arial"/>
          <w:sz w:val="18"/>
          <w:szCs w:val="18"/>
          <w:color w:val="auto"/>
        </w:rPr>
        <w:t>which is derived from or referable or is otherwise in connection with the RSUs or their vesting, assignment or release or otherwise or the Shares issued or transferred pursuant to the RSUs.</w:t>
      </w:r>
    </w:p>
    <w:p>
      <w:pPr>
        <w:spacing w:after="0" w:line="76" w:lineRule="exact"/>
        <w:rPr>
          <w:sz w:val="20"/>
          <w:szCs w:val="20"/>
          <w:color w:val="auto"/>
        </w:rPr>
      </w:pPr>
    </w:p>
    <w:p>
      <w:pPr>
        <w:ind w:left="2780" w:hanging="354"/>
        <w:spacing w:after="0" w:line="277" w:lineRule="auto"/>
        <w:tabs>
          <w:tab w:leader="none" w:pos="2754" w:val="left"/>
        </w:tabs>
        <w:numPr>
          <w:ilvl w:val="0"/>
          <w:numId w:val="372"/>
        </w:numPr>
        <w:rPr>
          <w:rFonts w:ascii="Arial" w:cs="Arial" w:eastAsia="Arial" w:hAnsi="Arial"/>
          <w:sz w:val="18"/>
          <w:szCs w:val="18"/>
          <w:color w:val="auto"/>
        </w:rPr>
      </w:pPr>
      <w:r>
        <w:rPr>
          <w:rFonts w:ascii="Arial" w:cs="Arial" w:eastAsia="Arial" w:hAnsi="Arial"/>
          <w:sz w:val="18"/>
          <w:szCs w:val="18"/>
          <w:color w:val="auto"/>
        </w:rPr>
        <w:t>The Employer may be liable to pay secondary Class 1 National Insurance Contributions in respect of any Relevant Employment Income (the “</w:t>
      </w:r>
      <w:r>
        <w:rPr>
          <w:rFonts w:ascii="Arial" w:cs="Arial" w:eastAsia="Arial" w:hAnsi="Arial"/>
          <w:sz w:val="18"/>
          <w:szCs w:val="18"/>
          <w:b w:val="1"/>
          <w:bCs w:val="1"/>
          <w:u w:val="single" w:color="auto"/>
          <w:color w:val="auto"/>
        </w:rPr>
        <w:t>Secondary Liability</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2780" w:hanging="354"/>
        <w:spacing w:after="0" w:line="277" w:lineRule="auto"/>
        <w:tabs>
          <w:tab w:leader="none" w:pos="2764" w:val="left"/>
        </w:tabs>
        <w:numPr>
          <w:ilvl w:val="0"/>
          <w:numId w:val="372"/>
        </w:numPr>
        <w:rPr>
          <w:rFonts w:ascii="Arial" w:cs="Arial" w:eastAsia="Arial" w:hAnsi="Arial"/>
          <w:sz w:val="18"/>
          <w:szCs w:val="18"/>
          <w:color w:val="auto"/>
        </w:rPr>
      </w:pPr>
      <w:r>
        <w:rPr>
          <w:rFonts w:ascii="Arial" w:cs="Arial" w:eastAsia="Arial" w:hAnsi="Arial"/>
          <w:sz w:val="18"/>
          <w:szCs w:val="18"/>
          <w:color w:val="auto"/>
        </w:rPr>
        <w:t>The Participant and the Company (on behalf of the Employer) hereby jointly elect that the whole of the Secondary Liability is hereby transferred to the Participant on the terms set out in this NIC Election.</w:t>
      </w:r>
    </w:p>
    <w:p>
      <w:pPr>
        <w:spacing w:after="0" w:line="62" w:lineRule="exact"/>
        <w:rPr>
          <w:rFonts w:ascii="Arial" w:cs="Arial" w:eastAsia="Arial" w:hAnsi="Arial"/>
          <w:sz w:val="18"/>
          <w:szCs w:val="18"/>
          <w:color w:val="auto"/>
        </w:rPr>
      </w:pPr>
    </w:p>
    <w:p>
      <w:pPr>
        <w:ind w:left="2780" w:right="80" w:hanging="354"/>
        <w:spacing w:after="0" w:line="286" w:lineRule="auto"/>
        <w:tabs>
          <w:tab w:leader="none" w:pos="2754" w:val="left"/>
        </w:tabs>
        <w:numPr>
          <w:ilvl w:val="0"/>
          <w:numId w:val="372"/>
        </w:numPr>
        <w:rPr>
          <w:rFonts w:ascii="Arial" w:cs="Arial" w:eastAsia="Arial" w:hAnsi="Arial"/>
          <w:sz w:val="17"/>
          <w:szCs w:val="17"/>
          <w:color w:val="auto"/>
        </w:rPr>
      </w:pPr>
      <w:r>
        <w:rPr>
          <w:rFonts w:ascii="Arial" w:cs="Arial" w:eastAsia="Arial" w:hAnsi="Arial"/>
          <w:sz w:val="17"/>
          <w:szCs w:val="17"/>
          <w:color w:val="auto"/>
        </w:rPr>
        <w:t>The Participant hereby authorizes the Company and the Employer to recover an amount from the Participant sufficient to cover the Secondary Liability to the extent transferred to the Participant under this Addendum. Such recovery may be made by the Company and the Employer in accordance with any of the following:</w:t>
      </w:r>
    </w:p>
    <w:p>
      <w:pPr>
        <w:spacing w:after="0" w:line="57" w:lineRule="exact"/>
        <w:rPr>
          <w:rFonts w:ascii="Arial" w:cs="Arial" w:eastAsia="Arial" w:hAnsi="Arial"/>
          <w:sz w:val="17"/>
          <w:szCs w:val="17"/>
          <w:color w:val="auto"/>
        </w:rPr>
      </w:pPr>
    </w:p>
    <w:p>
      <w:pPr>
        <w:ind w:left="3140" w:right="200" w:hanging="354"/>
        <w:spacing w:after="0" w:line="277" w:lineRule="auto"/>
        <w:tabs>
          <w:tab w:leader="none" w:pos="3130" w:val="left"/>
        </w:tabs>
        <w:numPr>
          <w:ilvl w:val="1"/>
          <w:numId w:val="372"/>
        </w:numPr>
        <w:rPr>
          <w:rFonts w:ascii="Arial" w:cs="Arial" w:eastAsia="Arial" w:hAnsi="Arial"/>
          <w:sz w:val="18"/>
          <w:szCs w:val="18"/>
          <w:color w:val="auto"/>
        </w:rPr>
      </w:pPr>
      <w:r>
        <w:rPr>
          <w:rFonts w:ascii="Arial" w:cs="Arial" w:eastAsia="Arial" w:hAnsi="Arial"/>
          <w:sz w:val="18"/>
          <w:szCs w:val="18"/>
          <w:color w:val="auto"/>
        </w:rPr>
        <w:t>deduction from any sums owing to the Participant (including in particular but not by way of any limitation any installment of salary, bonus, commission or otherwise);</w:t>
      </w:r>
    </w:p>
    <w:p>
      <w:pPr>
        <w:spacing w:after="0" w:line="62" w:lineRule="exact"/>
        <w:rPr>
          <w:rFonts w:ascii="Arial" w:cs="Arial" w:eastAsia="Arial" w:hAnsi="Arial"/>
          <w:sz w:val="18"/>
          <w:szCs w:val="18"/>
          <w:color w:val="auto"/>
        </w:rPr>
      </w:pPr>
    </w:p>
    <w:p>
      <w:pPr>
        <w:ind w:left="3140" w:hanging="354"/>
        <w:spacing w:after="0"/>
        <w:tabs>
          <w:tab w:leader="none" w:pos="3140" w:val="left"/>
        </w:tabs>
        <w:numPr>
          <w:ilvl w:val="1"/>
          <w:numId w:val="372"/>
        </w:numPr>
        <w:rPr>
          <w:rFonts w:ascii="Arial" w:cs="Arial" w:eastAsia="Arial" w:hAnsi="Arial"/>
          <w:sz w:val="18"/>
          <w:szCs w:val="18"/>
          <w:color w:val="auto"/>
        </w:rPr>
      </w:pPr>
      <w:r>
        <w:rPr>
          <w:rFonts w:ascii="Arial" w:cs="Arial" w:eastAsia="Arial" w:hAnsi="Arial"/>
          <w:sz w:val="18"/>
          <w:szCs w:val="18"/>
          <w:color w:val="auto"/>
        </w:rPr>
        <w:t>delivery by the Participant to the Company of cash, banker’s draft or cheque; or</w:t>
      </w:r>
    </w:p>
    <w:p>
      <w:pPr>
        <w:spacing w:after="0" w:line="117" w:lineRule="exact"/>
        <w:rPr>
          <w:rFonts w:ascii="Arial" w:cs="Arial" w:eastAsia="Arial" w:hAnsi="Arial"/>
          <w:sz w:val="18"/>
          <w:szCs w:val="18"/>
          <w:color w:val="auto"/>
        </w:rPr>
      </w:pPr>
    </w:p>
    <w:p>
      <w:pPr>
        <w:ind w:left="3120" w:hanging="334"/>
        <w:spacing w:after="0"/>
        <w:tabs>
          <w:tab w:leader="none" w:pos="3120" w:val="left"/>
        </w:tabs>
        <w:numPr>
          <w:ilvl w:val="1"/>
          <w:numId w:val="372"/>
        </w:numPr>
        <w:rPr>
          <w:rFonts w:ascii="Arial" w:cs="Arial" w:eastAsia="Arial" w:hAnsi="Arial"/>
          <w:sz w:val="18"/>
          <w:szCs w:val="18"/>
          <w:color w:val="auto"/>
        </w:rPr>
      </w:pPr>
      <w:r>
        <w:rPr>
          <w:rFonts w:ascii="Arial" w:cs="Arial" w:eastAsia="Arial" w:hAnsi="Arial"/>
          <w:sz w:val="18"/>
          <w:szCs w:val="18"/>
          <w:color w:val="auto"/>
        </w:rPr>
        <w:t>such other arrangements as the Company considers appropriate from time to time.</w:t>
      </w:r>
    </w:p>
    <w:p>
      <w:pPr>
        <w:spacing w:after="0" w:line="117" w:lineRule="exact"/>
        <w:rPr>
          <w:rFonts w:ascii="Arial" w:cs="Arial" w:eastAsia="Arial" w:hAnsi="Arial"/>
          <w:sz w:val="18"/>
          <w:szCs w:val="18"/>
          <w:color w:val="auto"/>
        </w:rPr>
      </w:pPr>
    </w:p>
    <w:p>
      <w:pPr>
        <w:jc w:val="both"/>
        <w:ind w:left="2780" w:right="220" w:hanging="354"/>
        <w:spacing w:after="0" w:line="263" w:lineRule="auto"/>
        <w:tabs>
          <w:tab w:leader="none" w:pos="2764" w:val="left"/>
        </w:tabs>
        <w:numPr>
          <w:ilvl w:val="0"/>
          <w:numId w:val="372"/>
        </w:numPr>
        <w:rPr>
          <w:rFonts w:ascii="Arial" w:cs="Arial" w:eastAsia="Arial" w:hAnsi="Arial"/>
          <w:sz w:val="18"/>
          <w:szCs w:val="18"/>
          <w:color w:val="auto"/>
        </w:rPr>
      </w:pPr>
      <w:r>
        <w:rPr>
          <w:rFonts w:ascii="Arial" w:cs="Arial" w:eastAsia="Arial" w:hAnsi="Arial"/>
          <w:sz w:val="18"/>
          <w:szCs w:val="18"/>
          <w:color w:val="auto"/>
        </w:rPr>
        <w:t>The Company agrees to pay, or procure the payment of, the Secondary Liability to HMRC within 14 days after the end of the tax month during which the vest, assignment or release (as the case may be) of the RSUs (or part thereof) occurred.</w:t>
      </w:r>
    </w:p>
    <w:p>
      <w:pPr>
        <w:spacing w:after="0" w:line="75" w:lineRule="exact"/>
        <w:rPr>
          <w:rFonts w:ascii="Arial" w:cs="Arial" w:eastAsia="Arial" w:hAnsi="Arial"/>
          <w:sz w:val="18"/>
          <w:szCs w:val="18"/>
          <w:color w:val="auto"/>
        </w:rPr>
      </w:pPr>
    </w:p>
    <w:p>
      <w:pPr>
        <w:ind w:left="2780" w:right="180" w:hanging="354"/>
        <w:spacing w:after="0" w:line="277" w:lineRule="auto"/>
        <w:tabs>
          <w:tab w:leader="none" w:pos="2757" w:val="left"/>
        </w:tabs>
        <w:numPr>
          <w:ilvl w:val="0"/>
          <w:numId w:val="372"/>
        </w:numPr>
        <w:rPr>
          <w:rFonts w:ascii="Arial" w:cs="Arial" w:eastAsia="Arial" w:hAnsi="Arial"/>
          <w:sz w:val="18"/>
          <w:szCs w:val="18"/>
          <w:color w:val="auto"/>
        </w:rPr>
      </w:pPr>
      <w:r>
        <w:rPr>
          <w:rFonts w:ascii="Arial" w:cs="Arial" w:eastAsia="Arial" w:hAnsi="Arial"/>
          <w:sz w:val="18"/>
          <w:szCs w:val="18"/>
          <w:color w:val="auto"/>
        </w:rPr>
        <w:t>HM Revenue &amp; Customs has approved the form of this NIC Election and the arrangements for securing that the liability transferred by this NIC Election will be met.</w:t>
      </w:r>
    </w:p>
    <w:p>
      <w:pPr>
        <w:spacing w:after="0" w:line="62" w:lineRule="exact"/>
        <w:rPr>
          <w:rFonts w:ascii="Arial" w:cs="Arial" w:eastAsia="Arial" w:hAnsi="Arial"/>
          <w:sz w:val="18"/>
          <w:szCs w:val="18"/>
          <w:color w:val="auto"/>
        </w:rPr>
      </w:pPr>
    </w:p>
    <w:p>
      <w:pPr>
        <w:ind w:left="2760" w:hanging="334"/>
        <w:spacing w:after="0"/>
        <w:tabs>
          <w:tab w:leader="none" w:pos="276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This NIC Election shall continue in effect until the earlier of:</w:t>
      </w:r>
    </w:p>
    <w:p>
      <w:pPr>
        <w:spacing w:after="0" w:line="117" w:lineRule="exact"/>
        <w:rPr>
          <w:rFonts w:ascii="Arial" w:cs="Arial" w:eastAsia="Arial" w:hAnsi="Arial"/>
          <w:sz w:val="18"/>
          <w:szCs w:val="18"/>
          <w:color w:val="auto"/>
        </w:rPr>
      </w:pPr>
    </w:p>
    <w:p>
      <w:pPr>
        <w:ind w:left="3140" w:hanging="354"/>
        <w:spacing w:after="0"/>
        <w:tabs>
          <w:tab w:leader="none" w:pos="3140" w:val="left"/>
        </w:tabs>
        <w:numPr>
          <w:ilvl w:val="1"/>
          <w:numId w:val="372"/>
        </w:numPr>
        <w:rPr>
          <w:rFonts w:ascii="Arial" w:cs="Arial" w:eastAsia="Arial" w:hAnsi="Arial"/>
          <w:sz w:val="18"/>
          <w:szCs w:val="18"/>
          <w:color w:val="auto"/>
        </w:rPr>
      </w:pPr>
      <w:r>
        <w:rPr>
          <w:rFonts w:ascii="Arial" w:cs="Arial" w:eastAsia="Arial" w:hAnsi="Arial"/>
          <w:sz w:val="18"/>
          <w:szCs w:val="18"/>
          <w:color w:val="auto"/>
        </w:rPr>
        <w:t>the fulfillment of all of the obligations contained in this Addendum;</w:t>
      </w:r>
    </w:p>
    <w:p>
      <w:pPr>
        <w:spacing w:after="0" w:line="117" w:lineRule="exact"/>
        <w:rPr>
          <w:rFonts w:ascii="Arial" w:cs="Arial" w:eastAsia="Arial" w:hAnsi="Arial"/>
          <w:sz w:val="18"/>
          <w:szCs w:val="18"/>
          <w:color w:val="auto"/>
        </w:rPr>
      </w:pPr>
    </w:p>
    <w:p>
      <w:pPr>
        <w:ind w:left="3140" w:hanging="354"/>
        <w:spacing w:after="0"/>
        <w:tabs>
          <w:tab w:leader="none" w:pos="3140" w:val="left"/>
        </w:tabs>
        <w:numPr>
          <w:ilvl w:val="1"/>
          <w:numId w:val="372"/>
        </w:numPr>
        <w:rPr>
          <w:rFonts w:ascii="Arial" w:cs="Arial" w:eastAsia="Arial" w:hAnsi="Arial"/>
          <w:sz w:val="18"/>
          <w:szCs w:val="18"/>
          <w:color w:val="auto"/>
        </w:rPr>
      </w:pPr>
      <w:r>
        <w:rPr>
          <w:rFonts w:ascii="Arial" w:cs="Arial" w:eastAsia="Arial" w:hAnsi="Arial"/>
          <w:sz w:val="18"/>
          <w:szCs w:val="18"/>
          <w:color w:val="auto"/>
        </w:rPr>
        <w:t>it is revoked jointly by the Company (on behalf of the Employer) and the Participant;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5</w:t>
      </w:r>
      <w:r>
        <w:rPr>
          <w:rFonts w:ascii="Arial" w:cs="Arial" w:eastAsia="Arial" w:hAnsi="Arial"/>
          <w:sz w:val="18"/>
          <w:szCs w:val="18"/>
          <w:color w:val="auto"/>
        </w:rPr>
        <w:t xml:space="preserve"> of </w:t>
      </w:r>
      <w:r>
        <w:rPr>
          <w:rFonts w:ascii="Arial" w:cs="Arial" w:eastAsia="Arial" w:hAnsi="Arial"/>
          <w:sz w:val="18"/>
          <w:szCs w:val="18"/>
          <w:b w:val="1"/>
          <w:bCs w:val="1"/>
          <w:color w:val="auto"/>
        </w:rPr>
        <w:t>6</w:t>
      </w:r>
    </w:p>
    <w:p>
      <w:pPr>
        <w:sectPr>
          <w:pgSz w:w="11900" w:h="16838" w:orient="portrait"/>
          <w:cols w:equalWidth="0" w:num="1">
            <w:col w:w="11000"/>
          </w:cols>
          <w:pgMar w:left="440" w:top="274" w:right="459" w:bottom="1440" w:gutter="0" w:footer="0" w:header="0"/>
        </w:sectPr>
      </w:pPr>
    </w:p>
    <w:bookmarkStart w:id="386" w:name="page387"/>
    <w:bookmarkEnd w:id="38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ADOPTED November 20, 2019</w:t>
      </w:r>
    </w:p>
    <w:p>
      <w:pPr>
        <w:spacing w:after="0" w:line="158" w:lineRule="exact"/>
        <w:rPr>
          <w:sz w:val="20"/>
          <w:szCs w:val="20"/>
          <w:color w:val="auto"/>
        </w:rPr>
      </w:pPr>
    </w:p>
    <w:p>
      <w:pPr>
        <w:ind w:left="3140" w:right="160" w:hanging="354"/>
        <w:spacing w:after="0" w:line="277" w:lineRule="auto"/>
        <w:tabs>
          <w:tab w:leader="none" w:pos="3122" w:val="left"/>
        </w:tabs>
        <w:numPr>
          <w:ilvl w:val="1"/>
          <w:numId w:val="373"/>
        </w:numPr>
        <w:rPr>
          <w:rFonts w:ascii="Arial" w:cs="Arial" w:eastAsia="Arial" w:hAnsi="Arial"/>
          <w:sz w:val="18"/>
          <w:szCs w:val="18"/>
          <w:color w:val="auto"/>
        </w:rPr>
      </w:pPr>
      <w:r>
        <w:rPr>
          <w:rFonts w:ascii="Arial" w:cs="Arial" w:eastAsia="Arial" w:hAnsi="Arial"/>
          <w:sz w:val="18"/>
          <w:szCs w:val="18"/>
          <w:color w:val="auto"/>
        </w:rPr>
        <w:t>notice is given to the Participant by the Company (on behalf of the Employer) terminating the effect of this NIC Election; and</w:t>
      </w:r>
    </w:p>
    <w:p>
      <w:pPr>
        <w:spacing w:after="0" w:line="62" w:lineRule="exact"/>
        <w:rPr>
          <w:rFonts w:ascii="Arial" w:cs="Arial" w:eastAsia="Arial" w:hAnsi="Arial"/>
          <w:sz w:val="18"/>
          <w:szCs w:val="18"/>
          <w:color w:val="auto"/>
        </w:rPr>
      </w:pPr>
    </w:p>
    <w:p>
      <w:pPr>
        <w:ind w:left="3140" w:hanging="354"/>
        <w:spacing w:after="0"/>
        <w:tabs>
          <w:tab w:leader="none" w:pos="3140" w:val="left"/>
        </w:tabs>
        <w:numPr>
          <w:ilvl w:val="1"/>
          <w:numId w:val="373"/>
        </w:numPr>
        <w:rPr>
          <w:rFonts w:ascii="Arial" w:cs="Arial" w:eastAsia="Arial" w:hAnsi="Arial"/>
          <w:sz w:val="17"/>
          <w:szCs w:val="17"/>
          <w:color w:val="auto"/>
        </w:rPr>
      </w:pPr>
      <w:r>
        <w:rPr>
          <w:rFonts w:ascii="Arial" w:cs="Arial" w:eastAsia="Arial" w:hAnsi="Arial"/>
          <w:sz w:val="17"/>
          <w:szCs w:val="17"/>
          <w:color w:val="auto"/>
        </w:rPr>
        <w:t>HMRC notifies the Company or the Employer that the approval of this NIC Election has been withdrawn.</w:t>
      </w:r>
    </w:p>
    <w:p>
      <w:pPr>
        <w:spacing w:after="0" w:line="128" w:lineRule="exact"/>
        <w:rPr>
          <w:rFonts w:ascii="Arial" w:cs="Arial" w:eastAsia="Arial" w:hAnsi="Arial"/>
          <w:sz w:val="17"/>
          <w:szCs w:val="17"/>
          <w:color w:val="auto"/>
        </w:rPr>
      </w:pPr>
    </w:p>
    <w:p>
      <w:pPr>
        <w:ind w:left="2780" w:right="600" w:hanging="354"/>
        <w:spacing w:after="0" w:line="277" w:lineRule="auto"/>
        <w:tabs>
          <w:tab w:leader="none" w:pos="2764" w:val="left"/>
        </w:tabs>
        <w:numPr>
          <w:ilvl w:val="0"/>
          <w:numId w:val="374"/>
        </w:numPr>
        <w:rPr>
          <w:rFonts w:ascii="Arial" w:cs="Arial" w:eastAsia="Arial" w:hAnsi="Arial"/>
          <w:sz w:val="18"/>
          <w:szCs w:val="18"/>
          <w:color w:val="auto"/>
        </w:rPr>
      </w:pPr>
      <w:r>
        <w:rPr>
          <w:rFonts w:ascii="Arial" w:cs="Arial" w:eastAsia="Arial" w:hAnsi="Arial"/>
          <w:sz w:val="18"/>
          <w:szCs w:val="18"/>
          <w:color w:val="auto"/>
        </w:rPr>
        <w:t>The terms of this NIC Election will continue in force regardless of whether the Participant ceases to be an employee of the Employer.</w:t>
      </w:r>
    </w:p>
    <w:p>
      <w:pPr>
        <w:spacing w:after="0" w:line="62" w:lineRule="exact"/>
        <w:rPr>
          <w:rFonts w:ascii="Arial" w:cs="Arial" w:eastAsia="Arial" w:hAnsi="Arial"/>
          <w:sz w:val="18"/>
          <w:szCs w:val="18"/>
          <w:color w:val="auto"/>
        </w:rPr>
      </w:pPr>
    </w:p>
    <w:p>
      <w:pPr>
        <w:ind w:left="2780" w:right="320" w:hanging="354"/>
        <w:spacing w:after="0" w:line="277" w:lineRule="auto"/>
        <w:tabs>
          <w:tab w:leader="none" w:pos="2764" w:val="left"/>
        </w:tabs>
        <w:numPr>
          <w:ilvl w:val="0"/>
          <w:numId w:val="374"/>
        </w:numPr>
        <w:rPr>
          <w:rFonts w:ascii="Arial" w:cs="Arial" w:eastAsia="Arial" w:hAnsi="Arial"/>
          <w:sz w:val="18"/>
          <w:szCs w:val="18"/>
          <w:color w:val="auto"/>
        </w:rPr>
      </w:pPr>
      <w:r>
        <w:rPr>
          <w:rFonts w:ascii="Arial" w:cs="Arial" w:eastAsia="Arial" w:hAnsi="Arial"/>
          <w:sz w:val="18"/>
          <w:szCs w:val="18"/>
          <w:color w:val="auto"/>
        </w:rPr>
        <w:t>The Participant hereby confirms that in entering into the Agreement he or she will be personally liable for the Secondary Liability covered by this NIC Election.</w:t>
      </w:r>
    </w:p>
    <w:p>
      <w:pPr>
        <w:spacing w:after="0" w:line="62" w:lineRule="exact"/>
        <w:rPr>
          <w:rFonts w:ascii="Arial" w:cs="Arial" w:eastAsia="Arial" w:hAnsi="Arial"/>
          <w:sz w:val="18"/>
          <w:szCs w:val="18"/>
          <w:color w:val="auto"/>
        </w:rPr>
      </w:pPr>
    </w:p>
    <w:p>
      <w:pPr>
        <w:ind w:left="2780" w:right="600" w:hanging="354"/>
        <w:spacing w:after="0" w:line="286" w:lineRule="auto"/>
        <w:tabs>
          <w:tab w:leader="none" w:pos="2767" w:val="left"/>
        </w:tabs>
        <w:numPr>
          <w:ilvl w:val="0"/>
          <w:numId w:val="374"/>
        </w:numPr>
        <w:rPr>
          <w:rFonts w:ascii="Arial" w:cs="Arial" w:eastAsia="Arial" w:hAnsi="Arial"/>
          <w:sz w:val="17"/>
          <w:szCs w:val="17"/>
          <w:color w:val="auto"/>
        </w:rPr>
      </w:pPr>
      <w:r>
        <w:rPr>
          <w:rFonts w:ascii="Arial" w:cs="Arial" w:eastAsia="Arial" w:hAnsi="Arial"/>
          <w:sz w:val="17"/>
          <w:szCs w:val="17"/>
          <w:color w:val="auto"/>
        </w:rPr>
        <w:t>This NIC Election will not apply to the extent that it relates to Relevant Employment Income which is employment income of the Participant by virtue of Chapter 3A of Part 7 of the Income Tax (Earnings and Pensions) Act 2003 (employment income: securities with artificially depressed market value).</w:t>
      </w:r>
    </w:p>
    <w:p>
      <w:pPr>
        <w:spacing w:after="0" w:line="57" w:lineRule="exact"/>
        <w:rPr>
          <w:rFonts w:ascii="Arial" w:cs="Arial" w:eastAsia="Arial" w:hAnsi="Arial"/>
          <w:sz w:val="17"/>
          <w:szCs w:val="17"/>
          <w:color w:val="auto"/>
        </w:rPr>
      </w:pPr>
    </w:p>
    <w:p>
      <w:pPr>
        <w:ind w:left="2780" w:hanging="354"/>
        <w:spacing w:after="0" w:line="263" w:lineRule="auto"/>
        <w:tabs>
          <w:tab w:leader="none" w:pos="2767" w:val="left"/>
        </w:tabs>
        <w:numPr>
          <w:ilvl w:val="0"/>
          <w:numId w:val="374"/>
        </w:numPr>
        <w:rPr>
          <w:rFonts w:ascii="Arial" w:cs="Arial" w:eastAsia="Arial" w:hAnsi="Arial"/>
          <w:sz w:val="18"/>
          <w:szCs w:val="18"/>
          <w:color w:val="auto"/>
        </w:rPr>
      </w:pPr>
      <w:r>
        <w:rPr>
          <w:rFonts w:ascii="Arial" w:cs="Arial" w:eastAsia="Arial" w:hAnsi="Arial"/>
          <w:sz w:val="18"/>
          <w:szCs w:val="18"/>
          <w:color w:val="auto"/>
        </w:rPr>
        <w:t>This NIC Election does not apply to any liability, or any part of any liability, arising as a result of regulations given retrospective effect by virtue of section 4B(2) of either the SSCBA or the Social Security Contributions and Benefits (Northern Ireland) Act 1992.</w:t>
      </w:r>
    </w:p>
    <w:p>
      <w:pPr>
        <w:spacing w:after="0" w:line="75" w:lineRule="exact"/>
        <w:rPr>
          <w:rFonts w:ascii="Arial" w:cs="Arial" w:eastAsia="Arial" w:hAnsi="Arial"/>
          <w:sz w:val="18"/>
          <w:szCs w:val="18"/>
          <w:color w:val="auto"/>
        </w:rPr>
      </w:pPr>
    </w:p>
    <w:p>
      <w:pPr>
        <w:ind w:left="2780" w:right="120" w:hanging="354"/>
        <w:spacing w:after="0" w:line="277" w:lineRule="auto"/>
        <w:tabs>
          <w:tab w:leader="none" w:pos="2767" w:val="left"/>
        </w:tabs>
        <w:numPr>
          <w:ilvl w:val="0"/>
          <w:numId w:val="374"/>
        </w:numPr>
        <w:rPr>
          <w:rFonts w:ascii="Arial" w:cs="Arial" w:eastAsia="Arial" w:hAnsi="Arial"/>
          <w:sz w:val="18"/>
          <w:szCs w:val="18"/>
          <w:color w:val="auto"/>
        </w:rPr>
      </w:pPr>
      <w:r>
        <w:rPr>
          <w:rFonts w:ascii="Arial" w:cs="Arial" w:eastAsia="Arial" w:hAnsi="Arial"/>
          <w:sz w:val="18"/>
          <w:szCs w:val="18"/>
          <w:color w:val="auto"/>
        </w:rPr>
        <w:t>By accepting this Agreement the Participant and the Company hereby agree (inter alia) to be bound by the terms of this NIC Election as set out in this Addendum.</w:t>
      </w:r>
    </w:p>
    <w:p>
      <w:pPr>
        <w:spacing w:after="0" w:line="58" w:lineRule="exact"/>
        <w:rPr>
          <w:sz w:val="20"/>
          <w:szCs w:val="20"/>
          <w:color w:val="auto"/>
        </w:rPr>
      </w:pPr>
    </w:p>
    <w:p>
      <w:pPr>
        <w:ind w:left="2420" w:right="40"/>
        <w:spacing w:after="0" w:line="312" w:lineRule="auto"/>
        <w:rPr>
          <w:sz w:val="20"/>
          <w:szCs w:val="20"/>
          <w:color w:val="auto"/>
        </w:rPr>
      </w:pPr>
      <w:r>
        <w:rPr>
          <w:rFonts w:ascii="Arial" w:cs="Arial" w:eastAsia="Arial" w:hAnsi="Arial"/>
          <w:sz w:val="17"/>
          <w:szCs w:val="17"/>
          <w:b w:val="1"/>
          <w:bCs w:val="1"/>
          <w:color w:val="auto"/>
        </w:rPr>
        <w:t>Restricted Securities Election</w:t>
      </w:r>
      <w:r>
        <w:rPr>
          <w:rFonts w:ascii="Arial" w:cs="Arial" w:eastAsia="Arial" w:hAnsi="Arial"/>
          <w:sz w:val="17"/>
          <w:szCs w:val="17"/>
          <w:color w:val="auto"/>
        </w:rPr>
        <w:t>. RSUs may only vest if Participant has first entered into or completed the following to</w:t>
      </w:r>
      <w:r>
        <w:rPr>
          <w:rFonts w:ascii="Arial" w:cs="Arial" w:eastAsia="Arial" w:hAnsi="Arial"/>
          <w:sz w:val="17"/>
          <w:szCs w:val="17"/>
          <w:b w:val="1"/>
          <w:bCs w:val="1"/>
          <w:color w:val="auto"/>
        </w:rPr>
        <w:t xml:space="preserve"> </w:t>
      </w:r>
      <w:r>
        <w:rPr>
          <w:rFonts w:ascii="Arial" w:cs="Arial" w:eastAsia="Arial" w:hAnsi="Arial"/>
          <w:sz w:val="17"/>
          <w:szCs w:val="17"/>
          <w:color w:val="auto"/>
        </w:rPr>
        <w:t>the satisfaction of the Board or these obligations (or any of them) have been waived by the Board:</w:t>
      </w:r>
    </w:p>
    <w:p>
      <w:pPr>
        <w:spacing w:after="0" w:line="36" w:lineRule="exact"/>
        <w:rPr>
          <w:sz w:val="20"/>
          <w:szCs w:val="20"/>
          <w:color w:val="auto"/>
        </w:rPr>
      </w:pPr>
    </w:p>
    <w:p>
      <w:pPr>
        <w:jc w:val="both"/>
        <w:ind w:left="2780" w:right="40" w:hanging="264"/>
        <w:spacing w:after="0" w:line="263" w:lineRule="auto"/>
        <w:tabs>
          <w:tab w:leader="none" w:pos="2764" w:val="left"/>
        </w:tabs>
        <w:numPr>
          <w:ilvl w:val="0"/>
          <w:numId w:val="375"/>
        </w:numPr>
        <w:rPr>
          <w:rFonts w:ascii="Arial" w:cs="Arial" w:eastAsia="Arial" w:hAnsi="Arial"/>
          <w:sz w:val="18"/>
          <w:szCs w:val="18"/>
          <w:color w:val="auto"/>
        </w:rPr>
      </w:pPr>
      <w:r>
        <w:rPr>
          <w:rFonts w:ascii="Arial" w:cs="Arial" w:eastAsia="Arial" w:hAnsi="Arial"/>
          <w:sz w:val="18"/>
          <w:szCs w:val="18"/>
          <w:color w:val="auto"/>
        </w:rPr>
        <w:t>an election under Section 431(1) of the Income Tax (Earnings and Pensions) Act 2003 (in a form approved by the Board) for the full disapplication of Chapter 2 of Part 7 of that Act in relation to all the shares of Common Stock subject to the RSUs;</w:t>
      </w:r>
    </w:p>
    <w:p>
      <w:pPr>
        <w:spacing w:after="0" w:line="89" w:lineRule="exact"/>
        <w:rPr>
          <w:rFonts w:ascii="Arial" w:cs="Arial" w:eastAsia="Arial" w:hAnsi="Arial"/>
          <w:sz w:val="18"/>
          <w:szCs w:val="18"/>
          <w:color w:val="auto"/>
        </w:rPr>
      </w:pPr>
    </w:p>
    <w:p>
      <w:pPr>
        <w:ind w:left="2780" w:hanging="264"/>
        <w:spacing w:after="0" w:line="263" w:lineRule="auto"/>
        <w:tabs>
          <w:tab w:leader="none" w:pos="2764" w:val="left"/>
        </w:tabs>
        <w:numPr>
          <w:ilvl w:val="0"/>
          <w:numId w:val="375"/>
        </w:numPr>
        <w:rPr>
          <w:rFonts w:ascii="Arial" w:cs="Arial" w:eastAsia="Arial" w:hAnsi="Arial"/>
          <w:sz w:val="18"/>
          <w:szCs w:val="18"/>
          <w:color w:val="auto"/>
        </w:rPr>
      </w:pPr>
      <w:r>
        <w:rPr>
          <w:rFonts w:ascii="Arial" w:cs="Arial" w:eastAsia="Arial" w:hAnsi="Arial"/>
          <w:sz w:val="18"/>
          <w:szCs w:val="18"/>
          <w:color w:val="auto"/>
        </w:rPr>
        <w:t>a deed of adherence (in such form as determined by the Board from time to time) pursuant to which you become a party to and bound by any applicable shareholder agreement (or similar agreement) as amended or replaced from time to time.</w:t>
      </w:r>
    </w:p>
    <w:p>
      <w:pPr>
        <w:spacing w:after="0" w:line="89" w:lineRule="exact"/>
        <w:rPr>
          <w:sz w:val="20"/>
          <w:szCs w:val="20"/>
          <w:color w:val="auto"/>
        </w:rPr>
      </w:pPr>
    </w:p>
    <w:p>
      <w:pPr>
        <w:ind w:left="2420" w:right="40"/>
        <w:spacing w:after="0" w:line="263" w:lineRule="auto"/>
        <w:rPr>
          <w:sz w:val="20"/>
          <w:szCs w:val="20"/>
          <w:color w:val="auto"/>
        </w:rPr>
      </w:pPr>
      <w:r>
        <w:rPr>
          <w:rFonts w:ascii="Arial" w:cs="Arial" w:eastAsia="Arial" w:hAnsi="Arial"/>
          <w:sz w:val="18"/>
          <w:szCs w:val="18"/>
          <w:color w:val="auto"/>
        </w:rPr>
        <w:t>Please complete and sign the attached Section 431 election on the next page. After you have completed and signed the Section 431 election form, please ensure that it has been returned to the Company in the manner required by the Company no later than 30 days following the Date of Grant.</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6</w:t>
      </w:r>
      <w:r>
        <w:rPr>
          <w:rFonts w:ascii="Arial" w:cs="Arial" w:eastAsia="Arial" w:hAnsi="Arial"/>
          <w:sz w:val="18"/>
          <w:szCs w:val="18"/>
          <w:color w:val="auto"/>
        </w:rPr>
        <w:t xml:space="preserve"> of </w:t>
      </w:r>
      <w:r>
        <w:rPr>
          <w:rFonts w:ascii="Arial" w:cs="Arial" w:eastAsia="Arial" w:hAnsi="Arial"/>
          <w:sz w:val="18"/>
          <w:szCs w:val="18"/>
          <w:b w:val="1"/>
          <w:bCs w:val="1"/>
          <w:color w:val="auto"/>
        </w:rPr>
        <w:t>6</w:t>
      </w:r>
    </w:p>
    <w:p>
      <w:pPr>
        <w:sectPr>
          <w:pgSz w:w="11900" w:h="16838" w:orient="portrait"/>
          <w:cols w:equalWidth="0" w:num="1">
            <w:col w:w="10980"/>
          </w:cols>
          <w:pgMar w:left="440" w:top="274" w:right="479" w:bottom="1440" w:gutter="0" w:footer="0" w:header="0"/>
        </w:sectPr>
      </w:pPr>
    </w:p>
    <w:bookmarkStart w:id="387" w:name="page388"/>
    <w:bookmarkEnd w:id="38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ADOPTED November 20, 2019</w:t>
      </w: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431 Election for U.K. Participants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Joint Election under s431 ITEPA 2003 for full or partial disapplication of Chapter 2 Income Tax (Earnings and Pensions) Act 2003</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One Part Election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Between</w:t>
      </w:r>
    </w:p>
    <w:p>
      <w:pPr>
        <w:sectPr>
          <w:pgSz w:w="11900" w:h="16838" w:orient="portrait"/>
          <w:cols w:equalWidth="0" w:num="1">
            <w:col w:w="10960"/>
          </w:cols>
          <w:pgMar w:left="440" w:top="274" w:right="49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Employee:</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[Employee to insert]</w:t>
      </w:r>
    </w:p>
    <w:p>
      <w:pPr>
        <w:spacing w:after="0" w:line="140" w:lineRule="exact"/>
        <w:rPr>
          <w:sz w:val="20"/>
          <w:szCs w:val="20"/>
          <w:color w:val="auto"/>
        </w:rPr>
      </w:pPr>
    </w:p>
    <w:p>
      <w:pPr>
        <w:sectPr>
          <w:pgSz w:w="11900" w:h="16838" w:orient="portrait"/>
          <w:cols w:equalWidth="0" w:num="2">
            <w:col w:w="5020" w:space="720"/>
            <w:col w:w="5220"/>
          </w:cols>
          <w:pgMar w:left="440" w:top="274" w:right="499" w:bottom="1440" w:gutter="0" w:footer="0" w:header="0"/>
          <w:type w:val="continuous"/>
        </w:sectPr>
      </w:pPr>
    </w:p>
    <w:p>
      <w:pPr>
        <w:spacing w:after="0"/>
        <w:rPr>
          <w:sz w:val="20"/>
          <w:szCs w:val="20"/>
          <w:color w:val="auto"/>
        </w:rPr>
      </w:pPr>
      <w:r>
        <w:rPr>
          <w:rFonts w:ascii="Arial" w:cs="Arial" w:eastAsia="Arial" w:hAnsi="Arial"/>
          <w:sz w:val="16"/>
          <w:szCs w:val="16"/>
          <w:color w:val="auto"/>
        </w:rPr>
        <w:t>whose National Insurance Number 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[Employee to insert]</w:t>
      </w:r>
    </w:p>
    <w:p>
      <w:pPr>
        <w:spacing w:after="0" w:line="140" w:lineRule="exact"/>
        <w:rPr>
          <w:sz w:val="20"/>
          <w:szCs w:val="20"/>
          <w:color w:val="auto"/>
        </w:rPr>
      </w:pPr>
    </w:p>
    <w:p>
      <w:pPr>
        <w:sectPr>
          <w:pgSz w:w="11900" w:h="16838" w:orient="portrait"/>
          <w:cols w:equalWidth="0" w:num="2">
            <w:col w:w="5020" w:space="720"/>
            <w:col w:w="5220"/>
          </w:cols>
          <w:pgMar w:left="440" w:top="274" w:right="499" w:bottom="1440" w:gutter="0" w:footer="0" w:header="0"/>
          <w:type w:val="continuous"/>
        </w:sectPr>
      </w:pPr>
    </w:p>
    <w:p>
      <w:pPr>
        <w:spacing w:after="0"/>
        <w:rPr>
          <w:sz w:val="20"/>
          <w:szCs w:val="20"/>
          <w:color w:val="auto"/>
        </w:rPr>
      </w:pPr>
      <w:r>
        <w:rPr>
          <w:rFonts w:ascii="Arial" w:cs="Arial" w:eastAsia="Arial" w:hAnsi="Arial"/>
          <w:sz w:val="15"/>
          <w:szCs w:val="15"/>
          <w:color w:val="auto"/>
        </w:rPr>
        <w:t>and</w:t>
      </w:r>
    </w:p>
    <w:p>
      <w:pPr>
        <w:sectPr>
          <w:pgSz w:w="11900" w:h="16838" w:orient="portrait"/>
          <w:cols w:equalWidth="0" w:num="1">
            <w:col w:w="10960"/>
          </w:cols>
          <w:pgMar w:left="440" w:top="274" w:right="499" w:bottom="1440" w:gutter="0" w:footer="0" w:header="0"/>
          <w:type w:val="continuous"/>
        </w:sectPr>
      </w:pP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the Company (who is the Employee’s employer):</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Asana Software UK Limited</w:t>
      </w:r>
    </w:p>
    <w:p>
      <w:pPr>
        <w:spacing w:after="0" w:line="140" w:lineRule="exact"/>
        <w:rPr>
          <w:sz w:val="20"/>
          <w:szCs w:val="20"/>
          <w:color w:val="auto"/>
        </w:rPr>
      </w:pPr>
    </w:p>
    <w:p>
      <w:pPr>
        <w:sectPr>
          <w:pgSz w:w="11900" w:h="16838" w:orient="portrait"/>
          <w:cols w:equalWidth="0" w:num="2">
            <w:col w:w="5020" w:space="720"/>
            <w:col w:w="5220"/>
          </w:cols>
          <w:pgMar w:left="440" w:top="274" w:right="499" w:bottom="1440" w:gutter="0" w:footer="0" w:header="0"/>
          <w:type w:val="continuous"/>
        </w:sectPr>
      </w:pPr>
    </w:p>
    <w:p>
      <w:pPr>
        <w:spacing w:after="0"/>
        <w:rPr>
          <w:sz w:val="20"/>
          <w:szCs w:val="20"/>
          <w:color w:val="auto"/>
        </w:rPr>
      </w:pPr>
      <w:r>
        <w:rPr>
          <w:rFonts w:ascii="Arial" w:cs="Arial" w:eastAsia="Arial" w:hAnsi="Arial"/>
          <w:sz w:val="16"/>
          <w:szCs w:val="16"/>
          <w:color w:val="auto"/>
        </w:rPr>
        <w:t>of Company Registration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11960880</w:t>
      </w:r>
    </w:p>
    <w:p>
      <w:pPr>
        <w:spacing w:after="0" w:line="211" w:lineRule="exact"/>
        <w:rPr>
          <w:sz w:val="20"/>
          <w:szCs w:val="20"/>
          <w:color w:val="auto"/>
        </w:rPr>
      </w:pPr>
    </w:p>
    <w:p>
      <w:pPr>
        <w:sectPr>
          <w:pgSz w:w="11900" w:h="16838" w:orient="portrait"/>
          <w:cols w:equalWidth="0" w:num="2">
            <w:col w:w="5020" w:space="720"/>
            <w:col w:w="5220"/>
          </w:cols>
          <w:pgMar w:left="440" w:top="274" w:right="499" w:bottom="1440" w:gutter="0" w:footer="0" w:header="0"/>
          <w:type w:val="continuous"/>
        </w:sectPr>
      </w:pP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Purpose of Election</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joint election is made pursuant to section 431(1) or 431(2) Income Tax (Earnings and Pensions) Act 2003 (ITEPA) and applies where employment-related securities, which are restricted securities by reason of section 423 ITEPA, are acquired.</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effect of an election under section 431(1) is that, for the relevant Income Tax and NIC purposes, the employment-related securities and their market value will be treated as if they were not restricted securities and that sections 425 to 430 ITEPA do not apply. An election under section 431(2) will ignore one or more of the restrictions in computing the charge on acquisition. Additional Income Tax will be payable (with PAYE and NIC where the securities are Readily Convertible Assets).</w:t>
      </w:r>
    </w:p>
    <w:p>
      <w:pPr>
        <w:spacing w:after="0" w:line="223" w:lineRule="exact"/>
        <w:rPr>
          <w:sz w:val="20"/>
          <w:szCs w:val="20"/>
          <w:color w:val="auto"/>
        </w:rPr>
      </w:pPr>
    </w:p>
    <w:p>
      <w:pPr>
        <w:ind w:left="160" w:right="140"/>
        <w:spacing w:after="0" w:line="261" w:lineRule="auto"/>
        <w:rPr>
          <w:sz w:val="20"/>
          <w:szCs w:val="20"/>
          <w:color w:val="auto"/>
        </w:rPr>
      </w:pPr>
      <w:r>
        <w:rPr>
          <w:rFonts w:ascii="Arial" w:cs="Arial" w:eastAsia="Arial" w:hAnsi="Arial"/>
          <w:sz w:val="18"/>
          <w:szCs w:val="18"/>
          <w:b w:val="1"/>
          <w:bCs w:val="1"/>
          <w:color w:val="auto"/>
        </w:rPr>
        <w:t>Should the value of the securities fall following the acquisition, it is possible that Income Tax/NIC that would have arisen because of any future chargeable event (in the absence of an election) would have been less than the Income Tax/NIC due by reason of this election. Should this be the case, there is no Income Tax/NIC relief available under Part 7 of ITEPA 2003; nor is it available if the securities acquired are subsequently transferred, forfeited or revert to the original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-568325</wp:posOffset>
            </wp:positionV>
            <wp:extent cx="7003415" cy="56578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003415" cy="56578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Application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This joint election is made not later than 14 days after the date of acquisition of the securities by the employee and applies to:</w:t>
      </w:r>
    </w:p>
    <w:p>
      <w:pPr>
        <w:sectPr>
          <w:pgSz w:w="11900" w:h="16838" w:orient="portrait"/>
          <w:cols w:equalWidth="0" w:num="1">
            <w:col w:w="10960"/>
          </w:cols>
          <w:pgMar w:left="440" w:top="274" w:right="49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Number of securities: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All securities to be acquired by Employee pursuant to the RSUs granted on and after [Company to insert grant date] under the terms of the Asana, Inc. Amended and Restated 2012 Stock Plan.</w:t>
      </w:r>
    </w:p>
    <w:p>
      <w:pPr>
        <w:spacing w:after="0" w:line="62" w:lineRule="exact"/>
        <w:rPr>
          <w:sz w:val="20"/>
          <w:szCs w:val="20"/>
          <w:color w:val="auto"/>
        </w:rPr>
      </w:pPr>
    </w:p>
    <w:p>
      <w:pPr>
        <w:sectPr>
          <w:pgSz w:w="11900" w:h="16838" w:orient="portrait"/>
          <w:cols w:equalWidth="0" w:num="2">
            <w:col w:w="1700" w:space="720"/>
            <w:col w:w="8540"/>
          </w:cols>
          <w:pgMar w:left="440" w:top="274" w:right="499" w:bottom="1440" w:gutter="0" w:footer="0" w:header="0"/>
          <w:type w:val="continuous"/>
        </w:sectPr>
      </w:pPr>
    </w:p>
    <w:p>
      <w:pPr>
        <w:spacing w:after="0"/>
        <w:rPr>
          <w:sz w:val="20"/>
          <w:szCs w:val="20"/>
          <w:color w:val="auto"/>
        </w:rPr>
      </w:pPr>
      <w:r>
        <w:rPr>
          <w:rFonts w:ascii="Arial" w:cs="Arial" w:eastAsia="Arial" w:hAnsi="Arial"/>
          <w:sz w:val="16"/>
          <w:szCs w:val="16"/>
          <w:color w:val="auto"/>
        </w:rPr>
        <w:t>Description of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Shares of Class B common stock</w:t>
      </w:r>
    </w:p>
    <w:p>
      <w:pPr>
        <w:spacing w:after="0" w:line="140" w:lineRule="exact"/>
        <w:rPr>
          <w:sz w:val="20"/>
          <w:szCs w:val="20"/>
          <w:color w:val="auto"/>
        </w:rPr>
      </w:pPr>
    </w:p>
    <w:p>
      <w:pPr>
        <w:sectPr>
          <w:pgSz w:w="11900" w:h="16838" w:orient="portrait"/>
          <w:cols w:equalWidth="0" w:num="2">
            <w:col w:w="1800" w:space="620"/>
            <w:col w:w="8540"/>
          </w:cols>
          <w:pgMar w:left="440" w:top="274" w:right="499" w:bottom="1440" w:gutter="0" w:footer="0" w:header="0"/>
          <w:type w:val="continuous"/>
        </w:sectPr>
      </w:pPr>
    </w:p>
    <w:p>
      <w:pPr>
        <w:spacing w:after="0"/>
        <w:rPr>
          <w:sz w:val="20"/>
          <w:szCs w:val="20"/>
          <w:color w:val="auto"/>
        </w:rPr>
      </w:pPr>
      <w:r>
        <w:rPr>
          <w:rFonts w:ascii="Arial" w:cs="Arial" w:eastAsia="Arial" w:hAnsi="Arial"/>
          <w:sz w:val="16"/>
          <w:szCs w:val="16"/>
          <w:color w:val="auto"/>
        </w:rPr>
        <w:t>Name of issuer of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Asana, Inc.</w:t>
      </w:r>
    </w:p>
    <w:p>
      <w:pPr>
        <w:spacing w:after="0" w:line="177" w:lineRule="exact"/>
        <w:rPr>
          <w:sz w:val="20"/>
          <w:szCs w:val="20"/>
          <w:color w:val="auto"/>
        </w:rPr>
      </w:pPr>
    </w:p>
    <w:p>
      <w:pPr>
        <w:sectPr>
          <w:pgSz w:w="11900" w:h="16838" w:orient="portrait"/>
          <w:cols w:equalWidth="0" w:num="2">
            <w:col w:w="2060" w:space="360"/>
            <w:col w:w="8540"/>
          </w:cols>
          <w:pgMar w:left="440" w:top="274" w:right="499" w:bottom="1440" w:gutter="0" w:footer="0" w:header="0"/>
          <w:type w:val="continuous"/>
        </w:sectPr>
      </w:pPr>
    </w:p>
    <w:p>
      <w:pPr>
        <w:jc w:val="center"/>
        <w:ind w:right="-59"/>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1</w:t>
      </w:r>
      <w:r>
        <w:rPr>
          <w:rFonts w:ascii="Arial" w:cs="Arial" w:eastAsia="Arial" w:hAnsi="Arial"/>
          <w:sz w:val="16"/>
          <w:szCs w:val="16"/>
          <w:color w:val="auto"/>
        </w:rPr>
        <w:t xml:space="preserve"> of </w:t>
      </w:r>
      <w:r>
        <w:rPr>
          <w:rFonts w:ascii="Arial" w:cs="Arial" w:eastAsia="Arial" w:hAnsi="Arial"/>
          <w:sz w:val="16"/>
          <w:szCs w:val="16"/>
          <w:b w:val="1"/>
          <w:bCs w:val="1"/>
          <w:color w:val="auto"/>
        </w:rPr>
        <w:t>2</w:t>
      </w:r>
    </w:p>
    <w:p>
      <w:pPr>
        <w:sectPr>
          <w:pgSz w:w="11900" w:h="16838" w:orient="portrait"/>
          <w:cols w:equalWidth="0" w:num="1">
            <w:col w:w="10960"/>
          </w:cols>
          <w:pgMar w:left="440" w:top="274" w:right="499" w:bottom="1440" w:gutter="0" w:footer="0" w:header="0"/>
          <w:type w:val="continuous"/>
        </w:sectPr>
      </w:pPr>
    </w:p>
    <w:bookmarkStart w:id="388" w:name="page389"/>
    <w:bookmarkEnd w:id="38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ADOPTED November 20, 2019</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to be acquired by the Employee after [Company to insert grant date] under the terms of the Asana, Inc. Amended and Restated 2012 Stock Plan.</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Extent of Application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This election disapplies S.431(1) ITEPA: All restrictions attaching to the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Declaration</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election will become irrevocable upon the later of its signing or the acquisition (and each subsequent acquisition) of employment-related securities to which this election applies.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signing this joint election, we agree to be bound by its terms as stated above.</w:t>
      </w:r>
    </w:p>
    <w:p>
      <w:pPr>
        <w:spacing w:after="0" w:line="25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[insert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574415"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 (Employee)</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[insert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574415"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 (for and on behalf of the Company)</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i w:val="1"/>
          <w:iCs w:val="1"/>
          <w:color w:val="auto"/>
        </w:rPr>
        <w:t>Note: Where the election is in respect of multiple acquisitions, prior to the date of any subsequent acquisition of a security it may be revoked by agreement between the employee and employer in respect of that and any later acquisition.</w:t>
      </w:r>
    </w:p>
    <w:p>
      <w:pPr>
        <w:spacing w:after="0" w:line="200" w:lineRule="exact"/>
        <w:rPr>
          <w:sz w:val="20"/>
          <w:szCs w:val="20"/>
          <w:color w:val="auto"/>
        </w:rPr>
      </w:pPr>
    </w:p>
    <w:p>
      <w:pPr>
        <w:spacing w:after="0" w:line="3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2</w:t>
      </w:r>
    </w:p>
    <w:p>
      <w:pPr>
        <w:sectPr>
          <w:pgSz w:w="11900" w:h="16838" w:orient="portrait"/>
          <w:cols w:equalWidth="0" w:num="1">
            <w:col w:w="10920"/>
          </w:cols>
          <w:pgMar w:left="440" w:top="274" w:right="539" w:bottom="1440" w:gutter="0" w:footer="0" w:header="0"/>
        </w:sectPr>
      </w:pPr>
    </w:p>
    <w:bookmarkStart w:id="389" w:name="page390"/>
    <w:bookmarkEnd w:id="38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ASANA,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2012 STOCK PLAN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RESTRICTED STOCK PURCHASE AGREEMENT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Restricted Stock Purchase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is made as of __________ by and between Asana, Inc., a Delaware corporation</w:t>
      </w:r>
    </w:p>
    <w:p>
      <w:pPr>
        <w:spacing w:after="0" w:line="46"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Company</w:t>
      </w:r>
      <w:r>
        <w:rPr>
          <w:rFonts w:ascii="Arial" w:cs="Arial" w:eastAsia="Arial" w:hAnsi="Arial"/>
          <w:sz w:val="18"/>
          <w:szCs w:val="18"/>
          <w:color w:val="auto"/>
        </w:rPr>
        <w:t>”), and «PurchaserName» (“</w:t>
      </w:r>
      <w:r>
        <w:rPr>
          <w:rFonts w:ascii="Arial" w:cs="Arial" w:eastAsia="Arial" w:hAnsi="Arial"/>
          <w:sz w:val="18"/>
          <w:szCs w:val="18"/>
          <w:u w:val="single" w:color="auto"/>
          <w:color w:val="auto"/>
        </w:rPr>
        <w:t>Purchaser</w:t>
      </w:r>
      <w:r>
        <w:rPr>
          <w:rFonts w:ascii="Arial" w:cs="Arial" w:eastAsia="Arial" w:hAnsi="Arial"/>
          <w:sz w:val="18"/>
          <w:szCs w:val="18"/>
          <w:color w:val="auto"/>
        </w:rPr>
        <w:t>”) pursuant to the Company’s 2012 Stock Plan (the “</w:t>
      </w:r>
      <w:r>
        <w:rPr>
          <w:rFonts w:ascii="Arial" w:cs="Arial" w:eastAsia="Arial" w:hAnsi="Arial"/>
          <w:sz w:val="18"/>
          <w:szCs w:val="18"/>
          <w:u w:val="single" w:color="auto"/>
          <w:color w:val="auto"/>
        </w:rPr>
        <w:t>Plan</w:t>
      </w:r>
      <w:r>
        <w:rPr>
          <w:rFonts w:ascii="Arial" w:cs="Arial" w:eastAsia="Arial" w:hAnsi="Arial"/>
          <w:sz w:val="18"/>
          <w:szCs w:val="18"/>
          <w:color w:val="auto"/>
        </w:rPr>
        <w:t>”). To the extent any capitalized terms used in this Agreement are not defined, they shall have the meaning ascribed to them in the Plan.</w:t>
      </w:r>
    </w:p>
    <w:p>
      <w:pPr>
        <w:spacing w:after="0" w:line="73" w:lineRule="exact"/>
        <w:rPr>
          <w:sz w:val="20"/>
          <w:szCs w:val="20"/>
          <w:color w:val="auto"/>
        </w:rPr>
      </w:pPr>
    </w:p>
    <w:p>
      <w:pPr>
        <w:ind w:right="40" w:firstLine="436"/>
        <w:spacing w:after="0" w:line="272" w:lineRule="auto"/>
        <w:tabs>
          <w:tab w:leader="none" w:pos="620" w:val="left"/>
        </w:tabs>
        <w:numPr>
          <w:ilvl w:val="0"/>
          <w:numId w:val="376"/>
        </w:numPr>
        <w:rPr>
          <w:rFonts w:ascii="Arial" w:cs="Arial" w:eastAsia="Arial" w:hAnsi="Arial"/>
          <w:sz w:val="17"/>
          <w:szCs w:val="17"/>
          <w:color w:val="auto"/>
        </w:rPr>
      </w:pPr>
      <w:r>
        <w:rPr>
          <w:rFonts w:ascii="Arial" w:cs="Arial" w:eastAsia="Arial" w:hAnsi="Arial"/>
          <w:sz w:val="17"/>
          <w:szCs w:val="17"/>
          <w:b w:val="1"/>
          <w:bCs w:val="1"/>
          <w:u w:val="single" w:color="auto"/>
          <w:color w:val="auto"/>
        </w:rPr>
        <w:t>Sale of Stock</w:t>
      </w:r>
      <w:r>
        <w:rPr>
          <w:rFonts w:ascii="Arial" w:cs="Arial" w:eastAsia="Arial" w:hAnsi="Arial"/>
          <w:sz w:val="17"/>
          <w:szCs w:val="17"/>
          <w:color w:val="auto"/>
        </w:rPr>
        <w:t>. Subject to the terms and conditions of this Agreement, on the Purchase Date (as defined below) the Company will issue and sell</w:t>
      </w:r>
      <w:r>
        <w:rPr>
          <w:rFonts w:ascii="Arial" w:cs="Arial" w:eastAsia="Arial" w:hAnsi="Arial"/>
          <w:sz w:val="17"/>
          <w:szCs w:val="17"/>
          <w:b w:val="1"/>
          <w:bCs w:val="1"/>
          <w:color w:val="auto"/>
        </w:rPr>
        <w:t xml:space="preserve"> </w:t>
      </w:r>
      <w:r>
        <w:rPr>
          <w:rFonts w:ascii="Arial" w:cs="Arial" w:eastAsia="Arial" w:hAnsi="Arial"/>
          <w:sz w:val="17"/>
          <w:szCs w:val="17"/>
          <w:color w:val="auto"/>
        </w:rPr>
        <w:t>to Purchaser, and Purchaser agrees to purchase from the Company, «NoofShares» shares of the Company’s Class B Common Stock (the “</w:t>
      </w:r>
      <w:r>
        <w:rPr>
          <w:rFonts w:ascii="Arial" w:cs="Arial" w:eastAsia="Arial" w:hAnsi="Arial"/>
          <w:sz w:val="17"/>
          <w:szCs w:val="17"/>
          <w:u w:val="single" w:color="auto"/>
          <w:color w:val="auto"/>
        </w:rPr>
        <w:t>Shares</w:t>
      </w:r>
      <w:r>
        <w:rPr>
          <w:rFonts w:ascii="Arial" w:cs="Arial" w:eastAsia="Arial" w:hAnsi="Arial"/>
          <w:sz w:val="17"/>
          <w:szCs w:val="17"/>
          <w:color w:val="auto"/>
        </w:rPr>
        <w:t>”) at a purchase price of $«PriceperShare» per Share for a total purchase price of $«TotalPrice». The term “</w:t>
      </w:r>
      <w:r>
        <w:rPr>
          <w:rFonts w:ascii="Arial" w:cs="Arial" w:eastAsia="Arial" w:hAnsi="Arial"/>
          <w:sz w:val="17"/>
          <w:szCs w:val="17"/>
          <w:u w:val="single" w:color="auto"/>
          <w:color w:val="auto"/>
        </w:rPr>
        <w:t>Shares</w:t>
      </w:r>
      <w:r>
        <w:rPr>
          <w:rFonts w:ascii="Arial" w:cs="Arial" w:eastAsia="Arial" w:hAnsi="Arial"/>
          <w:sz w:val="17"/>
          <w:szCs w:val="17"/>
          <w:color w:val="auto"/>
        </w:rPr>
        <w:t>” refers to the purchased Shares and all securities received in connection with the Shares pursuant to stock dividends or splits, all securities received in replacement of the Shares in a recapitalization, merger, reorganization, exchange or the like, and all new, substituted or additional securities or other property to which Purchaser is entitled by reason of Purchaser’s ownership of the Shares. By Purchaser’s signature and the signature of the Company’s representative below, Purchaser and the Company agree that this acquisition of Shares is governed by the terms and conditions of this Agreement and the Asana, Inc. 2012 Stock Plan which is attached to and made a part of this Agreement.</w:t>
      </w:r>
    </w:p>
    <w:p>
      <w:pPr>
        <w:spacing w:after="0" w:line="63" w:lineRule="exact"/>
        <w:rPr>
          <w:rFonts w:ascii="Arial" w:cs="Arial" w:eastAsia="Arial" w:hAnsi="Arial"/>
          <w:sz w:val="17"/>
          <w:szCs w:val="17"/>
          <w:color w:val="auto"/>
        </w:rPr>
      </w:pPr>
    </w:p>
    <w:p>
      <w:pPr>
        <w:ind w:firstLine="436"/>
        <w:spacing w:after="0" w:line="294" w:lineRule="auto"/>
        <w:tabs>
          <w:tab w:leader="none" w:pos="620" w:val="left"/>
        </w:tabs>
        <w:numPr>
          <w:ilvl w:val="0"/>
          <w:numId w:val="376"/>
        </w:numPr>
        <w:rPr>
          <w:rFonts w:ascii="Arial" w:cs="Arial" w:eastAsia="Arial" w:hAnsi="Arial"/>
          <w:sz w:val="16"/>
          <w:szCs w:val="16"/>
          <w:color w:val="auto"/>
        </w:rPr>
      </w:pPr>
      <w:r>
        <w:rPr>
          <w:rFonts w:ascii="Arial" w:cs="Arial" w:eastAsia="Arial" w:hAnsi="Arial"/>
          <w:sz w:val="16"/>
          <w:szCs w:val="16"/>
          <w:b w:val="1"/>
          <w:bCs w:val="1"/>
          <w:u w:val="single" w:color="auto"/>
          <w:color w:val="auto"/>
        </w:rPr>
        <w:t>Purchase</w:t>
      </w:r>
      <w:r>
        <w:rPr>
          <w:rFonts w:ascii="Arial" w:cs="Arial" w:eastAsia="Arial" w:hAnsi="Arial"/>
          <w:sz w:val="16"/>
          <w:szCs w:val="16"/>
          <w:color w:val="auto"/>
        </w:rPr>
        <w:t>. The purchase and sale of the Shares under this Agreement shall occur at the principal office of the Company simultaneously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execution and delivery of this Agreement by the parties, the payment of the aggregate purchase price by any method permitted by the Company and authorized under the Plan, and the satisfaction of any applicable tax, withholding obligations, required deductions or other payments, all in accordance with the Plan (the “</w:t>
      </w:r>
      <w:r>
        <w:rPr>
          <w:rFonts w:ascii="Arial" w:cs="Arial" w:eastAsia="Arial" w:hAnsi="Arial"/>
          <w:sz w:val="16"/>
          <w:szCs w:val="16"/>
          <w:u w:val="single" w:color="auto"/>
          <w:color w:val="auto"/>
        </w:rPr>
        <w:t>Purchase Date</w:t>
      </w:r>
      <w:r>
        <w:rPr>
          <w:rFonts w:ascii="Arial" w:cs="Arial" w:eastAsia="Arial" w:hAnsi="Arial"/>
          <w:sz w:val="16"/>
          <w:szCs w:val="16"/>
          <w:color w:val="auto"/>
        </w:rPr>
        <w:t>”). The Company shall issue the Shares to Purchaser by entering such Shares in Purchaser’s name as of such date in the books and records of the Company or, if applicable, a duly authorized transfer agent of the Company, against payment of the purchase price therefor by Purchaser. If applicable, the Company will deliver to Purchaser a certificate representing the Shares as soon as practicable following such date.</w:t>
      </w:r>
    </w:p>
    <w:p>
      <w:pPr>
        <w:spacing w:after="0" w:line="51" w:lineRule="exact"/>
        <w:rPr>
          <w:rFonts w:ascii="Arial" w:cs="Arial" w:eastAsia="Arial" w:hAnsi="Arial"/>
          <w:sz w:val="16"/>
          <w:szCs w:val="16"/>
          <w:color w:val="auto"/>
        </w:rPr>
      </w:pPr>
    </w:p>
    <w:p>
      <w:pPr>
        <w:ind w:right="140" w:firstLine="436"/>
        <w:spacing w:after="0" w:line="254" w:lineRule="auto"/>
        <w:tabs>
          <w:tab w:leader="none" w:pos="620" w:val="left"/>
        </w:tabs>
        <w:numPr>
          <w:ilvl w:val="0"/>
          <w:numId w:val="376"/>
        </w:numPr>
        <w:rPr>
          <w:rFonts w:ascii="Arial" w:cs="Arial" w:eastAsia="Arial" w:hAnsi="Arial"/>
          <w:sz w:val="18"/>
          <w:szCs w:val="18"/>
          <w:color w:val="auto"/>
        </w:rPr>
      </w:pPr>
      <w:r>
        <w:rPr>
          <w:rFonts w:ascii="Arial" w:cs="Arial" w:eastAsia="Arial" w:hAnsi="Arial"/>
          <w:sz w:val="18"/>
          <w:szCs w:val="18"/>
          <w:b w:val="1"/>
          <w:bCs w:val="1"/>
          <w:u w:val="single" w:color="auto"/>
          <w:color w:val="auto"/>
        </w:rPr>
        <w:t>Limitations on Transfer</w:t>
      </w:r>
      <w:r>
        <w:rPr>
          <w:rFonts w:ascii="Arial" w:cs="Arial" w:eastAsia="Arial" w:hAnsi="Arial"/>
          <w:sz w:val="18"/>
          <w:szCs w:val="18"/>
          <w:color w:val="auto"/>
        </w:rPr>
        <w:t>. Purchaser acknowledges and agrees that the Shares purchased under this Agreement are subject to (i) the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that apply to the Company’s Common Stock, as set forth in the Company’s Amended and Restated Bylaws, including (without limitation) certain transfer restrictions set forth in Article X of the Company’s Amended and Restated Bylaws, as may be in effect at the time of any proposed transfer (the “</w:t>
      </w:r>
      <w:r>
        <w:rPr>
          <w:rFonts w:ascii="Arial" w:cs="Arial" w:eastAsia="Arial" w:hAnsi="Arial"/>
          <w:sz w:val="18"/>
          <w:szCs w:val="18"/>
          <w:u w:val="single" w:color="auto"/>
          <w:color w:val="auto"/>
        </w:rPr>
        <w:t>Bylaw Restrictions</w:t>
      </w:r>
      <w:r>
        <w:rPr>
          <w:rFonts w:ascii="Arial" w:cs="Arial" w:eastAsia="Arial" w:hAnsi="Arial"/>
          <w:sz w:val="18"/>
          <w:szCs w:val="18"/>
          <w:color w:val="auto"/>
        </w:rPr>
        <w:t>”), and (ii) any other limitation or restriction on transfer created by Applicable Laws. In addition to the foregoing limitations on transfer, Purchaser shall not assign, encumber or dispose of any interest in the Shares while the Shares are subject to the Company’s Repurchase Option (as defined below). After any Shares have been released from such Repurchase Option, Purchaser shall not assign, encumber or dispose of any interest in such Shares except to the extent permitted by, and in compliance with, the Bylaw Restrictions, Applicable Laws, and the provisions below.</w:t>
      </w:r>
    </w:p>
    <w:p>
      <w:pPr>
        <w:sectPr>
          <w:pgSz w:w="11900" w:h="16838" w:orient="portrait"/>
          <w:cols w:equalWidth="0" w:num="1">
            <w:col w:w="10980"/>
          </w:cols>
          <w:pgMar w:left="440" w:top="270" w:right="479" w:bottom="1440" w:gutter="0" w:footer="0" w:header="0"/>
        </w:sectPr>
      </w:pPr>
    </w:p>
    <w:bookmarkStart w:id="390" w:name="page391"/>
    <w:bookmarkEnd w:id="390"/>
    <w:p>
      <w:pPr>
        <w:ind w:left="1200" w:hanging="253"/>
        <w:spacing w:after="0"/>
        <w:tabs>
          <w:tab w:leader="none" w:pos="1200" w:val="left"/>
        </w:tabs>
        <w:numPr>
          <w:ilvl w:val="0"/>
          <w:numId w:val="377"/>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Repurchase Option</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0" w:right="20" w:firstLine="1428"/>
        <w:spacing w:after="0" w:line="296" w:lineRule="auto"/>
        <w:tabs>
          <w:tab w:leader="none" w:pos="1607" w:val="left"/>
        </w:tabs>
        <w:numPr>
          <w:ilvl w:val="1"/>
          <w:numId w:val="377"/>
        </w:numPr>
        <w:rPr>
          <w:rFonts w:ascii="Arial" w:cs="Arial" w:eastAsia="Arial" w:hAnsi="Arial"/>
          <w:sz w:val="16"/>
          <w:szCs w:val="16"/>
          <w:color w:val="auto"/>
        </w:rPr>
      </w:pPr>
      <w:r>
        <w:rPr>
          <w:rFonts w:ascii="Arial" w:cs="Arial" w:eastAsia="Arial" w:hAnsi="Arial"/>
          <w:sz w:val="16"/>
          <w:szCs w:val="16"/>
          <w:color w:val="auto"/>
        </w:rPr>
        <w:t>In the event of the voluntary or involuntary termination of Purchaser’s Continuous Service Status for any reason (including death or Disability), with or without cause, the Company shall upon the date of such termination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have an irrevocable, exclusive option (the “</w:t>
      </w:r>
      <w:r>
        <w:rPr>
          <w:rFonts w:ascii="Arial" w:cs="Arial" w:eastAsia="Arial" w:hAnsi="Arial"/>
          <w:sz w:val="16"/>
          <w:szCs w:val="16"/>
          <w:u w:val="single" w:color="auto"/>
          <w:color w:val="auto"/>
        </w:rPr>
        <w:t>Repurchase Option</w:t>
      </w:r>
      <w:r>
        <w:rPr>
          <w:rFonts w:ascii="Arial" w:cs="Arial" w:eastAsia="Arial" w:hAnsi="Arial"/>
          <w:sz w:val="16"/>
          <w:szCs w:val="16"/>
          <w:color w:val="auto"/>
        </w:rPr>
        <w:t>”) for a period of 3 months from such date to repurchase all or any portion of the Unvested Shares (as defined below) held by Purchaser as of the Termination Date at the original purchase price per Share (adjusted for any stock splits, stock dividends and the like) specified in Section 1. As used herein, “</w:t>
      </w:r>
      <w:r>
        <w:rPr>
          <w:rFonts w:ascii="Arial" w:cs="Arial" w:eastAsia="Arial" w:hAnsi="Arial"/>
          <w:sz w:val="16"/>
          <w:szCs w:val="16"/>
          <w:u w:val="single" w:color="auto"/>
          <w:color w:val="auto"/>
        </w:rPr>
        <w:t>Unvested Shares</w:t>
      </w:r>
      <w:r>
        <w:rPr>
          <w:rFonts w:ascii="Arial" w:cs="Arial" w:eastAsia="Arial" w:hAnsi="Arial"/>
          <w:sz w:val="16"/>
          <w:szCs w:val="16"/>
          <w:color w:val="auto"/>
        </w:rPr>
        <w:t>” means Shares that have not yet been released from the Repurchase Option.</w:t>
      </w:r>
    </w:p>
    <w:p>
      <w:pPr>
        <w:spacing w:after="0" w:line="53" w:lineRule="exact"/>
        <w:rPr>
          <w:rFonts w:ascii="Arial" w:cs="Arial" w:eastAsia="Arial" w:hAnsi="Arial"/>
          <w:sz w:val="16"/>
          <w:szCs w:val="16"/>
          <w:color w:val="auto"/>
        </w:rPr>
      </w:pPr>
    </w:p>
    <w:p>
      <w:pPr>
        <w:ind w:left="-40" w:firstLine="1428"/>
        <w:spacing w:after="0" w:line="285" w:lineRule="auto"/>
        <w:tabs>
          <w:tab w:leader="none" w:pos="1657" w:val="left"/>
        </w:tabs>
        <w:numPr>
          <w:ilvl w:val="1"/>
          <w:numId w:val="377"/>
        </w:numPr>
        <w:rPr>
          <w:rFonts w:ascii="Arial" w:cs="Arial" w:eastAsia="Arial" w:hAnsi="Arial"/>
          <w:sz w:val="16"/>
          <w:szCs w:val="16"/>
          <w:color w:val="auto"/>
        </w:rPr>
      </w:pPr>
      <w:r>
        <w:rPr>
          <w:rFonts w:ascii="Arial" w:cs="Arial" w:eastAsia="Arial" w:hAnsi="Arial"/>
          <w:sz w:val="16"/>
          <w:szCs w:val="16"/>
          <w:color w:val="auto"/>
        </w:rPr>
        <w:t>Unless the Company notifies Purchaser within 3 months from the Termination Date that it does not intend to exercise its Repurchase Option with respect to some or all of the Unvested Shares, the Repurchase Option shall be deemed automatically exercised by the Company as of the end of such 3-month period following such Termination Date, provided that the Company may notify Purchaser that it is exercising its Repurchase Option as of a date prior to the end of such 3-month period. Unless Purchaser is otherwise notified by the Company pursuant to the preceding sentence that the Company does not intend to exercise its Repurchase Option as to some or all of the Unvested Shares to which it applies at the time of termination, execution of this Agreement by Purchaser constitutes written notice to Purchaser of the Company’s intention to exercise its Repurchase Option with respect to all Unvested Shares to which such Repurchase Option applies. The Company, at its choice, may satisfy its payment obligation to Purchaser with respect to exercise of the Repurchase Option by either (A) delivering a check to Purchaser in the amount of the purchase price for the Unvested Shares being repurchased, or (B) in the event Purchaser is indebted to the Company, canceling an amount of such indebtedness equal to the purchase price for the Unvested Shares being repurchased, or (C) by a combination of (A) and (B) so that the combined payment and cancellation of indebtedness equals such purchase price. In the event of any deemed automatic exercise of the Repurchase Option pursuant to this Section 3(a)(ii) in which Purchaser is indebted to the Company, such indebtedness equal to the purchase price of the Unvested Shares being repurchased shall be deemed automatically canceled as of the end of the 3-month period following the Termination Date unless the Company otherwise satisfies its payment obligations. As a result of any repurchase of Unvested Shares pursuant to this Section 3(a), the Company shall become the legal and beneficial owner of the Unvested Shares being repurchased and shall have all rights and interest therein or related thereto, and the Company shall have the right to transfer to its own name the number of Unvested Shares being repurchased by the Company, without further action by Purchaser.</w:t>
      </w:r>
    </w:p>
    <w:p>
      <w:pPr>
        <w:spacing w:after="0" w:line="68" w:lineRule="exact"/>
        <w:rPr>
          <w:rFonts w:ascii="Arial" w:cs="Arial" w:eastAsia="Arial" w:hAnsi="Arial"/>
          <w:sz w:val="16"/>
          <w:szCs w:val="16"/>
          <w:color w:val="auto"/>
        </w:rPr>
      </w:pPr>
    </w:p>
    <w:p>
      <w:pPr>
        <w:ind w:left="-40" w:right="100" w:firstLine="1428"/>
        <w:spacing w:after="0" w:line="255" w:lineRule="auto"/>
        <w:tabs>
          <w:tab w:leader="none" w:pos="1707" w:val="left"/>
        </w:tabs>
        <w:numPr>
          <w:ilvl w:val="1"/>
          <w:numId w:val="377"/>
        </w:numPr>
        <w:rPr>
          <w:rFonts w:ascii="Arial" w:cs="Arial" w:eastAsia="Arial" w:hAnsi="Arial"/>
          <w:sz w:val="18"/>
          <w:szCs w:val="18"/>
          <w:color w:val="auto"/>
        </w:rPr>
      </w:pPr>
      <w:r>
        <w:rPr>
          <w:rFonts w:ascii="Arial" w:cs="Arial" w:eastAsia="Arial" w:hAnsi="Arial"/>
          <w:sz w:val="18"/>
          <w:szCs w:val="18"/>
          <w:color w:val="auto"/>
        </w:rPr>
        <w:t>«PercentUnvested»% of the Shares shall initially be subject to the Repurchase Option (the “</w:t>
      </w:r>
      <w:r>
        <w:rPr>
          <w:rFonts w:ascii="Arial" w:cs="Arial" w:eastAsia="Arial" w:hAnsi="Arial"/>
          <w:sz w:val="18"/>
          <w:szCs w:val="18"/>
          <w:u w:val="single" w:color="auto"/>
          <w:color w:val="auto"/>
        </w:rPr>
        <w:t>Vesting Shares</w:t>
      </w:r>
      <w:r>
        <w:rPr>
          <w:rFonts w:ascii="Arial" w:cs="Arial" w:eastAsia="Arial" w:hAnsi="Arial"/>
          <w:sz w:val="18"/>
          <w:szCs w:val="18"/>
          <w:color w:val="auto"/>
        </w:rPr>
        <w:t>”). «FirstVestAmount» of the Vesting Shares shall be released from the Repurchase Option on «FirstVestDate», and an additional «MonthlyVestingFraction» of the Vesting Shares shall be released from the Repurchase Option on the «MonthlyVestingDay» day of each month thereafter (and, if there is no corresponding day, the last day of the month), until all Vesting Shares are released from the Repurchase Option; provided, however, that such scheduled releases from the Repurchase Option shall immediately cease as of the Termination Date. Fractional shares shall be rounded to the nearest whole share.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480" w:top="270" w:right="499" w:bottom="1440" w:gutter="0" w:footer="0" w:header="0"/>
        </w:sectPr>
      </w:pPr>
    </w:p>
    <w:bookmarkStart w:id="391" w:name="page392"/>
    <w:bookmarkEnd w:id="391"/>
    <w:p>
      <w:pPr>
        <w:ind w:left="4" w:right="20" w:firstLine="987"/>
        <w:spacing w:after="0" w:line="285" w:lineRule="auto"/>
        <w:tabs>
          <w:tab w:leader="none" w:pos="1250" w:val="left"/>
        </w:tabs>
        <w:numPr>
          <w:ilvl w:val="1"/>
          <w:numId w:val="378"/>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Transfer Restrictions; Right of First Refusal</w:t>
      </w:r>
      <w:r>
        <w:rPr>
          <w:rFonts w:ascii="Arial" w:cs="Arial" w:eastAsia="Arial" w:hAnsi="Arial"/>
          <w:sz w:val="16"/>
          <w:szCs w:val="16"/>
          <w:color w:val="auto"/>
        </w:rPr>
        <w:t>. Before any Shares held by Purchaser or any transferee of Purchaser (either being</w:t>
      </w:r>
      <w:r>
        <w:rPr>
          <w:rFonts w:ascii="Arial" w:cs="Arial" w:eastAsia="Arial" w:hAnsi="Arial"/>
          <w:sz w:val="16"/>
          <w:szCs w:val="16"/>
          <w:b w:val="1"/>
          <w:bCs w:val="1"/>
          <w:color w:val="auto"/>
        </w:rPr>
        <w:t xml:space="preserve"> </w:t>
      </w:r>
      <w:r>
        <w:rPr>
          <w:rFonts w:ascii="Arial" w:cs="Arial" w:eastAsia="Arial" w:hAnsi="Arial"/>
          <w:sz w:val="16"/>
          <w:szCs w:val="16"/>
          <w:color w:val="auto"/>
        </w:rPr>
        <w:t>sometimes referred to herein as the “</w:t>
      </w:r>
      <w:r>
        <w:rPr>
          <w:rFonts w:ascii="Arial" w:cs="Arial" w:eastAsia="Arial" w:hAnsi="Arial"/>
          <w:sz w:val="16"/>
          <w:szCs w:val="16"/>
          <w:u w:val="single" w:color="auto"/>
          <w:color w:val="auto"/>
        </w:rPr>
        <w:t>Holder</w:t>
      </w:r>
      <w:r>
        <w:rPr>
          <w:rFonts w:ascii="Arial" w:cs="Arial" w:eastAsia="Arial" w:hAnsi="Arial"/>
          <w:sz w:val="16"/>
          <w:szCs w:val="16"/>
          <w:color w:val="auto"/>
        </w:rPr>
        <w:t>”) may be sold or otherwise transferred (including transfer by gift or operation of law), the Company shall first have the right to approve such sale or transfer, in full or in part, and shall then have the right to purchase all or any part of the Shares proposed to be sold or transferred, in each case, in its sole and absolute discretion (the “</w:t>
      </w:r>
      <w:r>
        <w:rPr>
          <w:rFonts w:ascii="Arial" w:cs="Arial" w:eastAsia="Arial" w:hAnsi="Arial"/>
          <w:sz w:val="16"/>
          <w:szCs w:val="16"/>
          <w:u w:val="single" w:color="auto"/>
          <w:color w:val="auto"/>
        </w:rPr>
        <w:t>Right of First Refusal</w:t>
      </w:r>
      <w:r>
        <w:rPr>
          <w:rFonts w:ascii="Arial" w:cs="Arial" w:eastAsia="Arial" w:hAnsi="Arial"/>
          <w:sz w:val="16"/>
          <w:szCs w:val="16"/>
          <w:color w:val="auto"/>
        </w:rPr>
        <w:t>”). If the Holder would like to sell or transfer any Shares, the Holder must provide the Company or its assignee(s) with a Notice (as defined below) requesting approval to sell or transfer the Shares and offering the Company or its assignee(s) a Right of First Refusal on the same terms and conditions set forth in this Section 3(b). The Company may either</w:t>
      </w:r>
    </w:p>
    <w:p>
      <w:pPr>
        <w:spacing w:after="0" w:line="3" w:lineRule="exact"/>
        <w:rPr>
          <w:rFonts w:ascii="Arial" w:cs="Arial" w:eastAsia="Arial" w:hAnsi="Arial"/>
          <w:sz w:val="16"/>
          <w:szCs w:val="16"/>
          <w:color w:val="auto"/>
        </w:rPr>
      </w:pPr>
    </w:p>
    <w:p>
      <w:pPr>
        <w:ind w:left="4" w:right="200" w:hanging="4"/>
        <w:spacing w:after="0" w:line="277" w:lineRule="auto"/>
        <w:tabs>
          <w:tab w:leader="none" w:pos="259" w:val="left"/>
        </w:tabs>
        <w:numPr>
          <w:ilvl w:val="0"/>
          <w:numId w:val="379"/>
        </w:numPr>
        <w:rPr>
          <w:rFonts w:ascii="Arial" w:cs="Arial" w:eastAsia="Arial" w:hAnsi="Arial"/>
          <w:sz w:val="17"/>
          <w:szCs w:val="17"/>
          <w:color w:val="auto"/>
        </w:rPr>
      </w:pPr>
      <w:r>
        <w:rPr>
          <w:rFonts w:ascii="Arial" w:cs="Arial" w:eastAsia="Arial" w:hAnsi="Arial"/>
          <w:sz w:val="17"/>
          <w:szCs w:val="17"/>
          <w:color w:val="auto"/>
        </w:rPr>
        <w:t>exercise its Right of First Refusal in full or in part and purchase such Shares pursuant to this Section 3(b), (2) decline to exercise its Right of First Refusal in full or in part and permit the sale or transfer of such Shares to the Proposed Transferee (as defined below) in full or in part, or (3) decline to exercise its Right of First Refusal in full or in part and decline the request to sell or transfer the Shares in full or in part.</w:t>
      </w:r>
    </w:p>
    <w:p>
      <w:pPr>
        <w:spacing w:after="0" w:line="61" w:lineRule="exact"/>
        <w:rPr>
          <w:sz w:val="20"/>
          <w:szCs w:val="20"/>
          <w:color w:val="auto"/>
        </w:rPr>
      </w:pPr>
    </w:p>
    <w:p>
      <w:pPr>
        <w:ind w:left="1644" w:hanging="212"/>
        <w:spacing w:after="0"/>
        <w:tabs>
          <w:tab w:leader="none" w:pos="1644" w:val="left"/>
        </w:tabs>
        <w:numPr>
          <w:ilvl w:val="1"/>
          <w:numId w:val="380"/>
        </w:numPr>
        <w:rPr>
          <w:rFonts w:ascii="Arial" w:cs="Arial" w:eastAsia="Arial" w:hAnsi="Arial"/>
          <w:sz w:val="17"/>
          <w:szCs w:val="17"/>
          <w:color w:val="auto"/>
        </w:rPr>
      </w:pPr>
      <w:r>
        <w:rPr>
          <w:rFonts w:ascii="Arial" w:cs="Arial" w:eastAsia="Arial" w:hAnsi="Arial"/>
          <w:sz w:val="17"/>
          <w:szCs w:val="17"/>
          <w:b w:val="1"/>
          <w:bCs w:val="1"/>
          <w:u w:val="single" w:color="auto"/>
          <w:color w:val="auto"/>
        </w:rPr>
        <w:t>Notice of Proposed Transfer</w:t>
      </w:r>
      <w:r>
        <w:rPr>
          <w:rFonts w:ascii="Arial" w:cs="Arial" w:eastAsia="Arial" w:hAnsi="Arial"/>
          <w:sz w:val="17"/>
          <w:szCs w:val="17"/>
          <w:color w:val="auto"/>
        </w:rPr>
        <w:t>. The Holder of the Shares shall deliver to the Company a written notice (the “</w:t>
      </w:r>
      <w:r>
        <w:rPr>
          <w:rFonts w:ascii="Arial" w:cs="Arial" w:eastAsia="Arial" w:hAnsi="Arial"/>
          <w:sz w:val="17"/>
          <w:szCs w:val="17"/>
          <w:u w:val="single" w:color="auto"/>
          <w:color w:val="auto"/>
        </w:rPr>
        <w:t>Notice</w:t>
      </w:r>
      <w:r>
        <w:rPr>
          <w:rFonts w:ascii="Arial" w:cs="Arial" w:eastAsia="Arial" w:hAnsi="Arial"/>
          <w:sz w:val="17"/>
          <w:szCs w:val="17"/>
          <w:color w:val="auto"/>
        </w:rPr>
        <w:t>”) stating:</w:t>
      </w:r>
    </w:p>
    <w:p>
      <w:pPr>
        <w:spacing w:after="0" w:line="38" w:lineRule="exact"/>
        <w:rPr>
          <w:rFonts w:ascii="Arial" w:cs="Arial" w:eastAsia="Arial" w:hAnsi="Arial"/>
          <w:sz w:val="17"/>
          <w:szCs w:val="17"/>
          <w:color w:val="auto"/>
        </w:rPr>
      </w:pPr>
    </w:p>
    <w:p>
      <w:pPr>
        <w:ind w:left="4" w:right="400" w:hanging="4"/>
        <w:spacing w:after="0" w:line="295" w:lineRule="auto"/>
        <w:tabs>
          <w:tab w:leader="none" w:pos="299" w:val="left"/>
        </w:tabs>
        <w:numPr>
          <w:ilvl w:val="0"/>
          <w:numId w:val="381"/>
        </w:numPr>
        <w:rPr>
          <w:rFonts w:ascii="Arial" w:cs="Arial" w:eastAsia="Arial" w:hAnsi="Arial"/>
          <w:sz w:val="16"/>
          <w:szCs w:val="16"/>
          <w:color w:val="auto"/>
        </w:rPr>
      </w:pPr>
      <w:r>
        <w:rPr>
          <w:rFonts w:ascii="Arial" w:cs="Arial" w:eastAsia="Arial" w:hAnsi="Arial"/>
          <w:sz w:val="16"/>
          <w:szCs w:val="16"/>
          <w:color w:val="auto"/>
        </w:rPr>
        <w:t>the Holder’s intention to sell or otherwise transfer such Shares; (B) the name of each proposed purchaser or other transferee (“</w:t>
      </w:r>
      <w:r>
        <w:rPr>
          <w:rFonts w:ascii="Arial" w:cs="Arial" w:eastAsia="Arial" w:hAnsi="Arial"/>
          <w:sz w:val="16"/>
          <w:szCs w:val="16"/>
          <w:u w:val="single" w:color="auto"/>
          <w:color w:val="auto"/>
        </w:rPr>
        <w:t>Proposed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Transferee</w:t>
      </w:r>
      <w:r>
        <w:rPr>
          <w:rFonts w:ascii="Arial" w:cs="Arial" w:eastAsia="Arial" w:hAnsi="Arial"/>
          <w:sz w:val="16"/>
          <w:szCs w:val="16"/>
          <w:color w:val="auto"/>
        </w:rPr>
        <w:t>”); (C) the number of Shares to be sold or transferred to each Proposed Transferee; (D) the terms and conditions of each proposed sale or transfer, including (without limitation) the purchase price for such Shares (the “</w:t>
      </w:r>
      <w:r>
        <w:rPr>
          <w:rFonts w:ascii="Arial" w:cs="Arial" w:eastAsia="Arial" w:hAnsi="Arial"/>
          <w:sz w:val="16"/>
          <w:szCs w:val="16"/>
          <w:u w:val="single" w:color="auto"/>
          <w:color w:val="auto"/>
        </w:rPr>
        <w:t>Purchase Price</w:t>
      </w:r>
      <w:r>
        <w:rPr>
          <w:rFonts w:ascii="Arial" w:cs="Arial" w:eastAsia="Arial" w:hAnsi="Arial"/>
          <w:sz w:val="16"/>
          <w:szCs w:val="16"/>
          <w:color w:val="auto"/>
        </w:rPr>
        <w:t>”); and (E) the Holder’s offer to the Company or its assignee(s) to purchase the Shares at the Purchase Price and upon the same terms (or terms that are no less favorable to the Company).</w:t>
      </w:r>
    </w:p>
    <w:p>
      <w:pPr>
        <w:spacing w:after="0" w:line="49" w:lineRule="exact"/>
        <w:rPr>
          <w:rFonts w:ascii="Arial" w:cs="Arial" w:eastAsia="Arial" w:hAnsi="Arial"/>
          <w:sz w:val="16"/>
          <w:szCs w:val="16"/>
          <w:color w:val="auto"/>
        </w:rPr>
      </w:pPr>
    </w:p>
    <w:p>
      <w:pPr>
        <w:ind w:left="4" w:right="160" w:firstLine="1428"/>
        <w:spacing w:after="0" w:line="294" w:lineRule="auto"/>
        <w:tabs>
          <w:tab w:leader="none" w:pos="1701" w:val="left"/>
        </w:tabs>
        <w:numPr>
          <w:ilvl w:val="1"/>
          <w:numId w:val="381"/>
        </w:numPr>
        <w:rPr>
          <w:rFonts w:ascii="Arial" w:cs="Arial" w:eastAsia="Arial" w:hAnsi="Arial"/>
          <w:sz w:val="16"/>
          <w:szCs w:val="16"/>
          <w:color w:val="auto"/>
        </w:rPr>
      </w:pPr>
      <w:r>
        <w:rPr>
          <w:rFonts w:ascii="Arial" w:cs="Arial" w:eastAsia="Arial" w:hAnsi="Arial"/>
          <w:sz w:val="16"/>
          <w:szCs w:val="16"/>
          <w:b w:val="1"/>
          <w:bCs w:val="1"/>
          <w:u w:val="single" w:color="auto"/>
          <w:color w:val="auto"/>
        </w:rPr>
        <w:t>Exercise of Right of First Refusal</w:t>
      </w:r>
      <w:r>
        <w:rPr>
          <w:rFonts w:ascii="Arial" w:cs="Arial" w:eastAsia="Arial" w:hAnsi="Arial"/>
          <w:sz w:val="16"/>
          <w:szCs w:val="16"/>
          <w:color w:val="auto"/>
        </w:rPr>
        <w:t>. At any time within 30 days after receipt of the Notice, the Company and/or its assignee(s)</w:t>
      </w:r>
      <w:r>
        <w:rPr>
          <w:rFonts w:ascii="Arial" w:cs="Arial" w:eastAsia="Arial" w:hAnsi="Arial"/>
          <w:sz w:val="16"/>
          <w:szCs w:val="16"/>
          <w:b w:val="1"/>
          <w:bCs w:val="1"/>
          <w:color w:val="auto"/>
        </w:rPr>
        <w:t xml:space="preserve"> </w:t>
      </w:r>
      <w:r>
        <w:rPr>
          <w:rFonts w:ascii="Arial" w:cs="Arial" w:eastAsia="Arial" w:hAnsi="Arial"/>
          <w:sz w:val="16"/>
          <w:szCs w:val="16"/>
          <w:color w:val="auto"/>
        </w:rPr>
        <w:t>shall deliver a written notice to the Holder indicating whether the Company and/or its assignee(s) elect to permit or reject the proposed sale or transfer, in full or in part, and/or elect to accept or decline the offer to purchase any or all of the Shares proposed to be sold or transferred to any one or more of the Proposed Transferees, at the Purchase Price, provided that if the Purchase Price consists of no legal consideration (as, for example, in the case of a transfer by gift), the purchase price will be the fair market value of the Shares as determined in good faith by the Company. If the Purchase Price includes consideration other than cash, the cash equivalent value of the non-cash consideration shall be determined by the Company in good faith.</w:t>
      </w:r>
    </w:p>
    <w:p>
      <w:pPr>
        <w:spacing w:after="0" w:line="51" w:lineRule="exact"/>
        <w:rPr>
          <w:rFonts w:ascii="Arial" w:cs="Arial" w:eastAsia="Arial" w:hAnsi="Arial"/>
          <w:sz w:val="16"/>
          <w:szCs w:val="16"/>
          <w:color w:val="auto"/>
        </w:rPr>
      </w:pPr>
    </w:p>
    <w:p>
      <w:pPr>
        <w:jc w:val="both"/>
        <w:ind w:left="4" w:right="20" w:firstLine="1428"/>
        <w:spacing w:after="0" w:line="266" w:lineRule="auto"/>
        <w:tabs>
          <w:tab w:leader="none" w:pos="1751" w:val="left"/>
        </w:tabs>
        <w:numPr>
          <w:ilvl w:val="1"/>
          <w:numId w:val="381"/>
        </w:numPr>
        <w:rPr>
          <w:rFonts w:ascii="Arial" w:cs="Arial" w:eastAsia="Arial" w:hAnsi="Arial"/>
          <w:sz w:val="18"/>
          <w:szCs w:val="18"/>
          <w:color w:val="auto"/>
        </w:rPr>
      </w:pPr>
      <w:r>
        <w:rPr>
          <w:rFonts w:ascii="Arial" w:cs="Arial" w:eastAsia="Arial" w:hAnsi="Arial"/>
          <w:sz w:val="18"/>
          <w:szCs w:val="18"/>
          <w:b w:val="1"/>
          <w:bCs w:val="1"/>
          <w:u w:val="single" w:color="auto"/>
          <w:color w:val="auto"/>
        </w:rPr>
        <w:t>Payment</w:t>
      </w:r>
      <w:r>
        <w:rPr>
          <w:rFonts w:ascii="Arial" w:cs="Arial" w:eastAsia="Arial" w:hAnsi="Arial"/>
          <w:sz w:val="18"/>
          <w:szCs w:val="18"/>
          <w:color w:val="auto"/>
        </w:rPr>
        <w:t>. Payment of the Purchase Price shall be made, at the election of the Company or its assignee(s), in cash (by check), by</w:t>
      </w:r>
      <w:r>
        <w:rPr>
          <w:rFonts w:ascii="Arial" w:cs="Arial" w:eastAsia="Arial" w:hAnsi="Arial"/>
          <w:sz w:val="18"/>
          <w:szCs w:val="18"/>
          <w:b w:val="1"/>
          <w:bCs w:val="1"/>
          <w:color w:val="auto"/>
        </w:rPr>
        <w:t xml:space="preserve"> </w:t>
      </w:r>
      <w:r>
        <w:rPr>
          <w:rFonts w:ascii="Arial" w:cs="Arial" w:eastAsia="Arial" w:hAnsi="Arial"/>
          <w:sz w:val="18"/>
          <w:szCs w:val="18"/>
          <w:color w:val="auto"/>
        </w:rPr>
        <w:t>cancellation of all or a portion of any outstanding indebtedness or by any combination thereof within 60 days after receipt of the Notice or in the manner and at the times set forth in the Notice.</w:t>
      </w:r>
    </w:p>
    <w:p>
      <w:pPr>
        <w:spacing w:after="0" w:line="67" w:lineRule="exact"/>
        <w:rPr>
          <w:rFonts w:ascii="Arial" w:cs="Arial" w:eastAsia="Arial" w:hAnsi="Arial"/>
          <w:sz w:val="18"/>
          <w:szCs w:val="18"/>
          <w:color w:val="auto"/>
        </w:rPr>
      </w:pPr>
    </w:p>
    <w:p>
      <w:pPr>
        <w:ind w:left="4" w:firstLine="1428"/>
        <w:spacing w:after="0" w:line="273" w:lineRule="auto"/>
        <w:tabs>
          <w:tab w:leader="none" w:pos="1741" w:val="left"/>
        </w:tabs>
        <w:numPr>
          <w:ilvl w:val="1"/>
          <w:numId w:val="381"/>
        </w:numPr>
        <w:rPr>
          <w:rFonts w:ascii="Arial" w:cs="Arial" w:eastAsia="Arial" w:hAnsi="Arial"/>
          <w:sz w:val="17"/>
          <w:szCs w:val="17"/>
          <w:color w:val="auto"/>
        </w:rPr>
      </w:pPr>
      <w:r>
        <w:rPr>
          <w:rFonts w:ascii="Arial" w:cs="Arial" w:eastAsia="Arial" w:hAnsi="Arial"/>
          <w:sz w:val="17"/>
          <w:szCs w:val="17"/>
          <w:b w:val="1"/>
          <w:bCs w:val="1"/>
          <w:u w:val="single" w:color="auto"/>
          <w:color w:val="auto"/>
        </w:rPr>
        <w:t>Holder’s Right to Transfer</w:t>
      </w:r>
      <w:r>
        <w:rPr>
          <w:rFonts w:ascii="Arial" w:cs="Arial" w:eastAsia="Arial" w:hAnsi="Arial"/>
          <w:sz w:val="17"/>
          <w:szCs w:val="17"/>
          <w:color w:val="auto"/>
        </w:rPr>
        <w:t>. If any of the Shares proposed in the Notice to be sold or transferred to a given Proposed Transferee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are both (A) not purchased by the Company and/or its assignee(s) as provided in this Section 3(b) </w:t>
      </w:r>
      <w:r>
        <w:rPr>
          <w:rFonts w:ascii="Arial" w:cs="Arial" w:eastAsia="Arial" w:hAnsi="Arial"/>
          <w:sz w:val="17"/>
          <w:szCs w:val="17"/>
          <w:u w:val="single" w:color="auto"/>
          <w:color w:val="auto"/>
        </w:rPr>
        <w:t>and</w:t>
      </w:r>
      <w:r>
        <w:rPr>
          <w:rFonts w:ascii="Arial" w:cs="Arial" w:eastAsia="Arial" w:hAnsi="Arial"/>
          <w:sz w:val="17"/>
          <w:szCs w:val="17"/>
          <w:color w:val="auto"/>
        </w:rPr>
        <w:t xml:space="preserve"> (B) approved by the Company to be sold or transferred, then the Holder may sell or otherwise transfer any such Shares to the applicable Proposed Transferee at the Purchase Price or at a higher price, provided that such sale or other transfer is consummated within 120 days after the date of the Notice; provided that any such sale or other transfer is also effected in accordance with the Bylaw Restrictions and any Applicable Laws and the Proposed Transferee agrees in writing that the Plan, the Bylaw Restrictions, and the provisions of this Agreement, including this Section 3 and the waiver of statutory information rights in Section 12, shall continue to apply to the Shares in the hands of such Proposed Transferee.</w:t>
      </w:r>
    </w:p>
    <w:p>
      <w:pPr>
        <w:spacing w:after="0" w:line="10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0" w:right="459" w:bottom="1440" w:gutter="0" w:footer="0" w:header="0"/>
        </w:sectPr>
      </w:pPr>
    </w:p>
    <w:bookmarkStart w:id="392" w:name="page393"/>
    <w:bookmarkEnd w:id="392"/>
    <w:p>
      <w:pPr>
        <w:ind w:right="10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in consultation with its legal counsel, may require the Holder to provide an opinion of counsel evidencing compliance with Applicable Laws. If the Shares described in the Notice are not transferred to the Proposed Transferee within such period, or if the Holder proposes to change the price or other terms to make them more favorable to the Proposed Transferee, a new Notice shall be given to the Company, and the Company and/or its assignees shall again have the right to approve such transfer and be offered the Right of First Refusal.</w:t>
      </w:r>
    </w:p>
    <w:p>
      <w:pPr>
        <w:spacing w:after="0" w:line="59" w:lineRule="exact"/>
        <w:rPr>
          <w:sz w:val="20"/>
          <w:szCs w:val="20"/>
          <w:color w:val="auto"/>
        </w:rPr>
      </w:pPr>
    </w:p>
    <w:p>
      <w:pPr>
        <w:ind w:firstLine="1428"/>
        <w:spacing w:after="0" w:line="291" w:lineRule="auto"/>
        <w:tabs>
          <w:tab w:leader="none" w:pos="1687" w:val="left"/>
        </w:tabs>
        <w:numPr>
          <w:ilvl w:val="1"/>
          <w:numId w:val="382"/>
        </w:numPr>
        <w:rPr>
          <w:rFonts w:ascii="Arial" w:cs="Arial" w:eastAsia="Arial" w:hAnsi="Arial"/>
          <w:sz w:val="16"/>
          <w:szCs w:val="16"/>
          <w:color w:val="auto"/>
        </w:rPr>
      </w:pPr>
      <w:r>
        <w:rPr>
          <w:rFonts w:ascii="Arial" w:cs="Arial" w:eastAsia="Arial" w:hAnsi="Arial"/>
          <w:sz w:val="16"/>
          <w:szCs w:val="16"/>
          <w:b w:val="1"/>
          <w:bCs w:val="1"/>
          <w:u w:val="single" w:color="auto"/>
          <w:color w:val="auto"/>
        </w:rPr>
        <w:t>Exception for Certain Family Transfers</w:t>
      </w:r>
      <w:r>
        <w:rPr>
          <w:rFonts w:ascii="Arial" w:cs="Arial" w:eastAsia="Arial" w:hAnsi="Arial"/>
          <w:sz w:val="16"/>
          <w:szCs w:val="16"/>
          <w:color w:val="auto"/>
        </w:rPr>
        <w:t>. Anything to the contrary contained in this Section 3(b) notwithstanding, the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of any or all of the Shares during Holder’s lifetime or on Holder’s death by will or intestacy to Holder’s Immediate Family or to a trust for the benefit of Holder’s Immediate Family shall be exempt from the provisions of this Section 3(b). “</w:t>
      </w:r>
      <w:r>
        <w:rPr>
          <w:rFonts w:ascii="Arial" w:cs="Arial" w:eastAsia="Arial" w:hAnsi="Arial"/>
          <w:sz w:val="16"/>
          <w:szCs w:val="16"/>
          <w:u w:val="single" w:color="auto"/>
          <w:color w:val="auto"/>
        </w:rPr>
        <w:t>Immediate Family</w:t>
      </w:r>
      <w:r>
        <w:rPr>
          <w:rFonts w:ascii="Arial" w:cs="Arial" w:eastAsia="Arial" w:hAnsi="Arial"/>
          <w:sz w:val="16"/>
          <w:szCs w:val="16"/>
          <w:color w:val="auto"/>
        </w:rPr>
        <w:t>” as used herein shall mean lineal descendant or antecedent, spouse (or spouse’s antecedents), father, mother, brother or sister (or their descendants), stepchild (or their antecedents or descendants), aunt or uncle (or their antecedents or descendants), brother-in-law or sister-in-law (or their antecedents or descendants) and shall include adoptive relationships. In such case, the transferee or other recipient shall receive and hold the Shares so transferred subject to the provisions of the Plan, the Bylaw Restrictions, and the provisions of this Agreement, including this Section 3 and Section 12, and there shall be no further transfer of such Shares except in accordance with the terms of this Section 3, the Plan and the Bylaw Restrictions.</w:t>
      </w:r>
    </w:p>
    <w:p>
      <w:pPr>
        <w:spacing w:after="0" w:line="51" w:lineRule="exact"/>
        <w:rPr>
          <w:rFonts w:ascii="Arial" w:cs="Arial" w:eastAsia="Arial" w:hAnsi="Arial"/>
          <w:sz w:val="16"/>
          <w:szCs w:val="16"/>
          <w:color w:val="auto"/>
        </w:rPr>
      </w:pPr>
    </w:p>
    <w:p>
      <w:pPr>
        <w:ind w:right="40" w:firstLine="987"/>
        <w:spacing w:after="0" w:line="256" w:lineRule="auto"/>
        <w:tabs>
          <w:tab w:leader="none" w:pos="1236" w:val="left"/>
        </w:tabs>
        <w:numPr>
          <w:ilvl w:val="0"/>
          <w:numId w:val="383"/>
        </w:numPr>
        <w:rPr>
          <w:rFonts w:ascii="Arial" w:cs="Arial" w:eastAsia="Arial" w:hAnsi="Arial"/>
          <w:sz w:val="18"/>
          <w:szCs w:val="18"/>
          <w:color w:val="auto"/>
        </w:rPr>
      </w:pPr>
      <w:r>
        <w:rPr>
          <w:rFonts w:ascii="Arial" w:cs="Arial" w:eastAsia="Arial" w:hAnsi="Arial"/>
          <w:sz w:val="18"/>
          <w:szCs w:val="18"/>
          <w:b w:val="1"/>
          <w:bCs w:val="1"/>
          <w:u w:val="single" w:color="auto"/>
          <w:color w:val="auto"/>
        </w:rPr>
        <w:t>Company’s Right to Purchase upon Involuntary Transfer</w:t>
      </w:r>
      <w:r>
        <w:rPr>
          <w:rFonts w:ascii="Arial" w:cs="Arial" w:eastAsia="Arial" w:hAnsi="Arial"/>
          <w:sz w:val="18"/>
          <w:szCs w:val="18"/>
          <w:color w:val="auto"/>
        </w:rPr>
        <w:t>. In the event of any transfer by operation of law or other involuntary</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(including death or divorce, but excluding a transfer to Immediate Family as set forth in Section 3(b)(v) above) of all or a portion of the Shares by the record holder thereof, the Company shall have an option to purchase any or all of the Shares transferred at the Fair Market Value of the Shares on the date of transfer (as determined by the Company in its sole discretion). Upon such a transfer, the Holder shall promptly notify the Secretary of the Company of such transfer. The right to purchase such Shares shall be provided to the Company for a period of 30 days following receipt by the Company of written notice from the Holder.</w:t>
      </w:r>
    </w:p>
    <w:p>
      <w:pPr>
        <w:spacing w:after="0" w:line="79" w:lineRule="exact"/>
        <w:rPr>
          <w:rFonts w:ascii="Arial" w:cs="Arial" w:eastAsia="Arial" w:hAnsi="Arial"/>
          <w:sz w:val="18"/>
          <w:szCs w:val="18"/>
          <w:color w:val="auto"/>
        </w:rPr>
      </w:pPr>
    </w:p>
    <w:p>
      <w:pPr>
        <w:ind w:right="40" w:firstLine="987"/>
        <w:spacing w:after="0" w:line="282" w:lineRule="auto"/>
        <w:tabs>
          <w:tab w:leader="none" w:pos="1246" w:val="left"/>
        </w:tabs>
        <w:numPr>
          <w:ilvl w:val="0"/>
          <w:numId w:val="383"/>
        </w:numPr>
        <w:rPr>
          <w:rFonts w:ascii="Arial" w:cs="Arial" w:eastAsia="Arial" w:hAnsi="Arial"/>
          <w:sz w:val="18"/>
          <w:szCs w:val="18"/>
          <w:color w:val="auto"/>
        </w:rPr>
      </w:pPr>
      <w:r>
        <w:rPr>
          <w:rFonts w:ascii="Arial" w:cs="Arial" w:eastAsia="Arial" w:hAnsi="Arial"/>
          <w:sz w:val="18"/>
          <w:szCs w:val="18"/>
          <w:b w:val="1"/>
          <w:bCs w:val="1"/>
          <w:u w:val="single" w:color="auto"/>
          <w:color w:val="auto"/>
        </w:rPr>
        <w:t>Assignment</w:t>
      </w:r>
      <w:r>
        <w:rPr>
          <w:rFonts w:ascii="Arial" w:cs="Arial" w:eastAsia="Arial" w:hAnsi="Arial"/>
          <w:sz w:val="18"/>
          <w:szCs w:val="18"/>
          <w:color w:val="auto"/>
        </w:rPr>
        <w:t>. The right of the Company to purchase any part of the Shares may be assigned in whole or in part to any holder or holders</w:t>
      </w:r>
      <w:r>
        <w:rPr>
          <w:rFonts w:ascii="Arial" w:cs="Arial" w:eastAsia="Arial" w:hAnsi="Arial"/>
          <w:sz w:val="18"/>
          <w:szCs w:val="18"/>
          <w:b w:val="1"/>
          <w:bCs w:val="1"/>
          <w:color w:val="auto"/>
        </w:rPr>
        <w:t xml:space="preserve"> </w:t>
      </w:r>
      <w:r>
        <w:rPr>
          <w:rFonts w:ascii="Arial" w:cs="Arial" w:eastAsia="Arial" w:hAnsi="Arial"/>
          <w:sz w:val="18"/>
          <w:szCs w:val="18"/>
          <w:color w:val="auto"/>
        </w:rPr>
        <w:t>of capital stock of the Company or other persons or organizations.</w:t>
      </w:r>
    </w:p>
    <w:p>
      <w:pPr>
        <w:spacing w:after="0" w:line="53" w:lineRule="exact"/>
        <w:rPr>
          <w:rFonts w:ascii="Arial" w:cs="Arial" w:eastAsia="Arial" w:hAnsi="Arial"/>
          <w:sz w:val="18"/>
          <w:szCs w:val="18"/>
          <w:color w:val="auto"/>
        </w:rPr>
      </w:pPr>
    </w:p>
    <w:p>
      <w:pPr>
        <w:jc w:val="both"/>
        <w:ind w:right="200" w:firstLine="987"/>
        <w:spacing w:after="0" w:line="277" w:lineRule="auto"/>
        <w:tabs>
          <w:tab w:leader="none" w:pos="1236" w:val="left"/>
        </w:tabs>
        <w:numPr>
          <w:ilvl w:val="0"/>
          <w:numId w:val="383"/>
        </w:numPr>
        <w:rPr>
          <w:rFonts w:ascii="Arial" w:cs="Arial" w:eastAsia="Arial" w:hAnsi="Arial"/>
          <w:sz w:val="17"/>
          <w:szCs w:val="17"/>
          <w:color w:val="auto"/>
        </w:rPr>
      </w:pPr>
      <w:r>
        <w:rPr>
          <w:rFonts w:ascii="Arial" w:cs="Arial" w:eastAsia="Arial" w:hAnsi="Arial"/>
          <w:sz w:val="17"/>
          <w:szCs w:val="17"/>
          <w:b w:val="1"/>
          <w:bCs w:val="1"/>
          <w:u w:val="single" w:color="auto"/>
          <w:color w:val="auto"/>
        </w:rPr>
        <w:t>Restrictions Binding on Transferees</w:t>
      </w:r>
      <w:r>
        <w:rPr>
          <w:rFonts w:ascii="Arial" w:cs="Arial" w:eastAsia="Arial" w:hAnsi="Arial"/>
          <w:sz w:val="17"/>
          <w:szCs w:val="17"/>
          <w:color w:val="auto"/>
        </w:rPr>
        <w:t>. All transferees of Shares or any interest therein will receive and hold such Shares or interest</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Plan, the Bylaw Restrictions, and the provisions of this Agreement, including, without limitation, Sections 3 and 12 of this Agreement and, including, insofar as applicable, the Repurchase Option. In the event of any purchase by the Company hereunder where the Shares or interest are held by a transferee, the transferee shall be obligated, if requested by the Company, to transfer the Shares or interest to the Purchaser for consideration equal to the amount to be paid by the Company hereunder.</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393" w:name="page394"/>
    <w:bookmarkEnd w:id="393"/>
    <w:p>
      <w:pPr>
        <w:ind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event the Repurchase Option is deemed exercised by the Company pursuant to Section 3(a)(ii) hereof, the Company may deem any transferee to have transferred the Shares or interest to Purchaser prior to their purchase by the Company, and payment of the purchase price by the Company to such transferee shall be deemed to satisfy Purchaser’s obligation to pay such transferee for such Shares or interest, and also to satisfy the Company’s obligation to pay Purchaser for such Shares or interest. Any sale or transfer of the Shares shall be void unless the provisions of this Agreement are satisfied.</w:t>
      </w:r>
    </w:p>
    <w:p>
      <w:pPr>
        <w:spacing w:after="0" w:line="76" w:lineRule="exact"/>
        <w:rPr>
          <w:sz w:val="20"/>
          <w:szCs w:val="20"/>
          <w:color w:val="auto"/>
        </w:rPr>
      </w:pPr>
    </w:p>
    <w:p>
      <w:pPr>
        <w:ind w:right="80" w:firstLine="987"/>
        <w:spacing w:after="0" w:line="270" w:lineRule="auto"/>
        <w:tabs>
          <w:tab w:leader="none" w:pos="1216" w:val="left"/>
        </w:tabs>
        <w:numPr>
          <w:ilvl w:val="1"/>
          <w:numId w:val="384"/>
        </w:numPr>
        <w:rPr>
          <w:rFonts w:ascii="Arial" w:cs="Arial" w:eastAsia="Arial" w:hAnsi="Arial"/>
          <w:sz w:val="17"/>
          <w:szCs w:val="17"/>
          <w:color w:val="auto"/>
        </w:rPr>
      </w:pPr>
      <w:r>
        <w:rPr>
          <w:rFonts w:ascii="Arial" w:cs="Arial" w:eastAsia="Arial" w:hAnsi="Arial"/>
          <w:sz w:val="17"/>
          <w:szCs w:val="17"/>
          <w:b w:val="1"/>
          <w:bCs w:val="1"/>
          <w:u w:val="single" w:color="auto"/>
          <w:color w:val="auto"/>
        </w:rPr>
        <w:t>Termination of Rights</w:t>
      </w:r>
      <w:r>
        <w:rPr>
          <w:rFonts w:ascii="Arial" w:cs="Arial" w:eastAsia="Arial" w:hAnsi="Arial"/>
          <w:sz w:val="17"/>
          <w:szCs w:val="17"/>
          <w:color w:val="auto"/>
        </w:rPr>
        <w:t>. The transfer restrictions set forth in Section 3(b) above, the Right of First Refusal granted the Company by</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3(b) above and the right to repurchase the Shares in the event of an involuntary transfer granted the Company by Section 3(c) above shall terminate upon (i) the first sale of Common Stock of the Company to the general public pursuant to a registration statement filed with and declared effective by the Securities and Exchange Commission under the Securities Act (other than a registration statement relating solely to the issuance of Common Stock pursuant to a business combination or an employee incentive or benefit plan) or (ii) any transfer or conversion of Shares made pursuant to a statutory merger or statutory consolidation of the Company with or into another corporation or corporations if the common stock of the surviving corporation or any direct or indirect parent corporation thereof is registered under the Exchange Act. Upon termination of such transfer restrictions, the Company will remove any stop-transfer notices referred to in Section 6(b) below and related to the restriction in Sections 3(b) and 3(c) and, if certificates are issued, a new certificate or certificates representing the Shares not repurchased shall be issued, on request, without the legend referred to in Section 6(a)(ii) below.</w:t>
      </w:r>
    </w:p>
    <w:p>
      <w:pPr>
        <w:spacing w:after="0" w:line="68" w:lineRule="exact"/>
        <w:rPr>
          <w:rFonts w:ascii="Arial" w:cs="Arial" w:eastAsia="Arial" w:hAnsi="Arial"/>
          <w:sz w:val="17"/>
          <w:szCs w:val="17"/>
          <w:color w:val="auto"/>
        </w:rPr>
      </w:pPr>
    </w:p>
    <w:p>
      <w:pPr>
        <w:ind w:firstLine="436"/>
        <w:spacing w:after="0" w:line="269" w:lineRule="auto"/>
        <w:tabs>
          <w:tab w:leader="none" w:pos="620" w:val="left"/>
        </w:tabs>
        <w:numPr>
          <w:ilvl w:val="0"/>
          <w:numId w:val="385"/>
        </w:numPr>
        <w:rPr>
          <w:rFonts w:ascii="Arial" w:cs="Arial" w:eastAsia="Arial" w:hAnsi="Arial"/>
          <w:sz w:val="17"/>
          <w:szCs w:val="17"/>
          <w:color w:val="auto"/>
        </w:rPr>
      </w:pPr>
      <w:r>
        <w:rPr>
          <w:rFonts w:ascii="Arial" w:cs="Arial" w:eastAsia="Arial" w:hAnsi="Arial"/>
          <w:sz w:val="17"/>
          <w:szCs w:val="17"/>
          <w:b w:val="1"/>
          <w:bCs w:val="1"/>
          <w:u w:val="single" w:color="auto"/>
          <w:color w:val="auto"/>
        </w:rPr>
        <w:t>Escrow of Unvested Shares</w:t>
      </w:r>
      <w:r>
        <w:rPr>
          <w:rFonts w:ascii="Arial" w:cs="Arial" w:eastAsia="Arial" w:hAnsi="Arial"/>
          <w:sz w:val="17"/>
          <w:szCs w:val="17"/>
          <w:color w:val="auto"/>
        </w:rPr>
        <w:t>. For purposes of facilitating the enforcement of the provisions of Section 3 above, Purchaser agrees, immediately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upon receipt of any certificate(s) for the Unvested Shares subject to the Repurchase Option, to deliver such certificate(s), together with an Assignment Separate from Certificate in the form attached to this Agreement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executed by Purchaser and by Purchaser’s spouse (if required for transfer), in blank, to the Secretary of the Company, or the Secretary’s designee, to hold such certificate(s) and Assignment Separate from Certificate in escrow and to take all such actions and to effectuate all such transfers and/or releases as are required in accordance with the terms of this Agreement. Purchaser hereby acknowledges that the Secretary of the Company, or the Secretary’s designee, is so appointed as the escrow holder with the foregoing authorities as a material inducement to make this Agreement and that said appointment is coupled with an interest and is accordingly irrevocable. Purchaser agrees that said escrow holder shall not be liable to any party hereof (or to any other party). The escrow holder may rely upon any letter, notice or other document executed by any signature purported to be genuine and may resign at any time. Purchaser agrees that if the Secretary of the Company, or the Secretary’s designee, resigns as escrow holder for any or no reason, the Board shall have the power to appoint a successor to serve as escrow holder pursuant to the terms of this Agreement.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394" w:name="page395"/>
    <w:bookmarkEnd w:id="394"/>
    <w:p>
      <w:pPr>
        <w:ind w:left="624" w:hanging="184"/>
        <w:spacing w:after="0"/>
        <w:tabs>
          <w:tab w:leader="none" w:pos="624" w:val="left"/>
        </w:tabs>
        <w:numPr>
          <w:ilvl w:val="1"/>
          <w:numId w:val="386"/>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Investment and Taxation Representations</w:t>
      </w:r>
      <w:r>
        <w:rPr>
          <w:rFonts w:ascii="Arial" w:cs="Arial" w:eastAsia="Arial" w:hAnsi="Arial"/>
          <w:sz w:val="16"/>
          <w:szCs w:val="16"/>
          <w:color w:val="auto"/>
        </w:rPr>
        <w:t>. In connection with the purchase of the Shares, Purchaser represents to the Company the following:</w:t>
      </w:r>
    </w:p>
    <w:p>
      <w:pPr>
        <w:spacing w:after="0" w:line="144" w:lineRule="exact"/>
        <w:rPr>
          <w:rFonts w:ascii="Arial" w:cs="Arial" w:eastAsia="Arial" w:hAnsi="Arial"/>
          <w:sz w:val="16"/>
          <w:szCs w:val="16"/>
          <w:color w:val="auto"/>
        </w:rPr>
      </w:pPr>
    </w:p>
    <w:p>
      <w:pPr>
        <w:ind w:left="4" w:right="220" w:firstLine="987"/>
        <w:spacing w:after="0" w:line="301" w:lineRule="auto"/>
        <w:tabs>
          <w:tab w:leader="none" w:pos="1240" w:val="left"/>
        </w:tabs>
        <w:numPr>
          <w:ilvl w:val="2"/>
          <w:numId w:val="386"/>
        </w:numPr>
        <w:rPr>
          <w:rFonts w:ascii="Arial" w:cs="Arial" w:eastAsia="Arial" w:hAnsi="Arial"/>
          <w:sz w:val="16"/>
          <w:szCs w:val="16"/>
          <w:color w:val="auto"/>
        </w:rPr>
      </w:pPr>
      <w:r>
        <w:rPr>
          <w:rFonts w:ascii="Arial" w:cs="Arial" w:eastAsia="Arial" w:hAnsi="Arial"/>
          <w:sz w:val="16"/>
          <w:szCs w:val="16"/>
          <w:color w:val="auto"/>
        </w:rPr>
        <w:t>Purchaser is aware of the Company’s business affairs and financial condition and has acquired sufficient information about the Company to reach an informed and knowledgeable decision to acquire the Shares. Purchaser is purchasing the Shares for investment for Purchaser’s own account only and not with a view to, or for resale in connection with, any “distribution” thereof within the meaning of the Securities Act or under any applicable provision of state law. Purchaser does not have any present intention to transfer the Shares to any other person or entity.</w:t>
      </w:r>
    </w:p>
    <w:p>
      <w:pPr>
        <w:spacing w:after="0" w:line="49" w:lineRule="exact"/>
        <w:rPr>
          <w:rFonts w:ascii="Arial" w:cs="Arial" w:eastAsia="Arial" w:hAnsi="Arial"/>
          <w:sz w:val="16"/>
          <w:szCs w:val="16"/>
          <w:color w:val="auto"/>
        </w:rPr>
      </w:pPr>
    </w:p>
    <w:p>
      <w:pPr>
        <w:ind w:left="4" w:right="220" w:firstLine="987"/>
        <w:spacing w:after="0" w:line="308" w:lineRule="auto"/>
        <w:tabs>
          <w:tab w:leader="none" w:pos="1250" w:val="left"/>
        </w:tabs>
        <w:numPr>
          <w:ilvl w:val="2"/>
          <w:numId w:val="386"/>
        </w:numPr>
        <w:rPr>
          <w:rFonts w:ascii="Arial" w:cs="Arial" w:eastAsia="Arial" w:hAnsi="Arial"/>
          <w:sz w:val="17"/>
          <w:szCs w:val="17"/>
          <w:color w:val="auto"/>
        </w:rPr>
      </w:pPr>
      <w:r>
        <w:rPr>
          <w:rFonts w:ascii="Arial" w:cs="Arial" w:eastAsia="Arial" w:hAnsi="Arial"/>
          <w:sz w:val="17"/>
          <w:szCs w:val="17"/>
          <w:color w:val="auto"/>
        </w:rPr>
        <w:t>Purchaser understands that the Shares have not been registered under the Securities Act by reason of a specific exemption therefrom, which exemption depends upon, among other things, the bona fide nature of Purchaser’s investment intent as expressed herein.</w:t>
      </w:r>
    </w:p>
    <w:p>
      <w:pPr>
        <w:spacing w:after="0" w:line="38" w:lineRule="exact"/>
        <w:rPr>
          <w:rFonts w:ascii="Arial" w:cs="Arial" w:eastAsia="Arial" w:hAnsi="Arial"/>
          <w:sz w:val="17"/>
          <w:szCs w:val="17"/>
          <w:color w:val="auto"/>
        </w:rPr>
      </w:pPr>
    </w:p>
    <w:p>
      <w:pPr>
        <w:ind w:left="4" w:right="40" w:firstLine="987"/>
        <w:spacing w:after="0" w:line="263" w:lineRule="auto"/>
        <w:tabs>
          <w:tab w:leader="none" w:pos="1240" w:val="left"/>
        </w:tabs>
        <w:numPr>
          <w:ilvl w:val="2"/>
          <w:numId w:val="386"/>
        </w:numPr>
        <w:rPr>
          <w:rFonts w:ascii="Arial" w:cs="Arial" w:eastAsia="Arial" w:hAnsi="Arial"/>
          <w:sz w:val="18"/>
          <w:szCs w:val="18"/>
          <w:color w:val="auto"/>
        </w:rPr>
      </w:pPr>
      <w:r>
        <w:rPr>
          <w:rFonts w:ascii="Arial" w:cs="Arial" w:eastAsia="Arial" w:hAnsi="Arial"/>
          <w:sz w:val="18"/>
          <w:szCs w:val="18"/>
          <w:color w:val="auto"/>
        </w:rPr>
        <w:t>Purchaser further acknowledges and understands that the securities must be held indefinitely unless they are subsequently registered under the Securities Act or an exemption from such registration is available. Purchaser further acknowledges and understands that the Company is under no obligation to register the securities.</w:t>
      </w:r>
    </w:p>
    <w:p>
      <w:pPr>
        <w:spacing w:after="0" w:line="75" w:lineRule="exact"/>
        <w:rPr>
          <w:rFonts w:ascii="Arial" w:cs="Arial" w:eastAsia="Arial" w:hAnsi="Arial"/>
          <w:sz w:val="18"/>
          <w:szCs w:val="18"/>
          <w:color w:val="auto"/>
        </w:rPr>
      </w:pPr>
    </w:p>
    <w:p>
      <w:pPr>
        <w:ind w:left="4" w:firstLine="987"/>
        <w:spacing w:after="0" w:line="291" w:lineRule="auto"/>
        <w:tabs>
          <w:tab w:leader="none" w:pos="1250" w:val="left"/>
        </w:tabs>
        <w:numPr>
          <w:ilvl w:val="2"/>
          <w:numId w:val="386"/>
        </w:numPr>
        <w:rPr>
          <w:rFonts w:ascii="Arial" w:cs="Arial" w:eastAsia="Arial" w:hAnsi="Arial"/>
          <w:sz w:val="16"/>
          <w:szCs w:val="16"/>
          <w:color w:val="auto"/>
        </w:rPr>
      </w:pPr>
      <w:r>
        <w:rPr>
          <w:rFonts w:ascii="Arial" w:cs="Arial" w:eastAsia="Arial" w:hAnsi="Arial"/>
          <w:sz w:val="16"/>
          <w:szCs w:val="16"/>
          <w:color w:val="auto"/>
        </w:rPr>
        <w:t>Purchaser is familiar with the provisions of Rule 144, promulgated under the Securities Act, which, in substance, permits limited public resale of “restricted securities” acquired, directly or indirectly, from the issuer of the securities (or from an affiliate of such issuer), in a non-public offering subject to the satisfaction of certain conditions. Purchaser understands that the Company provides no assurances as to whether he or she will be able to resell any or all of the Shares pursuant to Rule 144, which rule requires, among other things, that the Company be subject to the reporting requirements of the Securities Exchange Act of 1934, as amended, that resales of securities take place only after the holder of the Shares has held the Shares for certain specified time periods, and under certain circumstances, that resales of securities be limited in volume and take place only pursuant to brokered transactions. Notwithstanding this Section 5(d), Purchaser acknowledges and agrees to the restrictions set forth in Section 5(e) below.</w:t>
      </w:r>
    </w:p>
    <w:p>
      <w:pPr>
        <w:spacing w:after="0" w:line="58" w:lineRule="exact"/>
        <w:rPr>
          <w:rFonts w:ascii="Arial" w:cs="Arial" w:eastAsia="Arial" w:hAnsi="Arial"/>
          <w:sz w:val="16"/>
          <w:szCs w:val="16"/>
          <w:color w:val="auto"/>
        </w:rPr>
      </w:pPr>
    </w:p>
    <w:p>
      <w:pPr>
        <w:ind w:left="4" w:right="20" w:firstLine="987"/>
        <w:spacing w:after="0" w:line="255" w:lineRule="auto"/>
        <w:tabs>
          <w:tab w:leader="none" w:pos="1240" w:val="left"/>
        </w:tabs>
        <w:numPr>
          <w:ilvl w:val="2"/>
          <w:numId w:val="386"/>
        </w:numPr>
        <w:rPr>
          <w:rFonts w:ascii="Arial" w:cs="Arial" w:eastAsia="Arial" w:hAnsi="Arial"/>
          <w:sz w:val="18"/>
          <w:szCs w:val="18"/>
          <w:color w:val="auto"/>
        </w:rPr>
      </w:pPr>
      <w:r>
        <w:rPr>
          <w:rFonts w:ascii="Arial" w:cs="Arial" w:eastAsia="Arial" w:hAnsi="Arial"/>
          <w:sz w:val="18"/>
          <w:szCs w:val="18"/>
          <w:color w:val="auto"/>
        </w:rPr>
        <w:t>Purchaser further understands that in the event all of the applicable requirements of Rule 144 are not satisfied, registration under the Securities Act, compliance with Regulation A, or some other registration exemption will be required; and that, notwithstanding the fact that Rule 144 is not exclusive, the Staff of the Securities and Exchange Commission has expressed its opinion that persons proposing to sell private placement securities other than in a registered offering and otherwise than pursuant to Rule 144 will have a substantial burden of proof in establishing that an exemption from registration is available for such offers or sales, and that such persons and their respective brokers who participate in such transactions do so at their own risk.</w:t>
      </w:r>
    </w:p>
    <w:p>
      <w:pPr>
        <w:spacing w:after="0" w:line="84" w:lineRule="exact"/>
        <w:rPr>
          <w:rFonts w:ascii="Arial" w:cs="Arial" w:eastAsia="Arial" w:hAnsi="Arial"/>
          <w:sz w:val="18"/>
          <w:szCs w:val="18"/>
          <w:color w:val="auto"/>
        </w:rPr>
      </w:pPr>
    </w:p>
    <w:p>
      <w:pPr>
        <w:ind w:left="1224" w:hanging="233"/>
        <w:spacing w:after="0"/>
        <w:tabs>
          <w:tab w:leader="none" w:pos="1224" w:val="left"/>
        </w:tabs>
        <w:numPr>
          <w:ilvl w:val="2"/>
          <w:numId w:val="386"/>
        </w:numPr>
        <w:rPr>
          <w:rFonts w:ascii="Arial" w:cs="Arial" w:eastAsia="Arial" w:hAnsi="Arial"/>
          <w:sz w:val="17"/>
          <w:szCs w:val="17"/>
          <w:color w:val="auto"/>
        </w:rPr>
      </w:pPr>
      <w:r>
        <w:rPr>
          <w:rFonts w:ascii="Arial" w:cs="Arial" w:eastAsia="Arial" w:hAnsi="Arial"/>
          <w:sz w:val="17"/>
          <w:szCs w:val="17"/>
          <w:color w:val="auto"/>
        </w:rPr>
        <w:t>Purchaser represents that Purchaser is not subject to any of the “Bad Actor” disqualifications described in Rule 506(d)(1)(i) to</w:t>
      </w:r>
    </w:p>
    <w:p>
      <w:pPr>
        <w:spacing w:after="0" w:line="34" w:lineRule="exact"/>
        <w:rPr>
          <w:rFonts w:ascii="Arial" w:cs="Arial" w:eastAsia="Arial" w:hAnsi="Arial"/>
          <w:sz w:val="17"/>
          <w:szCs w:val="17"/>
          <w:color w:val="auto"/>
        </w:rPr>
      </w:pPr>
    </w:p>
    <w:p>
      <w:pPr>
        <w:ind w:left="404" w:hanging="404"/>
        <w:spacing w:after="0"/>
        <w:tabs>
          <w:tab w:leader="none" w:pos="404" w:val="left"/>
        </w:tabs>
        <w:numPr>
          <w:ilvl w:val="0"/>
          <w:numId w:val="387"/>
        </w:numPr>
        <w:rPr>
          <w:rFonts w:ascii="Arial" w:cs="Arial" w:eastAsia="Arial" w:hAnsi="Arial"/>
          <w:sz w:val="18"/>
          <w:szCs w:val="18"/>
          <w:color w:val="auto"/>
        </w:rPr>
      </w:pPr>
      <w:r>
        <w:rPr>
          <w:rFonts w:ascii="Arial" w:cs="Arial" w:eastAsia="Arial" w:hAnsi="Arial"/>
          <w:sz w:val="18"/>
          <w:szCs w:val="18"/>
          <w:color w:val="auto"/>
        </w:rPr>
        <w:t xml:space="preserve">under the Securities Act (attached hereto as </w:t>
      </w:r>
      <w:r>
        <w:rPr>
          <w:rFonts w:ascii="Arial" w:cs="Arial" w:eastAsia="Arial" w:hAnsi="Arial"/>
          <w:sz w:val="18"/>
          <w:szCs w:val="18"/>
          <w:u w:val="single" w:color="auto"/>
          <w:color w:val="auto"/>
        </w:rPr>
        <w:t>Annex I</w:t>
      </w:r>
      <w:r>
        <w:rPr>
          <w:rFonts w:ascii="Arial" w:cs="Arial" w:eastAsia="Arial" w:hAnsi="Arial"/>
          <w:sz w:val="18"/>
          <w:szCs w:val="18"/>
          <w:color w:val="auto"/>
        </w:rPr>
        <w:t>).</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4"/>
          </w:cols>
          <w:pgMar w:left="436" w:top="270" w:right="439" w:bottom="1440" w:gutter="0" w:footer="0" w:header="0"/>
        </w:sectPr>
      </w:pPr>
    </w:p>
    <w:bookmarkStart w:id="395" w:name="page396"/>
    <w:bookmarkEnd w:id="395"/>
    <w:p>
      <w:pPr>
        <w:ind w:left="-20" w:right="80" w:firstLine="987"/>
        <w:spacing w:after="0" w:line="263" w:lineRule="auto"/>
        <w:tabs>
          <w:tab w:leader="none" w:pos="1226" w:val="left"/>
        </w:tabs>
        <w:numPr>
          <w:ilvl w:val="1"/>
          <w:numId w:val="3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Purchaser understands that Purchaser may suffer adverse tax consequences as a result of Purchaser’s purchase or disposition of the Shares. Purchaser represents that Purchaser has consulted any tax consultants Purchaser deems advisable in connection with the purchase or disposition of the Shares and that Purchaser is not relying on the Company for any tax advice.</w:t>
      </w:r>
    </w:p>
    <w:p>
      <w:pPr>
        <w:spacing w:after="0" w:line="71" w:lineRule="exact"/>
        <w:rPr>
          <w:rFonts w:ascii="Arial" w:cs="Arial" w:eastAsia="Arial" w:hAnsi="Arial"/>
          <w:sz w:val="18"/>
          <w:szCs w:val="18"/>
          <w:color w:val="auto"/>
        </w:rPr>
      </w:pPr>
    </w:p>
    <w:p>
      <w:pPr>
        <w:ind w:left="600" w:hanging="184"/>
        <w:spacing w:after="0"/>
        <w:tabs>
          <w:tab w:leader="none" w:pos="600" w:val="left"/>
        </w:tabs>
        <w:numPr>
          <w:ilvl w:val="0"/>
          <w:numId w:val="389"/>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Restrictive Legends and Stop-Transfer Orders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 w:right="20" w:firstLine="987"/>
        <w:spacing w:after="0" w:line="282" w:lineRule="auto"/>
        <w:tabs>
          <w:tab w:leader="none" w:pos="1216" w:val="left"/>
        </w:tabs>
        <w:numPr>
          <w:ilvl w:val="1"/>
          <w:numId w:val="389"/>
        </w:numPr>
        <w:rPr>
          <w:rFonts w:ascii="Arial" w:cs="Arial" w:eastAsia="Arial" w:hAnsi="Arial"/>
          <w:sz w:val="18"/>
          <w:szCs w:val="18"/>
          <w:color w:val="auto"/>
        </w:rPr>
      </w:pPr>
      <w:r>
        <w:rPr>
          <w:rFonts w:ascii="Arial" w:cs="Arial" w:eastAsia="Arial" w:hAnsi="Arial"/>
          <w:sz w:val="18"/>
          <w:szCs w:val="18"/>
          <w:b w:val="1"/>
          <w:bCs w:val="1"/>
          <w:u w:val="single" w:color="auto"/>
          <w:color w:val="auto"/>
        </w:rPr>
        <w:t>Legends</w:t>
      </w:r>
      <w:r>
        <w:rPr>
          <w:rFonts w:ascii="Arial" w:cs="Arial" w:eastAsia="Arial" w:hAnsi="Arial"/>
          <w:sz w:val="18"/>
          <w:szCs w:val="18"/>
          <w:color w:val="auto"/>
        </w:rPr>
        <w:t>. Any certificate or certificates representing the Shares shall bear the following legends (as well as any legends required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applicable state and federal corporate and securities laws):</w:t>
      </w:r>
    </w:p>
    <w:p>
      <w:pPr>
        <w:spacing w:after="0" w:line="57" w:lineRule="exact"/>
        <w:rPr>
          <w:rFonts w:ascii="Arial" w:cs="Arial" w:eastAsia="Arial" w:hAnsi="Arial"/>
          <w:sz w:val="18"/>
          <w:szCs w:val="18"/>
          <w:color w:val="auto"/>
        </w:rPr>
      </w:pPr>
    </w:p>
    <w:p>
      <w:pPr>
        <w:ind w:left="-20" w:firstLine="1428"/>
        <w:spacing w:after="0" w:line="257" w:lineRule="auto"/>
        <w:tabs>
          <w:tab w:leader="none" w:pos="1627" w:val="left"/>
        </w:tabs>
        <w:numPr>
          <w:ilvl w:val="2"/>
          <w:numId w:val="389"/>
        </w:numPr>
        <w:rPr>
          <w:rFonts w:ascii="Arial" w:cs="Arial" w:eastAsia="Arial" w:hAnsi="Arial"/>
          <w:sz w:val="18"/>
          <w:szCs w:val="18"/>
          <w:color w:val="auto"/>
        </w:rPr>
      </w:pPr>
      <w:r>
        <w:rPr>
          <w:rFonts w:ascii="Arial" w:cs="Arial" w:eastAsia="Arial" w:hAnsi="Arial"/>
          <w:sz w:val="18"/>
          <w:szCs w:val="18"/>
          <w:color w:val="auto"/>
        </w:rPr>
        <w:t>THE SHARES REPRESENTED BY THIS CERTIFICATE HAVE NOT BEEN REGISTERED UNDER THE SECURITIES ACT OF 1933, AND HAVE BEEN ACQUIRED FOR INVESTMENT AND NOT WITH A VIEW TO, OR IN CONNECTION WITH, THE SALE OR DISTRIBUTION THEREOF. NO SUCH SALE OR DISTRIBUTION MAY BE EFFECTED WITHOUT AN EFFECTIVE REGISTRATION STATEMENT RELATED THERETO OR AN OPINION OF COUNSEL FOR THE COMPANY THAT SUCH REGISTRATION IS NOT REQUIRED UNDER THE SECURITIES ACT OF 1933.</w:t>
      </w:r>
    </w:p>
    <w:p>
      <w:pPr>
        <w:spacing w:after="0" w:line="79" w:lineRule="exact"/>
        <w:rPr>
          <w:rFonts w:ascii="Arial" w:cs="Arial" w:eastAsia="Arial" w:hAnsi="Arial"/>
          <w:sz w:val="18"/>
          <w:szCs w:val="18"/>
          <w:color w:val="auto"/>
        </w:rPr>
      </w:pPr>
    </w:p>
    <w:p>
      <w:pPr>
        <w:ind w:left="-20" w:firstLine="1428"/>
        <w:spacing w:after="0" w:line="263" w:lineRule="auto"/>
        <w:tabs>
          <w:tab w:leader="none" w:pos="1677" w:val="left"/>
        </w:tabs>
        <w:numPr>
          <w:ilvl w:val="2"/>
          <w:numId w:val="389"/>
        </w:numPr>
        <w:rPr>
          <w:rFonts w:ascii="Arial" w:cs="Arial" w:eastAsia="Arial" w:hAnsi="Arial"/>
          <w:sz w:val="18"/>
          <w:szCs w:val="18"/>
          <w:color w:val="auto"/>
        </w:rPr>
      </w:pPr>
      <w:r>
        <w:rPr>
          <w:rFonts w:ascii="Arial" w:cs="Arial" w:eastAsia="Arial" w:hAnsi="Arial"/>
          <w:sz w:val="18"/>
          <w:szCs w:val="18"/>
          <w:color w:val="auto"/>
        </w:rPr>
        <w:t>THE SHARES REPRESENTED BY THIS CERTIFICATE MAY BE TRANSFERRED ONLY IN ACCORDANCE WITH THE TERMS OF AN AGREEMENT BETWEEN THE COMPANY AND THE HOLDER, A COPY OF WHICH IS ON FILE WITH AND MAY BE OBTAINED FROM THE SECRETARY OF THE COMPANY AT NO CHARGE.</w:t>
      </w:r>
    </w:p>
    <w:p>
      <w:pPr>
        <w:spacing w:after="0" w:line="75" w:lineRule="exact"/>
        <w:rPr>
          <w:rFonts w:ascii="Arial" w:cs="Arial" w:eastAsia="Arial" w:hAnsi="Arial"/>
          <w:sz w:val="18"/>
          <w:szCs w:val="18"/>
          <w:color w:val="auto"/>
        </w:rPr>
      </w:pPr>
    </w:p>
    <w:p>
      <w:pPr>
        <w:ind w:left="-20" w:firstLine="1428"/>
        <w:spacing w:after="0" w:line="255" w:lineRule="auto"/>
        <w:tabs>
          <w:tab w:leader="none" w:pos="1727" w:val="left"/>
        </w:tabs>
        <w:numPr>
          <w:ilvl w:val="2"/>
          <w:numId w:val="389"/>
        </w:numPr>
        <w:rPr>
          <w:rFonts w:ascii="Arial" w:cs="Arial" w:eastAsia="Arial" w:hAnsi="Arial"/>
          <w:sz w:val="18"/>
          <w:szCs w:val="18"/>
          <w:color w:val="auto"/>
        </w:rPr>
      </w:pPr>
      <w:r>
        <w:rPr>
          <w:rFonts w:ascii="Arial" w:cs="Arial" w:eastAsia="Arial" w:hAnsi="Arial"/>
          <w:sz w:val="18"/>
          <w:szCs w:val="18"/>
          <w:color w:val="auto"/>
        </w:rPr>
        <w:t>THE TRANSFER OF THE SHARES REPRESENTED BY THIS CERTIFICATE IS SUBJECT TO RESTRICTIONS REQUIRING APPROVAL OF THE BOARD OF DIRECTORS PURSUANT TO AND IN ACCORDANCE WITH ARTICLE X OF THE AMENDED AND RESTATED BYLAWS OF THE COMPANY, COPIES OF WHICH MAY BE OBTAINED UPON WRITTEN REQUEST TO THE COMPANY AT ITS PRINCIPAL PLACE OF BUSINESS. THE COMPANY SHALL NOT REGISTER OR OTHERWISE RECOGNIZE OR GIVE EFFECT TO ANY PURPORTED TRANSFER OF SHARES OF STOCK THAT DOES NOT COMPLY WITH ARTICLEX OF THE AMENDED AND RESTATED BYLAWS OF THE COMPANY.</w:t>
      </w:r>
    </w:p>
    <w:p>
      <w:pPr>
        <w:spacing w:after="0" w:line="84" w:lineRule="exact"/>
        <w:rPr>
          <w:rFonts w:ascii="Arial" w:cs="Arial" w:eastAsia="Arial" w:hAnsi="Arial"/>
          <w:sz w:val="18"/>
          <w:szCs w:val="18"/>
          <w:color w:val="auto"/>
        </w:rPr>
      </w:pPr>
    </w:p>
    <w:p>
      <w:pPr>
        <w:ind w:left="1720" w:hanging="312"/>
        <w:spacing w:after="0"/>
        <w:tabs>
          <w:tab w:leader="none" w:pos="1720" w:val="left"/>
        </w:tabs>
        <w:numPr>
          <w:ilvl w:val="2"/>
          <w:numId w:val="389"/>
        </w:numPr>
        <w:rPr>
          <w:rFonts w:ascii="Arial" w:cs="Arial" w:eastAsia="Arial" w:hAnsi="Arial"/>
          <w:sz w:val="18"/>
          <w:szCs w:val="18"/>
          <w:color w:val="auto"/>
        </w:rPr>
      </w:pPr>
      <w:r>
        <w:rPr>
          <w:rFonts w:ascii="Arial" w:cs="Arial" w:eastAsia="Arial" w:hAnsi="Arial"/>
          <w:sz w:val="18"/>
          <w:szCs w:val="18"/>
          <w:color w:val="auto"/>
        </w:rPr>
        <w:t>Any legend required by the Voting Agreement, as applicable.</w:t>
      </w:r>
    </w:p>
    <w:p>
      <w:pPr>
        <w:spacing w:after="0" w:line="113" w:lineRule="exact"/>
        <w:rPr>
          <w:rFonts w:ascii="Arial" w:cs="Arial" w:eastAsia="Arial" w:hAnsi="Arial"/>
          <w:sz w:val="18"/>
          <w:szCs w:val="18"/>
          <w:color w:val="auto"/>
        </w:rPr>
      </w:pPr>
    </w:p>
    <w:p>
      <w:pPr>
        <w:ind w:left="-20" w:right="40" w:firstLine="987"/>
        <w:spacing w:after="0" w:line="266" w:lineRule="auto"/>
        <w:tabs>
          <w:tab w:leader="none" w:pos="1226" w:val="left"/>
        </w:tabs>
        <w:numPr>
          <w:ilvl w:val="1"/>
          <w:numId w:val="389"/>
        </w:numPr>
        <w:rPr>
          <w:rFonts w:ascii="Arial" w:cs="Arial" w:eastAsia="Arial" w:hAnsi="Arial"/>
          <w:sz w:val="18"/>
          <w:szCs w:val="18"/>
          <w:color w:val="auto"/>
        </w:rPr>
      </w:pPr>
      <w:r>
        <w:rPr>
          <w:rFonts w:ascii="Arial" w:cs="Arial" w:eastAsia="Arial" w:hAnsi="Arial"/>
          <w:sz w:val="18"/>
          <w:szCs w:val="18"/>
          <w:b w:val="1"/>
          <w:bCs w:val="1"/>
          <w:u w:val="single" w:color="auto"/>
          <w:color w:val="auto"/>
        </w:rPr>
        <w:t>Stop-Transfer Notices</w:t>
      </w:r>
      <w:r>
        <w:rPr>
          <w:rFonts w:ascii="Arial" w:cs="Arial" w:eastAsia="Arial" w:hAnsi="Arial"/>
          <w:sz w:val="18"/>
          <w:szCs w:val="18"/>
          <w:color w:val="auto"/>
        </w:rPr>
        <w:t>. Purchaser agrees that, in order to ensure compliance with the restrictions referred to herein, the Company may</w:t>
      </w:r>
      <w:r>
        <w:rPr>
          <w:rFonts w:ascii="Arial" w:cs="Arial" w:eastAsia="Arial" w:hAnsi="Arial"/>
          <w:sz w:val="18"/>
          <w:szCs w:val="18"/>
          <w:b w:val="1"/>
          <w:bCs w:val="1"/>
          <w:color w:val="auto"/>
        </w:rPr>
        <w:t xml:space="preserve"> </w:t>
      </w:r>
      <w:r>
        <w:rPr>
          <w:rFonts w:ascii="Arial" w:cs="Arial" w:eastAsia="Arial" w:hAnsi="Arial"/>
          <w:sz w:val="18"/>
          <w:szCs w:val="18"/>
          <w:color w:val="auto"/>
        </w:rPr>
        <w:t>issue appropriate “stop transfer” instructions to its transfer agent, if any, and that, if the Company transfers its own securities, it may make appropriate notations to the same effect in its own records.</w:t>
      </w:r>
    </w:p>
    <w:p>
      <w:pPr>
        <w:spacing w:after="0" w:line="67" w:lineRule="exact"/>
        <w:rPr>
          <w:rFonts w:ascii="Arial" w:cs="Arial" w:eastAsia="Arial" w:hAnsi="Arial"/>
          <w:sz w:val="18"/>
          <w:szCs w:val="18"/>
          <w:color w:val="auto"/>
        </w:rPr>
      </w:pPr>
    </w:p>
    <w:p>
      <w:pPr>
        <w:ind w:left="-20" w:right="100" w:firstLine="987"/>
        <w:spacing w:after="0" w:line="266" w:lineRule="auto"/>
        <w:tabs>
          <w:tab w:leader="none" w:pos="1216" w:val="left"/>
        </w:tabs>
        <w:numPr>
          <w:ilvl w:val="1"/>
          <w:numId w:val="389"/>
        </w:numPr>
        <w:rPr>
          <w:rFonts w:ascii="Arial" w:cs="Arial" w:eastAsia="Arial" w:hAnsi="Arial"/>
          <w:sz w:val="18"/>
          <w:szCs w:val="18"/>
          <w:color w:val="auto"/>
        </w:rPr>
      </w:pPr>
      <w:r>
        <w:rPr>
          <w:rFonts w:ascii="Arial" w:cs="Arial" w:eastAsia="Arial" w:hAnsi="Arial"/>
          <w:sz w:val="18"/>
          <w:szCs w:val="18"/>
          <w:b w:val="1"/>
          <w:bCs w:val="1"/>
          <w:u w:val="single" w:color="auto"/>
          <w:color w:val="auto"/>
        </w:rPr>
        <w:t>Refusal to Transfer</w:t>
      </w:r>
      <w:r>
        <w:rPr>
          <w:rFonts w:ascii="Arial" w:cs="Arial" w:eastAsia="Arial" w:hAnsi="Arial"/>
          <w:sz w:val="18"/>
          <w:szCs w:val="18"/>
          <w:color w:val="auto"/>
        </w:rPr>
        <w:t>. The Company shall not be required (i) to transfer on its books any Shares that have been sold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transferred in violation of any of the provisions of this Agreement or (ii) to treat as owner of such Shares or to accord the right to vote or pay dividends to any purchaser or other transferee to whom such Shares shall have been so transferred.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460" w:top="274" w:right="479" w:bottom="1440" w:gutter="0" w:footer="0" w:header="0"/>
        </w:sectPr>
      </w:pPr>
    </w:p>
    <w:bookmarkStart w:id="396" w:name="page397"/>
    <w:bookmarkEnd w:id="396"/>
    <w:p>
      <w:pPr>
        <w:ind w:left="4" w:firstLine="987"/>
        <w:spacing w:after="0" w:line="254" w:lineRule="auto"/>
        <w:tabs>
          <w:tab w:leader="none" w:pos="1250" w:val="left"/>
        </w:tabs>
        <w:numPr>
          <w:ilvl w:val="2"/>
          <w:numId w:val="390"/>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Required Notices</w:t>
      </w:r>
      <w:r>
        <w:rPr>
          <w:rFonts w:ascii="Arial" w:cs="Arial" w:eastAsia="Arial" w:hAnsi="Arial"/>
          <w:sz w:val="18"/>
          <w:szCs w:val="18"/>
          <w:color w:val="auto"/>
        </w:rPr>
        <w:t>. Purchaser acknowledges that the Shares are issued and shall be held subject to all the provisions of this Section 6,</w:t>
      </w:r>
      <w:r>
        <w:rPr>
          <w:rFonts w:ascii="Arial" w:cs="Arial" w:eastAsia="Arial" w:hAnsi="Arial"/>
          <w:sz w:val="18"/>
          <w:szCs w:val="18"/>
          <w:b w:val="1"/>
          <w:bCs w:val="1"/>
          <w:color w:val="auto"/>
        </w:rPr>
        <w:t xml:space="preserve"> </w:t>
      </w:r>
      <w:r>
        <w:rPr>
          <w:rFonts w:ascii="Arial" w:cs="Arial" w:eastAsia="Arial" w:hAnsi="Arial"/>
          <w:sz w:val="18"/>
          <w:szCs w:val="18"/>
          <w:color w:val="auto"/>
        </w:rPr>
        <w:t>the Certificate of Incorporation and the Amended and Restated Bylaws of the Company and any amendments thereto, copies of which are on file at the principal office of the Company. A statement of all of the rights, preferences, privileges and restrictions granted to or imposed upon the respective classes and/or series of shares of stock of the Company and upon the holders thereof may be obtained by any stockholder upon request and without charge, at the principal office of the Company, and the Company will furnish any stockholder, upon request and without charge, a copy of such statement. Purchaser acknowledges that the provisions of this Section 6 shall constitute the notices required by Sections 151(f) and 202(a) of the Delaware General Corporation Law and the Purchaser hereby expressly waives the requirement of Section 151(f) of the Delaware General Corporation Law that it receive the written notice provided for in Sections 151(f) and 202(a) of the Delaware General Corporation Law within a reasonable time after the issuance of the Shares.</w:t>
      </w:r>
    </w:p>
    <w:p>
      <w:pPr>
        <w:spacing w:after="0" w:line="80" w:lineRule="exact"/>
        <w:rPr>
          <w:rFonts w:ascii="Arial" w:cs="Arial" w:eastAsia="Arial" w:hAnsi="Arial"/>
          <w:sz w:val="18"/>
          <w:szCs w:val="18"/>
          <w:color w:val="auto"/>
        </w:rPr>
      </w:pPr>
    </w:p>
    <w:p>
      <w:pPr>
        <w:ind w:left="4" w:right="360" w:firstLine="436"/>
        <w:spacing w:after="0" w:line="347" w:lineRule="auto"/>
        <w:tabs>
          <w:tab w:leader="none" w:pos="624" w:val="left"/>
        </w:tabs>
        <w:numPr>
          <w:ilvl w:val="1"/>
          <w:numId w:val="391"/>
        </w:numPr>
        <w:rPr>
          <w:rFonts w:ascii="Arial" w:cs="Arial" w:eastAsia="Arial" w:hAnsi="Arial"/>
          <w:sz w:val="16"/>
          <w:szCs w:val="16"/>
          <w:color w:val="auto"/>
        </w:rPr>
      </w:pPr>
      <w:r>
        <w:rPr>
          <w:rFonts w:ascii="Arial" w:cs="Arial" w:eastAsia="Arial" w:hAnsi="Arial"/>
          <w:sz w:val="16"/>
          <w:szCs w:val="16"/>
          <w:b w:val="1"/>
          <w:bCs w:val="1"/>
          <w:u w:val="single" w:color="auto"/>
          <w:color w:val="auto"/>
        </w:rPr>
        <w:t>No Employment Rights</w:t>
      </w:r>
      <w:r>
        <w:rPr>
          <w:rFonts w:ascii="Arial" w:cs="Arial" w:eastAsia="Arial" w:hAnsi="Arial"/>
          <w:sz w:val="16"/>
          <w:szCs w:val="16"/>
          <w:color w:val="auto"/>
        </w:rPr>
        <w:t>. Nothing in this Agreement shall affect in any manner whatsoever the right or power of the Company, or a parent,</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subsidiary or affiliate of the Company, to terminate Purchaser’s employment or consulting relationship, for any reason, with or without cause.</w:t>
      </w:r>
    </w:p>
    <w:p>
      <w:pPr>
        <w:spacing w:after="0" w:line="7" w:lineRule="exact"/>
        <w:rPr>
          <w:rFonts w:ascii="Arial" w:cs="Arial" w:eastAsia="Arial" w:hAnsi="Arial"/>
          <w:sz w:val="16"/>
          <w:szCs w:val="16"/>
          <w:color w:val="auto"/>
        </w:rPr>
      </w:pPr>
    </w:p>
    <w:p>
      <w:pPr>
        <w:ind w:left="4" w:right="160" w:firstLine="436"/>
        <w:spacing w:after="0" w:line="286" w:lineRule="auto"/>
        <w:tabs>
          <w:tab w:leader="none" w:pos="624" w:val="left"/>
        </w:tabs>
        <w:numPr>
          <w:ilvl w:val="1"/>
          <w:numId w:val="391"/>
        </w:numPr>
        <w:rPr>
          <w:rFonts w:ascii="Arial" w:cs="Arial" w:eastAsia="Arial" w:hAnsi="Arial"/>
          <w:sz w:val="16"/>
          <w:szCs w:val="16"/>
          <w:color w:val="auto"/>
        </w:rPr>
      </w:pPr>
      <w:r>
        <w:rPr>
          <w:rFonts w:ascii="Arial" w:cs="Arial" w:eastAsia="Arial" w:hAnsi="Arial"/>
          <w:sz w:val="16"/>
          <w:szCs w:val="16"/>
          <w:b w:val="1"/>
          <w:bCs w:val="1"/>
          <w:u w:val="single" w:color="auto"/>
          <w:color w:val="auto"/>
        </w:rPr>
        <w:t>Section 83(b) Election</w:t>
      </w:r>
      <w:r>
        <w:rPr>
          <w:rFonts w:ascii="Arial" w:cs="Arial" w:eastAsia="Arial" w:hAnsi="Arial"/>
          <w:sz w:val="16"/>
          <w:szCs w:val="16"/>
          <w:color w:val="auto"/>
        </w:rPr>
        <w:t>. Purchaser understands that Section 83(a)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taxes as</w:t>
      </w:r>
      <w:r>
        <w:rPr>
          <w:rFonts w:ascii="Arial" w:cs="Arial" w:eastAsia="Arial" w:hAnsi="Arial"/>
          <w:sz w:val="16"/>
          <w:szCs w:val="16"/>
          <w:b w:val="1"/>
          <w:bCs w:val="1"/>
          <w:color w:val="auto"/>
        </w:rPr>
        <w:t xml:space="preserve"> </w:t>
      </w:r>
      <w:r>
        <w:rPr>
          <w:rFonts w:ascii="Arial" w:cs="Arial" w:eastAsia="Arial" w:hAnsi="Arial"/>
          <w:sz w:val="16"/>
          <w:szCs w:val="16"/>
          <w:color w:val="auto"/>
        </w:rPr>
        <w:t>ordinary income the difference between the amount paid for the Shares and the Fair Market Value of the Shares as of the date any restrictions on the Shares lapse. In this context, “</w:t>
      </w:r>
      <w:r>
        <w:rPr>
          <w:rFonts w:ascii="Arial" w:cs="Arial" w:eastAsia="Arial" w:hAnsi="Arial"/>
          <w:sz w:val="16"/>
          <w:szCs w:val="16"/>
          <w:u w:val="single" w:color="auto"/>
          <w:color w:val="auto"/>
        </w:rPr>
        <w:t>restriction</w:t>
      </w:r>
      <w:r>
        <w:rPr>
          <w:rFonts w:ascii="Arial" w:cs="Arial" w:eastAsia="Arial" w:hAnsi="Arial"/>
          <w:sz w:val="16"/>
          <w:szCs w:val="16"/>
          <w:color w:val="auto"/>
        </w:rPr>
        <w:t>” means the right of the Company to buy back the Shares pursuant to the Repurchase Option set forth in Section 3(a) above. Purchaser understands that Purchaser may elect to be taxed at the time the Shares are purchased, rather than when and as the Repurchase Option expires, by filing an election under Section 83(b) (an “</w:t>
      </w:r>
      <w:r>
        <w:rPr>
          <w:rFonts w:ascii="Arial" w:cs="Arial" w:eastAsia="Arial" w:hAnsi="Arial"/>
          <w:sz w:val="16"/>
          <w:szCs w:val="16"/>
          <w:u w:val="single" w:color="auto"/>
          <w:color w:val="auto"/>
        </w:rPr>
        <w:t>83(b) Election</w:t>
      </w:r>
      <w:r>
        <w:rPr>
          <w:rFonts w:ascii="Arial" w:cs="Arial" w:eastAsia="Arial" w:hAnsi="Arial"/>
          <w:sz w:val="16"/>
          <w:szCs w:val="16"/>
          <w:color w:val="auto"/>
        </w:rPr>
        <w:t>”) of the Code with the Internal Revenue Service within thirty</w:t>
      </w:r>
    </w:p>
    <w:p>
      <w:pPr>
        <w:spacing w:after="0" w:line="2" w:lineRule="exact"/>
        <w:rPr>
          <w:rFonts w:ascii="Arial" w:cs="Arial" w:eastAsia="Arial" w:hAnsi="Arial"/>
          <w:sz w:val="16"/>
          <w:szCs w:val="16"/>
          <w:color w:val="auto"/>
        </w:rPr>
      </w:pPr>
    </w:p>
    <w:p>
      <w:pPr>
        <w:ind w:left="4" w:right="20" w:hanging="4"/>
        <w:spacing w:after="0" w:line="284" w:lineRule="auto"/>
        <w:tabs>
          <w:tab w:leader="none" w:pos="349" w:val="left"/>
        </w:tabs>
        <w:numPr>
          <w:ilvl w:val="0"/>
          <w:numId w:val="392"/>
        </w:numPr>
        <w:rPr>
          <w:rFonts w:ascii="Arial" w:cs="Arial" w:eastAsia="Arial" w:hAnsi="Arial"/>
          <w:sz w:val="16"/>
          <w:szCs w:val="16"/>
          <w:color w:val="auto"/>
        </w:rPr>
      </w:pPr>
      <w:r>
        <w:rPr>
          <w:rFonts w:ascii="Arial" w:cs="Arial" w:eastAsia="Arial" w:hAnsi="Arial"/>
          <w:sz w:val="16"/>
          <w:szCs w:val="16"/>
          <w:color w:val="auto"/>
        </w:rPr>
        <w:t>days from the date of purchase. Even if the Fair Market Value of the Shares at the time of the execution of this Agreement equals the amount paid for the Shares, the election must be made to avoid income under Section 83(a) in the future. Purchaser understands that failure to file such an election in a timely manner may result in adverse tax consequences for Purchaser. Purchaser further understands that an additional copy of such election form should be filed with Purchaser’s federal income tax return for the calendar year in which the date of this Agreement falls. Purchaser acknowledges that the foregoing is only a summary of the effect of United States federal income taxation with respect to purchase of the Shares hereunder, does not purport to be complete, and is not intended or written to be used, and cannot be used, for the purposes of avoiding taxpayer penalties. Purchaser further acknowledges that the Company has directed Purchaser to seek independent advice regarding the applicable provisions of the Code, the income tax laws of any municipality, state or foreign country in which Purchaser may reside, and the tax consequences of Purchaser’s death, and Purchaser has consulted, and has been fully advised by, Purchaser’s own tax advisor regarding such tax laws and tax consequences or has knowingly chosen not to consult such a tax advisor. Purchaser further acknowledges that neither the Company nor any subsidiary or representative of the Company has made any warranty or representation to Purchaser with respect to the tax consequences of Purchaser’s purchase of the Shares or of the making or failure to make an 83(b) Election. PURCHASER (AND NOT THE COMPANY, ITS AGENTS OR ANY OTHER PERSON) SHALL BE SOLELY RESPONSIBLE FOR APPROPRIATELY FILING SUCH FORM WITH THE IRS, EVEN IF PURCHASER REQUESTS THE COMPANY, ITS AGENTS OR ANY OTHER PERSON MAKE THIS FILING ON PURCHASER’S BEHALF.</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0" w:right="459" w:bottom="1440" w:gutter="0" w:footer="0" w:header="0"/>
        </w:sectPr>
      </w:pPr>
    </w:p>
    <w:bookmarkStart w:id="397" w:name="page398"/>
    <w:bookmarkEnd w:id="397"/>
    <w:p>
      <w:pPr>
        <w:ind w:right="28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Purchaser agrees that Purchaser will execute and deliver to the Company with this executed Agreement a copy of the ACKNOWLEDGMENT and Statement of Decision Regarding Section 83(b) Election (the “</w:t>
      </w:r>
      <w:r>
        <w:rPr>
          <w:rFonts w:ascii="Arial" w:cs="Arial" w:eastAsia="Arial" w:hAnsi="Arial"/>
          <w:sz w:val="18"/>
          <w:szCs w:val="18"/>
          <w:u w:val="single" w:color="auto"/>
          <w:color w:val="auto"/>
        </w:rPr>
        <w:t>Acknowledgment</w:t>
      </w:r>
      <w:r>
        <w:rPr>
          <w:rFonts w:ascii="Arial" w:cs="Arial" w:eastAsia="Arial" w:hAnsi="Arial"/>
          <w:sz w:val="18"/>
          <w:szCs w:val="18"/>
          <w:color w:val="auto"/>
        </w:rPr>
        <w:t xml:space="preserve">”),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and, if Purchaser decides to make an 83(b) Election, a copy of the 83(b) Election,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72" w:lineRule="exact"/>
        <w:rPr>
          <w:sz w:val="20"/>
          <w:szCs w:val="20"/>
          <w:color w:val="auto"/>
        </w:rPr>
      </w:pPr>
    </w:p>
    <w:p>
      <w:pPr>
        <w:ind w:firstLine="436"/>
        <w:spacing w:after="0" w:line="269" w:lineRule="auto"/>
        <w:tabs>
          <w:tab w:leader="none" w:pos="620" w:val="left"/>
        </w:tabs>
        <w:numPr>
          <w:ilvl w:val="0"/>
          <w:numId w:val="393"/>
        </w:numPr>
        <w:rPr>
          <w:rFonts w:ascii="Arial" w:cs="Arial" w:eastAsia="Arial" w:hAnsi="Arial"/>
          <w:sz w:val="17"/>
          <w:szCs w:val="17"/>
          <w:color w:val="auto"/>
        </w:rPr>
      </w:pPr>
      <w:r>
        <w:rPr>
          <w:rFonts w:ascii="Arial" w:cs="Arial" w:eastAsia="Arial" w:hAnsi="Arial"/>
          <w:sz w:val="17"/>
          <w:szCs w:val="17"/>
          <w:b w:val="1"/>
          <w:bCs w:val="1"/>
          <w:u w:val="single" w:color="auto"/>
          <w:color w:val="auto"/>
        </w:rPr>
        <w:t>Lock-Up Agreement</w:t>
      </w:r>
      <w:r>
        <w:rPr>
          <w:rFonts w:ascii="Arial" w:cs="Arial" w:eastAsia="Arial" w:hAnsi="Arial"/>
          <w:sz w:val="17"/>
          <w:szCs w:val="17"/>
          <w:color w:val="auto"/>
        </w:rPr>
        <w:t>. In connection with the initial public offering of the Company’s securities and upon request of the Company or the</w:t>
      </w:r>
      <w:r>
        <w:rPr>
          <w:rFonts w:ascii="Arial" w:cs="Arial" w:eastAsia="Arial" w:hAnsi="Arial"/>
          <w:sz w:val="17"/>
          <w:szCs w:val="17"/>
          <w:b w:val="1"/>
          <w:bCs w:val="1"/>
          <w:color w:val="auto"/>
        </w:rPr>
        <w:t xml:space="preserve"> </w:t>
      </w:r>
      <w:r>
        <w:rPr>
          <w:rFonts w:ascii="Arial" w:cs="Arial" w:eastAsia="Arial" w:hAnsi="Arial"/>
          <w:sz w:val="17"/>
          <w:szCs w:val="17"/>
          <w:color w:val="auto"/>
        </w:rPr>
        <w:t>underwriters managing any underwritten offering of the Company’s securities, Purchaser agrees not to sell, make any short sale of, loan, grant any option for the purchase of, or otherwise dispose of any securities of the Company however or whenever acquired (other than those included in the registration) without the prior written consent of the Company or such underwriters, as the case may be, for such period of time (not to exceed 180 days) from the effective date of such registration as may be requested by the Company or such managing underwriters and to execute an agreement reflecting the foregoing as may be requested by the underwriters at the time of the public offering; provided however that, if during the last 17 days of the restricted period the Company issues an earnings release or material news or a material event relating to the Company occurs, or prior to the expiration of the restricted period the Company announces that it will release earnings results during the 16-day period beginning on the last day of the restricted period, then, upon the request of the managing underwriter, to the extent required by any FINRA rules, the restrictions imposed by this Section 9 shall continue to apply until the end of the third trading day following the expiration of the 15-day period beginning on the issuance of the earnings release or the occurrence of the material news or material event. In no event will the restricted period extend beyond 216 days after the effective date of the registration statement.</w:t>
      </w:r>
    </w:p>
    <w:p>
      <w:pPr>
        <w:spacing w:after="0" w:line="70" w:lineRule="exact"/>
        <w:rPr>
          <w:rFonts w:ascii="Arial" w:cs="Arial" w:eastAsia="Arial" w:hAnsi="Arial"/>
          <w:sz w:val="17"/>
          <w:szCs w:val="17"/>
          <w:color w:val="auto"/>
        </w:rPr>
      </w:pPr>
    </w:p>
    <w:p>
      <w:pPr>
        <w:jc w:val="both"/>
        <w:ind w:firstLine="436"/>
        <w:spacing w:after="0" w:line="261" w:lineRule="auto"/>
        <w:tabs>
          <w:tab w:leader="none" w:pos="710" w:val="left"/>
        </w:tabs>
        <w:numPr>
          <w:ilvl w:val="0"/>
          <w:numId w:val="393"/>
        </w:numPr>
        <w:rPr>
          <w:rFonts w:ascii="Arial" w:cs="Arial" w:eastAsia="Arial" w:hAnsi="Arial"/>
          <w:sz w:val="18"/>
          <w:szCs w:val="18"/>
          <w:color w:val="auto"/>
        </w:rPr>
      </w:pPr>
      <w:r>
        <w:rPr>
          <w:rFonts w:ascii="Arial" w:cs="Arial" w:eastAsia="Arial" w:hAnsi="Arial"/>
          <w:sz w:val="18"/>
          <w:szCs w:val="18"/>
          <w:b w:val="1"/>
          <w:bCs w:val="1"/>
          <w:u w:val="single" w:color="auto"/>
          <w:color w:val="auto"/>
        </w:rPr>
        <w:t>Voting Agreement</w:t>
      </w:r>
      <w:r>
        <w:rPr>
          <w:rFonts w:ascii="Arial" w:cs="Arial" w:eastAsia="Arial" w:hAnsi="Arial"/>
          <w:sz w:val="18"/>
          <w:szCs w:val="18"/>
          <w:color w:val="auto"/>
        </w:rPr>
        <w:t>. By signing this Agreement, Purchaser agrees to execute and deliver a counterpart signature page to that certain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and Restated Voting Agreement dated July 18, 2012, by and among the Company and certain of its stockholders (as may be amended from time to time) (the “</w:t>
      </w:r>
      <w:r>
        <w:rPr>
          <w:rFonts w:ascii="Arial" w:cs="Arial" w:eastAsia="Arial" w:hAnsi="Arial"/>
          <w:sz w:val="18"/>
          <w:szCs w:val="18"/>
          <w:u w:val="single" w:color="auto"/>
          <w:color w:val="auto"/>
        </w:rPr>
        <w:t>Voting Agreement</w:t>
      </w:r>
      <w:r>
        <w:rPr>
          <w:rFonts w:ascii="Arial" w:cs="Arial" w:eastAsia="Arial" w:hAnsi="Arial"/>
          <w:sz w:val="18"/>
          <w:szCs w:val="18"/>
          <w:color w:val="auto"/>
        </w:rPr>
        <w:t>”) so as to become a party thereto, and to be bound by the terms and conditions thereof, as a 1% Holder (as defined in the Voting Agreement).</w:t>
      </w:r>
    </w:p>
    <w:p>
      <w:pPr>
        <w:spacing w:after="0" w:line="71" w:lineRule="exact"/>
        <w:rPr>
          <w:rFonts w:ascii="Arial" w:cs="Arial" w:eastAsia="Arial" w:hAnsi="Arial"/>
          <w:sz w:val="18"/>
          <w:szCs w:val="18"/>
          <w:color w:val="auto"/>
        </w:rPr>
      </w:pPr>
    </w:p>
    <w:p>
      <w:pPr>
        <w:jc w:val="both"/>
        <w:ind w:right="180" w:firstLine="436"/>
        <w:spacing w:after="0" w:line="314" w:lineRule="auto"/>
        <w:tabs>
          <w:tab w:leader="none" w:pos="703" w:val="left"/>
        </w:tabs>
        <w:numPr>
          <w:ilvl w:val="0"/>
          <w:numId w:val="393"/>
        </w:numPr>
        <w:rPr>
          <w:rFonts w:ascii="Arial" w:cs="Arial" w:eastAsia="Arial" w:hAnsi="Arial"/>
          <w:sz w:val="16"/>
          <w:szCs w:val="16"/>
          <w:color w:val="auto"/>
        </w:rPr>
      </w:pPr>
      <w:r>
        <w:rPr>
          <w:rFonts w:ascii="Arial" w:cs="Arial" w:eastAsia="Arial" w:hAnsi="Arial"/>
          <w:sz w:val="16"/>
          <w:szCs w:val="16"/>
          <w:b w:val="1"/>
          <w:bCs w:val="1"/>
          <w:u w:val="single" w:color="auto"/>
          <w:color w:val="auto"/>
        </w:rPr>
        <w:t>Stock Transfer Restrictions</w:t>
      </w:r>
      <w:r>
        <w:rPr>
          <w:rFonts w:ascii="Arial" w:cs="Arial" w:eastAsia="Arial" w:hAnsi="Arial"/>
          <w:sz w:val="16"/>
          <w:szCs w:val="16"/>
          <w:color w:val="auto"/>
        </w:rPr>
        <w:t>. Purchaser acknowledges that the Shares are subject to a restriction on transfer as described in Article X of the</w:t>
      </w:r>
      <w:r>
        <w:rPr>
          <w:rFonts w:ascii="Arial" w:cs="Arial" w:eastAsia="Arial" w:hAnsi="Arial"/>
          <w:sz w:val="16"/>
          <w:szCs w:val="16"/>
          <w:b w:val="1"/>
          <w:bCs w:val="1"/>
          <w:color w:val="auto"/>
        </w:rPr>
        <w:t xml:space="preserve"> </w:t>
      </w:r>
      <w:r>
        <w:rPr>
          <w:rFonts w:ascii="Arial" w:cs="Arial" w:eastAsia="Arial" w:hAnsi="Arial"/>
          <w:sz w:val="16"/>
          <w:szCs w:val="16"/>
          <w:color w:val="auto"/>
        </w:rPr>
        <w:t>Amended and Restated Bylaws of the Company, that such Shares constitute Restricted Shares (as defined in the Amended and Restated Bylaws of the Company), and that the approval of the Company’s Board of Directors must be obtained before Purchaser can transfer any such Shares.</w:t>
      </w:r>
    </w:p>
    <w:p>
      <w:pPr>
        <w:spacing w:after="0" w:line="33" w:lineRule="exact"/>
        <w:rPr>
          <w:rFonts w:ascii="Arial" w:cs="Arial" w:eastAsia="Arial" w:hAnsi="Arial"/>
          <w:sz w:val="16"/>
          <w:szCs w:val="16"/>
          <w:color w:val="auto"/>
        </w:rPr>
      </w:pPr>
    </w:p>
    <w:p>
      <w:pPr>
        <w:ind w:right="20" w:firstLine="436"/>
        <w:spacing w:after="0" w:line="277" w:lineRule="auto"/>
        <w:tabs>
          <w:tab w:leader="none" w:pos="710" w:val="left"/>
        </w:tabs>
        <w:numPr>
          <w:ilvl w:val="0"/>
          <w:numId w:val="393"/>
        </w:numPr>
        <w:rPr>
          <w:rFonts w:ascii="Arial" w:cs="Arial" w:eastAsia="Arial" w:hAnsi="Arial"/>
          <w:sz w:val="17"/>
          <w:szCs w:val="17"/>
          <w:color w:val="auto"/>
        </w:rPr>
      </w:pPr>
      <w:r>
        <w:rPr>
          <w:rFonts w:ascii="Arial" w:cs="Arial" w:eastAsia="Arial" w:hAnsi="Arial"/>
          <w:sz w:val="17"/>
          <w:szCs w:val="17"/>
          <w:b w:val="1"/>
          <w:bCs w:val="1"/>
          <w:u w:val="single" w:color="auto"/>
          <w:color w:val="auto"/>
        </w:rPr>
        <w:t>Waiver of Statutory Information Rights</w:t>
      </w:r>
      <w:r>
        <w:rPr>
          <w:rFonts w:ascii="Arial" w:cs="Arial" w:eastAsia="Arial" w:hAnsi="Arial"/>
          <w:sz w:val="17"/>
          <w:szCs w:val="17"/>
          <w:color w:val="auto"/>
        </w:rPr>
        <w:t>. Purchaser acknowledges and understands that, but for the waiver made herein, Purchaser would be</w:t>
      </w:r>
      <w:r>
        <w:rPr>
          <w:rFonts w:ascii="Arial" w:cs="Arial" w:eastAsia="Arial" w:hAnsi="Arial"/>
          <w:sz w:val="17"/>
          <w:szCs w:val="17"/>
          <w:b w:val="1"/>
          <w:bCs w:val="1"/>
          <w:color w:val="auto"/>
        </w:rPr>
        <w:t xml:space="preserve"> </w:t>
      </w:r>
      <w:r>
        <w:rPr>
          <w:rFonts w:ascii="Arial" w:cs="Arial" w:eastAsia="Arial" w:hAnsi="Arial"/>
          <w:sz w:val="17"/>
          <w:szCs w:val="17"/>
          <w:color w:val="auto"/>
        </w:rPr>
        <w:t>entitled, upon written demand under oath stating the purpose thereof, to inspect for any proper purpose, and to make copies and extracts from, the Company’s stock ledger, a list of its stockholders, and its other books and records, and the books and records of subsidiaries of the Company, if any, under the circumstances and in the manner provided in Section 220 of the General Corporation Law of Delaware (any and all such rights, and any and all such other rights of Purchaser as may be provided for in Section 220, the “</w:t>
      </w:r>
      <w:r>
        <w:rPr>
          <w:rFonts w:ascii="Arial" w:cs="Arial" w:eastAsia="Arial" w:hAnsi="Arial"/>
          <w:sz w:val="17"/>
          <w:szCs w:val="17"/>
          <w:u w:val="single" w:color="auto"/>
          <w:color w:val="auto"/>
        </w:rPr>
        <w:t>Inspection Rights</w:t>
      </w:r>
      <w:r>
        <w:rPr>
          <w:rFonts w:ascii="Arial" w:cs="Arial" w:eastAsia="Arial" w:hAnsi="Arial"/>
          <w:sz w:val="17"/>
          <w:szCs w:val="17"/>
          <w:color w:val="auto"/>
        </w:rPr>
        <w: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398" w:name="page399"/>
    <w:bookmarkEnd w:id="398"/>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light of the foregoing, until the first sale of Company securities to the general public pursuant to a registration statement filed with and declared effective by the Securities and Exchange Commission under the Securities Act of 1933, as amended, Purchaser hereby unconditionally and irrevocably waives the Inspection Rights, whether such Inspection Rights would be exercised or pursued directly or indirectly pursuant to Section 220 or otherwise, and covenants and agrees never to directly or indirectly commence, voluntarily aid in any way, prosecute, assign, transfer, or cause to be commenced any claim, action, cause of action, or other proceeding to pursue or exercise the Inspection Rights. The foregoing waiver applies to the Inspection Rights of Purchaser in Purchaser’s capacity as a stockholder and shall not affect any rights of a director, in his or her capacity as such, under Section 220. The foregoing waiver shall not apply to any contractual inspection rights of Purchaser under any written agreement with the Company.</w:t>
      </w:r>
    </w:p>
    <w:p>
      <w:pPr>
        <w:spacing w:after="0" w:line="54" w:lineRule="exact"/>
        <w:rPr>
          <w:sz w:val="20"/>
          <w:szCs w:val="20"/>
          <w:color w:val="auto"/>
        </w:rPr>
      </w:pPr>
    </w:p>
    <w:p>
      <w:pPr>
        <w:ind w:left="700" w:hanging="264"/>
        <w:spacing w:after="0"/>
        <w:tabs>
          <w:tab w:leader="none" w:pos="700" w:val="left"/>
        </w:tabs>
        <w:numPr>
          <w:ilvl w:val="0"/>
          <w:numId w:val="394"/>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40" w:firstLine="987"/>
        <w:spacing w:after="0" w:line="258" w:lineRule="auto"/>
        <w:tabs>
          <w:tab w:leader="none" w:pos="1236" w:val="left"/>
        </w:tabs>
        <w:numPr>
          <w:ilvl w:val="1"/>
          <w:numId w:val="394"/>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Agreement and all acts and transactions pursuant hereto and the rights and obligations of the parties hereto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governed, construed and interpreted in accordance with the laws of the State of California, without giving effect to principles of conflicts of law. For purposes of litigating any dispute that may arise directly or indirectly from this Agreement, the parties hereby submit and consent to the exclusive jurisdiction of the State of California and agree that any such litigation shall be conducted only in the courts of California or the federal courts of the United States located in California and no other courts.</w:t>
      </w:r>
    </w:p>
    <w:p>
      <w:pPr>
        <w:spacing w:after="0" w:line="75" w:lineRule="exact"/>
        <w:rPr>
          <w:rFonts w:ascii="Arial" w:cs="Arial" w:eastAsia="Arial" w:hAnsi="Arial"/>
          <w:sz w:val="18"/>
          <w:szCs w:val="18"/>
          <w:color w:val="auto"/>
        </w:rPr>
      </w:pPr>
    </w:p>
    <w:p>
      <w:pPr>
        <w:ind w:right="20" w:firstLine="987"/>
        <w:spacing w:after="0" w:line="303" w:lineRule="auto"/>
        <w:tabs>
          <w:tab w:leader="none" w:pos="1246" w:val="left"/>
        </w:tabs>
        <w:numPr>
          <w:ilvl w:val="1"/>
          <w:numId w:val="394"/>
        </w:numPr>
        <w:rPr>
          <w:rFonts w:ascii="Arial" w:cs="Arial" w:eastAsia="Arial" w:hAnsi="Arial"/>
          <w:sz w:val="16"/>
          <w:szCs w:val="16"/>
          <w:color w:val="auto"/>
        </w:rPr>
      </w:pPr>
      <w:r>
        <w:rPr>
          <w:rFonts w:ascii="Arial" w:cs="Arial" w:eastAsia="Arial" w:hAnsi="Arial"/>
          <w:sz w:val="16"/>
          <w:szCs w:val="16"/>
          <w:b w:val="1"/>
          <w:bCs w:val="1"/>
          <w:u w:val="single" w:color="auto"/>
          <w:color w:val="auto"/>
        </w:rPr>
        <w:t>Entire Agreement; Enforcement of Rights</w:t>
      </w:r>
      <w:r>
        <w:rPr>
          <w:rFonts w:ascii="Arial" w:cs="Arial" w:eastAsia="Arial" w:hAnsi="Arial"/>
          <w:sz w:val="16"/>
          <w:szCs w:val="16"/>
          <w:color w:val="auto"/>
        </w:rPr>
        <w:t>. This Agreement, together with the Plan, sets forth the entire agreement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understanding of the parties relating to the subject matter herein and merges all prior or contemporaneous discussions between them. No modification of or amendment to this Agreement, nor any waiver of any rights under this Agreement, shall be effective unless in writing signed by the parties to this Agreement. The failure by either party to enforce any rights under this Agreement shall not be construed as a waiver of any rights of such party.</w:t>
      </w:r>
    </w:p>
    <w:p>
      <w:pPr>
        <w:spacing w:after="0" w:line="42" w:lineRule="exact"/>
        <w:rPr>
          <w:rFonts w:ascii="Arial" w:cs="Arial" w:eastAsia="Arial" w:hAnsi="Arial"/>
          <w:sz w:val="16"/>
          <w:szCs w:val="16"/>
          <w:color w:val="auto"/>
        </w:rPr>
      </w:pPr>
    </w:p>
    <w:p>
      <w:pPr>
        <w:ind w:right="80" w:firstLine="987"/>
        <w:spacing w:after="0" w:line="281" w:lineRule="auto"/>
        <w:tabs>
          <w:tab w:leader="none" w:pos="1236" w:val="left"/>
        </w:tabs>
        <w:numPr>
          <w:ilvl w:val="1"/>
          <w:numId w:val="394"/>
        </w:numPr>
        <w:rPr>
          <w:rFonts w:ascii="Arial" w:cs="Arial" w:eastAsia="Arial" w:hAnsi="Arial"/>
          <w:sz w:val="17"/>
          <w:szCs w:val="17"/>
          <w:color w:val="auto"/>
        </w:rPr>
      </w:pPr>
      <w:r>
        <w:rPr>
          <w:rFonts w:ascii="Arial" w:cs="Arial" w:eastAsia="Arial" w:hAnsi="Arial"/>
          <w:sz w:val="17"/>
          <w:szCs w:val="17"/>
          <w:b w:val="1"/>
          <w:bCs w:val="1"/>
          <w:u w:val="single" w:color="auto"/>
          <w:color w:val="auto"/>
        </w:rPr>
        <w:t>Severability</w:t>
      </w:r>
      <w:r>
        <w:rPr>
          <w:rFonts w:ascii="Arial" w:cs="Arial" w:eastAsia="Arial" w:hAnsi="Arial"/>
          <w:sz w:val="17"/>
          <w:szCs w:val="17"/>
          <w:color w:val="auto"/>
        </w:rPr>
        <w:t>. If one or more provisions of this Agreement are held to be unenforceable under Applicable Laws, the parties agree to</w:t>
      </w:r>
      <w:r>
        <w:rPr>
          <w:rFonts w:ascii="Arial" w:cs="Arial" w:eastAsia="Arial" w:hAnsi="Arial"/>
          <w:sz w:val="17"/>
          <w:szCs w:val="17"/>
          <w:b w:val="1"/>
          <w:bCs w:val="1"/>
          <w:color w:val="auto"/>
        </w:rPr>
        <w:t xml:space="preserve"> </w:t>
      </w:r>
      <w:r>
        <w:rPr>
          <w:rFonts w:ascii="Arial" w:cs="Arial" w:eastAsia="Arial" w:hAnsi="Arial"/>
          <w:sz w:val="17"/>
          <w:szCs w:val="17"/>
          <w:color w:val="auto"/>
        </w:rPr>
        <w:t>renegotiate such provision in good faith. In the event that the parties cannot reach a mutually agreeable and enforceable replacement for such provision, then (i) such provision shall be excluded from this Agreement, (ii) the balance of the Agreement shall be interpreted as if such provision were so excluded and (iii) the balance of the Agreement shall be enforceable in accordance with its terms.</w:t>
      </w:r>
    </w:p>
    <w:p>
      <w:pPr>
        <w:spacing w:after="0" w:line="56" w:lineRule="exact"/>
        <w:rPr>
          <w:rFonts w:ascii="Arial" w:cs="Arial" w:eastAsia="Arial" w:hAnsi="Arial"/>
          <w:sz w:val="17"/>
          <w:szCs w:val="17"/>
          <w:color w:val="auto"/>
        </w:rPr>
      </w:pPr>
    </w:p>
    <w:p>
      <w:pPr>
        <w:ind w:firstLine="987"/>
        <w:spacing w:after="0" w:line="258" w:lineRule="auto"/>
        <w:tabs>
          <w:tab w:leader="none" w:pos="1246" w:val="left"/>
        </w:tabs>
        <w:numPr>
          <w:ilvl w:val="1"/>
          <w:numId w:val="394"/>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Any notice required or permitted by this Agreement shall be in writing and shall be deemed sufficient when delivered</w:t>
      </w:r>
      <w:r>
        <w:rPr>
          <w:rFonts w:ascii="Arial" w:cs="Arial" w:eastAsia="Arial" w:hAnsi="Arial"/>
          <w:sz w:val="18"/>
          <w:szCs w:val="18"/>
          <w:b w:val="1"/>
          <w:bCs w:val="1"/>
          <w:color w:val="auto"/>
        </w:rPr>
        <w:t xml:space="preserve"> </w:t>
      </w:r>
      <w:r>
        <w:rPr>
          <w:rFonts w:ascii="Arial" w:cs="Arial" w:eastAsia="Arial" w:hAnsi="Arial"/>
          <w:sz w:val="18"/>
          <w:szCs w:val="18"/>
          <w:color w:val="auto"/>
        </w:rPr>
        <w:t>personally or by overnight courier or sent by email or fax (upon customary confirmation of receipt), or forty-eight (48) hours after being deposited in the U.S. mail as certified or registered mail with postage prepaid, addressed to the party to be notified at such party’s address or fax number as set forth on the signature page, as subsequently modified by written notice, or if no address is specified on the signature page, at the most recent address set forth in the Company’s books and records.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399" w:name="page400"/>
    <w:bookmarkEnd w:id="399"/>
    <w:p>
      <w:pPr>
        <w:ind w:left="-20" w:right="320" w:firstLine="987"/>
        <w:spacing w:after="0" w:line="282" w:lineRule="auto"/>
        <w:tabs>
          <w:tab w:leader="none" w:pos="1216" w:val="left"/>
        </w:tabs>
        <w:numPr>
          <w:ilvl w:val="0"/>
          <w:numId w:val="395"/>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Counterparts</w:t>
      </w:r>
      <w:r>
        <w:rPr>
          <w:rFonts w:ascii="Arial" w:cs="Arial" w:eastAsia="Arial" w:hAnsi="Arial"/>
          <w:sz w:val="18"/>
          <w:szCs w:val="18"/>
          <w:color w:val="auto"/>
        </w:rPr>
        <w:t>. This Agreement may be executed in two or more counterparts, each of which shall be deemed an original and all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together shall constitute one instrument.</w:t>
      </w:r>
    </w:p>
    <w:p>
      <w:pPr>
        <w:spacing w:after="0" w:line="53" w:lineRule="exact"/>
        <w:rPr>
          <w:rFonts w:ascii="Arial" w:cs="Arial" w:eastAsia="Arial" w:hAnsi="Arial"/>
          <w:sz w:val="18"/>
          <w:szCs w:val="18"/>
          <w:color w:val="auto"/>
        </w:rPr>
      </w:pPr>
    </w:p>
    <w:p>
      <w:pPr>
        <w:ind w:left="-20" w:right="140" w:firstLine="987"/>
        <w:spacing w:after="0" w:line="266" w:lineRule="auto"/>
        <w:tabs>
          <w:tab w:leader="none" w:pos="1196" w:val="left"/>
        </w:tabs>
        <w:numPr>
          <w:ilvl w:val="0"/>
          <w:numId w:val="395"/>
        </w:numPr>
        <w:rPr>
          <w:rFonts w:ascii="Arial" w:cs="Arial" w:eastAsia="Arial" w:hAnsi="Arial"/>
          <w:sz w:val="18"/>
          <w:szCs w:val="18"/>
          <w:color w:val="auto"/>
        </w:rPr>
      </w:pPr>
      <w:r>
        <w:rPr>
          <w:rFonts w:ascii="Arial" w:cs="Arial" w:eastAsia="Arial" w:hAnsi="Arial"/>
          <w:sz w:val="18"/>
          <w:szCs w:val="18"/>
          <w:b w:val="1"/>
          <w:bCs w:val="1"/>
          <w:u w:val="single" w:color="auto"/>
          <w:color w:val="auto"/>
        </w:rPr>
        <w:t>Successors and Assigns</w:t>
      </w:r>
      <w:r>
        <w:rPr>
          <w:rFonts w:ascii="Arial" w:cs="Arial" w:eastAsia="Arial" w:hAnsi="Arial"/>
          <w:sz w:val="18"/>
          <w:szCs w:val="18"/>
          <w:color w:val="auto"/>
        </w:rPr>
        <w:t>. The rights and benefits of this Agreement shall inure to the benefit of, and be enforceable by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successors and assigns. The rights and obligations of Purchaser under this Agreement may only be assigned with the prior written consent of the Company.</w:t>
      </w:r>
    </w:p>
    <w:p>
      <w:pPr>
        <w:spacing w:after="0" w:line="67" w:lineRule="exact"/>
        <w:rPr>
          <w:rFonts w:ascii="Arial" w:cs="Arial" w:eastAsia="Arial" w:hAnsi="Arial"/>
          <w:sz w:val="18"/>
          <w:szCs w:val="18"/>
          <w:color w:val="auto"/>
        </w:rPr>
      </w:pPr>
    </w:p>
    <w:p>
      <w:pPr>
        <w:ind w:left="-20" w:right="60" w:firstLine="987"/>
        <w:spacing w:after="0" w:line="255" w:lineRule="auto"/>
        <w:tabs>
          <w:tab w:leader="none" w:pos="1226" w:val="left"/>
        </w:tabs>
        <w:numPr>
          <w:ilvl w:val="0"/>
          <w:numId w:val="395"/>
        </w:numPr>
        <w:rPr>
          <w:rFonts w:ascii="Arial" w:cs="Arial" w:eastAsia="Arial" w:hAnsi="Arial"/>
          <w:sz w:val="18"/>
          <w:szCs w:val="18"/>
          <w:color w:val="auto"/>
        </w:rPr>
      </w:pPr>
      <w:r>
        <w:rPr>
          <w:rFonts w:ascii="Arial" w:cs="Arial" w:eastAsia="Arial" w:hAnsi="Arial"/>
          <w:sz w:val="18"/>
          <w:szCs w:val="18"/>
          <w:b w:val="1"/>
          <w:bCs w:val="1"/>
          <w:u w:val="single" w:color="auto"/>
          <w:color w:val="auto"/>
        </w:rPr>
        <w:t>Imposition of Other Requirements</w:t>
      </w:r>
      <w:r>
        <w:rPr>
          <w:rFonts w:ascii="Arial" w:cs="Arial" w:eastAsia="Arial" w:hAnsi="Arial"/>
          <w:sz w:val="18"/>
          <w:szCs w:val="18"/>
          <w:color w:val="auto"/>
        </w:rPr>
        <w:t>. The Company reserves the right to impose other requirements on Purchaser’s participation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and on any Award or Shares acquired under the Plan, to the extent the Company determines it is necessary or advisable in order to comply with Applicable Law or facilitate the administration of the Plan. Purchaser agrees to sign any additional agreements or undertakings that may be necessary to accomplish the foregoing. Furthermore, Purchaser acknowledges that the laws of the country in which Purchaser is working at the time of grant of this Agreement, the purchase, vesting or sale of Shares received pursuant to this Agreement (including any rules or regulations governing securities, foreign exchange, tax, labor, or other matters) may subject Purchaser to additional procedural or regulatory requirements that Purchaser is and will be solely responsible for and must fulfill.</w:t>
      </w:r>
    </w:p>
    <w:p>
      <w:pPr>
        <w:spacing w:after="0" w:line="80" w:lineRule="exact"/>
        <w:rPr>
          <w:rFonts w:ascii="Arial" w:cs="Arial" w:eastAsia="Arial" w:hAnsi="Arial"/>
          <w:sz w:val="18"/>
          <w:szCs w:val="18"/>
          <w:color w:val="auto"/>
        </w:rPr>
      </w:pPr>
    </w:p>
    <w:p>
      <w:pPr>
        <w:jc w:val="both"/>
        <w:ind w:left="-20" w:right="20" w:firstLine="987"/>
        <w:spacing w:after="0" w:line="261" w:lineRule="auto"/>
        <w:tabs>
          <w:tab w:leader="none" w:pos="1226" w:val="left"/>
        </w:tabs>
        <w:numPr>
          <w:ilvl w:val="0"/>
          <w:numId w:val="395"/>
        </w:numPr>
        <w:rPr>
          <w:rFonts w:ascii="Arial" w:cs="Arial" w:eastAsia="Arial" w:hAnsi="Arial"/>
          <w:sz w:val="18"/>
          <w:szCs w:val="18"/>
          <w:color w:val="auto"/>
        </w:rPr>
      </w:pPr>
      <w:r>
        <w:rPr>
          <w:rFonts w:ascii="Arial" w:cs="Arial" w:eastAsia="Arial" w:hAnsi="Arial"/>
          <w:sz w:val="18"/>
          <w:szCs w:val="18"/>
          <w:b w:val="1"/>
          <w:bCs w:val="1"/>
          <w:u w:val="single" w:color="auto"/>
          <w:color w:val="auto"/>
        </w:rPr>
        <w:t>Electronic Delivery</w:t>
      </w:r>
      <w:r>
        <w:rPr>
          <w:rFonts w:ascii="Arial" w:cs="Arial" w:eastAsia="Arial" w:hAnsi="Arial"/>
          <w:sz w:val="18"/>
          <w:szCs w:val="18"/>
          <w:color w:val="auto"/>
        </w:rPr>
        <w:t>. The Company may, in its sole discretion, decide to deliver any documents related to Purchaser’s current or future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participation in the Plan by electronic means or to request Purchaser’s consent to participate in the Plan by electronic means. Purchaser hereby consents to receive such documents by electronic delivery and agrees to participate in the Plan through an on-line or electronic system established and maintained by the Company or a third party designated by the Company.</w:t>
      </w:r>
    </w:p>
    <w:p>
      <w:pPr>
        <w:spacing w:after="0" w:line="71" w:lineRule="exact"/>
        <w:rPr>
          <w:rFonts w:ascii="Arial" w:cs="Arial" w:eastAsia="Arial" w:hAnsi="Arial"/>
          <w:sz w:val="18"/>
          <w:szCs w:val="18"/>
          <w:color w:val="auto"/>
        </w:rPr>
      </w:pPr>
    </w:p>
    <w:p>
      <w:pPr>
        <w:ind w:left="-20" w:firstLine="987"/>
        <w:spacing w:after="0" w:line="274" w:lineRule="auto"/>
        <w:tabs>
          <w:tab w:leader="none" w:pos="1186" w:val="left"/>
        </w:tabs>
        <w:numPr>
          <w:ilvl w:val="0"/>
          <w:numId w:val="395"/>
        </w:numPr>
        <w:rPr>
          <w:rFonts w:ascii="Arial" w:cs="Arial" w:eastAsia="Arial" w:hAnsi="Arial"/>
          <w:sz w:val="17"/>
          <w:szCs w:val="17"/>
          <w:color w:val="auto"/>
        </w:rPr>
      </w:pPr>
      <w:r>
        <w:rPr>
          <w:rFonts w:ascii="Arial" w:cs="Arial" w:eastAsia="Arial" w:hAnsi="Arial"/>
          <w:sz w:val="17"/>
          <w:szCs w:val="17"/>
          <w:b w:val="1"/>
          <w:bCs w:val="1"/>
          <w:u w:val="single" w:color="auto"/>
          <w:color w:val="auto"/>
        </w:rPr>
        <w:t>California Corporate Securities Law</w:t>
      </w:r>
      <w:r>
        <w:rPr>
          <w:rFonts w:ascii="Arial" w:cs="Arial" w:eastAsia="Arial" w:hAnsi="Arial"/>
          <w:sz w:val="17"/>
          <w:szCs w:val="17"/>
          <w:color w:val="auto"/>
        </w:rPr>
        <w:t>. THE SALE OF THE SECURITIES WHICH ARE THE SUBJECT OF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HAS NOT BEEN QUALIFIED WITH THE COMMISSIONER OF CORPORATIONS OF THE STATE OF CALIFORNIA AND THE ISSUANCE OF THE SECURITIES OR THE PAYMENT OR RECEIPT OF ANY PART OF THE CONSIDERATION THEREFOR PRIOR TO THE QUALIFICATION IS UNLAWFUL, UNLESS THE SALE OF SECURITIES IS EXEMPT FROM QUALIFICATION BY SECTION 25100, 25102 OR 25105 OF THE CALIFORNIA CORPORATIONS CODE. THE RIGHTS OF ALL PARTIES TO THIS AGREEMENT ARE EXPRESSLY CONDITIONED UPON THE QUALIFICATION BEING OBTAINED, UNLESS THE SALE IS SO EXEMPT.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60" w:top="270" w:right="459" w:bottom="1440" w:gutter="0" w:footer="0" w:header="0"/>
        </w:sectPr>
      </w:pPr>
    </w:p>
    <w:bookmarkStart w:id="400" w:name="page401"/>
    <w:bookmarkEnd w:id="40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parties have executed this Agreement as of the date first set forth above.</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THE COMPANY</w:t>
      </w:r>
      <w:r>
        <w:rPr>
          <w:rFonts w:ascii="Arial" w:cs="Arial" w:eastAsia="Arial" w:hAnsi="Arial"/>
          <w:sz w:val="18"/>
          <w:szCs w:val="18"/>
          <w:color w:val="auto"/>
        </w:rPr>
        <w:t>:</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ASANA, INC.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jc w:val="right"/>
        <w:ind w:right="799"/>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5715</wp:posOffset>
            </wp:positionV>
            <wp:extent cx="242570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151765</wp:posOffset>
            </wp:positionV>
            <wp:extent cx="2794635"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297815</wp:posOffset>
            </wp:positionV>
            <wp:extent cx="2794635"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PURCHASER</w:t>
      </w:r>
      <w:r>
        <w:rPr>
          <w:rFonts w:ascii="Arial" w:cs="Arial" w:eastAsia="Arial" w:hAnsi="Arial"/>
          <w:sz w:val="18"/>
          <w:szCs w:val="18"/>
          <w:color w:val="auto"/>
        </w:rPr>
        <w:t>:</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«PURCHASERNAME»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151765</wp:posOffset>
            </wp:positionV>
            <wp:extent cx="2794635"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2" w:lineRule="exact"/>
        <w:rPr>
          <w:sz w:val="20"/>
          <w:szCs w:val="20"/>
          <w:color w:val="auto"/>
        </w:rPr>
      </w:pPr>
    </w:p>
    <w:p>
      <w:pPr>
        <w:jc w:val="right"/>
        <w:ind w:right="79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151765</wp:posOffset>
            </wp:positionV>
            <wp:extent cx="2794635"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2794635" cy="8890"/>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306070</wp:posOffset>
            </wp:positionV>
            <wp:extent cx="2794635"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9579"/>
          </w:cols>
          <w:pgMar w:left="880" w:top="274" w:right="1440" w:bottom="1440" w:gutter="0" w:footer="0" w:header="0"/>
        </w:sectPr>
      </w:pPr>
    </w:p>
    <w:bookmarkStart w:id="401" w:name="page402"/>
    <w:bookmarkEnd w:id="40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 _______________, spouse of «PurchaserName», have read and hereby approve the foregoing Agreement. In consideration of the Company’s granting</w:t>
      </w:r>
    </w:p>
    <w:p>
      <w:pPr>
        <w:spacing w:after="0" w:line="46"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my spouse the right to purchase the Shares as set forth in the Agreement, I hereby agree to be bound irrevocably by the Agreement and further agree that any community property or other such interest that I may have in the Shares shall hereby be similarly bound by the Agreement. I hereby appoint my spouse as my attorney-in-fact with respect to any amendment or exercise of any rights under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273050</wp:posOffset>
            </wp:positionV>
            <wp:extent cx="2794635"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Spouse of «PurchaserName»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402" w:name="page403"/>
    <w:bookmarkEnd w:id="402"/>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ASSIGNMENT SEPARATE FROM CERTIFICATE</w:t>
      </w:r>
    </w:p>
    <w:p>
      <w:pPr>
        <w:spacing w:after="0" w:line="229" w:lineRule="exact"/>
        <w:rPr>
          <w:sz w:val="20"/>
          <w:szCs w:val="20"/>
          <w:color w:val="auto"/>
        </w:rPr>
      </w:pPr>
    </w:p>
    <w:p>
      <w:pPr>
        <w:ind w:right="100" w:firstLine="440"/>
        <w:spacing w:after="0" w:line="291" w:lineRule="auto"/>
        <w:rPr>
          <w:sz w:val="20"/>
          <w:szCs w:val="20"/>
          <w:color w:val="auto"/>
        </w:rPr>
      </w:pPr>
      <w:r>
        <w:rPr>
          <w:rFonts w:ascii="Arial" w:cs="Arial" w:eastAsia="Arial" w:hAnsi="Arial"/>
          <w:sz w:val="16"/>
          <w:szCs w:val="16"/>
          <w:color w:val="auto"/>
        </w:rPr>
        <w:t>FOR VALUE RECEIVED and pursuant to that certain Restricted Stock Purchase Agreement between the undersigned (“</w:t>
      </w:r>
      <w:r>
        <w:rPr>
          <w:rFonts w:ascii="Arial" w:cs="Arial" w:eastAsia="Arial" w:hAnsi="Arial"/>
          <w:sz w:val="16"/>
          <w:szCs w:val="16"/>
          <w:u w:val="single" w:color="auto"/>
          <w:color w:val="auto"/>
        </w:rPr>
        <w:t>Purchaser</w:t>
      </w:r>
      <w:r>
        <w:rPr>
          <w:rFonts w:ascii="Arial" w:cs="Arial" w:eastAsia="Arial" w:hAnsi="Arial"/>
          <w:sz w:val="16"/>
          <w:szCs w:val="16"/>
          <w:color w:val="auto"/>
        </w:rPr>
        <w:t>”) and Asana,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dated _______________ (the “</w:t>
      </w:r>
      <w:r>
        <w:rPr>
          <w:rFonts w:ascii="Arial" w:cs="Arial" w:eastAsia="Arial" w:hAnsi="Arial"/>
          <w:sz w:val="16"/>
          <w:szCs w:val="16"/>
          <w:u w:val="single" w:color="auto"/>
          <w:color w:val="auto"/>
        </w:rPr>
        <w:t>Agreement</w:t>
      </w:r>
      <w:r>
        <w:rPr>
          <w:rFonts w:ascii="Arial" w:cs="Arial" w:eastAsia="Arial" w:hAnsi="Arial"/>
          <w:sz w:val="16"/>
          <w:szCs w:val="16"/>
          <w:color w:val="auto"/>
        </w:rPr>
        <w:t>”), Purchaser hereby sells, assigns and transfers unto the</w:t>
      </w:r>
    </w:p>
    <w:p>
      <w:pPr>
        <w:spacing w:after="0"/>
        <w:rPr>
          <w:sz w:val="20"/>
          <w:szCs w:val="20"/>
          <w:color w:val="auto"/>
        </w:rPr>
      </w:pPr>
      <w:r>
        <w:rPr>
          <w:rFonts w:ascii="Arial" w:cs="Arial" w:eastAsia="Arial" w:hAnsi="Arial"/>
          <w:sz w:val="16"/>
          <w:szCs w:val="16"/>
          <w:color w:val="auto"/>
        </w:rPr>
        <w:t>Company ____________________________________________ (_______________) shares of the Class B Common Stock of the Company, standing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Purchaser’s name on the books of the Company and represented by Certificate No. _______________, and hereby irrevocably constitutes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appoints ____________________________________________________________ to transfer said stock on the books of the Company with full power</w:t>
      </w:r>
    </w:p>
    <w:p>
      <w:pPr>
        <w:spacing w:after="0" w:line="32"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auto"/>
        </w:rPr>
        <w:t>of substitution in the premises. THIS ASSIGNMENT MAY ONLY BE USED AS AUTHORIZED BY THE AGREEMENT AND THE EXHIBITS THERETO.</w:t>
      </w:r>
    </w:p>
    <w:p>
      <w:pPr>
        <w:spacing w:after="0" w:line="200" w:lineRule="exact"/>
        <w:rPr>
          <w:sz w:val="20"/>
          <w:szCs w:val="20"/>
          <w:color w:val="auto"/>
        </w:rPr>
      </w:pPr>
    </w:p>
    <w:p>
      <w:pPr>
        <w:spacing w:after="0" w:line="255"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«PURCHASERNAME»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426085</wp:posOffset>
            </wp:positionV>
            <wp:extent cx="321437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3214370" cy="8255"/>
                    </a:xfrm>
                    <a:prstGeom prst="rect">
                      <a:avLst/>
                    </a:prstGeom>
                    <a:noFill/>
                  </pic:spPr>
                </pic:pic>
              </a:graphicData>
            </a:graphic>
          </wp:anchor>
        </w:drawing>
        <w:drawing>
          <wp:anchor simplePos="0" relativeHeight="251657728" behindDoc="1" locked="0" layoutInCell="0" allowOverlap="1">
            <wp:simplePos x="0" y="0"/>
            <wp:positionH relativeFrom="column">
              <wp:posOffset>3777615</wp:posOffset>
            </wp:positionH>
            <wp:positionV relativeFrom="paragraph">
              <wp:posOffset>717550</wp:posOffset>
            </wp:positionV>
            <wp:extent cx="3214370"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3214370"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-10160</wp:posOffset>
            </wp:positionV>
            <wp:extent cx="219964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219964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126365</wp:posOffset>
            </wp:positionV>
            <wp:extent cx="885190"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8851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Spouse of «PurchaserName» (if applicable)</w:t>
      </w:r>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Instruction: Please do not fill in any blanks other than the signature line. The purpose of this assignment is to enable the Company to exercise its repurchase option set forth in the Agreement without requiring additional signatures on the part of Purchaser.</w:t>
      </w:r>
    </w:p>
    <w:p>
      <w:pPr>
        <w:sectPr>
          <w:pgSz w:w="11900" w:h="16838" w:orient="portrait"/>
          <w:cols w:equalWidth="0" w:num="1">
            <w:col w:w="10920"/>
          </w:cols>
          <w:pgMar w:left="440" w:top="270" w:right="539" w:bottom="1440" w:gutter="0" w:footer="0" w:header="0"/>
        </w:sectPr>
      </w:pPr>
    </w:p>
    <w:bookmarkStart w:id="403" w:name="page404"/>
    <w:bookmarkEnd w:id="40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B</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ACKNOWLEDGMENT AND STATEMENT OF DECISION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REGARDING SECTION 83(B) ELECTION</w:t>
      </w:r>
    </w:p>
    <w:p>
      <w:pPr>
        <w:spacing w:after="0" w:line="21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undersigned has entered into a stock purchase agreement with Asana,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pursuant to which the undersigned is purchasing __________ shares of Class B Common Stock of the Company (the “</w:t>
      </w:r>
      <w:r>
        <w:rPr>
          <w:rFonts w:ascii="Arial" w:cs="Arial" w:eastAsia="Arial" w:hAnsi="Arial"/>
          <w:sz w:val="18"/>
          <w:szCs w:val="18"/>
          <w:u w:val="single" w:color="auto"/>
          <w:color w:val="auto"/>
        </w:rPr>
        <w:t>Shares</w:t>
      </w:r>
      <w:r>
        <w:rPr>
          <w:rFonts w:ascii="Arial" w:cs="Arial" w:eastAsia="Arial" w:hAnsi="Arial"/>
          <w:sz w:val="18"/>
          <w:szCs w:val="18"/>
          <w:color w:val="auto"/>
        </w:rPr>
        <w:t>”). In connection with the purchase of the Shares, the undersigned hereby represents as follows:</w:t>
      </w:r>
    </w:p>
    <w:p>
      <w:pPr>
        <w:spacing w:after="0" w:line="184" w:lineRule="exact"/>
        <w:rPr>
          <w:sz w:val="20"/>
          <w:szCs w:val="20"/>
          <w:color w:val="auto"/>
        </w:rPr>
      </w:pPr>
    </w:p>
    <w:p>
      <w:pPr>
        <w:ind w:left="620" w:hanging="184"/>
        <w:spacing w:after="0"/>
        <w:tabs>
          <w:tab w:leader="none" w:pos="620" w:val="left"/>
        </w:tabs>
        <w:numPr>
          <w:ilvl w:val="0"/>
          <w:numId w:val="396"/>
        </w:numPr>
        <w:rPr>
          <w:rFonts w:ascii="Arial" w:cs="Arial" w:eastAsia="Arial" w:hAnsi="Arial"/>
          <w:sz w:val="17"/>
          <w:szCs w:val="17"/>
          <w:color w:val="auto"/>
        </w:rPr>
      </w:pPr>
      <w:r>
        <w:rPr>
          <w:rFonts w:ascii="Arial" w:cs="Arial" w:eastAsia="Arial" w:hAnsi="Arial"/>
          <w:sz w:val="17"/>
          <w:szCs w:val="17"/>
          <w:color w:val="auto"/>
        </w:rPr>
        <w:t>The undersigned has carefully reviewed the stock purchase agreement pursuant to which the undersigned is purchasing the Shares.</w:t>
      </w:r>
    </w:p>
    <w:p>
      <w:pPr>
        <w:spacing w:after="0" w:line="236" w:lineRule="exact"/>
        <w:rPr>
          <w:rFonts w:ascii="Arial" w:cs="Arial" w:eastAsia="Arial" w:hAnsi="Arial"/>
          <w:sz w:val="17"/>
          <w:szCs w:val="17"/>
          <w:color w:val="auto"/>
        </w:rPr>
      </w:pPr>
    </w:p>
    <w:p>
      <w:pPr>
        <w:ind w:left="620" w:hanging="184"/>
        <w:spacing w:after="0"/>
        <w:tabs>
          <w:tab w:leader="none" w:pos="62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The undersigned either [check and complete as applicable]:</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(a)___ has consulted, and has been fully advised by, the undersigned’s own tax advisor, __________________, whose business address is</w:t>
      </w:r>
    </w:p>
    <w:p>
      <w:pPr>
        <w:spacing w:after="0" w:line="35" w:lineRule="exact"/>
        <w:rPr>
          <w:sz w:val="20"/>
          <w:szCs w:val="20"/>
          <w:color w:val="auto"/>
        </w:rPr>
      </w:pPr>
    </w:p>
    <w:p>
      <w:pPr>
        <w:ind w:left="960"/>
        <w:spacing w:after="0"/>
        <w:rPr>
          <w:sz w:val="20"/>
          <w:szCs w:val="20"/>
          <w:color w:val="auto"/>
        </w:rPr>
      </w:pPr>
      <w:r>
        <w:rPr>
          <w:rFonts w:ascii="Arial" w:cs="Arial" w:eastAsia="Arial" w:hAnsi="Arial"/>
          <w:sz w:val="16"/>
          <w:szCs w:val="16"/>
          <w:color w:val="auto"/>
        </w:rPr>
        <w:t>________________________________________, regarding the federal, state and local tax consequences of purchasing the Shares, and</w:t>
      </w:r>
    </w:p>
    <w:p>
      <w:pPr>
        <w:spacing w:after="0" w:line="32" w:lineRule="exact"/>
        <w:rPr>
          <w:sz w:val="20"/>
          <w:szCs w:val="20"/>
          <w:color w:val="auto"/>
        </w:rPr>
      </w:pPr>
    </w:p>
    <w:p>
      <w:pPr>
        <w:ind w:left="960" w:right="240"/>
        <w:spacing w:after="0" w:line="260" w:lineRule="auto"/>
        <w:rPr>
          <w:sz w:val="20"/>
          <w:szCs w:val="20"/>
          <w:color w:val="auto"/>
        </w:rPr>
      </w:pPr>
      <w:r>
        <w:rPr>
          <w:rFonts w:ascii="Arial" w:cs="Arial" w:eastAsia="Arial" w:hAnsi="Arial"/>
          <w:sz w:val="18"/>
          <w:szCs w:val="18"/>
          <w:color w:val="auto"/>
        </w:rPr>
        <w:t>particularly regarding the advisability of making elections pursuant to Section 83(b) of the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and pursuant to the corresponding provisions, if any, of applicable state law; or</w:t>
      </w:r>
    </w:p>
    <w:p>
      <w:pPr>
        <w:spacing w:after="0" w:line="9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(b)___ has knowingly chosen not to consult such a tax advisor.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 The undersigned hereby states that the undersigned has decided [check as applicable]:</w:t>
      </w:r>
    </w:p>
    <w:p>
      <w:pPr>
        <w:spacing w:after="0" w:line="131" w:lineRule="exact"/>
        <w:rPr>
          <w:sz w:val="20"/>
          <w:szCs w:val="20"/>
          <w:color w:val="auto"/>
        </w:rPr>
      </w:pPr>
    </w:p>
    <w:p>
      <w:pPr>
        <w:jc w:val="center"/>
        <w:ind w:left="580" w:right="280"/>
        <w:spacing w:after="0" w:line="308" w:lineRule="auto"/>
        <w:rPr>
          <w:sz w:val="20"/>
          <w:szCs w:val="20"/>
          <w:color w:val="auto"/>
        </w:rPr>
      </w:pPr>
      <w:r>
        <w:rPr>
          <w:rFonts w:ascii="Arial" w:cs="Arial" w:eastAsia="Arial" w:hAnsi="Arial"/>
          <w:sz w:val="17"/>
          <w:szCs w:val="17"/>
          <w:color w:val="auto"/>
        </w:rPr>
        <w:t>(a)___ to make an election pursuant to Section 83(b) of the Code, and is submitting to the Company, together with the undersigned’s executed stock purchase agreement, an executed form entitled “Election Under Section 83(b) of the Internal Revenue Code of 1986;” or</w:t>
      </w:r>
    </w:p>
    <w:p>
      <w:pPr>
        <w:spacing w:after="0" w:line="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(b)___ not to make an election pursuant to Section 83(b) of the Code.</w:t>
      </w:r>
    </w:p>
    <w:p>
      <w:pPr>
        <w:sectPr>
          <w:pgSz w:w="11900" w:h="16838" w:orient="portrait"/>
          <w:cols w:equalWidth="0" w:num="1">
            <w:col w:w="10960"/>
          </w:cols>
          <w:pgMar w:left="440" w:top="270" w:right="499" w:bottom="1440" w:gutter="0" w:footer="0" w:header="0"/>
        </w:sectPr>
      </w:pPr>
    </w:p>
    <w:bookmarkStart w:id="404" w:name="page405"/>
    <w:bookmarkEnd w:id="404"/>
    <w:p>
      <w:pPr>
        <w:ind w:firstLine="436"/>
        <w:spacing w:after="0" w:line="263" w:lineRule="auto"/>
        <w:tabs>
          <w:tab w:leader="none" w:pos="620" w:val="left"/>
        </w:tabs>
        <w:numPr>
          <w:ilvl w:val="0"/>
          <w:numId w:val="3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Neither the Company nor any subsidiary or representative of the Company has made any warranty or representation to the undersigned with respect to the tax consequences of the undersigned’s purchase of the Shares or of the making or failure to make an election pursuant to Section 83(b) of the Code or the corresponding provisions, if any, of applicable state law.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wp:posOffset>
            </wp:positionH>
            <wp:positionV relativeFrom="paragraph">
              <wp:posOffset>-10160</wp:posOffset>
            </wp:positionV>
            <wp:extent cx="214249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21424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126365</wp:posOffset>
            </wp:positionV>
            <wp:extent cx="885190"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885190" cy="8255"/>
                    </a:xfrm>
                    <a:prstGeom prst="rect">
                      <a:avLst/>
                    </a:prstGeom>
                    <a:noFill/>
                  </pic:spPr>
                </pic:pic>
              </a:graphicData>
            </a:graphic>
          </wp:anchor>
        </w:drawing>
      </w:r>
    </w:p>
    <w:p>
      <w:pPr>
        <w:spacing w:after="0" w:line="20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«PURCHASERNAME»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288925</wp:posOffset>
            </wp:positionV>
            <wp:extent cx="3214370"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3214370" cy="8255"/>
                    </a:xfrm>
                    <a:prstGeom prst="rect">
                      <a:avLst/>
                    </a:prstGeom>
                    <a:noFill/>
                  </pic:spPr>
                </pic:pic>
              </a:graphicData>
            </a:graphic>
          </wp:anchor>
        </w:drawing>
        <w:drawing>
          <wp:anchor simplePos="0" relativeHeight="251657728" behindDoc="1" locked="0" layoutInCell="0" allowOverlap="1">
            <wp:simplePos x="0" y="0"/>
            <wp:positionH relativeFrom="column">
              <wp:posOffset>3777615</wp:posOffset>
            </wp:positionH>
            <wp:positionV relativeFrom="paragraph">
              <wp:posOffset>580390</wp:posOffset>
            </wp:positionV>
            <wp:extent cx="3214370"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Spouse of «PurchaserName» (if applicable)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80"/>
          </w:cols>
          <w:pgMar w:left="440" w:top="274" w:right="579" w:bottom="1440" w:gutter="0" w:footer="0" w:header="0"/>
        </w:sectPr>
      </w:pPr>
    </w:p>
    <w:bookmarkStart w:id="405" w:name="page406"/>
    <w:bookmarkEnd w:id="405"/>
    <w:p>
      <w:pPr>
        <w:jc w:val="center"/>
        <w:ind w:right="-2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C</w:t>
      </w:r>
    </w:p>
    <w:p>
      <w:pPr>
        <w:spacing w:after="0" w:line="225" w:lineRule="exact"/>
        <w:rPr>
          <w:sz w:val="20"/>
          <w:szCs w:val="20"/>
          <w:color w:val="auto"/>
        </w:rPr>
      </w:pPr>
    </w:p>
    <w:p>
      <w:pPr>
        <w:jc w:val="center"/>
        <w:ind w:right="-243"/>
        <w:spacing w:after="0"/>
        <w:rPr>
          <w:sz w:val="20"/>
          <w:szCs w:val="20"/>
          <w:color w:val="auto"/>
        </w:rPr>
      </w:pPr>
      <w:r>
        <w:rPr>
          <w:rFonts w:ascii="Arial" w:cs="Arial" w:eastAsia="Arial" w:hAnsi="Arial"/>
          <w:sz w:val="18"/>
          <w:szCs w:val="18"/>
          <w:b w:val="1"/>
          <w:bCs w:val="1"/>
          <w:color w:val="auto"/>
        </w:rPr>
        <w:t>ELECTION UNDER SECTION 83(B)</w:t>
      </w:r>
    </w:p>
    <w:p>
      <w:pPr>
        <w:spacing w:after="0" w:line="27" w:lineRule="exact"/>
        <w:rPr>
          <w:sz w:val="20"/>
          <w:szCs w:val="20"/>
          <w:color w:val="auto"/>
        </w:rPr>
      </w:pPr>
    </w:p>
    <w:p>
      <w:pPr>
        <w:jc w:val="center"/>
        <w:ind w:right="-243"/>
        <w:spacing w:after="0"/>
        <w:rPr>
          <w:sz w:val="20"/>
          <w:szCs w:val="20"/>
          <w:color w:val="auto"/>
        </w:rPr>
      </w:pPr>
      <w:r>
        <w:rPr>
          <w:rFonts w:ascii="Arial" w:cs="Arial" w:eastAsia="Arial" w:hAnsi="Arial"/>
          <w:sz w:val="18"/>
          <w:szCs w:val="18"/>
          <w:b w:val="1"/>
          <w:bCs w:val="1"/>
          <w:color w:val="auto"/>
        </w:rPr>
        <w:t>OF THE INTERNAL REVENUE CODE OF 1986</w:t>
      </w:r>
    </w:p>
    <w:p>
      <w:pPr>
        <w:spacing w:after="0" w:line="211" w:lineRule="exact"/>
        <w:rPr>
          <w:sz w:val="20"/>
          <w:szCs w:val="20"/>
          <w:color w:val="auto"/>
        </w:rPr>
      </w:pPr>
    </w:p>
    <w:p>
      <w:pPr>
        <w:ind w:left="4" w:right="80" w:firstLine="440"/>
        <w:spacing w:after="0" w:line="342" w:lineRule="auto"/>
        <w:rPr>
          <w:sz w:val="20"/>
          <w:szCs w:val="20"/>
          <w:color w:val="auto"/>
        </w:rPr>
      </w:pPr>
      <w:r>
        <w:rPr>
          <w:rFonts w:ascii="Arial" w:cs="Arial" w:eastAsia="Arial" w:hAnsi="Arial"/>
          <w:sz w:val="16"/>
          <w:szCs w:val="16"/>
          <w:color w:val="auto"/>
        </w:rPr>
        <w:t>The undersigned taxpayer hereby elects, pursuant to Section 83(b) of the Internal Revenue Code, to include in taxpayer’s gross income for the current taxable year, the amount of any compensation taxable to taxpayer in connection with taxpayer’s receipt of the property described below:</w:t>
      </w:r>
    </w:p>
    <w:p>
      <w:pPr>
        <w:spacing w:after="0" w:line="151" w:lineRule="exact"/>
        <w:rPr>
          <w:sz w:val="20"/>
          <w:szCs w:val="20"/>
          <w:color w:val="auto"/>
        </w:rPr>
      </w:pPr>
    </w:p>
    <w:p>
      <w:pPr>
        <w:ind w:left="544" w:hanging="544"/>
        <w:spacing w:after="0"/>
        <w:tabs>
          <w:tab w:leader="none" w:pos="544" w:val="left"/>
        </w:tabs>
        <w:numPr>
          <w:ilvl w:val="0"/>
          <w:numId w:val="398"/>
        </w:numPr>
        <w:rPr>
          <w:rFonts w:ascii="Arial" w:cs="Arial" w:eastAsia="Arial" w:hAnsi="Arial"/>
          <w:sz w:val="18"/>
          <w:szCs w:val="18"/>
          <w:color w:val="auto"/>
        </w:rPr>
      </w:pPr>
      <w:r>
        <w:rPr>
          <w:rFonts w:ascii="Arial" w:cs="Arial" w:eastAsia="Arial" w:hAnsi="Arial"/>
          <w:sz w:val="18"/>
          <w:szCs w:val="18"/>
          <w:color w:val="auto"/>
        </w:rPr>
        <w:t>The name, address, taxpayer identification number and taxable year of the undersigned are as follows:</w:t>
      </w:r>
    </w:p>
    <w:p>
      <w:pPr>
        <w:spacing w:after="0" w:line="117" w:lineRule="exact"/>
        <w:rPr>
          <w:rFonts w:ascii="Arial" w:cs="Arial" w:eastAsia="Arial" w:hAnsi="Arial"/>
          <w:sz w:val="18"/>
          <w:szCs w:val="18"/>
          <w:color w:val="auto"/>
        </w:rPr>
      </w:pPr>
    </w:p>
    <w:p>
      <w:pPr>
        <w:ind w:left="544" w:right="8400"/>
        <w:spacing w:after="0" w:line="419" w:lineRule="auto"/>
        <w:rPr>
          <w:rFonts w:ascii="Arial" w:cs="Arial" w:eastAsia="Arial" w:hAnsi="Arial"/>
          <w:sz w:val="18"/>
          <w:szCs w:val="18"/>
          <w:color w:val="auto"/>
        </w:rPr>
      </w:pPr>
      <w:r>
        <w:rPr>
          <w:rFonts w:ascii="Arial" w:cs="Arial" w:eastAsia="Arial" w:hAnsi="Arial"/>
          <w:sz w:val="17"/>
          <w:szCs w:val="17"/>
          <w:color w:val="auto"/>
        </w:rPr>
        <w:t>NAME OF TAXPAYER: NAME OF SPOUSE: ADDRESS:</w:t>
      </w:r>
    </w:p>
    <w:p>
      <w:pPr>
        <w:spacing w:after="0" w:line="272" w:lineRule="exact"/>
        <w:rPr>
          <w:rFonts w:ascii="Arial" w:cs="Arial" w:eastAsia="Arial" w:hAnsi="Arial"/>
          <w:sz w:val="18"/>
          <w:szCs w:val="18"/>
          <w:color w:val="auto"/>
        </w:rPr>
      </w:pPr>
    </w:p>
    <w:p>
      <w:pPr>
        <w:ind w:left="544" w:right="7160"/>
        <w:spacing w:after="0" w:line="375" w:lineRule="auto"/>
        <w:rPr>
          <w:rFonts w:ascii="Arial" w:cs="Arial" w:eastAsia="Arial" w:hAnsi="Arial"/>
          <w:sz w:val="18"/>
          <w:szCs w:val="18"/>
          <w:color w:val="auto"/>
        </w:rPr>
      </w:pPr>
      <w:r>
        <w:rPr>
          <w:rFonts w:ascii="Arial" w:cs="Arial" w:eastAsia="Arial" w:hAnsi="Arial"/>
          <w:sz w:val="18"/>
          <w:szCs w:val="18"/>
          <w:color w:val="auto"/>
        </w:rPr>
        <w:t>IDENTIFICATION NO. OF TAXPAYER: IDENTIFICATION NO. OF SPOUSE: TAXABLE YEAR:</w:t>
      </w:r>
    </w:p>
    <w:p>
      <w:pPr>
        <w:spacing w:after="0" w:line="1" w:lineRule="exact"/>
        <w:rPr>
          <w:rFonts w:ascii="Arial" w:cs="Arial" w:eastAsia="Arial" w:hAnsi="Arial"/>
          <w:sz w:val="18"/>
          <w:szCs w:val="18"/>
          <w:color w:val="auto"/>
        </w:rPr>
      </w:pPr>
    </w:p>
    <w:p>
      <w:pPr>
        <w:ind w:left="544" w:hanging="544"/>
        <w:spacing w:after="0"/>
        <w:tabs>
          <w:tab w:leader="none" w:pos="544" w:val="left"/>
        </w:tabs>
        <w:numPr>
          <w:ilvl w:val="0"/>
          <w:numId w:val="398"/>
        </w:numPr>
        <w:rPr>
          <w:rFonts w:ascii="Arial" w:cs="Arial" w:eastAsia="Arial" w:hAnsi="Arial"/>
          <w:sz w:val="18"/>
          <w:szCs w:val="18"/>
          <w:color w:val="auto"/>
        </w:rPr>
      </w:pPr>
      <w:r>
        <w:rPr>
          <w:rFonts w:ascii="Arial" w:cs="Arial" w:eastAsia="Arial" w:hAnsi="Arial"/>
          <w:sz w:val="18"/>
          <w:szCs w:val="18"/>
          <w:color w:val="auto"/>
        </w:rPr>
        <w:t>The property with respect to which the election is made is described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1530350</wp:posOffset>
            </wp:positionH>
            <wp:positionV relativeFrom="paragraph">
              <wp:posOffset>-1450340</wp:posOffset>
            </wp:positionV>
            <wp:extent cx="1285240"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285240" cy="825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-1244600</wp:posOffset>
            </wp:positionV>
            <wp:extent cx="1399540"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399540" cy="8255"/>
                    </a:xfrm>
                    <a:prstGeom prst="rect">
                      <a:avLst/>
                    </a:prstGeom>
                    <a:noFill/>
                  </pic:spPr>
                </pic:pic>
              </a:graphicData>
            </a:graphic>
          </wp:anchor>
        </w:drawing>
        <w:drawing>
          <wp:anchor simplePos="0" relativeHeight="251657728" behindDoc="1" locked="0" layoutInCell="0" allowOverlap="1">
            <wp:simplePos x="0" y="0"/>
            <wp:positionH relativeFrom="column">
              <wp:posOffset>932180</wp:posOffset>
            </wp:positionH>
            <wp:positionV relativeFrom="paragraph">
              <wp:posOffset>-1038860</wp:posOffset>
            </wp:positionV>
            <wp:extent cx="1628140"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628140" cy="8255"/>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-833120</wp:posOffset>
            </wp:positionV>
            <wp:extent cx="1628140"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628140" cy="8255"/>
                    </a:xfrm>
                    <a:prstGeom prst="rect">
                      <a:avLst/>
                    </a:prstGeom>
                    <a:noFill/>
                  </pic:spPr>
                </pic:pic>
              </a:graphicData>
            </a:graphic>
          </wp:anchor>
        </w:drawing>
        <w:drawing>
          <wp:anchor simplePos="0" relativeHeight="251657728" behindDoc="1" locked="0" layoutInCell="0" allowOverlap="1">
            <wp:simplePos x="0" y="0"/>
            <wp:positionH relativeFrom="column">
              <wp:posOffset>2317750</wp:posOffset>
            </wp:positionH>
            <wp:positionV relativeFrom="paragraph">
              <wp:posOffset>-627380</wp:posOffset>
            </wp:positionV>
            <wp:extent cx="1399540"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399540" cy="8255"/>
                    </a:xfrm>
                    <a:prstGeom prst="rect">
                      <a:avLst/>
                    </a:prstGeom>
                    <a:noFill/>
                  </pic:spPr>
                </pic:pic>
              </a:graphicData>
            </a:graphic>
          </wp:anchor>
        </w:drawing>
        <w:drawing>
          <wp:anchor simplePos="0" relativeHeight="251657728" behindDoc="1" locked="0" layoutInCell="0" allowOverlap="1">
            <wp:simplePos x="0" y="0"/>
            <wp:positionH relativeFrom="column">
              <wp:posOffset>2163445</wp:posOffset>
            </wp:positionH>
            <wp:positionV relativeFrom="paragraph">
              <wp:posOffset>-421640</wp:posOffset>
            </wp:positionV>
            <wp:extent cx="151384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513840" cy="8255"/>
                    </a:xfrm>
                    <a:prstGeom prst="rect">
                      <a:avLst/>
                    </a:prstGeom>
                    <a:noFill/>
                  </pic:spPr>
                </pic:pic>
              </a:graphicData>
            </a:graphic>
          </wp:anchor>
        </w:drawing>
        <w:drawing>
          <wp:anchor simplePos="0" relativeHeight="251657728" behindDoc="1" locked="0" layoutInCell="0" allowOverlap="1">
            <wp:simplePos x="0" y="0"/>
            <wp:positionH relativeFrom="column">
              <wp:posOffset>1275080</wp:posOffset>
            </wp:positionH>
            <wp:positionV relativeFrom="paragraph">
              <wp:posOffset>-215900</wp:posOffset>
            </wp:positionV>
            <wp:extent cx="1628140"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628140" cy="8255"/>
                    </a:xfrm>
                    <a:prstGeom prst="rect">
                      <a:avLst/>
                    </a:prstGeom>
                    <a:noFill/>
                  </pic:spPr>
                </pic:pic>
              </a:graphicData>
            </a:graphic>
          </wp:anchor>
        </w:drawing>
      </w:r>
    </w:p>
    <w:p>
      <w:pPr>
        <w:spacing w:after="0" w:line="97" w:lineRule="exact"/>
        <w:rPr>
          <w:sz w:val="20"/>
          <w:szCs w:val="20"/>
          <w:color w:val="auto"/>
        </w:rPr>
      </w:pPr>
    </w:p>
    <w:p>
      <w:pPr>
        <w:ind w:left="1324"/>
        <w:spacing w:after="0"/>
        <w:rPr>
          <w:sz w:val="20"/>
          <w:szCs w:val="20"/>
          <w:color w:val="auto"/>
        </w:rPr>
      </w:pPr>
      <w:r>
        <w:rPr>
          <w:rFonts w:ascii="Arial" w:cs="Arial" w:eastAsia="Arial" w:hAnsi="Arial"/>
          <w:sz w:val="18"/>
          <w:szCs w:val="18"/>
          <w:color w:val="auto"/>
        </w:rPr>
        <w:t>shares of the Class B Common Stock of Asana,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-10160</wp:posOffset>
            </wp:positionV>
            <wp:extent cx="457200"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97" w:lineRule="exact"/>
        <w:rPr>
          <w:sz w:val="20"/>
          <w:szCs w:val="20"/>
          <w:color w:val="auto"/>
        </w:rPr>
      </w:pPr>
    </w:p>
    <w:p>
      <w:pPr>
        <w:ind w:left="544" w:hanging="544"/>
        <w:spacing w:after="0"/>
        <w:tabs>
          <w:tab w:leader="none" w:pos="544" w:val="left"/>
        </w:tabs>
        <w:numPr>
          <w:ilvl w:val="0"/>
          <w:numId w:val="399"/>
        </w:numPr>
        <w:rPr>
          <w:rFonts w:ascii="Arial" w:cs="Arial" w:eastAsia="Arial" w:hAnsi="Arial"/>
          <w:sz w:val="18"/>
          <w:szCs w:val="18"/>
          <w:color w:val="auto"/>
        </w:rPr>
      </w:pPr>
      <w:r>
        <w:rPr>
          <w:rFonts w:ascii="Arial" w:cs="Arial" w:eastAsia="Arial" w:hAnsi="Arial"/>
          <w:sz w:val="18"/>
          <w:szCs w:val="18"/>
          <w:color w:val="auto"/>
        </w:rPr>
        <w:t>The date on which the property was transferred is:</w:t>
      </w:r>
    </w:p>
    <w:p>
      <w:pPr>
        <w:spacing w:after="0" w:line="117" w:lineRule="exact"/>
        <w:rPr>
          <w:rFonts w:ascii="Arial" w:cs="Arial" w:eastAsia="Arial" w:hAnsi="Arial"/>
          <w:sz w:val="18"/>
          <w:szCs w:val="18"/>
          <w:color w:val="auto"/>
        </w:rPr>
      </w:pPr>
    </w:p>
    <w:p>
      <w:pPr>
        <w:ind w:left="544" w:hanging="544"/>
        <w:spacing w:after="0"/>
        <w:tabs>
          <w:tab w:leader="none" w:pos="544" w:val="left"/>
        </w:tabs>
        <w:numPr>
          <w:ilvl w:val="0"/>
          <w:numId w:val="399"/>
        </w:numPr>
        <w:rPr>
          <w:rFonts w:ascii="Arial" w:cs="Arial" w:eastAsia="Arial" w:hAnsi="Arial"/>
          <w:sz w:val="18"/>
          <w:szCs w:val="18"/>
          <w:color w:val="auto"/>
        </w:rPr>
      </w:pPr>
      <w:r>
        <w:rPr>
          <w:rFonts w:ascii="Arial" w:cs="Arial" w:eastAsia="Arial" w:hAnsi="Arial"/>
          <w:sz w:val="18"/>
          <w:szCs w:val="18"/>
          <w:color w:val="auto"/>
        </w:rPr>
        <w:t>The property is subject to the following restrictions:</w:t>
      </w:r>
    </w:p>
    <w:p>
      <w:pPr>
        <w:spacing w:after="0" w:line="117" w:lineRule="exact"/>
        <w:rPr>
          <w:rFonts w:ascii="Arial" w:cs="Arial" w:eastAsia="Arial" w:hAnsi="Arial"/>
          <w:sz w:val="18"/>
          <w:szCs w:val="18"/>
          <w:color w:val="auto"/>
        </w:rPr>
      </w:pPr>
    </w:p>
    <w:p>
      <w:pPr>
        <w:ind w:left="544"/>
        <w:spacing w:after="0"/>
        <w:rPr>
          <w:rFonts w:ascii="Arial" w:cs="Arial" w:eastAsia="Arial" w:hAnsi="Arial"/>
          <w:sz w:val="18"/>
          <w:szCs w:val="18"/>
          <w:color w:val="auto"/>
        </w:rPr>
      </w:pPr>
      <w:r>
        <w:rPr>
          <w:rFonts w:ascii="Arial" w:cs="Arial" w:eastAsia="Arial" w:hAnsi="Arial"/>
          <w:sz w:val="18"/>
          <w:szCs w:val="18"/>
          <w:color w:val="auto"/>
        </w:rPr>
        <w:t>Repurchase option at cost in favor of the Company upon termination of taxpayer’s employment or consulting relationship.</w:t>
      </w:r>
    </w:p>
    <w:p>
      <w:pPr>
        <w:spacing w:after="0" w:line="117" w:lineRule="exact"/>
        <w:rPr>
          <w:rFonts w:ascii="Arial" w:cs="Arial" w:eastAsia="Arial" w:hAnsi="Arial"/>
          <w:sz w:val="18"/>
          <w:szCs w:val="18"/>
          <w:color w:val="auto"/>
        </w:rPr>
      </w:pPr>
    </w:p>
    <w:p>
      <w:pPr>
        <w:ind w:left="544" w:hanging="544"/>
        <w:spacing w:after="0" w:line="258" w:lineRule="auto"/>
        <w:tabs>
          <w:tab w:leader="none" w:pos="544" w:val="left"/>
        </w:tabs>
        <w:numPr>
          <w:ilvl w:val="0"/>
          <w:numId w:val="399"/>
        </w:numPr>
        <w:rPr>
          <w:rFonts w:ascii="Arial" w:cs="Arial" w:eastAsia="Arial" w:hAnsi="Arial"/>
          <w:sz w:val="18"/>
          <w:szCs w:val="18"/>
          <w:color w:val="auto"/>
        </w:rPr>
      </w:pPr>
      <w:r>
        <w:rPr>
          <w:rFonts w:ascii="Arial" w:cs="Arial" w:eastAsia="Arial" w:hAnsi="Arial"/>
          <w:sz w:val="18"/>
          <w:szCs w:val="18"/>
          <w:color w:val="auto"/>
        </w:rPr>
        <w:t>The fair market value at the time of transfer, determined without regard to any restriction other than a restriction which by its terms will never lapse, of such property is:</w:t>
      </w:r>
    </w:p>
    <w:p>
      <w:pPr>
        <w:spacing w:after="0" w:line="1" w:lineRule="exact"/>
        <w:rPr>
          <w:rFonts w:ascii="Arial" w:cs="Arial" w:eastAsia="Arial" w:hAnsi="Arial"/>
          <w:sz w:val="18"/>
          <w:szCs w:val="18"/>
          <w:color w:val="auto"/>
        </w:rPr>
      </w:pPr>
    </w:p>
    <w:p>
      <w:pPr>
        <w:ind w:left="544"/>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2677160</wp:posOffset>
            </wp:positionH>
            <wp:positionV relativeFrom="paragraph">
              <wp:posOffset>-910590</wp:posOffset>
            </wp:positionV>
            <wp:extent cx="1513840"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513840" cy="825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-19050</wp:posOffset>
            </wp:positionV>
            <wp:extent cx="174244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742440" cy="8890"/>
                    </a:xfrm>
                    <a:prstGeom prst="rect">
                      <a:avLst/>
                    </a:prstGeom>
                    <a:noFill/>
                  </pic:spPr>
                </pic:pic>
              </a:graphicData>
            </a:graphic>
          </wp:anchor>
        </w:drawing>
      </w:r>
    </w:p>
    <w:p>
      <w:pPr>
        <w:spacing w:after="0" w:line="96" w:lineRule="exact"/>
        <w:rPr>
          <w:sz w:val="20"/>
          <w:szCs w:val="20"/>
          <w:color w:val="auto"/>
        </w:rPr>
      </w:pPr>
    </w:p>
    <w:p>
      <w:pPr>
        <w:ind w:left="4"/>
        <w:spacing w:after="0"/>
        <w:tabs>
          <w:tab w:leader="none" w:pos="524" w:val="left"/>
          <w:tab w:leader="none" w:pos="6004"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8"/>
          <w:szCs w:val="18"/>
          <w:color w:val="auto"/>
        </w:rPr>
        <w:t>The amount (if any) paid for such property: $</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2426335</wp:posOffset>
            </wp:positionH>
            <wp:positionV relativeFrom="paragraph">
              <wp:posOffset>-10160</wp:posOffset>
            </wp:positionV>
            <wp:extent cx="1399540"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399540" cy="8255"/>
                    </a:xfrm>
                    <a:prstGeom prst="rect">
                      <a:avLst/>
                    </a:prstGeom>
                    <a:noFill/>
                  </pic:spPr>
                </pic:pic>
              </a:graphicData>
            </a:graphic>
          </wp:anchor>
        </w:drawing>
      </w:r>
    </w:p>
    <w:p>
      <w:pPr>
        <w:sectPr>
          <w:pgSz w:w="11900" w:h="16838" w:orient="portrait"/>
          <w:cols w:equalWidth="0" w:num="1">
            <w:col w:w="10764"/>
          </w:cols>
          <w:pgMar w:left="436" w:top="270" w:right="699" w:bottom="1440" w:gutter="0" w:footer="0" w:header="0"/>
        </w:sectPr>
      </w:pPr>
    </w:p>
    <w:bookmarkStart w:id="406" w:name="page407"/>
    <w:bookmarkEnd w:id="406"/>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undersigned has submitted a copy of this statement to the person for whom the services were performed in connection with the undersigned’s receipt of the above-described property. The transferee of such property is the person performing the services in connection with the transfer of said property.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undersigned understands that the foregoing election may not be revoked except with the consent of the Commissioner</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14605</wp:posOffset>
            </wp:positionV>
            <wp:extent cx="216027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25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«PURCHASERNAME»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288925</wp:posOffset>
            </wp:positionV>
            <wp:extent cx="2794635"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580390</wp:posOffset>
            </wp:positionV>
            <wp:extent cx="2794635"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Spouse of «PurchaserName» (if applicable)</w:t>
      </w:r>
    </w:p>
    <w:p>
      <w:pPr>
        <w:spacing w:after="0" w:line="15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640"/>
          </w:cols>
          <w:pgMar w:left="440" w:top="274" w:right="819" w:bottom="1440" w:gutter="0" w:footer="0" w:header="0"/>
        </w:sectPr>
      </w:pPr>
    </w:p>
    <w:bookmarkStart w:id="407" w:name="page408"/>
    <w:bookmarkEnd w:id="407"/>
    <w:p>
      <w:pPr>
        <w:ind w:left="512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ANNEX I</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Rule 506(d)(1)(i) to (viii) under the Securities Act of 1933, as amended</w:t>
      </w:r>
    </w:p>
    <w:p>
      <w:pPr>
        <w:spacing w:after="0" w:line="117" w:lineRule="exact"/>
        <w:rPr>
          <w:sz w:val="20"/>
          <w:szCs w:val="20"/>
          <w:color w:val="auto"/>
        </w:rPr>
      </w:pPr>
    </w:p>
    <w:p>
      <w:pPr>
        <w:ind w:left="4" w:right="120" w:hanging="4"/>
        <w:spacing w:after="0" w:line="277" w:lineRule="auto"/>
        <w:tabs>
          <w:tab w:leader="none" w:pos="219" w:val="left"/>
        </w:tabs>
        <w:numPr>
          <w:ilvl w:val="0"/>
          <w:numId w:val="400"/>
        </w:numPr>
        <w:rPr>
          <w:rFonts w:ascii="Arial" w:cs="Arial" w:eastAsia="Arial" w:hAnsi="Arial"/>
          <w:sz w:val="18"/>
          <w:szCs w:val="18"/>
          <w:color w:val="auto"/>
        </w:rPr>
      </w:pPr>
      <w:r>
        <w:rPr>
          <w:rFonts w:ascii="Arial" w:cs="Arial" w:eastAsia="Arial" w:hAnsi="Arial"/>
          <w:sz w:val="18"/>
          <w:szCs w:val="18"/>
          <w:color w:val="auto"/>
        </w:rPr>
        <w:t>Has been convicted, within ten years before such sale (or five years, in the case of issuers, their predecessors and affiliated issuers), of any felony or misdemeanor:</w:t>
      </w:r>
    </w:p>
    <w:p>
      <w:pPr>
        <w:spacing w:after="0" w:line="62" w:lineRule="exact"/>
        <w:rPr>
          <w:rFonts w:ascii="Arial" w:cs="Arial" w:eastAsia="Arial" w:hAnsi="Arial"/>
          <w:sz w:val="18"/>
          <w:szCs w:val="18"/>
          <w:color w:val="auto"/>
        </w:rPr>
      </w:pPr>
    </w:p>
    <w:p>
      <w:pPr>
        <w:ind w:left="744" w:hanging="304"/>
        <w:spacing w:after="0"/>
        <w:tabs>
          <w:tab w:leader="none" w:pos="744" w:val="left"/>
        </w:tabs>
        <w:numPr>
          <w:ilvl w:val="1"/>
          <w:numId w:val="400"/>
        </w:numPr>
        <w:rPr>
          <w:rFonts w:ascii="Arial" w:cs="Arial" w:eastAsia="Arial" w:hAnsi="Arial"/>
          <w:sz w:val="18"/>
          <w:szCs w:val="18"/>
          <w:color w:val="auto"/>
        </w:rPr>
      </w:pPr>
      <w:r>
        <w:rPr>
          <w:rFonts w:ascii="Arial" w:cs="Arial" w:eastAsia="Arial" w:hAnsi="Arial"/>
          <w:sz w:val="18"/>
          <w:szCs w:val="18"/>
          <w:color w:val="auto"/>
        </w:rPr>
        <w:t>In connection with the purchase or sale of any security;</w:t>
      </w:r>
    </w:p>
    <w:p>
      <w:pPr>
        <w:spacing w:after="0" w:line="117" w:lineRule="exact"/>
        <w:rPr>
          <w:rFonts w:ascii="Arial" w:cs="Arial" w:eastAsia="Arial" w:hAnsi="Arial"/>
          <w:sz w:val="18"/>
          <w:szCs w:val="18"/>
          <w:color w:val="auto"/>
        </w:rPr>
      </w:pPr>
    </w:p>
    <w:p>
      <w:pPr>
        <w:ind w:left="724" w:hanging="284"/>
        <w:spacing w:after="0"/>
        <w:tabs>
          <w:tab w:leader="none" w:pos="724" w:val="left"/>
        </w:tabs>
        <w:numPr>
          <w:ilvl w:val="1"/>
          <w:numId w:val="400"/>
        </w:numPr>
        <w:rPr>
          <w:rFonts w:ascii="Arial" w:cs="Arial" w:eastAsia="Arial" w:hAnsi="Arial"/>
          <w:sz w:val="18"/>
          <w:szCs w:val="18"/>
          <w:color w:val="auto"/>
        </w:rPr>
      </w:pPr>
      <w:r>
        <w:rPr>
          <w:rFonts w:ascii="Arial" w:cs="Arial" w:eastAsia="Arial" w:hAnsi="Arial"/>
          <w:sz w:val="18"/>
          <w:szCs w:val="18"/>
          <w:color w:val="auto"/>
        </w:rPr>
        <w:t>Involving the making of any false filing with the Commission; or</w:t>
      </w:r>
    </w:p>
    <w:p>
      <w:pPr>
        <w:spacing w:after="0" w:line="117" w:lineRule="exact"/>
        <w:rPr>
          <w:rFonts w:ascii="Arial" w:cs="Arial" w:eastAsia="Arial" w:hAnsi="Arial"/>
          <w:sz w:val="18"/>
          <w:szCs w:val="18"/>
          <w:color w:val="auto"/>
        </w:rPr>
      </w:pPr>
    </w:p>
    <w:p>
      <w:pPr>
        <w:ind w:left="444" w:right="60" w:hanging="4"/>
        <w:spacing w:after="0" w:line="277" w:lineRule="auto"/>
        <w:tabs>
          <w:tab w:leader="none" w:pos="719" w:val="left"/>
        </w:tabs>
        <w:numPr>
          <w:ilvl w:val="1"/>
          <w:numId w:val="400"/>
        </w:numPr>
        <w:rPr>
          <w:rFonts w:ascii="Arial" w:cs="Arial" w:eastAsia="Arial" w:hAnsi="Arial"/>
          <w:sz w:val="18"/>
          <w:szCs w:val="18"/>
          <w:color w:val="auto"/>
        </w:rPr>
      </w:pPr>
      <w:r>
        <w:rPr>
          <w:rFonts w:ascii="Arial" w:cs="Arial" w:eastAsia="Arial" w:hAnsi="Arial"/>
          <w:sz w:val="18"/>
          <w:szCs w:val="18"/>
          <w:color w:val="auto"/>
        </w:rPr>
        <w:t>Arising out of the conduct of the business of an underwriter, broker, dealer, municipal securities dealer, investment adviser or paid solicitor of purchasers of securities;</w:t>
      </w:r>
    </w:p>
    <w:p>
      <w:pPr>
        <w:spacing w:after="0" w:line="62" w:lineRule="exact"/>
        <w:rPr>
          <w:rFonts w:ascii="Arial" w:cs="Arial" w:eastAsia="Arial" w:hAnsi="Arial"/>
          <w:sz w:val="18"/>
          <w:szCs w:val="18"/>
          <w:color w:val="auto"/>
        </w:rPr>
      </w:pPr>
    </w:p>
    <w:p>
      <w:pPr>
        <w:ind w:left="4" w:right="20" w:hanging="4"/>
        <w:spacing w:after="0" w:line="277" w:lineRule="auto"/>
        <w:tabs>
          <w:tab w:leader="none" w:pos="269" w:val="left"/>
        </w:tabs>
        <w:numPr>
          <w:ilvl w:val="0"/>
          <w:numId w:val="400"/>
        </w:numPr>
        <w:rPr>
          <w:rFonts w:ascii="Arial" w:cs="Arial" w:eastAsia="Arial" w:hAnsi="Arial"/>
          <w:sz w:val="18"/>
          <w:szCs w:val="18"/>
          <w:color w:val="auto"/>
        </w:rPr>
      </w:pPr>
      <w:r>
        <w:rPr>
          <w:rFonts w:ascii="Arial" w:cs="Arial" w:eastAsia="Arial" w:hAnsi="Arial"/>
          <w:sz w:val="18"/>
          <w:szCs w:val="18"/>
          <w:color w:val="auto"/>
        </w:rPr>
        <w:t>Is subject to any order, judgment or decree of any court of competent jurisdiction, entered within five years before such sale, that, at the time of such sale, restrains or enjoins such person from engaging or continuing to engage in any conduct or practice:</w:t>
      </w:r>
    </w:p>
    <w:p>
      <w:pPr>
        <w:spacing w:after="0" w:line="62" w:lineRule="exact"/>
        <w:rPr>
          <w:rFonts w:ascii="Arial" w:cs="Arial" w:eastAsia="Arial" w:hAnsi="Arial"/>
          <w:sz w:val="18"/>
          <w:szCs w:val="18"/>
          <w:color w:val="auto"/>
        </w:rPr>
      </w:pPr>
    </w:p>
    <w:p>
      <w:pPr>
        <w:ind w:left="744" w:hanging="304"/>
        <w:spacing w:after="0"/>
        <w:tabs>
          <w:tab w:leader="none" w:pos="744" w:val="left"/>
        </w:tabs>
        <w:numPr>
          <w:ilvl w:val="1"/>
          <w:numId w:val="400"/>
        </w:numPr>
        <w:rPr>
          <w:rFonts w:ascii="Arial" w:cs="Arial" w:eastAsia="Arial" w:hAnsi="Arial"/>
          <w:sz w:val="18"/>
          <w:szCs w:val="18"/>
          <w:color w:val="auto"/>
        </w:rPr>
      </w:pPr>
      <w:r>
        <w:rPr>
          <w:rFonts w:ascii="Arial" w:cs="Arial" w:eastAsia="Arial" w:hAnsi="Arial"/>
          <w:sz w:val="18"/>
          <w:szCs w:val="18"/>
          <w:color w:val="auto"/>
        </w:rPr>
        <w:t>In connection with the purchase or sale of any security;</w:t>
      </w:r>
    </w:p>
    <w:p>
      <w:pPr>
        <w:spacing w:after="0" w:line="117" w:lineRule="exact"/>
        <w:rPr>
          <w:rFonts w:ascii="Arial" w:cs="Arial" w:eastAsia="Arial" w:hAnsi="Arial"/>
          <w:sz w:val="18"/>
          <w:szCs w:val="18"/>
          <w:color w:val="auto"/>
        </w:rPr>
      </w:pPr>
    </w:p>
    <w:p>
      <w:pPr>
        <w:ind w:left="724" w:hanging="284"/>
        <w:spacing w:after="0"/>
        <w:tabs>
          <w:tab w:leader="none" w:pos="724" w:val="left"/>
        </w:tabs>
        <w:numPr>
          <w:ilvl w:val="1"/>
          <w:numId w:val="400"/>
        </w:numPr>
        <w:rPr>
          <w:rFonts w:ascii="Arial" w:cs="Arial" w:eastAsia="Arial" w:hAnsi="Arial"/>
          <w:sz w:val="18"/>
          <w:szCs w:val="18"/>
          <w:color w:val="auto"/>
        </w:rPr>
      </w:pPr>
      <w:r>
        <w:rPr>
          <w:rFonts w:ascii="Arial" w:cs="Arial" w:eastAsia="Arial" w:hAnsi="Arial"/>
          <w:sz w:val="18"/>
          <w:szCs w:val="18"/>
          <w:color w:val="auto"/>
        </w:rPr>
        <w:t>Involving the making of any false filing with the Commission; or</w:t>
      </w:r>
    </w:p>
    <w:p>
      <w:pPr>
        <w:spacing w:after="0" w:line="117" w:lineRule="exact"/>
        <w:rPr>
          <w:rFonts w:ascii="Arial" w:cs="Arial" w:eastAsia="Arial" w:hAnsi="Arial"/>
          <w:sz w:val="18"/>
          <w:szCs w:val="18"/>
          <w:color w:val="auto"/>
        </w:rPr>
      </w:pPr>
    </w:p>
    <w:p>
      <w:pPr>
        <w:ind w:left="444" w:right="60" w:hanging="4"/>
        <w:spacing w:after="0" w:line="277" w:lineRule="auto"/>
        <w:tabs>
          <w:tab w:leader="none" w:pos="719" w:val="left"/>
        </w:tabs>
        <w:numPr>
          <w:ilvl w:val="1"/>
          <w:numId w:val="400"/>
        </w:numPr>
        <w:rPr>
          <w:rFonts w:ascii="Arial" w:cs="Arial" w:eastAsia="Arial" w:hAnsi="Arial"/>
          <w:sz w:val="18"/>
          <w:szCs w:val="18"/>
          <w:color w:val="auto"/>
        </w:rPr>
      </w:pPr>
      <w:r>
        <w:rPr>
          <w:rFonts w:ascii="Arial" w:cs="Arial" w:eastAsia="Arial" w:hAnsi="Arial"/>
          <w:sz w:val="18"/>
          <w:szCs w:val="18"/>
          <w:color w:val="auto"/>
        </w:rPr>
        <w:t>Arising out of the conduct of the business of an underwriter, broker, dealer, municipal securities dealer, investment adviser or paid solicitor of purchasers of securities;</w:t>
      </w:r>
    </w:p>
    <w:p>
      <w:pPr>
        <w:spacing w:after="0" w:line="62" w:lineRule="exact"/>
        <w:rPr>
          <w:rFonts w:ascii="Arial" w:cs="Arial" w:eastAsia="Arial" w:hAnsi="Arial"/>
          <w:sz w:val="18"/>
          <w:szCs w:val="18"/>
          <w:color w:val="auto"/>
        </w:rPr>
      </w:pPr>
    </w:p>
    <w:p>
      <w:pPr>
        <w:ind w:left="324" w:hanging="324"/>
        <w:spacing w:after="0"/>
        <w:tabs>
          <w:tab w:leader="none" w:pos="324" w:val="left"/>
        </w:tabs>
        <w:numPr>
          <w:ilvl w:val="0"/>
          <w:numId w:val="400"/>
        </w:numPr>
        <w:rPr>
          <w:rFonts w:ascii="Arial" w:cs="Arial" w:eastAsia="Arial" w:hAnsi="Arial"/>
          <w:sz w:val="17"/>
          <w:szCs w:val="17"/>
          <w:color w:val="auto"/>
        </w:rPr>
      </w:pPr>
      <w:r>
        <w:rPr>
          <w:rFonts w:ascii="Arial" w:cs="Arial" w:eastAsia="Arial" w:hAnsi="Arial"/>
          <w:sz w:val="17"/>
          <w:szCs w:val="17"/>
          <w:color w:val="auto"/>
        </w:rPr>
        <w:t>Is subject to a final order of a state securities commission (or an agency or officer of a state performing like functions); a state authority that</w:t>
      </w:r>
    </w:p>
    <w:p>
      <w:pPr>
        <w:spacing w:after="0" w:line="34" w:lineRule="exact"/>
        <w:rPr>
          <w:rFonts w:ascii="Arial" w:cs="Arial" w:eastAsia="Arial" w:hAnsi="Arial"/>
          <w:sz w:val="17"/>
          <w:szCs w:val="17"/>
          <w:color w:val="auto"/>
        </w:rPr>
      </w:pPr>
    </w:p>
    <w:p>
      <w:pPr>
        <w:ind w:left="4"/>
        <w:spacing w:after="0" w:line="323" w:lineRule="auto"/>
        <w:rPr>
          <w:rFonts w:ascii="Arial" w:cs="Arial" w:eastAsia="Arial" w:hAnsi="Arial"/>
          <w:sz w:val="17"/>
          <w:szCs w:val="17"/>
          <w:color w:val="auto"/>
        </w:rPr>
      </w:pPr>
      <w:r>
        <w:rPr>
          <w:rFonts w:ascii="Arial" w:cs="Arial" w:eastAsia="Arial" w:hAnsi="Arial"/>
          <w:sz w:val="16"/>
          <w:szCs w:val="16"/>
          <w:color w:val="auto"/>
        </w:rPr>
        <w:t>supervises or examines banks, savings associations, or credit unions; a state insurance commission (or an agency or officer of a state performing like functions); an appropriate federal banking agency; the U.S. Commodity Futures Trading Commission; or the National Credit Union Administration that:</w:t>
      </w:r>
    </w:p>
    <w:p>
      <w:pPr>
        <w:spacing w:after="0" w:line="30" w:lineRule="exact"/>
        <w:rPr>
          <w:rFonts w:ascii="Arial" w:cs="Arial" w:eastAsia="Arial" w:hAnsi="Arial"/>
          <w:sz w:val="17"/>
          <w:szCs w:val="17"/>
          <w:color w:val="auto"/>
        </w:rPr>
      </w:pPr>
    </w:p>
    <w:p>
      <w:pPr>
        <w:ind w:left="724" w:hanging="284"/>
        <w:spacing w:after="0"/>
        <w:tabs>
          <w:tab w:leader="none" w:pos="724" w:val="left"/>
        </w:tabs>
        <w:numPr>
          <w:ilvl w:val="1"/>
          <w:numId w:val="400"/>
        </w:numPr>
        <w:rPr>
          <w:rFonts w:ascii="Arial" w:cs="Arial" w:eastAsia="Arial" w:hAnsi="Arial"/>
          <w:sz w:val="18"/>
          <w:szCs w:val="18"/>
          <w:color w:val="auto"/>
        </w:rPr>
      </w:pPr>
      <w:r>
        <w:rPr>
          <w:rFonts w:ascii="Arial" w:cs="Arial" w:eastAsia="Arial" w:hAnsi="Arial"/>
          <w:sz w:val="18"/>
          <w:szCs w:val="18"/>
          <w:color w:val="auto"/>
        </w:rPr>
        <w:t>At the time of such sale, bars the person from:</w:t>
      </w:r>
    </w:p>
    <w:p>
      <w:pPr>
        <w:spacing w:after="0" w:line="117" w:lineRule="exact"/>
        <w:rPr>
          <w:rFonts w:ascii="Arial" w:cs="Arial" w:eastAsia="Arial" w:hAnsi="Arial"/>
          <w:sz w:val="18"/>
          <w:szCs w:val="18"/>
          <w:color w:val="auto"/>
        </w:rPr>
      </w:pPr>
    </w:p>
    <w:p>
      <w:pPr>
        <w:ind w:left="1244" w:hanging="253"/>
        <w:spacing w:after="0"/>
        <w:tabs>
          <w:tab w:leader="none" w:pos="1244" w:val="left"/>
        </w:tabs>
        <w:numPr>
          <w:ilvl w:val="2"/>
          <w:numId w:val="400"/>
        </w:numPr>
        <w:rPr>
          <w:rFonts w:ascii="Arial" w:cs="Arial" w:eastAsia="Arial" w:hAnsi="Arial"/>
          <w:sz w:val="18"/>
          <w:szCs w:val="18"/>
          <w:color w:val="auto"/>
        </w:rPr>
      </w:pPr>
      <w:r>
        <w:rPr>
          <w:rFonts w:ascii="Arial" w:cs="Arial" w:eastAsia="Arial" w:hAnsi="Arial"/>
          <w:sz w:val="18"/>
          <w:szCs w:val="18"/>
          <w:color w:val="auto"/>
        </w:rPr>
        <w:t>Association with an entity regulated by such commission, authority, agency, or officer;</w:t>
      </w:r>
    </w:p>
    <w:p>
      <w:pPr>
        <w:spacing w:after="0" w:line="117" w:lineRule="exact"/>
        <w:rPr>
          <w:rFonts w:ascii="Arial" w:cs="Arial" w:eastAsia="Arial" w:hAnsi="Arial"/>
          <w:sz w:val="18"/>
          <w:szCs w:val="18"/>
          <w:color w:val="auto"/>
        </w:rPr>
      </w:pPr>
    </w:p>
    <w:p>
      <w:pPr>
        <w:ind w:left="1244" w:hanging="253"/>
        <w:spacing w:after="0"/>
        <w:tabs>
          <w:tab w:leader="none" w:pos="1244" w:val="left"/>
        </w:tabs>
        <w:numPr>
          <w:ilvl w:val="2"/>
          <w:numId w:val="400"/>
        </w:numPr>
        <w:rPr>
          <w:rFonts w:ascii="Arial" w:cs="Arial" w:eastAsia="Arial" w:hAnsi="Arial"/>
          <w:sz w:val="18"/>
          <w:szCs w:val="18"/>
          <w:color w:val="auto"/>
        </w:rPr>
      </w:pPr>
      <w:r>
        <w:rPr>
          <w:rFonts w:ascii="Arial" w:cs="Arial" w:eastAsia="Arial" w:hAnsi="Arial"/>
          <w:sz w:val="18"/>
          <w:szCs w:val="18"/>
          <w:color w:val="auto"/>
        </w:rPr>
        <w:t>Engaging in the business of securities, insurance or banking; or</w:t>
      </w:r>
    </w:p>
    <w:p>
      <w:pPr>
        <w:spacing w:after="0" w:line="117" w:lineRule="exact"/>
        <w:rPr>
          <w:rFonts w:ascii="Arial" w:cs="Arial" w:eastAsia="Arial" w:hAnsi="Arial"/>
          <w:sz w:val="18"/>
          <w:szCs w:val="18"/>
          <w:color w:val="auto"/>
        </w:rPr>
      </w:pPr>
    </w:p>
    <w:p>
      <w:pPr>
        <w:ind w:left="1244" w:hanging="253"/>
        <w:spacing w:after="0"/>
        <w:tabs>
          <w:tab w:leader="none" w:pos="1244" w:val="left"/>
        </w:tabs>
        <w:numPr>
          <w:ilvl w:val="2"/>
          <w:numId w:val="400"/>
        </w:numPr>
        <w:rPr>
          <w:rFonts w:ascii="Arial" w:cs="Arial" w:eastAsia="Arial" w:hAnsi="Arial"/>
          <w:sz w:val="18"/>
          <w:szCs w:val="18"/>
          <w:color w:val="auto"/>
        </w:rPr>
      </w:pPr>
      <w:r>
        <w:rPr>
          <w:rFonts w:ascii="Arial" w:cs="Arial" w:eastAsia="Arial" w:hAnsi="Arial"/>
          <w:sz w:val="18"/>
          <w:szCs w:val="18"/>
          <w:color w:val="auto"/>
        </w:rPr>
        <w:t>Engaging in savings association or credit union activities; or</w:t>
      </w:r>
    </w:p>
    <w:p>
      <w:pPr>
        <w:spacing w:after="0" w:line="117" w:lineRule="exact"/>
        <w:rPr>
          <w:rFonts w:ascii="Arial" w:cs="Arial" w:eastAsia="Arial" w:hAnsi="Arial"/>
          <w:sz w:val="18"/>
          <w:szCs w:val="18"/>
          <w:color w:val="auto"/>
        </w:rPr>
      </w:pPr>
    </w:p>
    <w:p>
      <w:pPr>
        <w:ind w:left="444" w:right="280" w:hanging="4"/>
        <w:spacing w:after="0" w:line="277" w:lineRule="auto"/>
        <w:tabs>
          <w:tab w:leader="none" w:pos="729" w:val="left"/>
        </w:tabs>
        <w:numPr>
          <w:ilvl w:val="1"/>
          <w:numId w:val="400"/>
        </w:numPr>
        <w:rPr>
          <w:rFonts w:ascii="Arial" w:cs="Arial" w:eastAsia="Arial" w:hAnsi="Arial"/>
          <w:sz w:val="18"/>
          <w:szCs w:val="18"/>
          <w:color w:val="auto"/>
        </w:rPr>
      </w:pPr>
      <w:r>
        <w:rPr>
          <w:rFonts w:ascii="Arial" w:cs="Arial" w:eastAsia="Arial" w:hAnsi="Arial"/>
          <w:sz w:val="18"/>
          <w:szCs w:val="18"/>
          <w:color w:val="auto"/>
        </w:rPr>
        <w:t>Constitutes a final order based on a violation of any law or regulation that prohibits fraudulent, manipulative, or deceptive conduct entered within ten years before such sale;</w:t>
      </w:r>
    </w:p>
    <w:p>
      <w:pPr>
        <w:spacing w:after="0" w:line="62" w:lineRule="exact"/>
        <w:rPr>
          <w:rFonts w:ascii="Arial" w:cs="Arial" w:eastAsia="Arial" w:hAnsi="Arial"/>
          <w:sz w:val="18"/>
          <w:szCs w:val="18"/>
          <w:color w:val="auto"/>
        </w:rPr>
      </w:pPr>
    </w:p>
    <w:p>
      <w:pPr>
        <w:ind w:left="304" w:hanging="304"/>
        <w:spacing w:after="0"/>
        <w:tabs>
          <w:tab w:leader="none" w:pos="304" w:val="left"/>
        </w:tabs>
        <w:numPr>
          <w:ilvl w:val="0"/>
          <w:numId w:val="400"/>
        </w:numPr>
        <w:rPr>
          <w:rFonts w:ascii="Arial" w:cs="Arial" w:eastAsia="Arial" w:hAnsi="Arial"/>
          <w:sz w:val="16"/>
          <w:szCs w:val="16"/>
          <w:color w:val="auto"/>
        </w:rPr>
      </w:pPr>
      <w:r>
        <w:rPr>
          <w:rFonts w:ascii="Arial" w:cs="Arial" w:eastAsia="Arial" w:hAnsi="Arial"/>
          <w:sz w:val="16"/>
          <w:szCs w:val="16"/>
          <w:color w:val="auto"/>
        </w:rPr>
        <w:t>Is subject to an order of the Commission entered pursuant to section 15(b) or 15B(c) of the Securities Exchange Act of 1934 (15 U.S.C. 78o(b) or</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78o-4(c)) or section 203(e) or (f) of the Investment Advisers Act of 1940 (15 U.S.C. 80b-3(e) or (f)) that, at the time of such sale:</w:t>
      </w:r>
    </w:p>
    <w:p>
      <w:pPr>
        <w:spacing w:after="0" w:line="102" w:lineRule="exact"/>
        <w:rPr>
          <w:rFonts w:ascii="Arial" w:cs="Arial" w:eastAsia="Arial" w:hAnsi="Arial"/>
          <w:sz w:val="16"/>
          <w:szCs w:val="16"/>
          <w:color w:val="auto"/>
        </w:rPr>
      </w:pPr>
    </w:p>
    <w:p>
      <w:pPr>
        <w:ind w:left="744" w:hanging="304"/>
        <w:spacing w:after="0"/>
        <w:tabs>
          <w:tab w:leader="none" w:pos="744" w:val="left"/>
        </w:tabs>
        <w:numPr>
          <w:ilvl w:val="1"/>
          <w:numId w:val="400"/>
        </w:numPr>
        <w:rPr>
          <w:rFonts w:ascii="Arial" w:cs="Arial" w:eastAsia="Arial" w:hAnsi="Arial"/>
          <w:sz w:val="18"/>
          <w:szCs w:val="18"/>
          <w:color w:val="auto"/>
        </w:rPr>
      </w:pPr>
      <w:r>
        <w:rPr>
          <w:rFonts w:ascii="Arial" w:cs="Arial" w:eastAsia="Arial" w:hAnsi="Arial"/>
          <w:sz w:val="18"/>
          <w:szCs w:val="18"/>
          <w:color w:val="auto"/>
        </w:rPr>
        <w:t>Suspends or revokes such person’s registration as a broker, dealer, municipal securities dealer or investment adviser;</w:t>
      </w:r>
    </w:p>
    <w:p>
      <w:pPr>
        <w:spacing w:after="0" w:line="117" w:lineRule="exact"/>
        <w:rPr>
          <w:rFonts w:ascii="Arial" w:cs="Arial" w:eastAsia="Arial" w:hAnsi="Arial"/>
          <w:sz w:val="18"/>
          <w:szCs w:val="18"/>
          <w:color w:val="auto"/>
        </w:rPr>
      </w:pPr>
    </w:p>
    <w:p>
      <w:pPr>
        <w:ind w:left="724" w:hanging="284"/>
        <w:spacing w:after="0"/>
        <w:tabs>
          <w:tab w:leader="none" w:pos="724" w:val="left"/>
        </w:tabs>
        <w:numPr>
          <w:ilvl w:val="1"/>
          <w:numId w:val="400"/>
        </w:numPr>
        <w:rPr>
          <w:rFonts w:ascii="Arial" w:cs="Arial" w:eastAsia="Arial" w:hAnsi="Arial"/>
          <w:sz w:val="18"/>
          <w:szCs w:val="18"/>
          <w:color w:val="auto"/>
        </w:rPr>
      </w:pPr>
      <w:r>
        <w:rPr>
          <w:rFonts w:ascii="Arial" w:cs="Arial" w:eastAsia="Arial" w:hAnsi="Arial"/>
          <w:sz w:val="18"/>
          <w:szCs w:val="18"/>
          <w:color w:val="auto"/>
        </w:rPr>
        <w:t>Places limitations on the activities, functions or operations of such person; or</w:t>
      </w:r>
    </w:p>
    <w:p>
      <w:pPr>
        <w:spacing w:after="0" w:line="117" w:lineRule="exact"/>
        <w:rPr>
          <w:rFonts w:ascii="Arial" w:cs="Arial" w:eastAsia="Arial" w:hAnsi="Arial"/>
          <w:sz w:val="18"/>
          <w:szCs w:val="18"/>
          <w:color w:val="auto"/>
        </w:rPr>
      </w:pPr>
    </w:p>
    <w:p>
      <w:pPr>
        <w:ind w:left="724" w:hanging="284"/>
        <w:spacing w:after="0"/>
        <w:tabs>
          <w:tab w:leader="none" w:pos="724" w:val="left"/>
        </w:tabs>
        <w:numPr>
          <w:ilvl w:val="1"/>
          <w:numId w:val="400"/>
        </w:numPr>
        <w:rPr>
          <w:rFonts w:ascii="Arial" w:cs="Arial" w:eastAsia="Arial" w:hAnsi="Arial"/>
          <w:sz w:val="18"/>
          <w:szCs w:val="18"/>
          <w:color w:val="auto"/>
        </w:rPr>
      </w:pPr>
      <w:r>
        <w:rPr>
          <w:rFonts w:ascii="Arial" w:cs="Arial" w:eastAsia="Arial" w:hAnsi="Arial"/>
          <w:sz w:val="18"/>
          <w:szCs w:val="18"/>
          <w:color w:val="auto"/>
        </w:rPr>
        <w:t>Bars such person from being associated with any entity or from participating in the offering of any penny stock;</w:t>
      </w:r>
    </w:p>
    <w:p>
      <w:pPr>
        <w:spacing w:after="0" w:line="117" w:lineRule="exact"/>
        <w:rPr>
          <w:rFonts w:ascii="Arial" w:cs="Arial" w:eastAsia="Arial" w:hAnsi="Arial"/>
          <w:sz w:val="18"/>
          <w:szCs w:val="18"/>
          <w:color w:val="auto"/>
        </w:rPr>
      </w:pPr>
    </w:p>
    <w:p>
      <w:pPr>
        <w:ind w:left="4" w:right="380" w:hanging="4"/>
        <w:spacing w:after="0" w:line="277" w:lineRule="auto"/>
        <w:tabs>
          <w:tab w:leader="none" w:pos="259" w:val="left"/>
        </w:tabs>
        <w:numPr>
          <w:ilvl w:val="0"/>
          <w:numId w:val="400"/>
        </w:numPr>
        <w:rPr>
          <w:rFonts w:ascii="Arial" w:cs="Arial" w:eastAsia="Arial" w:hAnsi="Arial"/>
          <w:sz w:val="18"/>
          <w:szCs w:val="18"/>
          <w:color w:val="auto"/>
        </w:rPr>
      </w:pPr>
      <w:r>
        <w:rPr>
          <w:rFonts w:ascii="Arial" w:cs="Arial" w:eastAsia="Arial" w:hAnsi="Arial"/>
          <w:sz w:val="18"/>
          <w:szCs w:val="18"/>
          <w:color w:val="auto"/>
        </w:rPr>
        <w:t>Is subject to any order of the Commission entered within five years before such sale that, at the time of such sale, orders the person to cease and desist from committing or causing a violation or future violation of:</w:t>
      </w:r>
    </w:p>
    <w:p>
      <w:pPr>
        <w:spacing w:after="0" w:line="62" w:lineRule="exact"/>
        <w:rPr>
          <w:rFonts w:ascii="Arial" w:cs="Arial" w:eastAsia="Arial" w:hAnsi="Arial"/>
          <w:sz w:val="18"/>
          <w:szCs w:val="18"/>
          <w:color w:val="auto"/>
        </w:rPr>
      </w:pPr>
    </w:p>
    <w:p>
      <w:pPr>
        <w:ind w:left="444" w:right="200" w:hanging="4"/>
        <w:spacing w:after="0" w:line="259" w:lineRule="auto"/>
        <w:tabs>
          <w:tab w:leader="none" w:pos="729" w:val="left"/>
        </w:tabs>
        <w:numPr>
          <w:ilvl w:val="1"/>
          <w:numId w:val="400"/>
        </w:numPr>
        <w:rPr>
          <w:rFonts w:ascii="Arial" w:cs="Arial" w:eastAsia="Arial" w:hAnsi="Arial"/>
          <w:sz w:val="18"/>
          <w:szCs w:val="18"/>
          <w:color w:val="auto"/>
        </w:rPr>
      </w:pPr>
      <w:r>
        <w:rPr>
          <w:rFonts w:ascii="Arial" w:cs="Arial" w:eastAsia="Arial" w:hAnsi="Arial"/>
          <w:sz w:val="18"/>
          <w:szCs w:val="18"/>
          <w:color w:val="auto"/>
        </w:rPr>
        <w:t>Any scienter-based anti-fraud provision of the federal securities laws, including without limitation section 17(a)(1) of the Securities Act of 1933 (15 U.S.C. 77q(a)(1)), section 10(b) of the Securities Exchange Act of 1934 (15 U.S.C. 78j(b)) and 17 CFR 240.10b-5, section 15(c)(1) of the Securities Exchange Act of 1934 (15 U.S.C. 78o(c)(1)) and section 206(1) of the Investment Advisers Act of 1940 (15 U.S.C. 80b-6(1)), or any other rule or regulation thereunder; or</w:t>
      </w:r>
    </w:p>
    <w:p>
      <w:pPr>
        <w:spacing w:after="0" w:line="11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4"/>
          </w:cols>
          <w:pgMar w:left="436" w:top="270" w:right="479" w:bottom="1440" w:gutter="0" w:footer="0" w:header="0"/>
        </w:sectPr>
      </w:pPr>
    </w:p>
    <w:bookmarkStart w:id="408" w:name="page409"/>
    <w:bookmarkEnd w:id="408"/>
    <w:p>
      <w:pPr>
        <w:ind w:left="724" w:hanging="284"/>
        <w:spacing w:after="0"/>
        <w:tabs>
          <w:tab w:leader="none" w:pos="724" w:val="left"/>
        </w:tabs>
        <w:numPr>
          <w:ilvl w:val="1"/>
          <w:numId w:val="4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5 of the Securities Act of 1933 (15 U.S.C. 77e).</w:t>
      </w:r>
    </w:p>
    <w:p>
      <w:pPr>
        <w:spacing w:after="0" w:line="117" w:lineRule="exact"/>
        <w:rPr>
          <w:rFonts w:ascii="Arial" w:cs="Arial" w:eastAsia="Arial" w:hAnsi="Arial"/>
          <w:sz w:val="18"/>
          <w:szCs w:val="18"/>
          <w:color w:val="auto"/>
        </w:rPr>
      </w:pPr>
    </w:p>
    <w:p>
      <w:pPr>
        <w:ind w:left="4" w:hanging="4"/>
        <w:spacing w:after="0" w:line="263" w:lineRule="auto"/>
        <w:tabs>
          <w:tab w:leader="none" w:pos="309" w:val="left"/>
        </w:tabs>
        <w:numPr>
          <w:ilvl w:val="0"/>
          <w:numId w:val="402"/>
        </w:numPr>
        <w:rPr>
          <w:rFonts w:ascii="Arial" w:cs="Arial" w:eastAsia="Arial" w:hAnsi="Arial"/>
          <w:sz w:val="18"/>
          <w:szCs w:val="18"/>
          <w:color w:val="auto"/>
        </w:rPr>
      </w:pPr>
      <w:r>
        <w:rPr>
          <w:rFonts w:ascii="Arial" w:cs="Arial" w:eastAsia="Arial" w:hAnsi="Arial"/>
          <w:sz w:val="18"/>
          <w:szCs w:val="18"/>
          <w:color w:val="auto"/>
        </w:rPr>
        <w:t>Is suspended or expelled from membership in, or suspended or barred from association with a member of, a registered national securities exchange or a registered national or affiliated securities association for any act or omission to act constituting conduct inconsistent with just and equitable principles of trade;</w:t>
      </w:r>
    </w:p>
    <w:p>
      <w:pPr>
        <w:spacing w:after="0" w:line="75" w:lineRule="exact"/>
        <w:rPr>
          <w:rFonts w:ascii="Arial" w:cs="Arial" w:eastAsia="Arial" w:hAnsi="Arial"/>
          <w:sz w:val="18"/>
          <w:szCs w:val="18"/>
          <w:color w:val="auto"/>
        </w:rPr>
      </w:pPr>
    </w:p>
    <w:p>
      <w:pPr>
        <w:ind w:left="4" w:right="20" w:hanging="4"/>
        <w:spacing w:after="0" w:line="259" w:lineRule="auto"/>
        <w:tabs>
          <w:tab w:leader="none" w:pos="359" w:val="left"/>
        </w:tabs>
        <w:numPr>
          <w:ilvl w:val="0"/>
          <w:numId w:val="402"/>
        </w:numPr>
        <w:rPr>
          <w:rFonts w:ascii="Arial" w:cs="Arial" w:eastAsia="Arial" w:hAnsi="Arial"/>
          <w:sz w:val="18"/>
          <w:szCs w:val="18"/>
          <w:color w:val="auto"/>
        </w:rPr>
      </w:pPr>
      <w:r>
        <w:rPr>
          <w:rFonts w:ascii="Arial" w:cs="Arial" w:eastAsia="Arial" w:hAnsi="Arial"/>
          <w:sz w:val="18"/>
          <w:szCs w:val="18"/>
          <w:color w:val="auto"/>
        </w:rPr>
        <w:t>Has filed (as a registrant or issuer), or was or was named as an underwriter in, any registration statement or Regulation A offering statement filed with the Commission that, within five years before such sale, was the subject of a refusal order, stop order, or order suspending the Regulation A exemption, or is, at the time of such sale, the subject of an investigation or proceeding to determine whether a stop order or suspension order should be issued; or</w:t>
      </w:r>
    </w:p>
    <w:p>
      <w:pPr>
        <w:spacing w:after="0" w:line="78" w:lineRule="exact"/>
        <w:rPr>
          <w:rFonts w:ascii="Arial" w:cs="Arial" w:eastAsia="Arial" w:hAnsi="Arial"/>
          <w:sz w:val="18"/>
          <w:szCs w:val="18"/>
          <w:color w:val="auto"/>
        </w:rPr>
      </w:pPr>
    </w:p>
    <w:p>
      <w:pPr>
        <w:jc w:val="both"/>
        <w:ind w:left="4" w:right="280" w:hanging="4"/>
        <w:spacing w:after="0" w:line="286" w:lineRule="auto"/>
        <w:tabs>
          <w:tab w:leader="none" w:pos="409" w:val="left"/>
        </w:tabs>
        <w:numPr>
          <w:ilvl w:val="0"/>
          <w:numId w:val="402"/>
        </w:numPr>
        <w:rPr>
          <w:rFonts w:ascii="Arial" w:cs="Arial" w:eastAsia="Arial" w:hAnsi="Arial"/>
          <w:sz w:val="17"/>
          <w:szCs w:val="17"/>
          <w:color w:val="auto"/>
        </w:rPr>
      </w:pPr>
      <w:r>
        <w:rPr>
          <w:rFonts w:ascii="Arial" w:cs="Arial" w:eastAsia="Arial" w:hAnsi="Arial"/>
          <w:sz w:val="17"/>
          <w:szCs w:val="17"/>
          <w:color w:val="auto"/>
        </w:rPr>
        <w:t>Is subject to a United States Postal Service false representation order entered within five years before such sale, or is, at the time of such sale, subject to a temporary restraining order or preliminary injunction with respect to conduct alleged by the United States Postal Service to constitute a scheme or device for obtaining money or property through the mail by means of false representations.</w:t>
      </w:r>
    </w:p>
    <w:p>
      <w:pPr>
        <w:spacing w:after="0" w:line="98"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84"/>
          </w:cols>
          <w:pgMar w:left="436" w:top="274" w:right="579" w:bottom="1440" w:gutter="0" w:footer="0" w:header="0"/>
        </w:sectPr>
      </w:pPr>
    </w:p>
    <w:bookmarkStart w:id="409" w:name="page410"/>
    <w:bookmarkEnd w:id="409"/>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7440" w:type="dxa"/>
            <w:vAlign w:val="bottom"/>
            <w:gridSpan w:val="3"/>
          </w:tcPr>
          <w:p>
            <w:pPr>
              <w:jc w:val="center"/>
              <w:ind w:right="3519"/>
              <w:spacing w:after="0"/>
              <w:rPr>
                <w:sz w:val="20"/>
                <w:szCs w:val="20"/>
                <w:color w:val="auto"/>
              </w:rPr>
            </w:pPr>
            <w:r>
              <w:rPr>
                <w:rFonts w:ascii="Arial" w:cs="Arial" w:eastAsia="Arial" w:hAnsi="Arial"/>
                <w:sz w:val="18"/>
                <w:szCs w:val="18"/>
                <w:b w:val="1"/>
                <w:bCs w:val="1"/>
                <w:color w:val="auto"/>
                <w:w w:val="98"/>
              </w:rPr>
              <w:t>ASANA, INC.</w:t>
            </w:r>
          </w:p>
        </w:tc>
      </w:tr>
      <w:tr>
        <w:trPr>
          <w:trHeight w:val="234"/>
        </w:trPr>
        <w:tc>
          <w:tcPr>
            <w:tcW w:w="3580" w:type="dxa"/>
            <w:vAlign w:val="bottom"/>
          </w:tcPr>
          <w:p>
            <w:pPr>
              <w:spacing w:after="0"/>
              <w:rPr>
                <w:sz w:val="20"/>
                <w:szCs w:val="20"/>
                <w:color w:val="auto"/>
              </w:rPr>
            </w:pPr>
          </w:p>
        </w:tc>
        <w:tc>
          <w:tcPr>
            <w:tcW w:w="7440" w:type="dxa"/>
            <w:vAlign w:val="bottom"/>
            <w:gridSpan w:val="3"/>
          </w:tcPr>
          <w:p>
            <w:pPr>
              <w:jc w:val="center"/>
              <w:ind w:right="3519"/>
              <w:spacing w:after="0"/>
              <w:rPr>
                <w:sz w:val="20"/>
                <w:szCs w:val="20"/>
                <w:color w:val="auto"/>
              </w:rPr>
            </w:pPr>
            <w:r>
              <w:rPr>
                <w:rFonts w:ascii="Arial" w:cs="Arial" w:eastAsia="Arial" w:hAnsi="Arial"/>
                <w:sz w:val="18"/>
                <w:szCs w:val="18"/>
                <w:b w:val="1"/>
                <w:bCs w:val="1"/>
                <w:color w:val="auto"/>
              </w:rPr>
              <w:t>SUBSIDIARY LIST</w:t>
            </w:r>
          </w:p>
        </w:tc>
      </w:tr>
      <w:tr>
        <w:trPr>
          <w:trHeight w:val="405"/>
        </w:trPr>
        <w:tc>
          <w:tcPr>
            <w:tcW w:w="3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of Subsidiary</w:t>
            </w:r>
          </w:p>
        </w:tc>
        <w:tc>
          <w:tcPr>
            <w:tcW w:w="2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Borders>
              <w:bottom w:val="single" w:sz="8" w:color="auto"/>
            </w:tcBorders>
          </w:tcPr>
          <w:p>
            <w:pPr>
              <w:ind w:left="1760"/>
              <w:spacing w:after="0"/>
              <w:rPr>
                <w:sz w:val="20"/>
                <w:szCs w:val="20"/>
                <w:color w:val="auto"/>
              </w:rPr>
            </w:pPr>
            <w:r>
              <w:rPr>
                <w:rFonts w:ascii="Arial" w:cs="Arial" w:eastAsia="Arial" w:hAnsi="Arial"/>
                <w:sz w:val="14"/>
                <w:szCs w:val="14"/>
                <w:b w:val="1"/>
                <w:bCs w:val="1"/>
                <w:color w:val="auto"/>
              </w:rPr>
              <w:t>Jurisdiction of Organization</w:t>
            </w:r>
          </w:p>
        </w:tc>
      </w:tr>
      <w:tr>
        <w:trPr>
          <w:trHeight w:val="224"/>
        </w:trPr>
        <w:tc>
          <w:tcPr>
            <w:tcW w:w="3580" w:type="dxa"/>
            <w:vAlign w:val="bottom"/>
          </w:tcPr>
          <w:p>
            <w:pPr>
              <w:spacing w:after="0"/>
              <w:rPr>
                <w:sz w:val="20"/>
                <w:szCs w:val="20"/>
                <w:color w:val="auto"/>
              </w:rPr>
            </w:pPr>
            <w:r>
              <w:rPr>
                <w:rFonts w:ascii="Arial" w:cs="Arial" w:eastAsia="Arial" w:hAnsi="Arial"/>
                <w:sz w:val="18"/>
                <w:szCs w:val="18"/>
                <w:color w:val="auto"/>
              </w:rPr>
              <w:t>Asana Software Ireland Limited</w:t>
            </w: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Ireland</w:t>
            </w:r>
          </w:p>
        </w:tc>
      </w:tr>
      <w:tr>
        <w:trPr>
          <w:trHeight w:val="310"/>
        </w:trPr>
        <w:tc>
          <w:tcPr>
            <w:tcW w:w="3580" w:type="dxa"/>
            <w:vAlign w:val="bottom"/>
          </w:tcPr>
          <w:p>
            <w:pPr>
              <w:spacing w:after="0"/>
              <w:rPr>
                <w:sz w:val="20"/>
                <w:szCs w:val="20"/>
                <w:color w:val="auto"/>
              </w:rPr>
            </w:pPr>
            <w:r>
              <w:rPr>
                <w:rFonts w:ascii="Arial" w:cs="Arial" w:eastAsia="Arial" w:hAnsi="Arial"/>
                <w:sz w:val="18"/>
                <w:szCs w:val="18"/>
                <w:color w:val="auto"/>
              </w:rPr>
              <w:t>Asana Software Australia Pty Ltd</w:t>
            </w:r>
          </w:p>
        </w:tc>
        <w:tc>
          <w:tcPr>
            <w:tcW w:w="2040" w:type="dxa"/>
            <w:vAlign w:val="bottom"/>
          </w:tcPr>
          <w:p>
            <w:pPr>
              <w:spacing w:after="0"/>
              <w:rPr>
                <w:sz w:val="24"/>
                <w:szCs w:val="24"/>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Australia</w:t>
            </w:r>
          </w:p>
        </w:tc>
      </w:tr>
      <w:tr>
        <w:trPr>
          <w:trHeight w:val="324"/>
        </w:trPr>
        <w:tc>
          <w:tcPr>
            <w:tcW w:w="3580" w:type="dxa"/>
            <w:vAlign w:val="bottom"/>
          </w:tcPr>
          <w:p>
            <w:pPr>
              <w:spacing w:after="0"/>
              <w:rPr>
                <w:sz w:val="20"/>
                <w:szCs w:val="20"/>
                <w:color w:val="auto"/>
              </w:rPr>
            </w:pPr>
            <w:r>
              <w:rPr>
                <w:rFonts w:ascii="Arial" w:cs="Arial" w:eastAsia="Arial" w:hAnsi="Arial"/>
                <w:sz w:val="18"/>
                <w:szCs w:val="18"/>
                <w:color w:val="auto"/>
              </w:rPr>
              <w:t>Asana Software Iceland ehf</w:t>
            </w:r>
          </w:p>
        </w:tc>
        <w:tc>
          <w:tcPr>
            <w:tcW w:w="2040" w:type="dxa"/>
            <w:vAlign w:val="bottom"/>
          </w:tcPr>
          <w:p>
            <w:pPr>
              <w:spacing w:after="0"/>
              <w:rPr>
                <w:sz w:val="24"/>
                <w:szCs w:val="24"/>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Iceland</w:t>
            </w:r>
          </w:p>
        </w:tc>
      </w:tr>
      <w:tr>
        <w:trPr>
          <w:trHeight w:val="324"/>
        </w:trPr>
        <w:tc>
          <w:tcPr>
            <w:tcW w:w="3580" w:type="dxa"/>
            <w:vAlign w:val="bottom"/>
          </w:tcPr>
          <w:p>
            <w:pPr>
              <w:spacing w:after="0"/>
              <w:rPr>
                <w:sz w:val="20"/>
                <w:szCs w:val="20"/>
                <w:color w:val="auto"/>
              </w:rPr>
            </w:pPr>
            <w:r>
              <w:rPr>
                <w:rFonts w:ascii="Arial" w:cs="Arial" w:eastAsia="Arial" w:hAnsi="Arial"/>
                <w:sz w:val="18"/>
                <w:szCs w:val="18"/>
                <w:color w:val="auto"/>
              </w:rPr>
              <w:t>Asana Software Canada Ltd</w:t>
            </w:r>
          </w:p>
        </w:tc>
        <w:tc>
          <w:tcPr>
            <w:tcW w:w="2040" w:type="dxa"/>
            <w:vAlign w:val="bottom"/>
          </w:tcPr>
          <w:p>
            <w:pPr>
              <w:spacing w:after="0"/>
              <w:rPr>
                <w:sz w:val="24"/>
                <w:szCs w:val="24"/>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Canada</w:t>
            </w:r>
          </w:p>
        </w:tc>
      </w:tr>
      <w:tr>
        <w:trPr>
          <w:trHeight w:val="324"/>
        </w:trPr>
        <w:tc>
          <w:tcPr>
            <w:tcW w:w="3580" w:type="dxa"/>
            <w:vAlign w:val="bottom"/>
          </w:tcPr>
          <w:p>
            <w:pPr>
              <w:spacing w:after="0"/>
              <w:rPr>
                <w:sz w:val="20"/>
                <w:szCs w:val="20"/>
                <w:color w:val="auto"/>
              </w:rPr>
            </w:pPr>
            <w:r>
              <w:rPr>
                <w:rFonts w:ascii="Arial" w:cs="Arial" w:eastAsia="Arial" w:hAnsi="Arial"/>
                <w:sz w:val="18"/>
                <w:szCs w:val="18"/>
                <w:color w:val="auto"/>
              </w:rPr>
              <w:t>Asana Japan KK</w:t>
            </w:r>
          </w:p>
        </w:tc>
        <w:tc>
          <w:tcPr>
            <w:tcW w:w="2040" w:type="dxa"/>
            <w:vAlign w:val="bottom"/>
          </w:tcPr>
          <w:p>
            <w:pPr>
              <w:spacing w:after="0"/>
              <w:rPr>
                <w:sz w:val="24"/>
                <w:szCs w:val="24"/>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Japan</w:t>
            </w:r>
          </w:p>
        </w:tc>
      </w:tr>
      <w:tr>
        <w:trPr>
          <w:trHeight w:val="324"/>
        </w:trPr>
        <w:tc>
          <w:tcPr>
            <w:tcW w:w="3580" w:type="dxa"/>
            <w:vAlign w:val="bottom"/>
          </w:tcPr>
          <w:p>
            <w:pPr>
              <w:spacing w:after="0"/>
              <w:rPr>
                <w:sz w:val="20"/>
                <w:szCs w:val="20"/>
                <w:color w:val="auto"/>
              </w:rPr>
            </w:pPr>
            <w:r>
              <w:rPr>
                <w:rFonts w:ascii="Arial" w:cs="Arial" w:eastAsia="Arial" w:hAnsi="Arial"/>
                <w:sz w:val="18"/>
                <w:szCs w:val="18"/>
                <w:color w:val="auto"/>
              </w:rPr>
              <w:t>Asana Software UK Limited</w:t>
            </w:r>
          </w:p>
        </w:tc>
        <w:tc>
          <w:tcPr>
            <w:tcW w:w="2040" w:type="dxa"/>
            <w:vAlign w:val="bottom"/>
          </w:tcPr>
          <w:p>
            <w:pPr>
              <w:spacing w:after="0"/>
              <w:rPr>
                <w:sz w:val="24"/>
                <w:szCs w:val="24"/>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U.K.</w:t>
            </w:r>
          </w:p>
        </w:tc>
      </w:tr>
      <w:tr>
        <w:trPr>
          <w:trHeight w:val="324"/>
        </w:trPr>
        <w:tc>
          <w:tcPr>
            <w:tcW w:w="3580" w:type="dxa"/>
            <w:vAlign w:val="bottom"/>
          </w:tcPr>
          <w:p>
            <w:pPr>
              <w:spacing w:after="0"/>
              <w:rPr>
                <w:sz w:val="20"/>
                <w:szCs w:val="20"/>
                <w:color w:val="auto"/>
              </w:rPr>
            </w:pPr>
            <w:r>
              <w:rPr>
                <w:rFonts w:ascii="Arial" w:cs="Arial" w:eastAsia="Arial" w:hAnsi="Arial"/>
                <w:sz w:val="18"/>
                <w:szCs w:val="18"/>
                <w:color w:val="auto"/>
              </w:rPr>
              <w:t>Asana Germany GmbH</w:t>
            </w:r>
          </w:p>
        </w:tc>
        <w:tc>
          <w:tcPr>
            <w:tcW w:w="2040" w:type="dxa"/>
            <w:vAlign w:val="bottom"/>
          </w:tcPr>
          <w:p>
            <w:pPr>
              <w:spacing w:after="0"/>
              <w:rPr>
                <w:sz w:val="24"/>
                <w:szCs w:val="24"/>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Germany</w:t>
            </w:r>
          </w:p>
        </w:tc>
      </w:tr>
    </w:tbl>
    <w:p>
      <w:pPr>
        <w:spacing w:after="0" w:line="1" w:lineRule="exact"/>
        <w:rPr>
          <w:sz w:val="20"/>
          <w:szCs w:val="20"/>
          <w:color w:val="auto"/>
        </w:rPr>
      </w:pP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A10B4E8"/>
    <w:multiLevelType w:val="hybridMultilevel"/>
    <w:lvl w:ilvl="0">
      <w:lvlJc w:val="left"/>
      <w:lvlText w:val="(%1)"/>
      <w:numFmt w:val="decimal"/>
      <w:start w:val="1"/>
    </w:lvl>
  </w:abstractNum>
  <w:abstractNum w:abstractNumId="1">
    <w:nsid w:val="43D3BCD4"/>
    <w:multiLevelType w:val="hybridMultilevel"/>
    <w:lvl w:ilvl="0">
      <w:lvlJc w:val="left"/>
      <w:lvlText w:val="•"/>
      <w:numFmt w:val="bullet"/>
      <w:start w:val="1"/>
    </w:lvl>
  </w:abstractNum>
  <w:abstractNum w:abstractNumId="2">
    <w:nsid w:val="4C2A7166"/>
    <w:multiLevelType w:val="hybridMultilevel"/>
    <w:lvl w:ilvl="0">
      <w:lvlJc w:val="left"/>
      <w:lvlText w:val="•"/>
      <w:numFmt w:val="bullet"/>
      <w:start w:val="1"/>
    </w:lvl>
  </w:abstractNum>
  <w:abstractNum w:abstractNumId="3">
    <w:nsid w:val="2E534A82"/>
    <w:multiLevelType w:val="hybridMultilevel"/>
    <w:lvl w:ilvl="0">
      <w:lvlJc w:val="left"/>
      <w:lvlText w:val="•"/>
      <w:numFmt w:val="bullet"/>
      <w:start w:val="1"/>
    </w:lvl>
  </w:abstractNum>
  <w:abstractNum w:abstractNumId="4">
    <w:nsid w:val="26F2D364"/>
    <w:multiLevelType w:val="hybridMultilevel"/>
    <w:lvl w:ilvl="0">
      <w:lvlJc w:val="left"/>
      <w:lvlText w:val="•"/>
      <w:numFmt w:val="bullet"/>
      <w:start w:val="1"/>
    </w:lvl>
  </w:abstractNum>
  <w:abstractNum w:abstractNumId="5">
    <w:nsid w:val="71C1AF98"/>
    <w:multiLevelType w:val="hybridMultilevel"/>
    <w:lvl w:ilvl="0">
      <w:lvlJc w:val="left"/>
      <w:lvlText w:val="•"/>
      <w:numFmt w:val="bullet"/>
      <w:start w:val="1"/>
    </w:lvl>
  </w:abstractNum>
  <w:abstractNum w:abstractNumId="6">
    <w:nsid w:val="3D00B9D9"/>
    <w:multiLevelType w:val="hybridMultilevel"/>
    <w:lvl w:ilvl="0">
      <w:lvlJc w:val="left"/>
      <w:lvlText w:val="•"/>
      <w:numFmt w:val="bullet"/>
      <w:start w:val="1"/>
    </w:lvl>
  </w:abstractNum>
  <w:abstractNum w:abstractNumId="7">
    <w:nsid w:val="15BCABA8"/>
    <w:multiLevelType w:val="hybridMultilevel"/>
    <w:lvl w:ilvl="0">
      <w:lvlJc w:val="left"/>
      <w:lvlText w:val="•"/>
      <w:numFmt w:val="bullet"/>
      <w:start w:val="1"/>
    </w:lvl>
  </w:abstractNum>
  <w:abstractNum w:abstractNumId="8">
    <w:nsid w:val="4E0B9A87"/>
    <w:multiLevelType w:val="hybridMultilevel"/>
    <w:lvl w:ilvl="0">
      <w:lvlJc w:val="left"/>
      <w:lvlText w:val="•"/>
      <w:numFmt w:val="bullet"/>
      <w:start w:val="1"/>
    </w:lvl>
  </w:abstractNum>
  <w:abstractNum w:abstractNumId="9">
    <w:nsid w:val="434BAE75"/>
    <w:multiLevelType w:val="hybridMultilevel"/>
    <w:lvl w:ilvl="0">
      <w:lvlJc w:val="left"/>
      <w:lvlText w:val="•"/>
      <w:numFmt w:val="bullet"/>
      <w:start w:val="1"/>
    </w:lvl>
  </w:abstractNum>
  <w:abstractNum w:abstractNumId="10">
    <w:nsid w:val="4F38F265"/>
    <w:multiLevelType w:val="hybridMultilevel"/>
    <w:lvl w:ilvl="0">
      <w:lvlJc w:val="left"/>
      <w:lvlText w:val="•"/>
      <w:numFmt w:val="bullet"/>
      <w:start w:val="1"/>
    </w:lvl>
  </w:abstractNum>
  <w:abstractNum w:abstractNumId="11">
    <w:nsid w:val="4C502870"/>
    <w:multiLevelType w:val="hybridMultilevel"/>
    <w:lvl w:ilvl="0">
      <w:lvlJc w:val="left"/>
      <w:lvlText w:val="•"/>
      <w:numFmt w:val="bullet"/>
      <w:start w:val="1"/>
    </w:lvl>
  </w:abstractNum>
  <w:abstractNum w:abstractNumId="12">
    <w:nsid w:val="1DE8725A"/>
    <w:multiLevelType w:val="hybridMultilevel"/>
    <w:lvl w:ilvl="0">
      <w:lvlJc w:val="left"/>
      <w:lvlText w:val="(%1)"/>
      <w:numFmt w:val="decimal"/>
      <w:start w:val="1"/>
    </w:lvl>
  </w:abstractNum>
  <w:abstractNum w:abstractNumId="13">
    <w:nsid w:val="6A37288A"/>
    <w:multiLevelType w:val="hybridMultilevel"/>
    <w:lvl w:ilvl="0">
      <w:lvlJc w:val="left"/>
      <w:lvlText w:val="(%1)"/>
      <w:numFmt w:val="decimal"/>
      <w:start w:val="1"/>
    </w:lvl>
  </w:abstractNum>
  <w:abstractNum w:abstractNumId="14">
    <w:nsid w:val="8F8B73F"/>
    <w:multiLevelType w:val="hybridMultilevel"/>
    <w:lvl w:ilvl="0">
      <w:lvlJc w:val="left"/>
      <w:lvlText w:val="•"/>
      <w:numFmt w:val="bullet"/>
      <w:start w:val="1"/>
    </w:lvl>
  </w:abstractNum>
  <w:abstractNum w:abstractNumId="15">
    <w:nsid w:val="CA6B462"/>
    <w:multiLevelType w:val="hybridMultilevel"/>
    <w:lvl w:ilvl="0">
      <w:lvlJc w:val="left"/>
      <w:lvlText w:val="•"/>
      <w:numFmt w:val="bullet"/>
      <w:start w:val="1"/>
    </w:lvl>
  </w:abstractNum>
  <w:abstractNum w:abstractNumId="16">
    <w:nsid w:val="763CB680"/>
    <w:multiLevelType w:val="hybridMultilevel"/>
    <w:lvl w:ilvl="0">
      <w:lvlJc w:val="left"/>
      <w:lvlText w:val="•"/>
      <w:numFmt w:val="bullet"/>
      <w:start w:val="1"/>
    </w:lvl>
  </w:abstractNum>
  <w:abstractNum w:abstractNumId="17">
    <w:nsid w:val="15B71329"/>
    <w:multiLevelType w:val="hybridMultilevel"/>
    <w:lvl w:ilvl="0">
      <w:lvlJc w:val="left"/>
      <w:lvlText w:val="•"/>
      <w:numFmt w:val="bullet"/>
      <w:start w:val="1"/>
    </w:lvl>
  </w:abstractNum>
  <w:abstractNum w:abstractNumId="18">
    <w:nsid w:val="3DA97044"/>
    <w:multiLevelType w:val="hybridMultilevel"/>
    <w:lvl w:ilvl="0">
      <w:lvlJc w:val="left"/>
      <w:lvlText w:val="•"/>
      <w:numFmt w:val="bullet"/>
      <w:start w:val="1"/>
    </w:lvl>
  </w:abstractNum>
  <w:abstractNum w:abstractNumId="19">
    <w:nsid w:val="1CDCE2DE"/>
    <w:multiLevelType w:val="hybridMultilevel"/>
    <w:lvl w:ilvl="0">
      <w:lvlJc w:val="left"/>
      <w:lvlText w:val="•"/>
      <w:numFmt w:val="bullet"/>
      <w:start w:val="1"/>
    </w:lvl>
  </w:abstractNum>
  <w:abstractNum w:abstractNumId="20">
    <w:nsid w:val="69D3947C"/>
    <w:multiLevelType w:val="hybridMultilevel"/>
    <w:lvl w:ilvl="0">
      <w:lvlJc w:val="left"/>
      <w:lvlText w:val="•"/>
      <w:numFmt w:val="bullet"/>
      <w:start w:val="1"/>
    </w:lvl>
  </w:abstractNum>
  <w:abstractNum w:abstractNumId="21">
    <w:nsid w:val="2539DFA5"/>
    <w:multiLevelType w:val="hybridMultilevel"/>
    <w:lvl w:ilvl="0">
      <w:lvlJc w:val="left"/>
      <w:lvlText w:val=","/>
      <w:numFmt w:val="bullet"/>
      <w:start w:val="1"/>
    </w:lvl>
  </w:abstractNum>
  <w:abstractNum w:abstractNumId="22">
    <w:nsid w:val="2DB88089"/>
    <w:multiLevelType w:val="hybridMultilevel"/>
    <w:lvl w:ilvl="0">
      <w:lvlJc w:val="left"/>
      <w:lvlText w:val="•"/>
      <w:numFmt w:val="bullet"/>
      <w:start w:val="1"/>
    </w:lvl>
    <w:lvl w:ilvl="1">
      <w:lvlJc w:val="left"/>
      <w:lvlText w:val=","/>
      <w:numFmt w:val="bullet"/>
      <w:start w:val="1"/>
    </w:lvl>
  </w:abstractNum>
  <w:abstractNum w:abstractNumId="23">
    <w:nsid w:val="706B674E"/>
    <w:multiLevelType w:val="hybridMultilevel"/>
    <w:lvl w:ilvl="0">
      <w:lvlJc w:val="left"/>
      <w:lvlText w:val="•"/>
      <w:numFmt w:val="bullet"/>
      <w:start w:val="1"/>
    </w:lvl>
  </w:abstractNum>
  <w:abstractNum w:abstractNumId="24">
    <w:nsid w:val="2C106A57"/>
    <w:multiLevelType w:val="hybridMultilevel"/>
    <w:lvl w:ilvl="0">
      <w:lvlJc w:val="left"/>
      <w:lvlText w:val="•"/>
      <w:numFmt w:val="bullet"/>
      <w:start w:val="1"/>
    </w:lvl>
  </w:abstractNum>
  <w:abstractNum w:abstractNumId="25">
    <w:nsid w:val="684EED59"/>
    <w:multiLevelType w:val="hybridMultilevel"/>
    <w:lvl w:ilvl="0">
      <w:lvlJc w:val="left"/>
      <w:lvlText w:val="•"/>
      <w:numFmt w:val="bullet"/>
      <w:start w:val="1"/>
    </w:lvl>
  </w:abstractNum>
  <w:abstractNum w:abstractNumId="26">
    <w:nsid w:val="545EE5D3"/>
    <w:multiLevelType w:val="hybridMultilevel"/>
    <w:lvl w:ilvl="0">
      <w:lvlJc w:val="left"/>
      <w:lvlText w:val="•"/>
      <w:numFmt w:val="bullet"/>
      <w:start w:val="1"/>
    </w:lvl>
  </w:abstractNum>
  <w:abstractNum w:abstractNumId="27">
    <w:nsid w:val="4A66051"/>
    <w:multiLevelType w:val="hybridMultilevel"/>
    <w:lvl w:ilvl="0">
      <w:lvlJc w:val="left"/>
      <w:lvlText w:val="•"/>
      <w:numFmt w:val="bullet"/>
      <w:start w:val="1"/>
    </w:lvl>
  </w:abstractNum>
  <w:abstractNum w:abstractNumId="28">
    <w:nsid w:val="20F4BDAD"/>
    <w:multiLevelType w:val="hybridMultilevel"/>
    <w:lvl w:ilvl="0">
      <w:lvlJc w:val="left"/>
      <w:lvlText w:val="•"/>
      <w:numFmt w:val="bullet"/>
      <w:start w:val="1"/>
    </w:lvl>
  </w:abstractNum>
  <w:abstractNum w:abstractNumId="29">
    <w:nsid w:val="639DEFAC"/>
    <w:multiLevelType w:val="hybridMultilevel"/>
    <w:lvl w:ilvl="0">
      <w:lvlJc w:val="left"/>
      <w:lvlText w:val="•"/>
      <w:numFmt w:val="bullet"/>
      <w:start w:val="1"/>
    </w:lvl>
  </w:abstractNum>
  <w:abstractNum w:abstractNumId="30">
    <w:nsid w:val="501F9786"/>
    <w:multiLevelType w:val="hybridMultilevel"/>
    <w:lvl w:ilvl="0">
      <w:lvlJc w:val="left"/>
      <w:lvlText w:val="•"/>
      <w:numFmt w:val="bullet"/>
      <w:start w:val="1"/>
    </w:lvl>
  </w:abstractNum>
  <w:abstractNum w:abstractNumId="31">
    <w:nsid w:val="6B057295"/>
    <w:multiLevelType w:val="hybridMultilevel"/>
    <w:lvl w:ilvl="0">
      <w:lvlJc w:val="left"/>
      <w:lvlText w:val="(%1)"/>
      <w:numFmt w:val="decimal"/>
      <w:start w:val="1"/>
    </w:lvl>
  </w:abstractNum>
  <w:abstractNum w:abstractNumId="32">
    <w:nsid w:val="2771AC80"/>
    <w:multiLevelType w:val="hybridMultilevel"/>
    <w:lvl w:ilvl="0">
      <w:lvlJc w:val="left"/>
      <w:lvlText w:val="•"/>
      <w:numFmt w:val="bullet"/>
      <w:start w:val="1"/>
    </w:lvl>
  </w:abstractNum>
  <w:abstractNum w:abstractNumId="33">
    <w:nsid w:val="1C4A08EC"/>
    <w:multiLevelType w:val="hybridMultilevel"/>
    <w:lvl w:ilvl="0">
      <w:lvlJc w:val="left"/>
      <w:lvlText w:val="•"/>
      <w:numFmt w:val="bullet"/>
      <w:start w:val="1"/>
    </w:lvl>
  </w:abstractNum>
  <w:abstractNum w:abstractNumId="34">
    <w:nsid w:val="1958BD17"/>
    <w:multiLevelType w:val="hybridMultilevel"/>
    <w:lvl w:ilvl="0">
      <w:lvlJc w:val="left"/>
      <w:lvlText w:val="•"/>
      <w:numFmt w:val="bullet"/>
      <w:start w:val="1"/>
    </w:lvl>
  </w:abstractNum>
  <w:abstractNum w:abstractNumId="35">
    <w:nsid w:val="4E647FE4"/>
    <w:multiLevelType w:val="hybridMultilevel"/>
    <w:lvl w:ilvl="0">
      <w:lvlJc w:val="left"/>
      <w:lvlText w:val="•"/>
      <w:numFmt w:val="bullet"/>
      <w:start w:val="1"/>
    </w:lvl>
  </w:abstractNum>
  <w:abstractNum w:abstractNumId="36">
    <w:nsid w:val="E0BB885"/>
    <w:multiLevelType w:val="hybridMultilevel"/>
    <w:lvl w:ilvl="0">
      <w:lvlJc w:val="left"/>
      <w:lvlText w:val="•"/>
      <w:numFmt w:val="bullet"/>
      <w:start w:val="1"/>
    </w:lvl>
    <w:lvl w:ilvl="1">
      <w:lvlJc w:val="left"/>
      <w:lvlText w:val="•"/>
      <w:numFmt w:val="bullet"/>
      <w:start w:val="1"/>
    </w:lvl>
  </w:abstractNum>
  <w:abstractNum w:abstractNumId="37">
    <w:nsid w:val="565976F1"/>
    <w:multiLevelType w:val="hybridMultilevel"/>
    <w:lvl w:ilvl="0">
      <w:lvlJc w:val="left"/>
      <w:lvlText w:val="(%1)"/>
      <w:numFmt w:val="decimal"/>
      <w:start w:val="1"/>
    </w:lvl>
  </w:abstractNum>
  <w:abstractNum w:abstractNumId="38">
    <w:nsid w:val="64212B8C"/>
    <w:multiLevelType w:val="hybridMultilevel"/>
    <w:lvl w:ilvl="0">
      <w:lvlJc w:val="left"/>
      <w:lvlText w:val="(%1)"/>
      <w:numFmt w:val="decimal"/>
      <w:start w:val="1"/>
    </w:lvl>
  </w:abstractNum>
  <w:abstractNum w:abstractNumId="39">
    <w:nsid w:val="5C17530C"/>
    <w:multiLevelType w:val="hybridMultilevel"/>
    <w:lvl w:ilvl="0">
      <w:lvlJc w:val="left"/>
      <w:lvlText w:val="$"/>
      <w:numFmt w:val="bullet"/>
      <w:start w:val="1"/>
    </w:lvl>
  </w:abstractNum>
  <w:abstractNum w:abstractNumId="40">
    <w:nsid w:val="19A52566"/>
    <w:multiLevelType w:val="hybridMultilevel"/>
    <w:lvl w:ilvl="0">
      <w:lvlJc w:val="left"/>
      <w:lvlText w:val="(%1)"/>
      <w:numFmt w:val="decimal"/>
      <w:start w:val="1"/>
    </w:lvl>
  </w:abstractNum>
  <w:abstractNum w:abstractNumId="41">
    <w:nsid w:val="335A1DF1"/>
    <w:multiLevelType w:val="hybridMultilevel"/>
    <w:lvl w:ilvl="0">
      <w:lvlJc w:val="left"/>
      <w:lvlText w:val="(%1)"/>
      <w:numFmt w:val="decimal"/>
      <w:start w:val="1"/>
    </w:lvl>
  </w:abstractNum>
  <w:abstractNum w:abstractNumId="42">
    <w:nsid w:val="28677B7C"/>
    <w:multiLevelType w:val="hybridMultilevel"/>
    <w:lvl w:ilvl="0">
      <w:lvlJc w:val="left"/>
      <w:lvlText w:val="•"/>
      <w:numFmt w:val="bullet"/>
      <w:start w:val="1"/>
    </w:lvl>
  </w:abstractNum>
  <w:abstractNum w:abstractNumId="43">
    <w:nsid w:val="378D97C0"/>
    <w:multiLevelType w:val="hybridMultilevel"/>
    <w:lvl w:ilvl="0">
      <w:lvlJc w:val="left"/>
      <w:lvlText w:val="•"/>
      <w:numFmt w:val="bullet"/>
      <w:start w:val="1"/>
    </w:lvl>
  </w:abstractNum>
  <w:abstractNum w:abstractNumId="44">
    <w:nsid w:val="1D91467C"/>
    <w:multiLevelType w:val="hybridMultilevel"/>
    <w:lvl w:ilvl="0">
      <w:lvlJc w:val="left"/>
      <w:lvlText w:val="•"/>
      <w:numFmt w:val="bullet"/>
      <w:start w:val="1"/>
    </w:lvl>
  </w:abstractNum>
  <w:abstractNum w:abstractNumId="45">
    <w:nsid w:val="316032BB"/>
    <w:multiLevelType w:val="hybridMultilevel"/>
    <w:lvl w:ilvl="0">
      <w:lvlJc w:val="left"/>
      <w:lvlText w:val="•"/>
      <w:numFmt w:val="bullet"/>
      <w:start w:val="1"/>
    </w:lvl>
  </w:abstractNum>
  <w:abstractNum w:abstractNumId="46">
    <w:nsid w:val="44344C22"/>
    <w:multiLevelType w:val="hybridMultilevel"/>
    <w:lvl w:ilvl="0">
      <w:lvlJc w:val="left"/>
      <w:lvlText w:val="•"/>
      <w:numFmt w:val="bullet"/>
      <w:start w:val="1"/>
    </w:lvl>
  </w:abstractNum>
  <w:abstractNum w:abstractNumId="47">
    <w:nsid w:val="13CDFCFC"/>
    <w:multiLevelType w:val="hybridMultilevel"/>
    <w:lvl w:ilvl="0">
      <w:lvlJc w:val="left"/>
      <w:lvlText w:val="•"/>
      <w:numFmt w:val="bullet"/>
      <w:start w:val="1"/>
    </w:lvl>
  </w:abstractNum>
  <w:abstractNum w:abstractNumId="48">
    <w:nsid w:val="471745E4"/>
    <w:multiLevelType w:val="hybridMultilevel"/>
    <w:lvl w:ilvl="0">
      <w:lvlJc w:val="left"/>
      <w:lvlText w:val="•"/>
      <w:numFmt w:val="bullet"/>
      <w:start w:val="1"/>
    </w:lvl>
  </w:abstractNum>
  <w:abstractNum w:abstractNumId="49">
    <w:nsid w:val="1DDBC66"/>
    <w:multiLevelType w:val="hybridMultilevel"/>
    <w:lvl w:ilvl="0">
      <w:lvlJc w:val="left"/>
      <w:lvlText w:val="•"/>
      <w:numFmt w:val="bullet"/>
      <w:start w:val="1"/>
    </w:lvl>
  </w:abstractNum>
  <w:abstractNum w:abstractNumId="50">
    <w:nsid w:val="30AADFDA"/>
    <w:multiLevelType w:val="hybridMultilevel"/>
    <w:lvl w:ilvl="0">
      <w:lvlJc w:val="left"/>
      <w:lvlText w:val="$"/>
      <w:numFmt w:val="bullet"/>
      <w:start w:val="1"/>
    </w:lvl>
  </w:abstractNum>
  <w:abstractNum w:abstractNumId="51">
    <w:nsid w:val="30EADA61"/>
    <w:multiLevelType w:val="hybridMultilevel"/>
    <w:lvl w:ilvl="0">
      <w:lvlJc w:val="left"/>
      <w:lvlText w:val="•"/>
      <w:numFmt w:val="bullet"/>
      <w:start w:val="1"/>
    </w:lvl>
  </w:abstractNum>
  <w:abstractNum w:abstractNumId="52">
    <w:nsid w:val="27179C0B"/>
    <w:multiLevelType w:val="hybridMultilevel"/>
    <w:lvl w:ilvl="0">
      <w:lvlJc w:val="left"/>
      <w:lvlText w:val="•"/>
      <w:numFmt w:val="bullet"/>
      <w:start w:val="1"/>
    </w:lvl>
  </w:abstractNum>
  <w:abstractNum w:abstractNumId="53">
    <w:nsid w:val="5E636063"/>
    <w:multiLevelType w:val="hybridMultilevel"/>
    <w:lvl w:ilvl="0">
      <w:lvlJc w:val="left"/>
      <w:lvlText w:val="•"/>
      <w:numFmt w:val="bullet"/>
      <w:start w:val="1"/>
    </w:lvl>
  </w:abstractNum>
  <w:abstractNum w:abstractNumId="54">
    <w:nsid w:val="215641AF"/>
    <w:multiLevelType w:val="hybridMultilevel"/>
    <w:lvl w:ilvl="0">
      <w:lvlJc w:val="left"/>
      <w:lvlText w:val="•"/>
      <w:numFmt w:val="bullet"/>
      <w:start w:val="1"/>
    </w:lvl>
  </w:abstractNum>
  <w:abstractNum w:abstractNumId="55">
    <w:nsid w:val="53280662"/>
    <w:multiLevelType w:val="hybridMultilevel"/>
    <w:lvl w:ilvl="0">
      <w:lvlJc w:val="left"/>
      <w:lvlText w:val="•"/>
      <w:numFmt w:val="bullet"/>
      <w:start w:val="1"/>
    </w:lvl>
  </w:abstractNum>
  <w:abstractNum w:abstractNumId="56">
    <w:nsid w:val="46B24DBC"/>
    <w:multiLevelType w:val="hybridMultilevel"/>
    <w:lvl w:ilvl="0">
      <w:lvlJc w:val="left"/>
      <w:lvlText w:val="•"/>
      <w:numFmt w:val="bullet"/>
      <w:start w:val="1"/>
    </w:lvl>
  </w:abstractNum>
  <w:abstractNum w:abstractNumId="57">
    <w:nsid w:val="75B52783"/>
    <w:multiLevelType w:val="hybridMultilevel"/>
    <w:lvl w:ilvl="0">
      <w:lvlJc w:val="left"/>
      <w:lvlText w:val="(%1)"/>
      <w:numFmt w:val="decimal"/>
      <w:start w:val="1"/>
    </w:lvl>
  </w:abstractNum>
  <w:abstractNum w:abstractNumId="58">
    <w:nsid w:val="57CE66B4"/>
    <w:multiLevelType w:val="hybridMultilevel"/>
    <w:lvl w:ilvl="0">
      <w:lvlJc w:val="left"/>
      <w:lvlText w:val="•"/>
      <w:numFmt w:val="bullet"/>
      <w:start w:val="1"/>
    </w:lvl>
  </w:abstractNum>
  <w:abstractNum w:abstractNumId="59">
    <w:nsid w:val="67A70B69"/>
    <w:multiLevelType w:val="hybridMultilevel"/>
    <w:lvl w:ilvl="0">
      <w:lvlJc w:val="left"/>
      <w:lvlText w:val="•"/>
      <w:numFmt w:val="bullet"/>
      <w:start w:val="1"/>
    </w:lvl>
  </w:abstractNum>
  <w:abstractNum w:abstractNumId="60">
    <w:nsid w:val="5953172F"/>
    <w:multiLevelType w:val="hybridMultilevel"/>
    <w:lvl w:ilvl="0">
      <w:lvlJc w:val="left"/>
      <w:lvlText w:val="•"/>
      <w:numFmt w:val="bullet"/>
      <w:start w:val="1"/>
    </w:lvl>
  </w:abstractNum>
  <w:abstractNum w:abstractNumId="61">
    <w:nsid w:val="27EDFE3A"/>
    <w:multiLevelType w:val="hybridMultilevel"/>
    <w:lvl w:ilvl="0">
      <w:lvlJc w:val="left"/>
      <w:lvlText w:val="•"/>
      <w:numFmt w:val="bullet"/>
      <w:start w:val="1"/>
    </w:lvl>
  </w:abstractNum>
  <w:abstractNum w:abstractNumId="62">
    <w:nsid w:val="52AC7DFF"/>
    <w:multiLevelType w:val="hybridMultilevel"/>
    <w:lvl w:ilvl="0">
      <w:lvlJc w:val="left"/>
      <w:lvlText w:val="(%1)"/>
      <w:numFmt w:val="decimal"/>
      <w:start w:val="1"/>
    </w:lvl>
  </w:abstractNum>
  <w:abstractNum w:abstractNumId="63">
    <w:nsid w:val="C4C3AF"/>
    <w:multiLevelType w:val="hybridMultilevel"/>
    <w:lvl w:ilvl="0">
      <w:lvlJc w:val="left"/>
      <w:lvlText w:val="(%1)"/>
      <w:numFmt w:val="decimal"/>
      <w:start w:val="2"/>
    </w:lvl>
  </w:abstractNum>
  <w:abstractNum w:abstractNumId="64">
    <w:nsid w:val="44380727"/>
    <w:multiLevelType w:val="hybridMultilevel"/>
    <w:lvl w:ilvl="0">
      <w:lvlJc w:val="left"/>
      <w:lvlText w:val="(%1)"/>
      <w:numFmt w:val="decimal"/>
      <w:start w:val="1"/>
    </w:lvl>
  </w:abstractNum>
  <w:abstractNum w:abstractNumId="65">
    <w:nsid w:val="6C053B16"/>
    <w:multiLevelType w:val="hybridMultilevel"/>
    <w:lvl w:ilvl="0">
      <w:lvlJc w:val="left"/>
      <w:lvlText w:val="(%1)"/>
      <w:numFmt w:val="decimal"/>
      <w:start w:val="1"/>
    </w:lvl>
  </w:abstractNum>
  <w:abstractNum w:abstractNumId="66">
    <w:nsid w:val="4F294393"/>
    <w:multiLevelType w:val="hybridMultilevel"/>
    <w:lvl w:ilvl="0">
      <w:lvlJc w:val="left"/>
      <w:lvlText w:val="(%1)"/>
      <w:numFmt w:val="decimal"/>
      <w:start w:val="2"/>
    </w:lvl>
  </w:abstractNum>
  <w:abstractNum w:abstractNumId="67">
    <w:nsid w:val="5243BFAC"/>
    <w:multiLevelType w:val="hybridMultilevel"/>
    <w:lvl w:ilvl="0">
      <w:lvlJc w:val="left"/>
      <w:lvlText w:val="(%1)"/>
      <w:numFmt w:val="decimal"/>
      <w:start w:val="1"/>
    </w:lvl>
  </w:abstractNum>
  <w:abstractNum w:abstractNumId="68">
    <w:nsid w:val="425EB207"/>
    <w:multiLevelType w:val="hybridMultilevel"/>
    <w:lvl w:ilvl="0">
      <w:lvlJc w:val="left"/>
      <w:lvlText w:val="(%1)"/>
      <w:numFmt w:val="decimal"/>
      <w:start w:val="1"/>
    </w:lvl>
  </w:abstractNum>
  <w:abstractNum w:abstractNumId="69">
    <w:nsid w:val="334A6F1F"/>
    <w:multiLevelType w:val="hybridMultilevel"/>
    <w:lvl w:ilvl="0">
      <w:lvlJc w:val="left"/>
      <w:lvlText w:val="•"/>
      <w:numFmt w:val="bullet"/>
      <w:start w:val="1"/>
    </w:lvl>
  </w:abstractNum>
  <w:abstractNum w:abstractNumId="70">
    <w:nsid w:val="2E5B12B8"/>
    <w:multiLevelType w:val="hybridMultilevel"/>
    <w:lvl w:ilvl="0">
      <w:lvlJc w:val="left"/>
      <w:lvlText w:val="(%1)"/>
      <w:numFmt w:val="decimal"/>
      <w:start w:val="1"/>
    </w:lvl>
  </w:abstractNum>
  <w:abstractNum w:abstractNumId="71">
    <w:nsid w:val="5C03D76D"/>
    <w:multiLevelType w:val="hybridMultilevel"/>
    <w:lvl w:ilvl="0">
      <w:lvlJc w:val="left"/>
      <w:lvlText w:val="•"/>
      <w:numFmt w:val="bullet"/>
      <w:start w:val="1"/>
    </w:lvl>
  </w:abstractNum>
  <w:abstractNum w:abstractNumId="72">
    <w:nsid w:val="66A48D11"/>
    <w:multiLevelType w:val="hybridMultilevel"/>
    <w:lvl w:ilvl="0">
      <w:lvlJc w:val="left"/>
      <w:lvlText w:val="•"/>
      <w:numFmt w:val="bullet"/>
      <w:start w:val="1"/>
    </w:lvl>
  </w:abstractNum>
  <w:abstractNum w:abstractNumId="73">
    <w:nsid w:val="56C28E34"/>
    <w:multiLevelType w:val="hybridMultilevel"/>
    <w:lvl w:ilvl="0">
      <w:lvlJc w:val="left"/>
      <w:lvlText w:val="(%1)"/>
      <w:numFmt w:val="decimal"/>
      <w:start w:val="1"/>
    </w:lvl>
  </w:abstractNum>
  <w:abstractNum w:abstractNumId="74">
    <w:nsid w:val="13916F2D"/>
    <w:multiLevelType w:val="hybridMultilevel"/>
    <w:lvl w:ilvl="0">
      <w:lvlJc w:val="left"/>
      <w:lvlText w:val="(%1)"/>
      <w:numFmt w:val="decimal"/>
      <w:start w:val="1"/>
    </w:lvl>
  </w:abstractNum>
  <w:abstractNum w:abstractNumId="75">
    <w:nsid w:val="435D38D"/>
    <w:multiLevelType w:val="hybridMultilevel"/>
    <w:lvl w:ilvl="0">
      <w:lvlJc w:val="left"/>
      <w:lvlText w:val="•"/>
      <w:numFmt w:val="bullet"/>
      <w:start w:val="1"/>
    </w:lvl>
  </w:abstractNum>
  <w:abstractNum w:abstractNumId="76">
    <w:nsid w:val="822C0EF"/>
    <w:multiLevelType w:val="hybridMultilevel"/>
    <w:lvl w:ilvl="0">
      <w:lvlJc w:val="left"/>
      <w:lvlText w:val="*"/>
      <w:numFmt w:val="bullet"/>
      <w:start w:val="1"/>
    </w:lvl>
  </w:abstractNum>
  <w:abstractNum w:abstractNumId="77">
    <w:nsid w:val="57C5BB4F"/>
    <w:multiLevelType w:val="hybridMultilevel"/>
    <w:lvl w:ilvl="0">
      <w:lvlJc w:val="left"/>
      <w:lvlText w:val="(%1)"/>
      <w:numFmt w:val="decimal"/>
      <w:start w:val="1"/>
    </w:lvl>
  </w:abstractNum>
  <w:abstractNum w:abstractNumId="78">
    <w:nsid w:val="1803D089"/>
    <w:multiLevelType w:val="hybridMultilevel"/>
    <w:lvl w:ilvl="0">
      <w:lvlJc w:val="left"/>
      <w:lvlText w:val="(%1)"/>
      <w:numFmt w:val="decimal"/>
      <w:start w:val="2"/>
    </w:lvl>
  </w:abstractNum>
  <w:abstractNum w:abstractNumId="79">
    <w:nsid w:val="4F3A06D4"/>
    <w:multiLevelType w:val="hybridMultilevel"/>
    <w:lvl w:ilvl="0">
      <w:lvlJc w:val="left"/>
      <w:lvlText w:val="•"/>
      <w:numFmt w:val="bullet"/>
      <w:start w:val="1"/>
    </w:lvl>
  </w:abstractNum>
  <w:abstractNum w:abstractNumId="80">
    <w:nsid w:val="59A377B6"/>
    <w:multiLevelType w:val="hybridMultilevel"/>
    <w:lvl w:ilvl="0">
      <w:lvlJc w:val="left"/>
      <w:lvlText w:val="•"/>
      <w:numFmt w:val="bullet"/>
      <w:start w:val="1"/>
    </w:lvl>
  </w:abstractNum>
  <w:abstractNum w:abstractNumId="81">
    <w:nsid w:val="48AEB063"/>
    <w:multiLevelType w:val="hybridMultilevel"/>
    <w:lvl w:ilvl="0">
      <w:lvlJc w:val="left"/>
      <w:lvlText w:val="•"/>
      <w:numFmt w:val="bullet"/>
      <w:start w:val="1"/>
    </w:lvl>
  </w:abstractNum>
  <w:abstractNum w:abstractNumId="82">
    <w:nsid w:val="24E135"/>
    <w:multiLevelType w:val="hybridMultilevel"/>
    <w:lvl w:ilvl="0">
      <w:lvlJc w:val="left"/>
      <w:lvlText w:val="(%1)"/>
      <w:numFmt w:val="lowerLetter"/>
      <w:start w:val="25"/>
    </w:lvl>
  </w:abstractNum>
  <w:abstractNum w:abstractNumId="83">
    <w:nsid w:val="BB13C1"/>
    <w:multiLevelType w:val="hybridMultilevel"/>
    <w:lvl w:ilvl="0">
      <w:lvlJc w:val="left"/>
      <w:lvlText w:val="(%1)"/>
      <w:numFmt w:val="lowerRoman"/>
      <w:start w:val="1"/>
    </w:lvl>
  </w:abstractNum>
  <w:abstractNum w:abstractNumId="84">
    <w:nsid w:val="271210C7"/>
    <w:multiLevelType w:val="hybridMultilevel"/>
    <w:lvl w:ilvl="0">
      <w:lvlJc w:val="left"/>
      <w:lvlText w:val="(%1)"/>
      <w:numFmt w:val="decimal"/>
      <w:start w:val="4"/>
    </w:lvl>
  </w:abstractNum>
  <w:abstractNum w:abstractNumId="85">
    <w:nsid w:val="217B22E4"/>
    <w:multiLevelType w:val="hybridMultilevel"/>
    <w:lvl w:ilvl="0">
      <w:lvlJc w:val="left"/>
      <w:lvlText w:val="(%1)"/>
      <w:numFmt w:val="decimal"/>
      <w:start w:val="4"/>
    </w:lvl>
  </w:abstractNum>
  <w:abstractNum w:abstractNumId="86">
    <w:nsid w:val="53E31A24"/>
    <w:multiLevelType w:val="hybridMultilevel"/>
    <w:lvl w:ilvl="0">
      <w:lvlJc w:val="left"/>
      <w:lvlText w:val="•"/>
      <w:numFmt w:val="bullet"/>
      <w:start w:val="1"/>
    </w:lvl>
  </w:abstractNum>
  <w:abstractNum w:abstractNumId="87">
    <w:nsid w:val="6DC45E83"/>
    <w:multiLevelType w:val="hybridMultilevel"/>
    <w:lvl w:ilvl="0">
      <w:lvlJc w:val="left"/>
      <w:lvlText w:val="(%1)"/>
      <w:numFmt w:val="decimal"/>
      <w:start w:val="1"/>
    </w:lvl>
  </w:abstractNum>
  <w:abstractNum w:abstractNumId="88">
    <w:nsid w:val="17304A67"/>
    <w:multiLevelType w:val="hybridMultilevel"/>
    <w:lvl w:ilvl="0">
      <w:lvlJc w:val="left"/>
      <w:lvlText w:val="•"/>
      <w:numFmt w:val="bullet"/>
      <w:start w:val="1"/>
    </w:lvl>
  </w:abstractNum>
  <w:abstractNum w:abstractNumId="89">
    <w:nsid w:val="2BB180D8"/>
    <w:multiLevelType w:val="hybridMultilevel"/>
    <w:lvl w:ilvl="0">
      <w:lvlJc w:val="left"/>
      <w:lvlText w:val="•"/>
      <w:numFmt w:val="bullet"/>
      <w:start w:val="1"/>
    </w:lvl>
  </w:abstractNum>
  <w:abstractNum w:abstractNumId="90">
    <w:nsid w:val="556B69ED"/>
    <w:multiLevelType w:val="hybridMultilevel"/>
    <w:lvl w:ilvl="0">
      <w:lvlJc w:val="left"/>
      <w:lvlText w:val="•"/>
      <w:numFmt w:val="bullet"/>
      <w:start w:val="1"/>
    </w:lvl>
  </w:abstractNum>
  <w:abstractNum w:abstractNumId="91">
    <w:nsid w:val="70836196"/>
    <w:multiLevelType w:val="hybridMultilevel"/>
    <w:lvl w:ilvl="0">
      <w:lvlJc w:val="left"/>
      <w:lvlText w:val="$"/>
      <w:numFmt w:val="bullet"/>
      <w:start w:val="1"/>
    </w:lvl>
  </w:abstractNum>
  <w:abstractNum w:abstractNumId="92">
    <w:nsid w:val="539F7F12"/>
    <w:multiLevelType w:val="hybridMultilevel"/>
    <w:lvl w:ilvl="0">
      <w:lvlJc w:val="left"/>
      <w:lvlText w:val="$"/>
      <w:numFmt w:val="bullet"/>
      <w:start w:val="1"/>
    </w:lvl>
  </w:abstractNum>
  <w:abstractNum w:abstractNumId="93">
    <w:nsid w:val="2817E7EC"/>
    <w:multiLevelType w:val="hybridMultilevel"/>
    <w:lvl w:ilvl="0">
      <w:lvlJc w:val="left"/>
      <w:lvlText w:val="$"/>
      <w:numFmt w:val="bullet"/>
      <w:start w:val="1"/>
    </w:lvl>
  </w:abstractNum>
  <w:abstractNum w:abstractNumId="94">
    <w:nsid w:val="71482545"/>
    <w:multiLevelType w:val="hybridMultilevel"/>
    <w:lvl w:ilvl="0">
      <w:lvlJc w:val="left"/>
      <w:lvlText w:val="$"/>
      <w:numFmt w:val="bullet"/>
      <w:start w:val="1"/>
    </w:lvl>
  </w:abstractNum>
  <w:abstractNum w:abstractNumId="95">
    <w:nsid w:val="17D78639"/>
    <w:multiLevelType w:val="hybridMultilevel"/>
    <w:lvl w:ilvl="0">
      <w:lvlJc w:val="left"/>
      <w:lvlText w:val="$"/>
      <w:numFmt w:val="bullet"/>
      <w:start w:val="1"/>
    </w:lvl>
  </w:abstractNum>
  <w:abstractNum w:abstractNumId="96">
    <w:nsid w:val="141D2302"/>
    <w:multiLevelType w:val="hybridMultilevel"/>
    <w:lvl w:ilvl="0">
      <w:lvlJc w:val="left"/>
      <w:lvlText w:val="•"/>
      <w:numFmt w:val="bullet"/>
      <w:start w:val="1"/>
    </w:lvl>
  </w:abstractNum>
  <w:abstractNum w:abstractNumId="97">
    <w:nsid w:val="407168D8"/>
    <w:multiLevelType w:val="hybridMultilevel"/>
    <w:lvl w:ilvl="0">
      <w:lvlJc w:val="left"/>
      <w:lvlText w:val="•"/>
      <w:numFmt w:val="bullet"/>
      <w:start w:val="1"/>
    </w:lvl>
  </w:abstractNum>
  <w:abstractNum w:abstractNumId="98">
    <w:nsid w:val="6A1B45E5"/>
    <w:multiLevelType w:val="hybridMultilevel"/>
    <w:lvl w:ilvl="0">
      <w:lvlJc w:val="left"/>
      <w:lvlText w:val="$"/>
      <w:numFmt w:val="bullet"/>
      <w:start w:val="1"/>
    </w:lvl>
  </w:abstractNum>
  <w:abstractNum w:abstractNumId="99">
    <w:nsid w:val="567BD50A"/>
    <w:multiLevelType w:val="hybridMultilevel"/>
    <w:lvl w:ilvl="0">
      <w:lvlJc w:val="left"/>
      <w:lvlText w:val="$"/>
      <w:numFmt w:val="bullet"/>
      <w:start w:val="1"/>
    </w:lvl>
  </w:abstractNum>
  <w:abstractNum w:abstractNumId="100">
    <w:nsid w:val="73BBD7F8"/>
    <w:multiLevelType w:val="hybridMultilevel"/>
    <w:lvl w:ilvl="0">
      <w:lvlJc w:val="left"/>
      <w:lvlText w:val="$"/>
      <w:numFmt w:val="bullet"/>
      <w:start w:val="1"/>
    </w:lvl>
  </w:abstractNum>
  <w:abstractNum w:abstractNumId="101">
    <w:nsid w:val="1876589D"/>
    <w:multiLevelType w:val="hybridMultilevel"/>
    <w:lvl w:ilvl="0">
      <w:lvlJc w:val="left"/>
      <w:lvlText w:val="$"/>
      <w:numFmt w:val="bullet"/>
      <w:start w:val="1"/>
    </w:lvl>
  </w:abstractNum>
  <w:abstractNum w:abstractNumId="102">
    <w:nsid w:val="327FAC77"/>
    <w:multiLevelType w:val="hybridMultilevel"/>
    <w:lvl w:ilvl="0">
      <w:lvlJc w:val="left"/>
      <w:lvlText w:val="(%1)"/>
      <w:numFmt w:val="decimal"/>
      <w:start w:val="100"/>
    </w:lvl>
  </w:abstractNum>
  <w:abstractNum w:abstractNumId="103">
    <w:nsid w:val="5A606509"/>
    <w:multiLevelType w:val="hybridMultilevel"/>
    <w:lvl w:ilvl="0">
      <w:lvlJc w:val="left"/>
      <w:lvlText w:val="*"/>
      <w:numFmt w:val="bullet"/>
      <w:start w:val="1"/>
    </w:lvl>
  </w:abstractNum>
  <w:abstractNum w:abstractNumId="104">
    <w:nsid w:val="6F38E6D1"/>
    <w:multiLevelType w:val="hybridMultilevel"/>
    <w:lvl w:ilvl="0">
      <w:lvlJc w:val="left"/>
      <w:lvlText w:val="%1."/>
      <w:numFmt w:val="decimal"/>
      <w:start w:val="1"/>
    </w:lvl>
  </w:abstractNum>
  <w:abstractNum w:abstractNumId="105">
    <w:nsid w:val="46111BA5"/>
    <w:multiLevelType w:val="hybridMultilevel"/>
    <w:lvl w:ilvl="0">
      <w:lvlJc w:val="left"/>
      <w:lvlText w:val="%1."/>
      <w:numFmt w:val="decimal"/>
      <w:start w:val="2"/>
    </w:lvl>
  </w:abstractNum>
  <w:abstractNum w:abstractNumId="106">
    <w:nsid w:val="5E963896"/>
    <w:multiLevelType w:val="hybridMultilevel"/>
    <w:lvl w:ilvl="0">
      <w:lvlJc w:val="left"/>
      <w:lvlText w:val="(%1)"/>
      <w:numFmt w:val="lowerLetter"/>
      <w:start w:val="1"/>
    </w:lvl>
  </w:abstractNum>
  <w:abstractNum w:abstractNumId="107">
    <w:nsid w:val="775BA7C1"/>
    <w:multiLevelType w:val="hybridMultilevel"/>
    <w:lvl w:ilvl="0">
      <w:lvlJc w:val="left"/>
      <w:lvlText w:val="*"/>
      <w:numFmt w:val="bullet"/>
      <w:start w:val="1"/>
    </w:lvl>
    <w:lvl w:ilvl="1">
      <w:lvlJc w:val="left"/>
      <w:lvlText w:val="(%2)"/>
      <w:numFmt w:val="lowerLetter"/>
      <w:start w:val="2"/>
    </w:lvl>
  </w:abstractNum>
  <w:abstractNum w:abstractNumId="108">
    <w:nsid w:val="1DD6D6F4"/>
    <w:multiLevelType w:val="hybridMultilevel"/>
    <w:lvl w:ilvl="0">
      <w:lvlJc w:val="left"/>
      <w:lvlText w:val="(%1)"/>
      <w:numFmt w:val="decimal"/>
      <w:start w:val="1"/>
    </w:lvl>
    <w:lvl w:ilvl="1">
      <w:lvlJc w:val="left"/>
      <w:lvlText w:val="(%2)"/>
      <w:numFmt w:val="lowerRoman"/>
      <w:start w:val="1"/>
    </w:lvl>
  </w:abstractNum>
  <w:abstractNum w:abstractNumId="109">
    <w:nsid w:val="769A091F"/>
    <w:multiLevelType w:val="hybridMultilevel"/>
    <w:lvl w:ilvl="0">
      <w:lvlJc w:val="left"/>
      <w:lvlText w:val="(%1)"/>
      <w:numFmt w:val="decimal"/>
      <w:start w:val="1"/>
    </w:lvl>
  </w:abstractNum>
  <w:abstractNum w:abstractNumId="110">
    <w:nsid w:val="4695AE95"/>
    <w:multiLevelType w:val="hybridMultilevel"/>
    <w:lvl w:ilvl="0">
      <w:lvlJc w:val="left"/>
      <w:lvlText w:val="%1."/>
      <w:numFmt w:val="decimal"/>
      <w:start w:val="1"/>
    </w:lvl>
  </w:abstractNum>
  <w:abstractNum w:abstractNumId="111">
    <w:nsid w:val="777A4EAA"/>
    <w:multiLevelType w:val="hybridMultilevel"/>
    <w:lvl w:ilvl="0">
      <w:lvlJc w:val="left"/>
      <w:lvlText w:val="(%1)"/>
      <w:numFmt w:val="lowerLetter"/>
      <w:start w:val="1"/>
    </w:lvl>
  </w:abstractNum>
  <w:abstractNum w:abstractNumId="112">
    <w:nsid w:val="3F48B982"/>
    <w:multiLevelType w:val="hybridMultilevel"/>
    <w:lvl w:ilvl="0">
      <w:lvlJc w:val="left"/>
      <w:lvlText w:val="(%1)"/>
      <w:numFmt w:val="lowerLetter"/>
      <w:start w:val="9"/>
    </w:lvl>
  </w:abstractNum>
  <w:abstractNum w:abstractNumId="113">
    <w:nsid w:val="46BA8FCA"/>
    <w:multiLevelType w:val="hybridMultilevel"/>
    <w:lvl w:ilvl="0">
      <w:lvlJc w:val="left"/>
      <w:lvlText w:val="(%1)"/>
      <w:numFmt w:val="lowerLetter"/>
      <w:start w:val="1"/>
    </w:lvl>
  </w:abstractNum>
  <w:abstractNum w:abstractNumId="114">
    <w:nsid w:val="7835626C"/>
    <w:multiLevelType w:val="hybridMultilevel"/>
    <w:lvl w:ilvl="0">
      <w:lvlJc w:val="left"/>
      <w:lvlText w:val="(%1)"/>
      <w:numFmt w:val="lowerLetter"/>
      <w:start w:val="3"/>
    </w:lvl>
    <w:lvl w:ilvl="1">
      <w:lvlJc w:val="left"/>
      <w:lvlText w:val="(%2)"/>
      <w:numFmt w:val="lowerRoman"/>
      <w:start w:val="1"/>
    </w:lvl>
  </w:abstractNum>
  <w:abstractNum w:abstractNumId="115">
    <w:nsid w:val="665ACA49"/>
    <w:multiLevelType w:val="hybridMultilevel"/>
    <w:lvl w:ilvl="0">
      <w:lvlJc w:val="left"/>
      <w:lvlText w:val="(%1)"/>
      <w:numFmt w:val="lowerRoman"/>
      <w:start w:val="3"/>
    </w:lvl>
  </w:abstractNum>
  <w:abstractNum w:abstractNumId="116">
    <w:nsid w:val="6835B2AE"/>
    <w:multiLevelType w:val="hybridMultilevel"/>
    <w:lvl w:ilvl="0">
      <w:lvlJc w:val="left"/>
      <w:lvlText w:val="(%1)"/>
      <w:numFmt w:val="lowerLetter"/>
      <w:start w:val="1"/>
    </w:lvl>
  </w:abstractNum>
  <w:abstractNum w:abstractNumId="117">
    <w:nsid w:val="4C187C90"/>
    <w:multiLevelType w:val="hybridMultilevel"/>
    <w:lvl w:ilvl="0">
      <w:lvlJc w:val="left"/>
      <w:lvlText w:val="(%1)"/>
      <w:numFmt w:val="lowerLetter"/>
      <w:start w:val="3"/>
    </w:lvl>
  </w:abstractNum>
  <w:abstractNum w:abstractNumId="118">
    <w:nsid w:val="541F28CD"/>
    <w:multiLevelType w:val="hybridMultilevel"/>
    <w:lvl w:ilvl="0">
      <w:lvlJc w:val="left"/>
      <w:lvlText w:val="(%1)"/>
      <w:numFmt w:val="lowerLetter"/>
      <w:start w:val="1"/>
    </w:lvl>
  </w:abstractNum>
  <w:abstractNum w:abstractNumId="119">
    <w:nsid w:val="7F65FD16"/>
    <w:multiLevelType w:val="hybridMultilevel"/>
    <w:lvl w:ilvl="0">
      <w:lvlJc w:val="left"/>
      <w:lvlText w:val="(%1)"/>
      <w:numFmt w:val="lowerLetter"/>
      <w:start w:val="6"/>
    </w:lvl>
  </w:abstractNum>
  <w:abstractNum w:abstractNumId="120">
    <w:nsid w:val="77C9FD68"/>
    <w:multiLevelType w:val="hybridMultilevel"/>
    <w:lvl w:ilvl="0">
      <w:lvlJc w:val="left"/>
      <w:lvlText w:val="(%1)"/>
      <w:numFmt w:val="lowerLetter"/>
      <w:start w:val="1"/>
    </w:lvl>
  </w:abstractNum>
  <w:abstractNum w:abstractNumId="121">
    <w:nsid w:val="298A92BA"/>
    <w:multiLevelType w:val="hybridMultilevel"/>
    <w:lvl w:ilvl="0">
      <w:lvlJc w:val="left"/>
      <w:lvlText w:val="(%1)"/>
      <w:numFmt w:val="lowerLetter"/>
      <w:start w:val="1"/>
    </w:lvl>
  </w:abstractNum>
  <w:abstractNum w:abstractNumId="122">
    <w:nsid w:val="6FE95EAC"/>
    <w:multiLevelType w:val="hybridMultilevel"/>
    <w:lvl w:ilvl="0">
      <w:lvlJc w:val="left"/>
      <w:lvlText w:val="(%1)"/>
      <w:numFmt w:val="lowerLetter"/>
      <w:start w:val="2"/>
    </w:lvl>
  </w:abstractNum>
  <w:abstractNum w:abstractNumId="123">
    <w:nsid w:val="4B697C7A"/>
    <w:multiLevelType w:val="hybridMultilevel"/>
    <w:lvl w:ilvl="0">
      <w:lvlJc w:val="left"/>
      <w:lvlText w:val="(%1)"/>
      <w:numFmt w:val="lowerLetter"/>
      <w:start w:val="4"/>
    </w:lvl>
  </w:abstractNum>
  <w:abstractNum w:abstractNumId="124">
    <w:nsid w:val="51A27AA6"/>
    <w:multiLevelType w:val="hybridMultilevel"/>
    <w:lvl w:ilvl="0">
      <w:lvlJc w:val="left"/>
      <w:lvlText w:val="(%1)"/>
      <w:numFmt w:val="lowerLetter"/>
      <w:start w:val="1"/>
    </w:lvl>
  </w:abstractNum>
  <w:abstractNum w:abstractNumId="125">
    <w:nsid w:val="613183F2"/>
    <w:multiLevelType w:val="hybridMultilevel"/>
    <w:lvl w:ilvl="0">
      <w:lvlJc w:val="left"/>
      <w:lvlText w:val="(%1)"/>
      <w:numFmt w:val="lowerLetter"/>
      <w:start w:val="1"/>
    </w:lvl>
  </w:abstractNum>
  <w:abstractNum w:abstractNumId="126">
    <w:nsid w:val="634102B4"/>
    <w:multiLevelType w:val="hybridMultilevel"/>
    <w:lvl w:ilvl="0">
      <w:lvlJc w:val="left"/>
      <w:lvlText w:val="(%1)"/>
      <w:numFmt w:val="lowerLetter"/>
      <w:start w:val="2"/>
    </w:lvl>
  </w:abstractNum>
  <w:abstractNum w:abstractNumId="127">
    <w:nsid w:val="65BF9DA8"/>
    <w:multiLevelType w:val="hybridMultilevel"/>
    <w:lvl w:ilvl="0">
      <w:lvlJc w:val="left"/>
      <w:lvlText w:val="(%1)"/>
      <w:numFmt w:val="lowerLetter"/>
      <w:start w:val="1"/>
    </w:lvl>
  </w:abstractNum>
  <w:abstractNum w:abstractNumId="128">
    <w:nsid w:val="21A2ECCA"/>
    <w:multiLevelType w:val="hybridMultilevel"/>
    <w:lvl w:ilvl="0">
      <w:lvlJc w:val="left"/>
      <w:lvlText w:val="%1."/>
      <w:numFmt w:val="decimal"/>
      <w:start w:val="2"/>
    </w:lvl>
  </w:abstractNum>
  <w:abstractNum w:abstractNumId="129">
    <w:nsid w:val="4D5C4899"/>
    <w:multiLevelType w:val="hybridMultilevel"/>
    <w:lvl w:ilvl="0">
      <w:lvlJc w:val="left"/>
      <w:lvlText w:val="(%1)"/>
      <w:numFmt w:val="lowerLetter"/>
      <w:start w:val="1"/>
    </w:lvl>
  </w:abstractNum>
  <w:abstractNum w:abstractNumId="130">
    <w:nsid w:val="3C3B72B2"/>
    <w:multiLevelType w:val="hybridMultilevel"/>
    <w:lvl w:ilvl="0">
      <w:lvlJc w:val="left"/>
      <w:lvlText w:val="(%1)"/>
      <w:numFmt w:val="lowerLetter"/>
      <w:start w:val="5"/>
    </w:lvl>
  </w:abstractNum>
  <w:abstractNum w:abstractNumId="131">
    <w:nsid w:val="155EC4C2"/>
    <w:multiLevelType w:val="hybridMultilevel"/>
    <w:lvl w:ilvl="0">
      <w:lvlJc w:val="left"/>
      <w:lvlText w:val="%1"/>
      <w:numFmt w:val="lowerLetter"/>
      <w:start w:val="1"/>
    </w:lvl>
    <w:lvl w:ilvl="1">
      <w:lvlJc w:val="left"/>
      <w:lvlText w:val="(%2)"/>
      <w:numFmt w:val="lowerLetter"/>
      <w:start w:val="1"/>
    </w:lvl>
  </w:abstractNum>
  <w:abstractNum w:abstractNumId="132">
    <w:nsid w:val="65D2A137"/>
    <w:multiLevelType w:val="hybridMultilevel"/>
    <w:lvl w:ilvl="0">
      <w:lvlJc w:val="left"/>
      <w:lvlText w:val="(%1)"/>
      <w:numFmt w:val="lowerLetter"/>
      <w:start w:val="35"/>
    </w:lvl>
    <w:lvl w:ilvl="1">
      <w:lvlJc w:val="left"/>
      <w:lvlText w:val="(%2)"/>
      <w:numFmt w:val="lowerLetter"/>
      <w:start w:val="2"/>
    </w:lvl>
  </w:abstractNum>
  <w:abstractNum w:abstractNumId="133">
    <w:nsid w:val="6EBB1F2A"/>
    <w:multiLevelType w:val="hybridMultilevel"/>
    <w:lvl w:ilvl="0">
      <w:lvlJc w:val="left"/>
      <w:lvlText w:val="(%1)"/>
      <w:numFmt w:val="lowerLetter"/>
      <w:start w:val="9"/>
    </w:lvl>
    <w:lvl w:ilvl="1">
      <w:lvlJc w:val="left"/>
      <w:lvlText w:val="(%2)"/>
      <w:numFmt w:val="lowerLetter"/>
      <w:start w:val="3"/>
    </w:lvl>
  </w:abstractNum>
  <w:abstractNum w:abstractNumId="134">
    <w:nsid w:val="6FBF29CB"/>
    <w:multiLevelType w:val="hybridMultilevel"/>
    <w:lvl w:ilvl="0">
      <w:lvlJc w:val="left"/>
      <w:lvlText w:val="(%1)"/>
      <w:numFmt w:val="lowerLetter"/>
      <w:start w:val="5"/>
    </w:lvl>
  </w:abstractNum>
  <w:abstractNum w:abstractNumId="135">
    <w:nsid w:val="550B8808"/>
    <w:multiLevelType w:val="hybridMultilevel"/>
    <w:lvl w:ilvl="0">
      <w:lvlJc w:val="left"/>
      <w:lvlText w:val="%1"/>
      <w:numFmt w:val="decimal"/>
      <w:start w:val="1"/>
    </w:lvl>
    <w:lvl w:ilvl="1">
      <w:lvlJc w:val="left"/>
      <w:lvlText w:val="(%2)"/>
      <w:numFmt w:val="lowerLetter"/>
      <w:start w:val="1"/>
    </w:lvl>
  </w:abstractNum>
  <w:abstractNum w:abstractNumId="136">
    <w:nsid w:val="34CC3ACF"/>
    <w:multiLevelType w:val="hybridMultilevel"/>
    <w:lvl w:ilvl="0">
      <w:lvlJc w:val="left"/>
      <w:lvlText w:val="%1."/>
      <w:numFmt w:val="decimal"/>
      <w:start w:val="3"/>
    </w:lvl>
    <w:lvl w:ilvl="1">
      <w:lvlJc w:val="left"/>
      <w:lvlText w:val="%2"/>
      <w:numFmt w:val="lowerLetter"/>
      <w:start w:val="1"/>
    </w:lvl>
  </w:abstractNum>
  <w:abstractNum w:abstractNumId="137">
    <w:nsid w:val="4E556261"/>
    <w:multiLevelType w:val="hybridMultilevel"/>
    <w:lvl w:ilvl="0">
      <w:lvlJc w:val="left"/>
      <w:lvlText w:val="(%1)"/>
      <w:numFmt w:val="lowerLetter"/>
      <w:start w:val="2"/>
    </w:lvl>
  </w:abstractNum>
  <w:abstractNum w:abstractNumId="138">
    <w:nsid w:val="4C672FC9"/>
    <w:multiLevelType w:val="hybridMultilevel"/>
    <w:lvl w:ilvl="0">
      <w:lvlJc w:val="left"/>
      <w:lvlText w:val="(%1)"/>
      <w:numFmt w:val="lowerLetter"/>
      <w:start w:val="1"/>
    </w:lvl>
  </w:abstractNum>
  <w:abstractNum w:abstractNumId="139">
    <w:nsid w:val="52A311C3"/>
    <w:multiLevelType w:val="hybridMultilevel"/>
    <w:lvl w:ilvl="0">
      <w:lvlJc w:val="left"/>
      <w:lvlText w:val="(%1)"/>
      <w:numFmt w:val="lowerLetter"/>
      <w:start w:val="1"/>
    </w:lvl>
  </w:abstractNum>
  <w:abstractNum w:abstractNumId="140">
    <w:nsid w:val="44EF6B80"/>
    <w:multiLevelType w:val="hybridMultilevel"/>
    <w:lvl w:ilvl="0">
      <w:lvlJc w:val="left"/>
      <w:lvlText w:val="(%1)"/>
      <w:numFmt w:val="lowerLetter"/>
      <w:start w:val="4"/>
    </w:lvl>
  </w:abstractNum>
  <w:abstractNum w:abstractNumId="141">
    <w:nsid w:val="12FCDE5E"/>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42">
    <w:nsid w:val="4A1D606E"/>
    <w:multiLevelType w:val="hybridMultilevel"/>
    <w:lvl w:ilvl="0">
      <w:lvlJc w:val="left"/>
      <w:lvlText w:val="%1"/>
      <w:numFmt w:val="lowerLetter"/>
      <w:start w:val="1"/>
    </w:lvl>
    <w:lvl w:ilvl="1">
      <w:lvlJc w:val="left"/>
      <w:lvlText w:val="(%2)"/>
      <w:numFmt w:val="lowerRoman"/>
      <w:start w:val="3"/>
    </w:lvl>
  </w:abstractNum>
  <w:abstractNum w:abstractNumId="143">
    <w:nsid w:val="4382503"/>
    <w:multiLevelType w:val="hybridMultilevel"/>
    <w:lvl w:ilvl="0">
      <w:lvlJc w:val="left"/>
      <w:lvlText w:val="(%1)"/>
      <w:numFmt w:val="lowerLetter"/>
      <w:start w:val="2"/>
    </w:lvl>
    <w:lvl w:ilvl="1">
      <w:lvlJc w:val="left"/>
      <w:lvlText w:val="%2"/>
      <w:numFmt w:val="lowerRoman"/>
      <w:start w:val="1"/>
    </w:lvl>
  </w:abstractNum>
  <w:abstractNum w:abstractNumId="144">
    <w:nsid w:val="59B76E28"/>
    <w:multiLevelType w:val="hybridMultilevel"/>
    <w:lvl w:ilvl="0">
      <w:lvlJc w:val="left"/>
      <w:lvlText w:val="%1"/>
      <w:numFmt w:val="upperLetter"/>
      <w:start w:val="1"/>
    </w:lvl>
    <w:lvl w:ilvl="1">
      <w:lvlJc w:val="left"/>
      <w:lvlText w:val="(%2)"/>
      <w:numFmt w:val="lowerLetter"/>
      <w:start w:val="3"/>
    </w:lvl>
  </w:abstractNum>
  <w:abstractNum w:abstractNumId="145">
    <w:nsid w:val="4252C2DA"/>
    <w:multiLevelType w:val="hybridMultilevel"/>
    <w:lvl w:ilvl="0">
      <w:lvlJc w:val="left"/>
      <w:lvlText w:val="(%1)"/>
      <w:numFmt w:val="upperLetter"/>
      <w:start w:val="1"/>
    </w:lvl>
    <w:lvl w:ilvl="1">
      <w:lvlJc w:val="left"/>
      <w:lvlText w:val="%2"/>
      <w:numFmt w:val="lowerLetter"/>
      <w:start w:val="1"/>
    </w:lvl>
  </w:abstractNum>
  <w:abstractNum w:abstractNumId="146">
    <w:nsid w:val="6A92EF4C"/>
    <w:multiLevelType w:val="hybridMultilevel"/>
    <w:lvl w:ilvl="0">
      <w:lvlJc w:val="left"/>
      <w:lvlText w:val="%1."/>
      <w:numFmt w:val="decimal"/>
      <w:start w:val="3"/>
    </w:lvl>
  </w:abstractNum>
  <w:abstractNum w:abstractNumId="147">
    <w:nsid w:val="41ED20D7"/>
    <w:multiLevelType w:val="hybridMultilevel"/>
    <w:lvl w:ilvl="0">
      <w:lvlJc w:val="left"/>
      <w:lvlText w:val="%1."/>
      <w:numFmt w:val="decimal"/>
      <w:start w:val="8"/>
    </w:lvl>
  </w:abstractNum>
  <w:abstractNum w:abstractNumId="148">
    <w:nsid w:val="E6B3F6A"/>
    <w:multiLevelType w:val="hybridMultilevel"/>
    <w:lvl w:ilvl="0">
      <w:lvlJc w:val="left"/>
      <w:lvlText w:val="%1."/>
      <w:numFmt w:val="decimal"/>
      <w:start w:val="1"/>
    </w:lvl>
  </w:abstractNum>
  <w:abstractNum w:abstractNumId="149">
    <w:nsid w:val="3EB21819"/>
    <w:multiLevelType w:val="hybridMultilevel"/>
    <w:lvl w:ilvl="0">
      <w:lvlJc w:val="left"/>
      <w:lvlText w:val="%1."/>
      <w:numFmt w:val="decimal"/>
      <w:start w:val="2"/>
    </w:lvl>
  </w:abstractNum>
  <w:abstractNum w:abstractNumId="150">
    <w:nsid w:val="41531DED"/>
    <w:multiLevelType w:val="hybridMultilevel"/>
    <w:lvl w:ilvl="0">
      <w:lvlJc w:val="left"/>
      <w:lvlText w:val="%1."/>
      <w:numFmt w:val="decimal"/>
      <w:start w:val="3"/>
    </w:lvl>
  </w:abstractNum>
  <w:abstractNum w:abstractNumId="151">
    <w:nsid w:val="6353CD2"/>
    <w:multiLevelType w:val="hybridMultilevel"/>
    <w:lvl w:ilvl="0">
      <w:lvlJc w:val="left"/>
      <w:lvlText w:val="%1."/>
      <w:numFmt w:val="decimal"/>
      <w:start w:val="4"/>
    </w:lvl>
  </w:abstractNum>
  <w:abstractNum w:abstractNumId="152">
    <w:nsid w:val="683CAAD3"/>
    <w:multiLevelType w:val="hybridMultilevel"/>
    <w:lvl w:ilvl="0">
      <w:lvlJc w:val="left"/>
      <w:lvlText w:val="%1."/>
      <w:numFmt w:val="decimal"/>
      <w:start w:val="5"/>
    </w:lvl>
  </w:abstractNum>
  <w:abstractNum w:abstractNumId="153">
    <w:nsid w:val="313C7C99"/>
    <w:multiLevelType w:val="hybridMultilevel"/>
    <w:lvl w:ilvl="0">
      <w:lvlJc w:val="left"/>
      <w:lvlText w:val="%1."/>
      <w:numFmt w:val="decimal"/>
      <w:start w:val="6"/>
    </w:lvl>
  </w:abstractNum>
  <w:abstractNum w:abstractNumId="154">
    <w:nsid w:val="519EB94C"/>
    <w:multiLevelType w:val="hybridMultilevel"/>
    <w:lvl w:ilvl="0">
      <w:lvlJc w:val="left"/>
      <w:lvlText w:val="%1."/>
      <w:numFmt w:val="decimal"/>
      <w:start w:val="7"/>
    </w:lvl>
  </w:abstractNum>
  <w:abstractNum w:abstractNumId="155">
    <w:nsid w:val="39DF2579"/>
    <w:multiLevelType w:val="hybridMultilevel"/>
    <w:lvl w:ilvl="0">
      <w:lvlJc w:val="left"/>
      <w:lvlText w:val="(%1)"/>
      <w:numFmt w:val="lowerRoman"/>
      <w:start w:val="1"/>
    </w:lvl>
  </w:abstractNum>
  <w:abstractNum w:abstractNumId="156">
    <w:nsid w:val="126E008B"/>
    <w:multiLevelType w:val="hybridMultilevel"/>
    <w:lvl w:ilvl="0">
      <w:lvlJc w:val="left"/>
      <w:lvlText w:val="%1."/>
      <w:numFmt w:val="decimal"/>
      <w:start w:val="1"/>
    </w:lvl>
    <w:lvl w:ilvl="1">
      <w:lvlJc w:val="left"/>
      <w:lvlText w:val="(%2)"/>
      <w:numFmt w:val="lowerLetter"/>
      <w:start w:val="1"/>
    </w:lvl>
  </w:abstractNum>
  <w:abstractNum w:abstractNumId="157">
    <w:nsid w:val="34DFBC00"/>
    <w:multiLevelType w:val="hybridMultilevel"/>
    <w:lvl w:ilvl="0">
      <w:lvlJc w:val="left"/>
      <w:lvlText w:val="(%1)"/>
      <w:numFmt w:val="lowerLetter"/>
      <w:start w:val="9"/>
    </w:lvl>
  </w:abstractNum>
  <w:abstractNum w:abstractNumId="158">
    <w:nsid w:val="1F9EC322"/>
    <w:multiLevelType w:val="hybridMultilevel"/>
    <w:lvl w:ilvl="0">
      <w:lvlJc w:val="left"/>
      <w:lvlText w:val="(%1)"/>
      <w:numFmt w:val="lowerLetter"/>
      <w:start w:val="17"/>
    </w:lvl>
  </w:abstractNum>
  <w:abstractNum w:abstractNumId="159">
    <w:nsid w:val="3410ED56"/>
    <w:multiLevelType w:val="hybridMultilevel"/>
    <w:lvl w:ilvl="0">
      <w:lvlJc w:val="left"/>
      <w:lvlText w:val="(%1)"/>
      <w:numFmt w:val="lowerLetter"/>
      <w:start w:val="27"/>
    </w:lvl>
  </w:abstractNum>
  <w:abstractNum w:abstractNumId="160">
    <w:nsid w:val="23C049A"/>
    <w:multiLevelType w:val="hybridMultilevel"/>
    <w:lvl w:ilvl="0">
      <w:lvlJc w:val="left"/>
      <w:lvlText w:val="%1"/>
      <w:numFmt w:val="upperLetter"/>
      <w:start w:val="1"/>
    </w:lvl>
    <w:lvl w:ilvl="1">
      <w:lvlJc w:val="left"/>
      <w:lvlText w:val="(%2)"/>
      <w:numFmt w:val="lowerLetter"/>
      <w:start w:val="39"/>
    </w:lvl>
    <w:lvl w:ilvl="2">
      <w:lvlJc w:val="left"/>
      <w:lvlText w:val="(%3)"/>
      <w:numFmt w:val="lowerLetter"/>
      <w:start w:val="9"/>
    </w:lvl>
  </w:abstractNum>
  <w:abstractNum w:abstractNumId="161">
    <w:nsid w:val="5BDA35D4"/>
    <w:multiLevelType w:val="hybridMultilevel"/>
    <w:lvl w:ilvl="0">
      <w:lvlJc w:val="left"/>
      <w:lvlText w:val="(%1)"/>
      <w:numFmt w:val="upperLetter"/>
      <w:start w:val="3"/>
    </w:lvl>
    <w:lvl w:ilvl="1">
      <w:lvlJc w:val="left"/>
      <w:lvlText w:val="%2"/>
      <w:numFmt w:val="lowerLetter"/>
      <w:start w:val="1"/>
    </w:lvl>
    <w:lvl w:ilvl="2">
      <w:lvlJc w:val="left"/>
      <w:lvlText w:val="(%3)"/>
      <w:numFmt w:val="lowerLetter"/>
      <w:start w:val="35"/>
    </w:lvl>
  </w:abstractNum>
  <w:abstractNum w:abstractNumId="162">
    <w:nsid w:val="496FB218"/>
    <w:multiLevelType w:val="hybridMultilevel"/>
    <w:lvl w:ilvl="0">
      <w:lvlJc w:val="left"/>
      <w:lvlText w:val="%1."/>
      <w:numFmt w:val="decimal"/>
      <w:start w:val="3"/>
    </w:lvl>
  </w:abstractNum>
  <w:abstractNum w:abstractNumId="163">
    <w:nsid w:val="680EA5D1"/>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64">
    <w:nsid w:val="4A9554F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8"/>
    </w:lvl>
  </w:abstractNum>
  <w:abstractNum w:abstractNumId="165">
    <w:nsid w:val="392EDBE4"/>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66">
    <w:nsid w:val="3D1A2DD9"/>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67">
    <w:nsid w:val="7F618FCD"/>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lvl w:ilvl="3">
      <w:lvlJc w:val="left"/>
      <w:lvlText w:val="%4"/>
      <w:numFmt w:val="lowerRoman"/>
      <w:start w:val="1"/>
    </w:lvl>
    <w:lvl w:ilvl="4">
      <w:lvlJc w:val="left"/>
      <w:lvlText w:val="%5"/>
      <w:numFmt w:val="upperLetter"/>
      <w:start w:val="1"/>
    </w:lvl>
  </w:abstractNum>
  <w:abstractNum w:abstractNumId="168">
    <w:nsid w:val="7843E45"/>
    <w:multiLevelType w:val="hybridMultilevel"/>
    <w:lvl w:ilvl="0">
      <w:lvlJc w:val="left"/>
      <w:lvlText w:val="%1"/>
      <w:numFmt w:val="decimal"/>
      <w:start w:val="1"/>
    </w:lvl>
    <w:lvl w:ilvl="1">
      <w:lvlJc w:val="left"/>
      <w:lvlText w:val="%2."/>
      <w:numFmt w:val="decimal"/>
      <w:start w:val="6"/>
    </w:lvl>
    <w:lvl w:ilvl="2">
      <w:lvlJc w:val="left"/>
      <w:lvlText w:val="%3"/>
      <w:numFmt w:val="lowerLetter"/>
      <w:start w:val="1"/>
    </w:lvl>
    <w:lvl w:ilvl="3">
      <w:lvlJc w:val="left"/>
      <w:lvlText w:val="%4"/>
      <w:numFmt w:val="lowerRoman"/>
      <w:start w:val="1"/>
    </w:lvl>
    <w:lvl w:ilvl="4">
      <w:lvlJc w:val="left"/>
      <w:lvlText w:val="%5"/>
      <w:numFmt w:val="upperLetter"/>
      <w:start w:val="1"/>
    </w:lvl>
  </w:abstractNum>
  <w:abstractNum w:abstractNumId="169">
    <w:nsid w:val="9815DA3"/>
    <w:multiLevelType w:val="hybridMultilevel"/>
    <w:lvl w:ilvl="0">
      <w:lvlJc w:val="left"/>
      <w:lvlText w:val="(%1)"/>
      <w:numFmt w:val="decimal"/>
      <w:start w:val="10"/>
    </w:lvl>
    <w:lvl w:ilvl="1">
      <w:lvlJc w:val="left"/>
      <w:lvlText w:val="%2."/>
      <w:numFmt w:val="decimal"/>
      <w:start w:val="7"/>
    </w:lvl>
    <w:lvl w:ilvl="2">
      <w:lvlJc w:val="left"/>
      <w:lvlText w:val="%3"/>
      <w:numFmt w:val="lowerLetter"/>
      <w:start w:val="1"/>
    </w:lvl>
    <w:lvl w:ilvl="3">
      <w:lvlJc w:val="left"/>
      <w:lvlText w:val="%4"/>
      <w:numFmt w:val="lowerRoman"/>
      <w:start w:val="1"/>
    </w:lvl>
    <w:lvl w:ilvl="4">
      <w:lvlJc w:val="left"/>
      <w:lvlText w:val="%5"/>
      <w:numFmt w:val="upperLetter"/>
      <w:start w:val="1"/>
    </w:lvl>
  </w:abstractNum>
  <w:abstractNum w:abstractNumId="170">
    <w:nsid w:val="5204A191"/>
    <w:multiLevelType w:val="hybridMultilevel"/>
    <w:lvl w:ilvl="0">
      <w:lvlJc w:val="left"/>
      <w:lvlText w:val="(%1)"/>
      <w:numFmt w:val="decimal"/>
      <w:start w:val="10"/>
    </w:lvl>
    <w:lvl w:ilvl="1">
      <w:lvlJc w:val="left"/>
      <w:lvlText w:val="%2."/>
      <w:numFmt w:val="decimal"/>
      <w:start w:val="8"/>
    </w:lvl>
    <w:lvl w:ilvl="2">
      <w:lvlJc w:val="left"/>
      <w:lvlText w:val="(%3)"/>
      <w:numFmt w:val="lowerLetter"/>
      <w:start w:val="1"/>
    </w:lvl>
    <w:lvl w:ilvl="3">
      <w:lvlJc w:val="left"/>
      <w:lvlText w:val="(%4)"/>
      <w:numFmt w:val="lowerRoman"/>
      <w:start w:val="1"/>
    </w:lvl>
    <w:lvl w:ilvl="4">
      <w:lvlJc w:val="left"/>
      <w:lvlText w:val="(%5)"/>
      <w:numFmt w:val="upperLetter"/>
      <w:start w:val="1"/>
    </w:lvl>
  </w:abstractNum>
  <w:abstractNum w:abstractNumId="171">
    <w:nsid w:val="4C73A9C6"/>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2"/>
    </w:lvl>
  </w:abstractNum>
  <w:abstractNum w:abstractNumId="172">
    <w:nsid w:val="1C7E3C01"/>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173">
    <w:nsid w:val="1C2201FF"/>
    <w:multiLevelType w:val="hybridMultilevel"/>
    <w:lvl w:ilvl="0">
      <w:lvlJc w:val="left"/>
      <w:lvlText w:val="(%1)"/>
      <w:numFmt w:val="decimal"/>
      <w:start w:val="4"/>
    </w:lvl>
    <w:lvl w:ilvl="1">
      <w:lvlJc w:val="left"/>
      <w:lvlText w:val="%2."/>
      <w:numFmt w:val="decimal"/>
      <w:start w:val="10"/>
    </w:lvl>
    <w:lvl w:ilvl="2">
      <w:lvlJc w:val="left"/>
      <w:lvlText w:val="(%3)"/>
      <w:numFmt w:val="lowerLetter"/>
      <w:start w:val="1"/>
    </w:lvl>
    <w:lvl w:ilvl="3">
      <w:lvlJc w:val="left"/>
      <w:lvlText w:val="(%4)"/>
      <w:numFmt w:val="lowerRoman"/>
      <w:start w:val="1"/>
    </w:lvl>
  </w:abstractNum>
  <w:abstractNum w:abstractNumId="174">
    <w:nsid w:val="50ABCEC9"/>
    <w:multiLevelType w:val="hybridMultilevel"/>
    <w:lvl w:ilvl="0">
      <w:lvlJc w:val="left"/>
      <w:lvlText w:val="%1"/>
      <w:numFmt w:val="lowerLetter"/>
      <w:start w:val="1"/>
    </w:lvl>
    <w:lvl w:ilvl="1">
      <w:lvlJc w:val="left"/>
      <w:lvlText w:val="(%2)"/>
      <w:numFmt w:val="lowerRoman"/>
      <w:start w:val="3"/>
    </w:lvl>
  </w:abstractNum>
  <w:abstractNum w:abstractNumId="175">
    <w:nsid w:val="7635AA2A"/>
    <w:multiLevelType w:val="hybridMultilevel"/>
    <w:lvl w:ilvl="0">
      <w:lvlJc w:val="left"/>
      <w:lvlText w:val="(%1)"/>
      <w:numFmt w:val="lowerLetter"/>
      <w:start w:val="2"/>
    </w:lvl>
    <w:lvl w:ilvl="1">
      <w:lvlJc w:val="left"/>
      <w:lvlText w:val="(%2)"/>
      <w:numFmt w:val="lowerRoman"/>
      <w:start w:val="1"/>
    </w:lvl>
  </w:abstractNum>
  <w:abstractNum w:abstractNumId="176">
    <w:nsid w:val="5E74C4D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77">
    <w:nsid w:val="3B3EBE15"/>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78">
    <w:nsid w:val="3822CB01"/>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179">
    <w:nsid w:val="6CE0044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80">
    <w:nsid w:val="79F0D62F"/>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181">
    <w:nsid w:val="7975E8EE"/>
    <w:multiLevelType w:val="hybridMultilevel"/>
    <w:lvl w:ilvl="0">
      <w:lvlJc w:val="left"/>
      <w:lvlText w:val="%1"/>
      <w:numFmt w:val="lowerLetter"/>
      <w:start w:val="1"/>
    </w:lvl>
    <w:lvl w:ilvl="1">
      <w:lvlJc w:val="left"/>
      <w:lvlText w:val="%2."/>
      <w:numFmt w:val="decimal"/>
      <w:start w:val="13"/>
    </w:lvl>
    <w:lvl w:ilvl="2">
      <w:lvlJc w:val="left"/>
      <w:lvlText w:val="(%3)"/>
      <w:numFmt w:val="lowerLetter"/>
      <w:start w:val="1"/>
    </w:lvl>
  </w:abstractNum>
  <w:abstractNum w:abstractNumId="182">
    <w:nsid w:val="73154115"/>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183">
    <w:nsid w:val="622D8102"/>
    <w:multiLevelType w:val="hybridMultilevel"/>
    <w:lvl w:ilvl="0">
      <w:lvlJc w:val="left"/>
      <w:lvlText w:val="%1"/>
      <w:numFmt w:val="decimal"/>
      <w:start w:val="1"/>
    </w:lvl>
    <w:lvl w:ilvl="1">
      <w:lvlJc w:val="left"/>
      <w:lvlText w:val="(%2)"/>
      <w:numFmt w:val="lowerLetter"/>
      <w:start w:val="2"/>
    </w:lvl>
  </w:abstractNum>
  <w:abstractNum w:abstractNumId="184">
    <w:nsid w:val="2AB26587"/>
    <w:multiLevelType w:val="hybridMultilevel"/>
    <w:lvl w:ilvl="0">
      <w:lvlJc w:val="left"/>
      <w:lvlText w:val="%1."/>
      <w:numFmt w:val="decimal"/>
      <w:start w:val="15"/>
    </w:lvl>
    <w:lvl w:ilvl="1">
      <w:lvlJc w:val="left"/>
      <w:lvlText w:val="%2"/>
      <w:numFmt w:val="lowerLetter"/>
      <w:start w:val="1"/>
    </w:lvl>
  </w:abstractNum>
  <w:abstractNum w:abstractNumId="185">
    <w:nsid w:val="44B3FA61"/>
    <w:multiLevelType w:val="hybridMultilevel"/>
    <w:lvl w:ilvl="0">
      <w:lvlJc w:val="left"/>
      <w:lvlText w:val="%1."/>
      <w:numFmt w:val="decimal"/>
      <w:start w:val="18"/>
    </w:lvl>
  </w:abstractNum>
  <w:abstractNum w:abstractNumId="186">
    <w:nsid w:val="1C0CA67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87">
    <w:nsid w:val="3D206613"/>
    <w:multiLevelType w:val="hybridMultilevel"/>
    <w:lvl w:ilvl="0">
      <w:lvlJc w:val="left"/>
      <w:lvlText w:val="(%1)"/>
      <w:numFmt w:val="decimal"/>
      <w:start w:val="30"/>
    </w:lvl>
    <w:lvl w:ilvl="1">
      <w:lvlJc w:val="left"/>
      <w:lvlText w:val="%2"/>
      <w:numFmt w:val="decimal"/>
      <w:start w:val="1"/>
    </w:lvl>
    <w:lvl w:ilvl="2">
      <w:lvlJc w:val="left"/>
      <w:lvlText w:val="%3."/>
      <w:numFmt w:val="lowerLetter"/>
      <w:start w:val="2"/>
    </w:lvl>
  </w:abstractNum>
  <w:abstractNum w:abstractNumId="188">
    <w:nsid w:val="7993B662"/>
    <w:multiLevelType w:val="hybridMultilevel"/>
    <w:lvl w:ilvl="0">
      <w:lvlJc w:val="left"/>
      <w:lvlText w:val="%1."/>
      <w:numFmt w:val="decimal"/>
      <w:start w:val="2"/>
    </w:lvl>
  </w:abstractNum>
  <w:abstractNum w:abstractNumId="189">
    <w:nsid w:val="3BAB699E"/>
    <w:multiLevelType w:val="hybridMultilevel"/>
    <w:lvl w:ilvl="0">
      <w:lvlJc w:val="left"/>
      <w:lvlText w:val="%1."/>
      <w:numFmt w:val="decimal"/>
      <w:start w:val="1"/>
    </w:lvl>
  </w:abstractNum>
  <w:abstractNum w:abstractNumId="190">
    <w:nsid w:val="71315369"/>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91">
    <w:nsid w:val="7BCFBAFC"/>
    <w:multiLevelType w:val="hybridMultilevel"/>
    <w:lvl w:ilvl="0">
      <w:lvlJc w:val="left"/>
      <w:lvlText w:val="(%1)"/>
      <w:numFmt w:val="lowerRoman"/>
      <w:start w:val="2"/>
    </w:lvl>
  </w:abstractNum>
  <w:abstractNum w:abstractNumId="192">
    <w:nsid w:val="17859F72"/>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lvl w:ilvl="3">
      <w:lvlJc w:val="left"/>
      <w:lvlText w:val="(%4)"/>
      <w:numFmt w:val="lowerRoman"/>
      <w:start w:val="1"/>
    </w:lvl>
  </w:abstractNum>
  <w:abstractNum w:abstractNumId="193">
    <w:nsid w:val="3AA10581"/>
    <w:multiLevelType w:val="hybridMultilevel"/>
    <w:lvl w:ilvl="0">
      <w:lvlJc w:val="left"/>
      <w:lvlText w:val="(%1)"/>
      <w:numFmt w:val="decimal"/>
      <w:start w:val="12"/>
    </w:lvl>
    <w:lvl w:ilvl="1">
      <w:lvlJc w:val="left"/>
      <w:lvlText w:val="%2"/>
      <w:numFmt w:val="decimal"/>
      <w:start w:val="1"/>
    </w:lvl>
    <w:lvl w:ilvl="2">
      <w:lvlJc w:val="left"/>
      <w:lvlText w:val="%3"/>
      <w:numFmt w:val="lowerLetter"/>
      <w:start w:val="1"/>
    </w:lvl>
    <w:lvl w:ilvl="3">
      <w:lvlJc w:val="left"/>
      <w:lvlText w:val="(%4)"/>
      <w:numFmt w:val="lowerRoman"/>
      <w:start w:val="3"/>
    </w:lvl>
  </w:abstractNum>
  <w:abstractNum w:abstractNumId="194">
    <w:nsid w:val="63DE60CD"/>
    <w:multiLevelType w:val="hybridMultilevel"/>
    <w:lvl w:ilvl="0">
      <w:lvlJc w:val="left"/>
      <w:lvlText w:val="%1."/>
      <w:numFmt w:val="decimal"/>
      <w:start w:val="6"/>
    </w:lvl>
    <w:lvl w:ilvl="1">
      <w:lvlJc w:val="left"/>
      <w:lvlText w:val="(%2)"/>
      <w:numFmt w:val="lowerLetter"/>
      <w:start w:val="1"/>
    </w:lvl>
  </w:abstractNum>
  <w:abstractNum w:abstractNumId="195">
    <w:nsid w:val="621AF471"/>
    <w:multiLevelType w:val="hybridMultilevel"/>
    <w:lvl w:ilvl="0">
      <w:lvlJc w:val="left"/>
      <w:lvlText w:val="(%1)"/>
      <w:numFmt w:val="lowerLetter"/>
      <w:start w:val="2"/>
    </w:lvl>
  </w:abstractNum>
  <w:abstractNum w:abstractNumId="196">
    <w:nsid w:val="73CFE165"/>
    <w:multiLevelType w:val="hybridMultilevel"/>
    <w:lvl w:ilvl="0">
      <w:lvlJc w:val="left"/>
      <w:lvlText w:val="%1."/>
      <w:numFmt w:val="decimal"/>
      <w:start w:val="1"/>
    </w:lvl>
  </w:abstractNum>
  <w:abstractNum w:abstractNumId="197">
    <w:nsid w:val="20F88EA6"/>
    <w:multiLevelType w:val="hybridMultilevel"/>
    <w:lvl w:ilvl="0">
      <w:lvlJc w:val="left"/>
      <w:lvlText w:val="%1."/>
      <w:numFmt w:val="decimal"/>
      <w:start w:val="2"/>
    </w:lvl>
    <w:lvl w:ilvl="1">
      <w:lvlJc w:val="left"/>
      <w:lvlText w:val="(%2)"/>
      <w:numFmt w:val="lowerLetter"/>
      <w:start w:val="1"/>
    </w:lvl>
  </w:abstractNum>
  <w:abstractNum w:abstractNumId="198">
    <w:nsid w:val="617C843E"/>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99">
    <w:nsid w:val="7B541FAB"/>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200">
    <w:nsid w:val="2A79EC49"/>
    <w:multiLevelType w:val="hybridMultilevel"/>
    <w:lvl w:ilvl="0">
      <w:lvlJc w:val="left"/>
      <w:lvlText w:val="%1"/>
      <w:numFmt w:val="decimal"/>
      <w:start w:val="1"/>
    </w:lvl>
    <w:lvl w:ilvl="1">
      <w:lvlJc w:val="left"/>
      <w:lvlText w:val="(%2)"/>
      <w:numFmt w:val="lowerLetter"/>
      <w:start w:val="3"/>
    </w:lvl>
  </w:abstractNum>
  <w:abstractNum w:abstractNumId="201">
    <w:nsid w:val="338125CF"/>
    <w:multiLevelType w:val="hybridMultilevel"/>
    <w:lvl w:ilvl="0">
      <w:lvlJc w:val="left"/>
      <w:lvlText w:val="%1."/>
      <w:numFmt w:val="decimal"/>
      <w:start w:val="4"/>
    </w:lvl>
    <w:lvl w:ilvl="1">
      <w:lvlJc w:val="left"/>
      <w:lvlText w:val="(%2)"/>
      <w:numFmt w:val="lowerLetter"/>
      <w:start w:val="1"/>
    </w:lvl>
  </w:abstractNum>
  <w:abstractNum w:abstractNumId="202">
    <w:nsid w:val="47C7C971"/>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03">
    <w:nsid w:val="46F8284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04">
    <w:nsid w:val="4FA327C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205">
    <w:nsid w:val="1873983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06">
    <w:nsid w:val="3D2DD275"/>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07">
    <w:nsid w:val="2E17ECA7"/>
    <w:multiLevelType w:val="hybridMultilevel"/>
    <w:lvl w:ilvl="0">
      <w:lvlJc w:val="left"/>
      <w:lvlText w:val="%1."/>
      <w:numFmt w:val="decimal"/>
      <w:start w:val="8"/>
    </w:lvl>
    <w:lvl w:ilvl="1">
      <w:lvlJc w:val="left"/>
      <w:lvlText w:val="(%2)"/>
      <w:numFmt w:val="lowerLetter"/>
      <w:start w:val="1"/>
    </w:lvl>
  </w:abstractNum>
  <w:abstractNum w:abstractNumId="208">
    <w:nsid w:val="53B2564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209">
    <w:nsid w:val="75509D76"/>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210">
    <w:nsid w:val="1AF7F0EA"/>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211">
    <w:nsid w:val="4DA32C7E"/>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212">
    <w:nsid w:val="6EC6866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213">
    <w:nsid w:val="E0D31FF"/>
    <w:multiLevelType w:val="hybridMultilevel"/>
    <w:lvl w:ilvl="0">
      <w:lvlJc w:val="left"/>
      <w:lvlText w:val="(%1)"/>
      <w:numFmt w:val="decimal"/>
      <w:start w:val="120"/>
    </w:lvl>
    <w:lvl w:ilvl="1">
      <w:lvlJc w:val="left"/>
      <w:lvlText w:val="(%2)"/>
      <w:numFmt w:val="lowerLetter"/>
      <w:start w:val="2"/>
    </w:lvl>
    <w:lvl w:ilvl="2">
      <w:lvlJc w:val="left"/>
      <w:lvlText w:val="(%3)"/>
      <w:numFmt w:val="lowerRoman"/>
      <w:start w:val="5"/>
    </w:lvl>
  </w:abstractNum>
  <w:abstractNum w:abstractNumId="214">
    <w:nsid w:val="2FD0AD81"/>
    <w:multiLevelType w:val="hybridMultilevel"/>
    <w:lvl w:ilvl="0">
      <w:lvlJc w:val="left"/>
      <w:lvlText w:val="%1"/>
      <w:numFmt w:val="decimal"/>
      <w:start w:val="1"/>
    </w:lvl>
    <w:lvl w:ilvl="1">
      <w:lvlJc w:val="left"/>
      <w:lvlText w:val="(%2)"/>
      <w:numFmt w:val="lowerLetter"/>
      <w:start w:val="4"/>
    </w:lvl>
  </w:abstractNum>
  <w:abstractNum w:abstractNumId="215">
    <w:nsid w:val="1978EBEB"/>
    <w:multiLevelType w:val="hybridMultilevel"/>
    <w:lvl w:ilvl="0">
      <w:lvlJc w:val="left"/>
      <w:lvlText w:val="%1."/>
      <w:numFmt w:val="decimal"/>
      <w:start w:val="4"/>
    </w:lvl>
    <w:lvl w:ilvl="1">
      <w:lvlJc w:val="left"/>
      <w:lvlText w:val="%2"/>
      <w:numFmt w:val="lowerLetter"/>
      <w:start w:val="1"/>
    </w:lvl>
  </w:abstractNum>
  <w:abstractNum w:abstractNumId="216">
    <w:nsid w:val="52C12C61"/>
    <w:multiLevelType w:val="hybridMultilevel"/>
    <w:lvl w:ilvl="0">
      <w:lvlJc w:val="left"/>
      <w:lvlText w:val="%1."/>
      <w:numFmt w:val="decimal"/>
      <w:start w:val="5"/>
    </w:lvl>
    <w:lvl w:ilvl="1">
      <w:lvlJc w:val="left"/>
      <w:lvlText w:val="(%2)"/>
      <w:numFmt w:val="lowerLetter"/>
      <w:start w:val="1"/>
    </w:lvl>
  </w:abstractNum>
  <w:abstractNum w:abstractNumId="217">
    <w:nsid w:val="4BDD53FD"/>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18">
    <w:nsid w:val="569951FE"/>
    <w:multiLevelType w:val="hybridMultilevel"/>
    <w:lvl w:ilvl="0">
      <w:lvlJc w:val="left"/>
      <w:lvlText w:val="%1."/>
      <w:numFmt w:val="decimal"/>
      <w:start w:val="9"/>
    </w:lvl>
    <w:lvl w:ilvl="1">
      <w:lvlJc w:val="left"/>
      <w:lvlText w:val="(%2)"/>
      <w:numFmt w:val="lowerLetter"/>
      <w:start w:val="1"/>
    </w:lvl>
  </w:abstractNum>
  <w:abstractNum w:abstractNumId="219">
    <w:nsid w:val="4C54E2C3"/>
    <w:multiLevelType w:val="hybridMultilevel"/>
    <w:lvl w:ilvl="0">
      <w:lvlJc w:val="left"/>
      <w:lvlText w:val="(%1)"/>
      <w:numFmt w:val="lowerLetter"/>
      <w:start w:val="2"/>
    </w:lvl>
  </w:abstractNum>
  <w:abstractNum w:abstractNumId="220">
    <w:nsid w:val="788BD9B"/>
    <w:multiLevelType w:val="hybridMultilevel"/>
    <w:lvl w:ilvl="0">
      <w:lvlJc w:val="left"/>
      <w:lvlText w:val="%1."/>
      <w:numFmt w:val="decimal"/>
      <w:start w:val="1"/>
    </w:lvl>
    <w:lvl w:ilvl="1">
      <w:lvlJc w:val="left"/>
      <w:lvlText w:val="(%2)"/>
      <w:numFmt w:val="lowerLetter"/>
      <w:start w:val="1"/>
    </w:lvl>
  </w:abstractNum>
  <w:abstractNum w:abstractNumId="221">
    <w:nsid w:val="47CAA567"/>
    <w:multiLevelType w:val="hybridMultilevel"/>
    <w:lvl w:ilvl="0">
      <w:lvlJc w:val="left"/>
      <w:lvlText w:val="%1."/>
      <w:numFmt w:val="decimal"/>
      <w:start w:val="1"/>
    </w:lvl>
  </w:abstractNum>
  <w:abstractNum w:abstractNumId="222">
    <w:nsid w:val="48249DBF"/>
    <w:multiLevelType w:val="hybridMultilevel"/>
    <w:lvl w:ilvl="0">
      <w:lvlJc w:val="left"/>
      <w:lvlText w:val="%1."/>
      <w:numFmt w:val="decimal"/>
      <w:start w:val="3"/>
    </w:lvl>
  </w:abstractNum>
  <w:abstractNum w:abstractNumId="223">
    <w:nsid w:val="1F0E5D0D"/>
    <w:multiLevelType w:val="hybridMultilevel"/>
    <w:lvl w:ilvl="0">
      <w:lvlJc w:val="left"/>
      <w:lvlText w:val="%1."/>
      <w:numFmt w:val="decimal"/>
      <w:start w:val="1"/>
    </w:lvl>
    <w:lvl w:ilvl="1">
      <w:lvlJc w:val="left"/>
      <w:lvlText w:val="(%2)"/>
      <w:numFmt w:val="lowerLetter"/>
      <w:start w:val="1"/>
    </w:lvl>
  </w:abstractNum>
  <w:abstractNum w:abstractNumId="224">
    <w:nsid w:val="26BAAE9"/>
    <w:multiLevelType w:val="hybridMultilevel"/>
    <w:lvl w:ilvl="0">
      <w:lvlJc w:val="left"/>
      <w:lvlText w:val="%1"/>
      <w:numFmt w:val="lowerLetter"/>
      <w:start w:val="1"/>
    </w:lvl>
    <w:lvl w:ilvl="1">
      <w:lvlJc w:val="left"/>
      <w:lvlText w:val="(%2)"/>
      <w:numFmt w:val="lowerLetter"/>
      <w:start w:val="8"/>
    </w:lvl>
  </w:abstractNum>
  <w:abstractNum w:abstractNumId="225">
    <w:nsid w:val="2C02FE8C"/>
    <w:multiLevelType w:val="hybridMultilevel"/>
    <w:lvl w:ilvl="0">
      <w:lvlJc w:val="left"/>
      <w:lvlText w:val="(%1)"/>
      <w:numFmt w:val="lowerLetter"/>
      <w:start w:val="61"/>
    </w:lvl>
    <w:lvl w:ilvl="1">
      <w:lvlJc w:val="left"/>
      <w:lvlText w:val="(%2)"/>
      <w:numFmt w:val="lowerLetter"/>
      <w:start w:val="9"/>
    </w:lvl>
  </w:abstractNum>
  <w:abstractNum w:abstractNumId="226">
    <w:nsid w:val="129517E"/>
    <w:multiLevelType w:val="hybridMultilevel"/>
    <w:lvl w:ilvl="0">
      <w:lvlJc w:val="left"/>
      <w:lvlText w:val="(%1)"/>
      <w:numFmt w:val="lowerLetter"/>
      <w:start w:val="15"/>
    </w:lvl>
  </w:abstractNum>
  <w:abstractNum w:abstractNumId="227">
    <w:nsid w:val="763B8C4E"/>
    <w:multiLevelType w:val="hybridMultilevel"/>
    <w:lvl w:ilvl="0">
      <w:lvlJc w:val="left"/>
      <w:lvlText w:val="(%1)"/>
      <w:numFmt w:val="lowerLetter"/>
      <w:start w:val="24"/>
    </w:lvl>
  </w:abstractNum>
  <w:abstractNum w:abstractNumId="228">
    <w:nsid w:val="4CFB8D32"/>
    <w:multiLevelType w:val="hybridMultilevel"/>
    <w:lvl w:ilvl="0">
      <w:lvlJc w:val="left"/>
      <w:lvlText w:val="(%1)"/>
      <w:numFmt w:val="lowerLetter"/>
      <w:start w:val="27"/>
    </w:lvl>
  </w:abstractNum>
  <w:abstractNum w:abstractNumId="229">
    <w:nsid w:val="62A5D5BD"/>
    <w:multiLevelType w:val="hybridMultilevel"/>
    <w:lvl w:ilvl="0">
      <w:lvlJc w:val="left"/>
      <w:lvlText w:val="(%1)"/>
      <w:numFmt w:val="lowerLetter"/>
      <w:start w:val="37"/>
    </w:lvl>
    <w:lvl w:ilvl="1">
      <w:lvlJc w:val="left"/>
      <w:lvlText w:val="(%2)"/>
      <w:numFmt w:val="lowerRoman"/>
      <w:start w:val="1"/>
    </w:lvl>
  </w:abstractNum>
  <w:abstractNum w:abstractNumId="230">
    <w:nsid w:val="718FABF9"/>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31">
    <w:nsid w:val="7775797C"/>
    <w:multiLevelType w:val="hybridMultilevel"/>
    <w:lvl w:ilvl="0">
      <w:lvlJc w:val="left"/>
      <w:lvlText w:val="%1"/>
      <w:numFmt w:val="lowerLetter"/>
      <w:start w:val="1"/>
    </w:lvl>
    <w:lvl w:ilvl="1">
      <w:lvlJc w:val="left"/>
      <w:lvlText w:val="(%2)"/>
      <w:numFmt w:val="lowerRoman"/>
      <w:start w:val="5"/>
    </w:lvl>
  </w:abstractNum>
  <w:abstractNum w:abstractNumId="232">
    <w:nsid w:val="1626FB8C"/>
    <w:multiLevelType w:val="hybridMultilevel"/>
    <w:lvl w:ilvl="0">
      <w:lvlJc w:val="left"/>
      <w:lvlText w:val="(%1)"/>
      <w:numFmt w:val="lowerLetter"/>
      <w:start w:val="4"/>
    </w:lvl>
    <w:lvl w:ilvl="1">
      <w:lvlJc w:val="left"/>
      <w:lvlText w:val="%2"/>
      <w:numFmt w:val="lowerRoman"/>
      <w:start w:val="1"/>
    </w:lvl>
  </w:abstractNum>
  <w:abstractNum w:abstractNumId="233">
    <w:nsid w:val="3957756A"/>
    <w:multiLevelType w:val="hybridMultilevel"/>
    <w:lvl w:ilvl="0">
      <w:lvlJc w:val="left"/>
      <w:lvlText w:val="%1."/>
      <w:numFmt w:val="decimal"/>
      <w:start w:val="5"/>
    </w:lvl>
    <w:lvl w:ilvl="1">
      <w:lvlJc w:val="left"/>
      <w:lvlText w:val="(%2)"/>
      <w:numFmt w:val="lowerLetter"/>
      <w:start w:val="1"/>
    </w:lvl>
  </w:abstractNum>
  <w:abstractNum w:abstractNumId="234">
    <w:nsid w:val="3E6DA1C7"/>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lvl w:ilvl="3">
      <w:lvlJc w:val="left"/>
      <w:lvlText w:val="%4."/>
      <w:numFmt w:val="lowerLetter"/>
      <w:start w:val="1"/>
    </w:lvl>
  </w:abstractNum>
  <w:abstractNum w:abstractNumId="235">
    <w:nsid w:val="65CA235B"/>
    <w:multiLevelType w:val="hybridMultilevel"/>
    <w:lvl w:ilvl="0">
      <w:lvlJc w:val="left"/>
      <w:lvlText w:val="%1"/>
      <w:numFmt w:val="lowerRoman"/>
      <w:start w:val="1"/>
    </w:lvl>
    <w:lvl w:ilvl="1">
      <w:lvlJc w:val="left"/>
      <w:lvlText w:val="(%2)"/>
      <w:numFmt w:val="decimal"/>
      <w:start w:val="2"/>
    </w:lvl>
  </w:abstractNum>
  <w:abstractNum w:abstractNumId="236">
    <w:nsid w:val="51CB0DA4"/>
    <w:multiLevelType w:val="hybridMultilevel"/>
    <w:lvl w:ilvl="0">
      <w:lvlJc w:val="left"/>
      <w:lvlText w:val="(%1)"/>
      <w:numFmt w:val="lowerRoman"/>
      <w:start w:val="2"/>
    </w:lvl>
    <w:lvl w:ilvl="1">
      <w:lvlJc w:val="left"/>
      <w:lvlText w:val="(%2)"/>
      <w:numFmt w:val="decimal"/>
      <w:start w:val="1"/>
    </w:lvl>
  </w:abstractNum>
  <w:abstractNum w:abstractNumId="237">
    <w:nsid w:val="7B9B743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decimal"/>
      <w:start w:val="2"/>
    </w:lvl>
  </w:abstractNum>
  <w:abstractNum w:abstractNumId="238">
    <w:nsid w:val="13E2100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lvl w:ilvl="3">
      <w:lvlJc w:val="left"/>
      <w:lvlText w:val="%4"/>
      <w:numFmt w:val="decimal"/>
      <w:start w:val="1"/>
    </w:lvl>
  </w:abstractNum>
  <w:abstractNum w:abstractNumId="239">
    <w:nsid w:val="257D63F4"/>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9"/>
    </w:lvl>
    <w:lvl w:ilvl="3">
      <w:lvlJc w:val="left"/>
      <w:lvlText w:val="%4"/>
      <w:numFmt w:val="decimal"/>
      <w:start w:val="1"/>
    </w:lvl>
  </w:abstractNum>
  <w:abstractNum w:abstractNumId="240">
    <w:nsid w:val="70EC11B2"/>
    <w:multiLevelType w:val="hybridMultilevel"/>
    <w:lvl w:ilvl="0">
      <w:lvlJc w:val="left"/>
      <w:lvlText w:val="(%1)"/>
      <w:numFmt w:val="lowerRoman"/>
      <w:start w:val="2"/>
    </w:lvl>
    <w:lvl w:ilvl="1">
      <w:lvlJc w:val="left"/>
      <w:lvlText w:val="(%2)"/>
      <w:numFmt w:val="decimal"/>
      <w:start w:val="1"/>
    </w:lvl>
  </w:abstractNum>
  <w:abstractNum w:abstractNumId="241">
    <w:nsid w:val="2EDA00ED"/>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242">
    <w:nsid w:val="73209072"/>
    <w:multiLevelType w:val="hybridMultilevel"/>
    <w:lvl w:ilvl="0">
      <w:lvlJc w:val="left"/>
      <w:lvlText w:val="%1."/>
      <w:numFmt w:val="decimal"/>
      <w:start w:val="9"/>
    </w:lvl>
    <w:lvl w:ilvl="1">
      <w:lvlJc w:val="left"/>
      <w:lvlText w:val="(%2)"/>
      <w:numFmt w:val="lowerLetter"/>
      <w:start w:val="1"/>
    </w:lvl>
  </w:abstractNum>
  <w:abstractNum w:abstractNumId="243">
    <w:nsid w:val="5FB29816"/>
    <w:multiLevelType w:val="hybridMultilevel"/>
    <w:lvl w:ilvl="0">
      <w:lvlJc w:val="left"/>
      <w:lvlText w:val="(%1)"/>
      <w:numFmt w:val="lowerRoman"/>
      <w:start w:val="2"/>
    </w:lvl>
  </w:abstractNum>
  <w:abstractNum w:abstractNumId="244">
    <w:nsid w:val="3CE732EC"/>
    <w:multiLevelType w:val="hybridMultilevel"/>
    <w:lvl w:ilvl="0">
      <w:lvlJc w:val="left"/>
      <w:lvlText w:val="%1"/>
      <w:numFmt w:val="lowerLetter"/>
      <w:start w:val="1"/>
    </w:lvl>
    <w:lvl w:ilvl="1">
      <w:lvlJc w:val="left"/>
      <w:lvlText w:val="%2."/>
      <w:numFmt w:val="decimal"/>
      <w:start w:val="11"/>
    </w:lvl>
    <w:lvl w:ilvl="2">
      <w:lvlJc w:val="left"/>
      <w:lvlText w:val="(%3)"/>
      <w:numFmt w:val="lowerLetter"/>
      <w:start w:val="1"/>
    </w:lvl>
  </w:abstractNum>
  <w:abstractNum w:abstractNumId="245">
    <w:nsid w:val="22F13DF3"/>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246">
    <w:nsid w:val="792B8401"/>
    <w:multiLevelType w:val="hybridMultilevel"/>
    <w:lvl w:ilvl="0">
      <w:lvlJc w:val="left"/>
      <w:lvlText w:val="(%1)"/>
      <w:numFmt w:val="lowerLetter"/>
      <w:start w:val="25"/>
    </w:lvl>
    <w:lvl w:ilvl="1">
      <w:lvlJc w:val="left"/>
      <w:lvlText w:val="%2"/>
      <w:numFmt w:val="decimal"/>
      <w:start w:val="1"/>
    </w:lvl>
    <w:lvl w:ilvl="2">
      <w:lvlJc w:val="left"/>
      <w:lvlText w:val="(%3)"/>
      <w:numFmt w:val="lowerLetter"/>
      <w:start w:val="2"/>
    </w:lvl>
  </w:abstractNum>
  <w:abstractNum w:abstractNumId="247">
    <w:nsid w:val="FA85F4D"/>
    <w:multiLevelType w:val="hybridMultilevel"/>
    <w:lvl w:ilvl="0">
      <w:lvlJc w:val="left"/>
      <w:lvlText w:val="%1"/>
      <w:numFmt w:val="decimal"/>
      <w:start w:val="1"/>
    </w:lvl>
    <w:lvl w:ilvl="1">
      <w:lvlJc w:val="left"/>
      <w:lvlText w:val="(%2)"/>
      <w:numFmt w:val="lowerLetter"/>
      <w:start w:val="3"/>
    </w:lvl>
  </w:abstractNum>
  <w:abstractNum w:abstractNumId="248">
    <w:nsid w:val="6ECE91F0"/>
    <w:multiLevelType w:val="hybridMultilevel"/>
    <w:lvl w:ilvl="0">
      <w:lvlJc w:val="left"/>
      <w:lvlText w:val="%1."/>
      <w:numFmt w:val="decimal"/>
      <w:start w:val="12"/>
    </w:lvl>
    <w:lvl w:ilvl="1">
      <w:lvlJc w:val="left"/>
      <w:lvlText w:val="%2"/>
      <w:numFmt w:val="lowerLetter"/>
      <w:start w:val="1"/>
    </w:lvl>
  </w:abstractNum>
  <w:abstractNum w:abstractNumId="249">
    <w:nsid w:val="4FC4D600"/>
    <w:multiLevelType w:val="hybridMultilevel"/>
    <w:lvl w:ilvl="0">
      <w:lvlJc w:val="left"/>
      <w:lvlText w:val="%1."/>
      <w:numFmt w:val="decimal"/>
      <w:start w:val="15"/>
    </w:lvl>
  </w:abstractNum>
  <w:abstractNum w:abstractNumId="250">
    <w:nsid w:val="5BFD4210"/>
    <w:multiLevelType w:val="hybridMultilevel"/>
    <w:lvl w:ilvl="0">
      <w:lvlJc w:val="left"/>
      <w:lvlText w:val="%1."/>
      <w:numFmt w:val="decimal"/>
      <w:start w:val="1"/>
    </w:lvl>
    <w:lvl w:ilvl="1">
      <w:lvlJc w:val="left"/>
      <w:lvlText w:val="(%2)"/>
      <w:numFmt w:val="lowerLetter"/>
      <w:start w:val="1"/>
    </w:lvl>
  </w:abstractNum>
  <w:abstractNum w:abstractNumId="251">
    <w:nsid w:val="76574F8B"/>
    <w:multiLevelType w:val="hybridMultilevel"/>
    <w:lvl w:ilvl="0">
      <w:lvlJc w:val="left"/>
      <w:lvlText w:val="%1."/>
      <w:numFmt w:val="decimal"/>
      <w:start w:val="2"/>
    </w:lvl>
  </w:abstractNum>
  <w:abstractNum w:abstractNumId="252">
    <w:nsid w:val="178F7B67"/>
    <w:multiLevelType w:val="hybridMultilevel"/>
    <w:lvl w:ilvl="0">
      <w:lvlJc w:val="left"/>
      <w:lvlText w:val="%1."/>
      <w:numFmt w:val="decimal"/>
      <w:start w:val="1"/>
    </w:lvl>
  </w:abstractNum>
  <w:abstractNum w:abstractNumId="253">
    <w:nsid w:val="2421DFCF"/>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54">
    <w:nsid w:val="1565AC99"/>
    <w:multiLevelType w:val="hybridMultilevel"/>
    <w:lvl w:ilvl="0">
      <w:lvlJc w:val="left"/>
      <w:lvlText w:val="(%1)"/>
      <w:numFmt w:val="lowerLetter"/>
      <w:start w:val="2"/>
    </w:lvl>
    <w:lvl w:ilvl="1">
      <w:lvlJc w:val="left"/>
      <w:lvlText w:val="(%2)"/>
      <w:numFmt w:val="lowerRoman"/>
      <w:start w:val="1"/>
    </w:lvl>
  </w:abstractNum>
  <w:abstractNum w:abstractNumId="255">
    <w:nsid w:val="19FB2650"/>
    <w:multiLevelType w:val="hybridMultilevel"/>
    <w:lvl w:ilvl="0">
      <w:lvlJc w:val="left"/>
      <w:lvlText w:val="%1"/>
      <w:numFmt w:val="decimal"/>
      <w:start w:val="1"/>
    </w:lvl>
    <w:lvl w:ilvl="1">
      <w:lvlJc w:val="left"/>
      <w:lvlText w:val="(%2)"/>
      <w:numFmt w:val="lowerRoman"/>
      <w:start w:val="4"/>
    </w:lvl>
  </w:abstractNum>
  <w:abstractNum w:abstractNumId="256">
    <w:nsid w:val="5024DE5B"/>
    <w:multiLevelType w:val="hybridMultilevel"/>
    <w:lvl w:ilvl="0">
      <w:lvlJc w:val="left"/>
      <w:lvlText w:val="%1."/>
      <w:numFmt w:val="decimal"/>
      <w:start w:val="4"/>
    </w:lvl>
    <w:lvl w:ilvl="1">
      <w:lvlJc w:val="left"/>
      <w:lvlText w:val="%2"/>
      <w:numFmt w:val="lowerRoman"/>
      <w:start w:val="1"/>
    </w:lvl>
  </w:abstractNum>
  <w:abstractNum w:abstractNumId="257">
    <w:nsid w:val="168EFE17"/>
    <w:multiLevelType w:val="hybridMultilevel"/>
    <w:lvl w:ilvl="0">
      <w:lvlJc w:val="left"/>
      <w:lvlText w:val="%1."/>
      <w:numFmt w:val="decimal"/>
      <w:start w:val="5"/>
    </w:lvl>
    <w:lvl w:ilvl="1">
      <w:lvlJc w:val="left"/>
      <w:lvlText w:val="(%2)"/>
      <w:numFmt w:val="lowerLetter"/>
      <w:start w:val="1"/>
    </w:lvl>
  </w:abstractNum>
  <w:abstractNum w:abstractNumId="258">
    <w:nsid w:val="1036B29F"/>
    <w:multiLevelType w:val="hybridMultilevel"/>
    <w:lvl w:ilvl="0">
      <w:lvlJc w:val="left"/>
      <w:lvlText w:val="%1."/>
      <w:numFmt w:val="decimal"/>
      <w:start w:val="8"/>
    </w:lvl>
  </w:abstractNum>
  <w:abstractNum w:abstractNumId="259">
    <w:nsid w:val="1D206B8E"/>
    <w:multiLevelType w:val="hybridMultilevel"/>
    <w:lvl w:ilvl="0">
      <w:lvlJc w:val="left"/>
      <w:lvlText w:val="%1."/>
      <w:numFmt w:val="decimal"/>
      <w:start w:val="11"/>
    </w:lvl>
  </w:abstractNum>
  <w:abstractNum w:abstractNumId="260">
    <w:nsid w:val="7934D3D4"/>
    <w:multiLevelType w:val="hybridMultilevel"/>
    <w:lvl w:ilvl="0">
      <w:lvlJc w:val="left"/>
      <w:lvlText w:val="%1."/>
      <w:numFmt w:val="decimal"/>
      <w:start w:val="12"/>
    </w:lvl>
  </w:abstractNum>
  <w:abstractNum w:abstractNumId="261">
    <w:nsid w:val="1C65E98"/>
    <w:multiLevelType w:val="hybridMultilevel"/>
    <w:lvl w:ilvl="0">
      <w:lvlJc w:val="left"/>
      <w:lvlText w:val="%1."/>
      <w:numFmt w:val="decimal"/>
      <w:start w:val="13"/>
    </w:lvl>
    <w:lvl w:ilvl="1">
      <w:lvlJc w:val="left"/>
      <w:lvlText w:val="(%2)"/>
      <w:numFmt w:val="lowerLetter"/>
      <w:start w:val="1"/>
    </w:lvl>
  </w:abstractNum>
  <w:abstractNum w:abstractNumId="262">
    <w:nsid w:val="1495E50A"/>
    <w:multiLevelType w:val="hybridMultilevel"/>
    <w:lvl w:ilvl="0">
      <w:lvlJc w:val="left"/>
      <w:lvlText w:val="•"/>
      <w:numFmt w:val="bullet"/>
      <w:start w:val="1"/>
    </w:lvl>
  </w:abstractNum>
  <w:abstractNum w:abstractNumId="263">
    <w:nsid w:val="F5BCF61"/>
    <w:multiLevelType w:val="hybridMultilevel"/>
    <w:lvl w:ilvl="0">
      <w:lvlJc w:val="left"/>
      <w:lvlText w:val="(%1)"/>
      <w:numFmt w:val="decimal"/>
      <w:start w:val="1"/>
    </w:lvl>
  </w:abstractNum>
  <w:abstractNum w:abstractNumId="264">
    <w:nsid w:val="3B1DD403"/>
    <w:multiLevelType w:val="hybridMultilevel"/>
    <w:lvl w:ilvl="0">
      <w:lvlJc w:val="left"/>
      <w:lvlText w:val="(%1)"/>
      <w:numFmt w:val="lowerLetter"/>
      <w:start w:val="1"/>
    </w:lvl>
    <w:lvl w:ilvl="1">
      <w:lvlJc w:val="left"/>
      <w:lvlText w:val="(%2)"/>
      <w:numFmt w:val="lowerRoman"/>
      <w:start w:val="1"/>
    </w:lvl>
  </w:abstractNum>
  <w:abstractNum w:abstractNumId="265">
    <w:nsid w:val="530386D1"/>
    <w:multiLevelType w:val="hybridMultilevel"/>
    <w:lvl w:ilvl="0">
      <w:lvlJc w:val="left"/>
      <w:lvlText w:val="(%1)"/>
      <w:numFmt w:val="lowerLetter"/>
      <w:start w:val="1"/>
    </w:lvl>
  </w:abstractNum>
  <w:abstractNum w:abstractNumId="266">
    <w:nsid w:val="7525F2BC"/>
    <w:multiLevelType w:val="hybridMultilevel"/>
    <w:lvl w:ilvl="0">
      <w:lvlJc w:val="left"/>
      <w:lvlText w:val="%1."/>
      <w:numFmt w:val="decimal"/>
      <w:start w:val="2"/>
    </w:lvl>
  </w:abstractNum>
  <w:abstractNum w:abstractNumId="267">
    <w:nsid w:val="CE8E1A7"/>
    <w:multiLevelType w:val="hybridMultilevel"/>
    <w:lvl w:ilvl="0">
      <w:lvlJc w:val="left"/>
      <w:lvlText w:val="(%1)"/>
      <w:numFmt w:val="lowerLetter"/>
      <w:start w:val="1"/>
    </w:lvl>
    <w:lvl w:ilvl="1">
      <w:lvlJc w:val="left"/>
      <w:lvlText w:val="(%2)"/>
      <w:numFmt w:val="lowerRoman"/>
      <w:start w:val="1"/>
    </w:lvl>
  </w:abstractNum>
  <w:abstractNum w:abstractNumId="268">
    <w:nsid w:val="4E9EFB0D"/>
    <w:multiLevelType w:val="hybridMultilevel"/>
    <w:lvl w:ilvl="0">
      <w:lvlJc w:val="left"/>
      <w:lvlText w:val="%1"/>
      <w:numFmt w:val="decimal"/>
      <w:start w:val="1"/>
    </w:lvl>
    <w:lvl w:ilvl="1">
      <w:lvlJc w:val="left"/>
      <w:lvlText w:val="(%2)"/>
      <w:numFmt w:val="lowerLetter"/>
      <w:start w:val="2"/>
    </w:lvl>
  </w:abstractNum>
  <w:abstractNum w:abstractNumId="269">
    <w:nsid w:val="90802BE"/>
    <w:multiLevelType w:val="hybridMultilevel"/>
    <w:lvl w:ilvl="0">
      <w:lvlJc w:val="left"/>
      <w:lvlText w:val="(%1)"/>
      <w:numFmt w:val="decimal"/>
      <w:start w:val="1"/>
    </w:lvl>
    <w:lvl w:ilvl="1">
      <w:lvlJc w:val="left"/>
      <w:lvlText w:val="%2"/>
      <w:numFmt w:val="lowerLetter"/>
      <w:start w:val="1"/>
    </w:lvl>
  </w:abstractNum>
  <w:abstractNum w:abstractNumId="270">
    <w:nsid w:val="3266459B"/>
    <w:multiLevelType w:val="hybridMultilevel"/>
    <w:lvl w:ilvl="0">
      <w:lvlJc w:val="left"/>
      <w:lvlText w:val="%1"/>
      <w:numFmt w:val="upperLetter"/>
      <w:start w:val="1"/>
    </w:lvl>
    <w:lvl w:ilvl="1">
      <w:lvlJc w:val="left"/>
      <w:lvlText w:val="(%2)"/>
      <w:numFmt w:val="lowerRoman"/>
      <w:start w:val="1"/>
    </w:lvl>
  </w:abstractNum>
  <w:abstractNum w:abstractNumId="271">
    <w:nsid w:val="3F8B0CBF"/>
    <w:multiLevelType w:val="hybridMultilevel"/>
    <w:lvl w:ilvl="0">
      <w:lvlJc w:val="left"/>
      <w:lvlText w:val="(%1)"/>
      <w:numFmt w:val="upperLetter"/>
      <w:start w:val="1"/>
    </w:lvl>
    <w:lvl w:ilvl="1">
      <w:lvlJc w:val="left"/>
      <w:lvlText w:val="(%2)"/>
      <w:numFmt w:val="lowerRoman"/>
      <w:start w:val="2"/>
    </w:lvl>
  </w:abstractNum>
  <w:abstractNum w:abstractNumId="272">
    <w:nsid w:val="37E203AB"/>
    <w:multiLevelType w:val="hybridMultilevel"/>
    <w:lvl w:ilvl="0">
      <w:lvlJc w:val="left"/>
      <w:lvlText w:val="%1"/>
      <w:numFmt w:val="lowerLetter"/>
      <w:start w:val="1"/>
    </w:lvl>
    <w:lvl w:ilvl="1">
      <w:lvlJc w:val="left"/>
      <w:lvlText w:val="(%2)"/>
      <w:numFmt w:val="lowerRoman"/>
      <w:start w:val="4"/>
    </w:lvl>
  </w:abstractNum>
  <w:abstractNum w:abstractNumId="273">
    <w:nsid w:val="2586D60E"/>
    <w:multiLevelType w:val="hybridMultilevel"/>
    <w:lvl w:ilvl="0">
      <w:lvlJc w:val="left"/>
      <w:lvlText w:val="(%1)"/>
      <w:numFmt w:val="lowerLetter"/>
      <w:start w:val="3"/>
    </w:lvl>
    <w:lvl w:ilvl="1">
      <w:lvlJc w:val="left"/>
      <w:lvlText w:val="%2"/>
      <w:numFmt w:val="lowerRoman"/>
      <w:start w:val="1"/>
    </w:lvl>
  </w:abstractNum>
  <w:abstractNum w:abstractNumId="274">
    <w:nsid w:val="1F3DA4D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6"/>
    </w:lvl>
  </w:abstractNum>
  <w:abstractNum w:abstractNumId="275">
    <w:nsid w:val="74C93698"/>
    <w:multiLevelType w:val="hybridMultilevel"/>
    <w:lvl w:ilvl="0">
      <w:lvlJc w:val="left"/>
      <w:lvlText w:val="(%1)"/>
      <w:numFmt w:val="lowerLetter"/>
      <w:start w:val="35"/>
    </w:lvl>
    <w:lvl w:ilvl="1">
      <w:lvlJc w:val="left"/>
      <w:lvlText w:val="%2."/>
      <w:numFmt w:val="decimal"/>
      <w:start w:val="4"/>
    </w:lvl>
    <w:lvl w:ilvl="2">
      <w:lvlJc w:val="left"/>
      <w:lvlText w:val="%3"/>
      <w:numFmt w:val="lowerLetter"/>
      <w:start w:val="1"/>
    </w:lvl>
  </w:abstractNum>
  <w:abstractNum w:abstractNumId="276">
    <w:nsid w:val="48781401"/>
    <w:multiLevelType w:val="hybridMultilevel"/>
    <w:lvl w:ilvl="0">
      <w:lvlJc w:val="left"/>
      <w:lvlText w:val="%1"/>
      <w:numFmt w:val="lowerRoman"/>
      <w:start w:val="1"/>
    </w:lvl>
    <w:lvl w:ilvl="1">
      <w:lvlJc w:val="left"/>
      <w:lvlText w:val="%2."/>
      <w:numFmt w:val="decimal"/>
      <w:start w:val="5"/>
    </w:lvl>
    <w:lvl w:ilvl="2">
      <w:lvlJc w:val="left"/>
      <w:lvlText w:val="(%3)"/>
      <w:numFmt w:val="lowerLetter"/>
      <w:start w:val="1"/>
    </w:lvl>
  </w:abstractNum>
  <w:abstractNum w:abstractNumId="277">
    <w:nsid w:val="186928D6"/>
    <w:multiLevelType w:val="hybridMultilevel"/>
    <w:lvl w:ilvl="0">
      <w:lvlJc w:val="left"/>
      <w:lvlText w:val="(%1)"/>
      <w:numFmt w:val="lowerRoman"/>
      <w:start w:val="8"/>
    </w:lvl>
    <w:lvl w:ilvl="1">
      <w:lvlJc w:val="left"/>
      <w:lvlText w:val="%2"/>
      <w:numFmt w:val="decimal"/>
      <w:start w:val="1"/>
    </w:lvl>
    <w:lvl w:ilvl="2">
      <w:lvlJc w:val="left"/>
      <w:lvlText w:val="(%3)"/>
      <w:numFmt w:val="lowerLetter"/>
      <w:start w:val="6"/>
    </w:lvl>
  </w:abstractNum>
  <w:abstractNum w:abstractNumId="278">
    <w:nsid w:val="47195E5"/>
    <w:multiLevelType w:val="hybridMultilevel"/>
    <w:lvl w:ilvl="0">
      <w:lvlJc w:val="left"/>
      <w:lvlText w:val="%1."/>
      <w:numFmt w:val="decimal"/>
      <w:start w:val="6"/>
    </w:lvl>
  </w:abstractNum>
  <w:abstractNum w:abstractNumId="279">
    <w:nsid w:val="3746A5F2"/>
    <w:multiLevelType w:val="hybridMultilevel"/>
    <w:lvl w:ilvl="0">
      <w:lvlJc w:val="left"/>
      <w:lvlText w:val="(%1)"/>
      <w:numFmt w:val="lowerLetter"/>
      <w:start w:val="1"/>
    </w:lvl>
    <w:lvl w:ilvl="1">
      <w:lvlJc w:val="left"/>
      <w:lvlText w:val="(%2)"/>
      <w:numFmt w:val="lowerRoman"/>
      <w:start w:val="1"/>
    </w:lvl>
  </w:abstractNum>
  <w:abstractNum w:abstractNumId="280">
    <w:nsid w:val="682DFED6"/>
    <w:multiLevelType w:val="hybridMultilevel"/>
    <w:lvl w:ilvl="0">
      <w:lvlJc w:val="left"/>
      <w:lvlText w:val="%1"/>
      <w:numFmt w:val="decimal"/>
      <w:start w:val="1"/>
    </w:lvl>
    <w:lvl w:ilvl="1">
      <w:lvlJc w:val="left"/>
      <w:lvlText w:val="(%2)"/>
      <w:numFmt w:val="lowerLetter"/>
      <w:start w:val="4"/>
    </w:lvl>
  </w:abstractNum>
  <w:abstractNum w:abstractNumId="281">
    <w:nsid w:val="606ED7F6"/>
    <w:multiLevelType w:val="hybridMultilevel"/>
    <w:lvl w:ilvl="0">
      <w:lvlJc w:val="left"/>
      <w:lvlText w:val="%1."/>
      <w:numFmt w:val="decimal"/>
      <w:start w:val="8"/>
    </w:lvl>
    <w:lvl w:ilvl="1">
      <w:lvlJc w:val="left"/>
      <w:lvlText w:val="(%2)"/>
      <w:numFmt w:val="lowerLetter"/>
      <w:start w:val="1"/>
    </w:lvl>
  </w:abstractNum>
  <w:abstractNum w:abstractNumId="282">
    <w:nsid w:val="2D9DF57D"/>
    <w:multiLevelType w:val="hybridMultilevel"/>
    <w:lvl w:ilvl="0">
      <w:lvlJc w:val="left"/>
      <w:lvlText w:val="%1"/>
      <w:numFmt w:val="decimal"/>
      <w:start w:val="1"/>
    </w:lvl>
    <w:lvl w:ilvl="1">
      <w:lvlJc w:val="left"/>
      <w:lvlText w:val="(%2)"/>
      <w:numFmt w:val="lowerLetter"/>
      <w:start w:val="2"/>
    </w:lvl>
  </w:abstractNum>
  <w:abstractNum w:abstractNumId="283">
    <w:nsid w:val="7FBD7A3E"/>
    <w:multiLevelType w:val="hybridMultilevel"/>
    <w:lvl w:ilvl="0">
      <w:lvlJc w:val="left"/>
      <w:lvlText w:val="%1."/>
      <w:numFmt w:val="decimal"/>
      <w:start w:val="10"/>
    </w:lvl>
    <w:lvl w:ilvl="1">
      <w:lvlJc w:val="left"/>
      <w:lvlText w:val="(%2)"/>
      <w:numFmt w:val="lowerLetter"/>
      <w:start w:val="1"/>
    </w:lvl>
  </w:abstractNum>
  <w:abstractNum w:abstractNumId="284">
    <w:nsid w:val="490B7C5"/>
    <w:multiLevelType w:val="hybridMultilevel"/>
    <w:lvl w:ilvl="0">
      <w:lvlJc w:val="left"/>
      <w:lvlText w:val="(%1)"/>
      <w:numFmt w:val="lowerLetter"/>
      <w:start w:val="2"/>
    </w:lvl>
  </w:abstractNum>
  <w:abstractNum w:abstractNumId="285">
    <w:nsid w:val="4303A216"/>
    <w:multiLevelType w:val="hybridMultilevel"/>
    <w:lvl w:ilvl="0">
      <w:lvlJc w:val="left"/>
      <w:lvlText w:val="(%1)"/>
      <w:numFmt w:val="lowerLetter"/>
      <w:start w:val="8"/>
    </w:lvl>
  </w:abstractNum>
  <w:abstractNum w:abstractNumId="286">
    <w:nsid w:val="19B8A08E"/>
    <w:multiLevelType w:val="hybridMultilevel"/>
    <w:lvl w:ilvl="0">
      <w:lvlJc w:val="left"/>
      <w:lvlText w:val="%1."/>
      <w:numFmt w:val="decimal"/>
      <w:start w:val="1"/>
    </w:lvl>
    <w:lvl w:ilvl="1">
      <w:lvlJc w:val="left"/>
      <w:lvlText w:val="(%2)"/>
      <w:numFmt w:val="lowerLetter"/>
      <w:start w:val="1"/>
    </w:lvl>
  </w:abstractNum>
  <w:abstractNum w:abstractNumId="287">
    <w:nsid w:val="54B59621"/>
    <w:multiLevelType w:val="hybridMultilevel"/>
    <w:lvl w:ilvl="0">
      <w:lvlJc w:val="left"/>
      <w:lvlText w:val="%1."/>
      <w:numFmt w:val="decimal"/>
      <w:start w:val="1"/>
    </w:lvl>
  </w:abstractNum>
  <w:abstractNum w:abstractNumId="288">
    <w:nsid w:val="5992A02E"/>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abstractNum>
  <w:abstractNum w:abstractNumId="289">
    <w:nsid w:val="29EF532D"/>
    <w:multiLevelType w:val="hybridMultilevel"/>
    <w:lvl w:ilvl="0">
      <w:lvlJc w:val="left"/>
      <w:lvlText w:val="%1"/>
      <w:numFmt w:val="lowerRoman"/>
      <w:start w:val="1"/>
    </w:lvl>
    <w:lvl w:ilvl="1">
      <w:lvlJc w:val="left"/>
      <w:lvlText w:val="(%2)"/>
      <w:numFmt w:val="upperLetter"/>
      <w:start w:val="2"/>
    </w:lvl>
  </w:abstractNum>
  <w:abstractNum w:abstractNumId="290">
    <w:nsid w:val="71D601AF"/>
    <w:multiLevelType w:val="hybridMultilevel"/>
    <w:lvl w:ilvl="0">
      <w:lvlJc w:val="left"/>
      <w:lvlText w:val="(%1)"/>
      <w:numFmt w:val="lowerRoman"/>
      <w:start w:val="6"/>
    </w:lvl>
    <w:lvl w:ilvl="1">
      <w:lvlJc w:val="left"/>
      <w:lvlText w:val="%2"/>
      <w:numFmt w:val="upperLetter"/>
      <w:start w:val="1"/>
    </w:lvl>
  </w:abstractNum>
  <w:abstractNum w:abstractNumId="291">
    <w:nsid w:val="52C77402"/>
    <w:multiLevelType w:val="hybridMultilevel"/>
    <w:lvl w:ilvl="0">
      <w:lvlJc w:val="left"/>
      <w:lvlText w:val="%1."/>
      <w:numFmt w:val="decimal"/>
      <w:start w:val="1"/>
    </w:lvl>
  </w:abstractNum>
  <w:abstractNum w:abstractNumId="292">
    <w:nsid w:val="2BB5B1C6"/>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293">
    <w:nsid w:val="66BE6B9"/>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294">
    <w:nsid w:val="62234363"/>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2"/>
    </w:lvl>
  </w:abstractNum>
  <w:abstractNum w:abstractNumId="295">
    <w:nsid w:val="66D385C9"/>
    <w:multiLevelType w:val="hybridMultilevel"/>
    <w:lvl w:ilvl="0">
      <w:lvlJc w:val="left"/>
      <w:lvlText w:val="%1"/>
      <w:numFmt w:val="lowerLetter"/>
      <w:start w:val="1"/>
    </w:lvl>
    <w:lvl w:ilvl="1">
      <w:lvlJc w:val="left"/>
      <w:lvlText w:val="(%2)"/>
      <w:numFmt w:val="lowerLetter"/>
      <w:start w:val="22"/>
    </w:lvl>
  </w:abstractNum>
  <w:abstractNum w:abstractNumId="296">
    <w:nsid w:val="596F6D8A"/>
    <w:multiLevelType w:val="hybridMultilevel"/>
    <w:lvl w:ilvl="0">
      <w:lvlJc w:val="left"/>
      <w:lvlText w:val="(%1)"/>
      <w:numFmt w:val="lowerLetter"/>
      <w:start w:val="2"/>
    </w:lvl>
    <w:lvl w:ilvl="1">
      <w:lvlJc w:val="left"/>
      <w:lvlText w:val="%2"/>
      <w:numFmt w:val="lowerLetter"/>
      <w:start w:val="1"/>
    </w:lvl>
  </w:abstractNum>
  <w:abstractNum w:abstractNumId="297">
    <w:nsid w:val="5749361F"/>
    <w:multiLevelType w:val="hybridMultilevel"/>
    <w:lvl w:ilvl="0">
      <w:lvlJc w:val="left"/>
      <w:lvlText w:val="%1."/>
      <w:numFmt w:val="decimal"/>
      <w:start w:val="4"/>
    </w:lvl>
    <w:lvl w:ilvl="1">
      <w:lvlJc w:val="left"/>
      <w:lvlText w:val="(%2)"/>
      <w:numFmt w:val="lowerLetter"/>
      <w:start w:val="1"/>
    </w:lvl>
  </w:abstractNum>
  <w:abstractNum w:abstractNumId="298">
    <w:nsid w:val="73BC6770"/>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5"/>
    </w:lvl>
    <w:lvl w:ilvl="3">
      <w:lvlJc w:val="left"/>
      <w:lvlText w:val="%4"/>
      <w:numFmt w:val="lowerRoman"/>
      <w:start w:val="1"/>
    </w:lvl>
  </w:abstractNum>
  <w:abstractNum w:abstractNumId="299">
    <w:nsid w:val="280E6897"/>
    <w:multiLevelType w:val="hybridMultilevel"/>
    <w:lvl w:ilvl="0">
      <w:lvlJc w:val="left"/>
      <w:lvlText w:val="(%1)"/>
      <w:numFmt w:val="lowerRoman"/>
      <w:start w:val="8"/>
    </w:lvl>
    <w:lvl w:ilvl="1">
      <w:lvlJc w:val="left"/>
      <w:lvlText w:val="%2."/>
      <w:numFmt w:val="decimal"/>
      <w:start w:val="4"/>
    </w:lvl>
    <w:lvl w:ilvl="2">
      <w:lvlJc w:val="left"/>
      <w:lvlText w:val="(%3)"/>
      <w:numFmt w:val="lowerLetter"/>
      <w:start w:val="7"/>
    </w:lvl>
    <w:lvl w:ilvl="3">
      <w:lvlJc w:val="left"/>
      <w:lvlText w:val="%4"/>
      <w:numFmt w:val="lowerRoman"/>
      <w:start w:val="1"/>
    </w:lvl>
  </w:abstractNum>
  <w:abstractNum w:abstractNumId="300">
    <w:nsid w:val="605138DE"/>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301">
    <w:nsid w:val="2622AD0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302">
    <w:nsid w:val="67997556"/>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03">
    <w:nsid w:val="18333C89"/>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04">
    <w:nsid w:val="4BA9831A"/>
    <w:multiLevelType w:val="hybridMultilevel"/>
    <w:lvl w:ilvl="0">
      <w:lvlJc w:val="left"/>
      <w:lvlText w:val="%1."/>
      <w:numFmt w:val="decimal"/>
      <w:start w:val="10"/>
    </w:lvl>
    <w:lvl w:ilvl="1">
      <w:lvlJc w:val="left"/>
      <w:lvlText w:val="(%2)"/>
      <w:numFmt w:val="lowerLetter"/>
      <w:start w:val="1"/>
    </w:lvl>
  </w:abstractNum>
  <w:abstractNum w:abstractNumId="305">
    <w:nsid w:val="6D71A2B"/>
    <w:multiLevelType w:val="hybridMultilevel"/>
    <w:lvl w:ilvl="0">
      <w:lvlJc w:val="left"/>
      <w:lvlText w:val="(%1)"/>
      <w:numFmt w:val="lowerLetter"/>
      <w:start w:val="5"/>
    </w:lvl>
  </w:abstractNum>
  <w:abstractNum w:abstractNumId="306">
    <w:nsid w:val="CFC7321"/>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abstractNum>
  <w:abstractNum w:abstractNumId="307">
    <w:nsid w:val="1421971B"/>
    <w:multiLevelType w:val="hybridMultilevel"/>
    <w:lvl w:ilvl="0">
      <w:lvlJc w:val="left"/>
      <w:lvlText w:val="%1"/>
      <w:numFmt w:val="lowerRoman"/>
      <w:start w:val="1"/>
    </w:lvl>
    <w:lvl w:ilvl="1">
      <w:lvlJc w:val="left"/>
      <w:lvlText w:val="(%2)"/>
      <w:numFmt w:val="upperLetter"/>
      <w:start w:val="2"/>
    </w:lvl>
  </w:abstractNum>
  <w:abstractNum w:abstractNumId="308">
    <w:nsid w:val="1F404301"/>
    <w:multiLevelType w:val="hybridMultilevel"/>
    <w:lvl w:ilvl="0">
      <w:lvlJc w:val="left"/>
      <w:lvlText w:val="(%1)"/>
      <w:numFmt w:val="lowerRoman"/>
      <w:start w:val="6"/>
    </w:lvl>
    <w:lvl w:ilvl="1">
      <w:lvlJc w:val="left"/>
      <w:lvlText w:val="%2"/>
      <w:numFmt w:val="upperLetter"/>
      <w:start w:val="1"/>
    </w:lvl>
  </w:abstractNum>
  <w:abstractNum w:abstractNumId="309">
    <w:nsid w:val="116E0907"/>
    <w:multiLevelType w:val="hybridMultilevel"/>
    <w:lvl w:ilvl="0">
      <w:lvlJc w:val="left"/>
      <w:lvlText w:val="%1."/>
      <w:numFmt w:val="decimal"/>
      <w:start w:val="1"/>
    </w:lvl>
  </w:abstractNum>
  <w:abstractNum w:abstractNumId="310">
    <w:nsid w:val="4B683D0D"/>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11">
    <w:nsid w:val="76E41D8"/>
    <w:multiLevelType w:val="hybridMultilevel"/>
    <w:lvl w:ilvl="0">
      <w:lvlJc w:val="left"/>
      <w:lvlText w:val="(%1)"/>
      <w:numFmt w:val="lowerLetter"/>
      <w:start w:val="2"/>
    </w:lvl>
    <w:lvl w:ilvl="1">
      <w:lvlJc w:val="left"/>
      <w:lvlText w:val="(%2)"/>
      <w:numFmt w:val="lowerRoman"/>
      <w:start w:val="1"/>
    </w:lvl>
  </w:abstractNum>
  <w:abstractNum w:abstractNumId="312">
    <w:nsid w:val="71DCE0FD"/>
    <w:multiLevelType w:val="hybridMultilevel"/>
    <w:lvl w:ilvl="0">
      <w:lvlJc w:val="left"/>
      <w:lvlText w:val="%1"/>
      <w:numFmt w:val="decimal"/>
      <w:start w:val="1"/>
    </w:lvl>
    <w:lvl w:ilvl="1">
      <w:lvlJc w:val="left"/>
      <w:lvlText w:val="(%2)"/>
      <w:numFmt w:val="lowerRoman"/>
      <w:start w:val="3"/>
    </w:lvl>
  </w:abstractNum>
  <w:abstractNum w:abstractNumId="313">
    <w:nsid w:val="7906328B"/>
    <w:multiLevelType w:val="hybridMultilevel"/>
    <w:lvl w:ilvl="0">
      <w:lvlJc w:val="left"/>
      <w:lvlText w:val="%1."/>
      <w:numFmt w:val="decimal"/>
      <w:start w:val="4"/>
    </w:lvl>
    <w:lvl w:ilvl="1">
      <w:lvlJc w:val="left"/>
      <w:lvlText w:val="%2"/>
      <w:numFmt w:val="lowerRoman"/>
      <w:start w:val="1"/>
    </w:lvl>
  </w:abstractNum>
  <w:abstractNum w:abstractNumId="314">
    <w:nsid w:val="72BBC16"/>
    <w:multiLevelType w:val="hybridMultilevel"/>
    <w:lvl w:ilvl="0">
      <w:lvlJc w:val="left"/>
      <w:lvlText w:val="%1."/>
      <w:numFmt w:val="decimal"/>
      <w:start w:val="5"/>
    </w:lvl>
    <w:lvl w:ilvl="1">
      <w:lvlJc w:val="left"/>
      <w:lvlText w:val="(%2)"/>
      <w:numFmt w:val="lowerLetter"/>
      <w:start w:val="1"/>
    </w:lvl>
  </w:abstractNum>
  <w:abstractNum w:abstractNumId="315">
    <w:nsid w:val="766D98C2"/>
    <w:multiLevelType w:val="hybridMultilevel"/>
    <w:lvl w:ilvl="0">
      <w:lvlJc w:val="left"/>
      <w:lvlText w:val="%1."/>
      <w:numFmt w:val="decimal"/>
      <w:start w:val="8"/>
    </w:lvl>
  </w:abstractNum>
  <w:abstractNum w:abstractNumId="316">
    <w:nsid w:val="3C09D4A1"/>
    <w:multiLevelType w:val="hybridMultilevel"/>
    <w:lvl w:ilvl="0">
      <w:lvlJc w:val="left"/>
      <w:lvlText w:val="%1."/>
      <w:numFmt w:val="decimal"/>
      <w:start w:val="12"/>
    </w:lvl>
  </w:abstractNum>
  <w:abstractNum w:abstractNumId="317">
    <w:nsid w:val="20E45CA4"/>
    <w:multiLevelType w:val="hybridMultilevel"/>
    <w:lvl w:ilvl="0">
      <w:lvlJc w:val="left"/>
      <w:lvlText w:val="%1."/>
      <w:numFmt w:val="decimal"/>
      <w:start w:val="13"/>
    </w:lvl>
    <w:lvl w:ilvl="1">
      <w:lvlJc w:val="left"/>
      <w:lvlText w:val="(%2)"/>
      <w:numFmt w:val="lowerLetter"/>
      <w:start w:val="1"/>
    </w:lvl>
  </w:abstractNum>
  <w:abstractNum w:abstractNumId="318">
    <w:nsid w:val="4B232EE3"/>
    <w:multiLevelType w:val="hybridMultilevel"/>
    <w:lvl w:ilvl="0">
      <w:lvlJc w:val="left"/>
      <w:lvlText w:val="(%1)"/>
      <w:numFmt w:val="lowerLetter"/>
      <w:start w:val="2"/>
    </w:lvl>
  </w:abstractNum>
  <w:abstractNum w:abstractNumId="319">
    <w:nsid w:val="159C74CF"/>
    <w:multiLevelType w:val="hybridMultilevel"/>
    <w:lvl w:ilvl="0">
      <w:lvlJc w:val="left"/>
      <w:lvlText w:val="•"/>
      <w:numFmt w:val="bullet"/>
      <w:start w:val="1"/>
    </w:lvl>
  </w:abstractNum>
  <w:abstractNum w:abstractNumId="320">
    <w:nsid w:val="4AD3AFD2"/>
    <w:multiLevelType w:val="hybridMultilevel"/>
    <w:lvl w:ilvl="0">
      <w:lvlJc w:val="left"/>
      <w:lvlText w:val="(%1)"/>
      <w:numFmt w:val="decimal"/>
      <w:start w:val="1"/>
    </w:lvl>
  </w:abstractNum>
  <w:abstractNum w:abstractNumId="321">
    <w:nsid w:val="3CF93092"/>
    <w:multiLevelType w:val="hybridMultilevel"/>
    <w:lvl w:ilvl="0">
      <w:lvlJc w:val="left"/>
      <w:lvlText w:val="(%1)"/>
      <w:numFmt w:val="lowerLetter"/>
      <w:start w:val="1"/>
    </w:lvl>
    <w:lvl w:ilvl="1">
      <w:lvlJc w:val="left"/>
      <w:lvlText w:val="(%2)"/>
      <w:numFmt w:val="lowerRoman"/>
      <w:start w:val="1"/>
    </w:lvl>
  </w:abstractNum>
  <w:abstractNum w:abstractNumId="322">
    <w:nsid w:val="6863E8D2"/>
    <w:multiLevelType w:val="hybridMultilevel"/>
    <w:lvl w:ilvl="0">
      <w:lvlJc w:val="left"/>
      <w:lvlText w:val="(%1)"/>
      <w:numFmt w:val="lowerLetter"/>
      <w:start w:val="1"/>
    </w:lvl>
  </w:abstractNum>
  <w:abstractNum w:abstractNumId="323">
    <w:nsid w:val="76896198"/>
    <w:multiLevelType w:val="hybridMultilevel"/>
    <w:lvl w:ilvl="0">
      <w:lvlJc w:val="left"/>
      <w:lvlText w:val="%1."/>
      <w:numFmt w:val="decimal"/>
      <w:start w:val="1"/>
    </w:lvl>
  </w:abstractNum>
  <w:abstractNum w:abstractNumId="324">
    <w:nsid w:val="4365174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325">
    <w:nsid w:val="4A872C35"/>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326">
    <w:nsid w:val="5D5CE761"/>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2"/>
    </w:lvl>
  </w:abstractNum>
  <w:abstractNum w:abstractNumId="327">
    <w:nsid w:val="1CD484D5"/>
    <w:multiLevelType w:val="hybridMultilevel"/>
    <w:lvl w:ilvl="0">
      <w:lvlJc w:val="left"/>
      <w:lvlText w:val="%1"/>
      <w:numFmt w:val="lowerLetter"/>
      <w:start w:val="1"/>
    </w:lvl>
    <w:lvl w:ilvl="1">
      <w:lvlJc w:val="left"/>
      <w:lvlText w:val="(%2)"/>
      <w:numFmt w:val="lowerLetter"/>
      <w:start w:val="22"/>
    </w:lvl>
  </w:abstractNum>
  <w:abstractNum w:abstractNumId="328">
    <w:nsid w:val="21D06255"/>
    <w:multiLevelType w:val="hybridMultilevel"/>
    <w:lvl w:ilvl="0">
      <w:lvlJc w:val="left"/>
      <w:lvlText w:val="(%1)"/>
      <w:numFmt w:val="lowerLetter"/>
      <w:start w:val="2"/>
    </w:lvl>
    <w:lvl w:ilvl="1">
      <w:lvlJc w:val="left"/>
      <w:lvlText w:val="%2"/>
      <w:numFmt w:val="lowerLetter"/>
      <w:start w:val="1"/>
    </w:lvl>
  </w:abstractNum>
  <w:abstractNum w:abstractNumId="329">
    <w:nsid w:val="51194ED1"/>
    <w:multiLevelType w:val="hybridMultilevel"/>
    <w:lvl w:ilvl="0">
      <w:lvlJc w:val="left"/>
      <w:lvlText w:val="%1."/>
      <w:numFmt w:val="decimal"/>
      <w:start w:val="4"/>
    </w:lvl>
    <w:lvl w:ilvl="1">
      <w:lvlJc w:val="left"/>
      <w:lvlText w:val="(%2)"/>
      <w:numFmt w:val="lowerLetter"/>
      <w:start w:val="1"/>
    </w:lvl>
  </w:abstractNum>
  <w:abstractNum w:abstractNumId="330">
    <w:nsid w:val="44E2ED6C"/>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5"/>
    </w:lvl>
    <w:lvl w:ilvl="3">
      <w:lvlJc w:val="left"/>
      <w:lvlText w:val="%4"/>
      <w:numFmt w:val="lowerRoman"/>
      <w:start w:val="1"/>
    </w:lvl>
  </w:abstractNum>
  <w:abstractNum w:abstractNumId="331">
    <w:nsid w:val="2219B33"/>
    <w:multiLevelType w:val="hybridMultilevel"/>
    <w:lvl w:ilvl="0">
      <w:lvlJc w:val="left"/>
      <w:lvlText w:val="(%1)"/>
      <w:numFmt w:val="lowerRoman"/>
      <w:start w:val="8"/>
    </w:lvl>
    <w:lvl w:ilvl="1">
      <w:lvlJc w:val="left"/>
      <w:lvlText w:val="%2."/>
      <w:numFmt w:val="decimal"/>
      <w:start w:val="4"/>
    </w:lvl>
    <w:lvl w:ilvl="2">
      <w:lvlJc w:val="left"/>
      <w:lvlText w:val="(%3)"/>
      <w:numFmt w:val="lowerLetter"/>
      <w:start w:val="7"/>
    </w:lvl>
    <w:lvl w:ilvl="3">
      <w:lvlJc w:val="left"/>
      <w:lvlText w:val="%4"/>
      <w:numFmt w:val="lowerRoman"/>
      <w:start w:val="1"/>
    </w:lvl>
  </w:abstractNum>
  <w:abstractNum w:abstractNumId="332">
    <w:nsid w:val="773BFBDD"/>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333">
    <w:nsid w:val="2C7C62C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334">
    <w:nsid w:val="1A54D7B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35">
    <w:nsid w:val="42E57EF7"/>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36">
    <w:nsid w:val="33537CED"/>
    <w:multiLevelType w:val="hybridMultilevel"/>
    <w:lvl w:ilvl="0">
      <w:lvlJc w:val="left"/>
      <w:lvlText w:val="%1."/>
      <w:numFmt w:val="decimal"/>
      <w:start w:val="10"/>
    </w:lvl>
    <w:lvl w:ilvl="1">
      <w:lvlJc w:val="left"/>
      <w:lvlText w:val="(%2)"/>
      <w:numFmt w:val="lowerLetter"/>
      <w:start w:val="1"/>
    </w:lvl>
  </w:abstractNum>
  <w:abstractNum w:abstractNumId="337">
    <w:nsid w:val="27514ADE"/>
    <w:multiLevelType w:val="hybridMultilevel"/>
    <w:lvl w:ilvl="0">
      <w:lvlJc w:val="left"/>
      <w:lvlText w:val="(%1)"/>
      <w:numFmt w:val="lowerLetter"/>
      <w:start w:val="5"/>
    </w:lvl>
  </w:abstractNum>
  <w:abstractNum w:abstractNumId="338">
    <w:nsid w:val="57071613"/>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abstractNum>
  <w:abstractNum w:abstractNumId="339">
    <w:nsid w:val="5293BFEF"/>
    <w:multiLevelType w:val="hybridMultilevel"/>
    <w:lvl w:ilvl="0">
      <w:lvlJc w:val="left"/>
      <w:lvlText w:val="%1"/>
      <w:numFmt w:val="lowerRoman"/>
      <w:start w:val="1"/>
    </w:lvl>
    <w:lvl w:ilvl="1">
      <w:lvlJc w:val="left"/>
      <w:lvlText w:val="(%2)"/>
      <w:numFmt w:val="upperLetter"/>
      <w:start w:val="2"/>
    </w:lvl>
  </w:abstractNum>
  <w:abstractNum w:abstractNumId="340">
    <w:nsid w:val="38BF53E5"/>
    <w:multiLevelType w:val="hybridMultilevel"/>
    <w:lvl w:ilvl="0">
      <w:lvlJc w:val="left"/>
      <w:lvlText w:val="(%1)"/>
      <w:numFmt w:val="lowerRoman"/>
      <w:start w:val="6"/>
    </w:lvl>
    <w:lvl w:ilvl="1">
      <w:lvlJc w:val="left"/>
      <w:lvlText w:val="%2"/>
      <w:numFmt w:val="upperLetter"/>
      <w:start w:val="1"/>
    </w:lvl>
  </w:abstractNum>
  <w:abstractNum w:abstractNumId="341">
    <w:nsid w:val="226F5320"/>
    <w:multiLevelType w:val="hybridMultilevel"/>
    <w:lvl w:ilvl="0">
      <w:lvlJc w:val="left"/>
      <w:lvlText w:val="%1."/>
      <w:numFmt w:val="decimal"/>
      <w:start w:val="1"/>
    </w:lvl>
  </w:abstractNum>
  <w:abstractNum w:abstractNumId="342">
    <w:nsid w:val="5A0201C7"/>
    <w:multiLevelType w:val="hybridMultilevel"/>
    <w:lvl w:ilvl="0">
      <w:lvlJc w:val="left"/>
      <w:lvlText w:val="%1."/>
      <w:numFmt w:val="decimal"/>
      <w:start w:val="2"/>
    </w:lvl>
  </w:abstractNum>
  <w:abstractNum w:abstractNumId="343">
    <w:nsid w:val="2A9C34E2"/>
    <w:multiLevelType w:val="hybridMultilevel"/>
    <w:lvl w:ilvl="0">
      <w:lvlJc w:val="left"/>
      <w:lvlText w:val="%1."/>
      <w:numFmt w:val="decimal"/>
      <w:start w:val="3"/>
    </w:lvl>
  </w:abstractNum>
  <w:abstractNum w:abstractNumId="344">
    <w:nsid w:val="1B7585AB"/>
    <w:multiLevelType w:val="hybridMultilevel"/>
    <w:lvl w:ilvl="0">
      <w:lvlJc w:val="left"/>
      <w:lvlText w:val="%1."/>
      <w:numFmt w:val="decimal"/>
      <w:start w:val="6"/>
    </w:lvl>
    <w:lvl w:ilvl="1">
      <w:lvlJc w:val="left"/>
      <w:lvlText w:val="(%2)"/>
      <w:numFmt w:val="lowerLetter"/>
      <w:start w:val="1"/>
    </w:lvl>
  </w:abstractNum>
  <w:abstractNum w:abstractNumId="345">
    <w:nsid w:val="612DBDDD"/>
    <w:multiLevelType w:val="hybridMultilevel"/>
    <w:lvl w:ilvl="0">
      <w:lvlJc w:val="left"/>
      <w:lvlText w:val="(%1)"/>
      <w:numFmt w:val="lowerLetter"/>
      <w:start w:val="3"/>
    </w:lvl>
  </w:abstractNum>
  <w:abstractNum w:abstractNumId="346">
    <w:nsid w:val="2109CDA4"/>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47">
    <w:nsid w:val="577F5A4D"/>
    <w:multiLevelType w:val="hybridMultilevel"/>
    <w:lvl w:ilvl="0">
      <w:lvlJc w:val="left"/>
      <w:lvlText w:val="%1"/>
      <w:numFmt w:val="lowerLetter"/>
      <w:start w:val="1"/>
    </w:lvl>
    <w:lvl w:ilvl="1">
      <w:lvlJc w:val="left"/>
      <w:lvlText w:val="(%2)"/>
      <w:numFmt w:val="lowerRoman"/>
      <w:start w:val="4"/>
    </w:lvl>
  </w:abstractNum>
  <w:abstractNum w:abstractNumId="348">
    <w:nsid w:val="2121A81"/>
    <w:multiLevelType w:val="hybridMultilevel"/>
    <w:lvl w:ilvl="0">
      <w:lvlJc w:val="left"/>
      <w:lvlText w:val="(%1)"/>
      <w:numFmt w:val="lowerLetter"/>
      <w:start w:val="2"/>
    </w:lvl>
    <w:lvl w:ilvl="1">
      <w:lvlJc w:val="left"/>
      <w:lvlText w:val="%2"/>
      <w:numFmt w:val="lowerRoman"/>
      <w:start w:val="1"/>
    </w:lvl>
  </w:abstractNum>
  <w:abstractNum w:abstractNumId="349">
    <w:nsid w:val="6C2CFC88"/>
    <w:multiLevelType w:val="hybridMultilevel"/>
    <w:lvl w:ilvl="0">
      <w:lvlJc w:val="left"/>
      <w:lvlText w:val="%1"/>
      <w:numFmt w:val="decimal"/>
      <w:start w:val="1"/>
    </w:lvl>
    <w:lvl w:ilvl="1">
      <w:lvlJc w:val="left"/>
      <w:lvlText w:val="(%2)"/>
      <w:numFmt w:val="lowerLetter"/>
      <w:start w:val="3"/>
    </w:lvl>
  </w:abstractNum>
  <w:abstractNum w:abstractNumId="350">
    <w:nsid w:val="6D1BCF1C"/>
    <w:multiLevelType w:val="hybridMultilevel"/>
    <w:lvl w:ilvl="0">
      <w:lvlJc w:val="left"/>
      <w:lvlText w:val="%1."/>
      <w:numFmt w:val="decimal"/>
      <w:start w:val="8"/>
    </w:lvl>
    <w:lvl w:ilvl="1">
      <w:lvlJc w:val="left"/>
      <w:lvlText w:val="(%2)"/>
      <w:numFmt w:val="lowerLetter"/>
      <w:start w:val="1"/>
    </w:lvl>
  </w:abstractNum>
  <w:abstractNum w:abstractNumId="351">
    <w:nsid w:val="4CE5CA53"/>
    <w:multiLevelType w:val="hybridMultilevel"/>
    <w:lvl w:ilvl="0">
      <w:lvlJc w:val="left"/>
      <w:lvlText w:val="%1"/>
      <w:numFmt w:val="decimal"/>
      <w:start w:val="1"/>
    </w:lvl>
    <w:lvl w:ilvl="1">
      <w:lvlJc w:val="left"/>
      <w:lvlText w:val="(%2)"/>
      <w:numFmt w:val="lowerLetter"/>
      <w:start w:val="4"/>
    </w:lvl>
  </w:abstractNum>
  <w:abstractNum w:abstractNumId="352">
    <w:nsid w:val="29262D1A"/>
    <w:multiLevelType w:val="hybridMultilevel"/>
    <w:lvl w:ilvl="0">
      <w:lvlJc w:val="left"/>
      <w:lvlText w:val="%1."/>
      <w:numFmt w:val="decimal"/>
      <w:start w:val="9"/>
    </w:lvl>
    <w:lvl w:ilvl="1">
      <w:lvlJc w:val="left"/>
      <w:lvlText w:val="%2"/>
      <w:numFmt w:val="lowerLetter"/>
      <w:start w:val="1"/>
    </w:lvl>
  </w:abstractNum>
  <w:abstractNum w:abstractNumId="353">
    <w:nsid w:val="557FB7EE"/>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354">
    <w:nsid w:val="436F2BE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355">
    <w:nsid w:val="6C8B4466"/>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56">
    <w:nsid w:val="2006E424"/>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357">
    <w:nsid w:val="20CC134C"/>
    <w:multiLevelType w:val="hybridMultilevel"/>
    <w:lvl w:ilvl="0">
      <w:lvlJc w:val="left"/>
      <w:lvlText w:val="%1."/>
      <w:numFmt w:val="decimal"/>
      <w:start w:val="17"/>
    </w:lvl>
  </w:abstractNum>
  <w:abstractNum w:abstractNumId="358">
    <w:nsid w:val="95FC93B"/>
    <w:multiLevelType w:val="hybridMultilevel"/>
    <w:lvl w:ilvl="0">
      <w:lvlJc w:val="left"/>
      <w:lvlText w:val="%1"/>
      <w:numFmt w:val="lowerLetter"/>
      <w:start w:val="1"/>
    </w:lvl>
    <w:lvl w:ilvl="1">
      <w:lvlJc w:val="left"/>
      <w:lvlText w:val="%2."/>
      <w:numFmt w:val="decimal"/>
      <w:start w:val="18"/>
    </w:lvl>
    <w:lvl w:ilvl="2">
      <w:lvlJc w:val="left"/>
      <w:lvlText w:val="(%3)"/>
      <w:numFmt w:val="lowerLetter"/>
      <w:start w:val="1"/>
    </w:lvl>
  </w:abstractNum>
  <w:abstractNum w:abstractNumId="359">
    <w:nsid w:val="41D74679"/>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360">
    <w:nsid w:val="71E5621E"/>
    <w:multiLevelType w:val="hybridMultilevel"/>
    <w:lvl w:ilvl="0">
      <w:lvlJc w:val="left"/>
      <w:lvlText w:val="%1"/>
      <w:numFmt w:val="decimal"/>
      <w:start w:val="1"/>
    </w:lvl>
    <w:lvl w:ilvl="1">
      <w:lvlJc w:val="left"/>
      <w:lvlText w:val="(%2)"/>
      <w:numFmt w:val="lowerLetter"/>
      <w:start w:val="2"/>
    </w:lvl>
  </w:abstractNum>
  <w:abstractNum w:abstractNumId="361">
    <w:nsid w:val="4E42B6A8"/>
    <w:multiLevelType w:val="hybridMultilevel"/>
    <w:lvl w:ilvl="0">
      <w:lvlJc w:val="left"/>
      <w:lvlText w:val="%1."/>
      <w:numFmt w:val="decimal"/>
      <w:start w:val="19"/>
    </w:lvl>
    <w:lvl w:ilvl="1">
      <w:lvlJc w:val="left"/>
      <w:lvlText w:val="(%2)"/>
      <w:numFmt w:val="lowerLetter"/>
      <w:start w:val="1"/>
    </w:lvl>
  </w:abstractNum>
  <w:abstractNum w:abstractNumId="362">
    <w:nsid w:val="43F8E1AC"/>
    <w:multiLevelType w:val="hybridMultilevel"/>
    <w:lvl w:ilvl="0">
      <w:lvlJc w:val="left"/>
      <w:lvlText w:val="(%1)"/>
      <w:numFmt w:val="lowerLetter"/>
      <w:start w:val="5"/>
    </w:lvl>
  </w:abstractNum>
  <w:abstractNum w:abstractNumId="363">
    <w:nsid w:val="69215DFB"/>
    <w:multiLevelType w:val="hybridMultilevel"/>
    <w:lvl w:ilvl="0">
      <w:lvlJc w:val="left"/>
      <w:lvlText w:val="%1"/>
      <w:numFmt w:val="decimal"/>
      <w:start w:val="1"/>
    </w:lvl>
    <w:lvl w:ilvl="1">
      <w:lvlJc w:val="left"/>
      <w:lvlText w:val="(%2)"/>
      <w:numFmt w:val="lowerRoman"/>
      <w:start w:val="1"/>
    </w:lvl>
  </w:abstractNum>
  <w:abstractNum w:abstractNumId="364">
    <w:nsid w:val="7ABF196A"/>
    <w:multiLevelType w:val="hybridMultilevel"/>
    <w:lvl w:ilvl="0">
      <w:lvlJc w:val="left"/>
      <w:lvlText w:val="%1."/>
      <w:numFmt w:val="decimal"/>
      <w:start w:val="20"/>
    </w:lvl>
    <w:lvl w:ilvl="1">
      <w:lvlJc w:val="left"/>
      <w:lvlText w:val="%2"/>
      <w:numFmt w:val="lowerRoman"/>
      <w:start w:val="1"/>
    </w:lvl>
  </w:abstractNum>
  <w:abstractNum w:abstractNumId="365">
    <w:nsid w:val="5E4DB968"/>
    <w:multiLevelType w:val="hybridMultilevel"/>
    <w:lvl w:ilvl="0">
      <w:lvlJc w:val="left"/>
      <w:lvlText w:val="•"/>
      <w:numFmt w:val="bullet"/>
      <w:start w:val="1"/>
    </w:lvl>
  </w:abstractNum>
  <w:abstractNum w:abstractNumId="366">
    <w:nsid w:val="2C06DCF3"/>
    <w:multiLevelType w:val="hybridMultilevel"/>
    <w:lvl w:ilvl="0">
      <w:lvlJc w:val="left"/>
      <w:lvlText w:val="•"/>
      <w:numFmt w:val="bullet"/>
      <w:start w:val="1"/>
    </w:lvl>
  </w:abstractNum>
  <w:abstractNum w:abstractNumId="367">
    <w:nsid w:val="2E129658"/>
    <w:multiLevelType w:val="hybridMultilevel"/>
    <w:lvl w:ilvl="0">
      <w:lvlJc w:val="left"/>
      <w:lvlText w:val="(%1)"/>
      <w:numFmt w:val="decimal"/>
      <w:start w:val="2"/>
    </w:lvl>
  </w:abstractNum>
  <w:abstractNum w:abstractNumId="368">
    <w:nsid w:val="59F0446"/>
    <w:multiLevelType w:val="hybridMultilevel"/>
    <w:lvl w:ilvl="0">
      <w:lvlJc w:val="left"/>
      <w:lvlText w:val="%1)"/>
      <w:numFmt w:val="lowerLetter"/>
      <w:start w:val="1"/>
    </w:lvl>
    <w:lvl w:ilvl="1">
      <w:lvlJc w:val="left"/>
      <w:lvlText w:val="%2."/>
      <w:numFmt w:val="lowerRoman"/>
      <w:start w:val="1"/>
    </w:lvl>
  </w:abstractNum>
  <w:abstractNum w:abstractNumId="369">
    <w:nsid w:val="30DF306"/>
    <w:multiLevelType w:val="hybridMultilevel"/>
    <w:lvl w:ilvl="0">
      <w:lvlJc w:val="left"/>
      <w:lvlText w:val="(%1)"/>
      <w:numFmt w:val="lowerRoman"/>
      <w:start w:val="1"/>
    </w:lvl>
  </w:abstractNum>
  <w:abstractNum w:abstractNumId="370">
    <w:nsid w:val="A65647"/>
    <w:multiLevelType w:val="hybridMultilevel"/>
    <w:lvl w:ilvl="0">
      <w:lvlJc w:val="left"/>
      <w:lvlText w:val="(%1)"/>
      <w:numFmt w:val="lowerRoman"/>
      <w:start w:val="3"/>
    </w:lvl>
  </w:abstractNum>
  <w:abstractNum w:abstractNumId="371">
    <w:nsid w:val="3E5E582B"/>
    <w:multiLevelType w:val="hybridMultilevel"/>
    <w:lvl w:ilvl="0">
      <w:lvlJc w:val="left"/>
      <w:lvlText w:val="(%1)"/>
      <w:numFmt w:val="lowerLetter"/>
      <w:start w:val="1"/>
    </w:lvl>
    <w:lvl w:ilvl="1">
      <w:lvlJc w:val="left"/>
      <w:lvlText w:val="(%2)"/>
      <w:numFmt w:val="lowerRoman"/>
      <w:start w:val="1"/>
    </w:lvl>
  </w:abstractNum>
  <w:abstractNum w:abstractNumId="372">
    <w:nsid w:val="257D4626"/>
    <w:multiLevelType w:val="hybridMultilevel"/>
    <w:lvl w:ilvl="0">
      <w:lvlJc w:val="left"/>
      <w:lvlText w:val="%1"/>
      <w:numFmt w:val="lowerLetter"/>
      <w:start w:val="1"/>
    </w:lvl>
    <w:lvl w:ilvl="1">
      <w:lvlJc w:val="left"/>
      <w:lvlText w:val="(%2)"/>
      <w:numFmt w:val="lowerRoman"/>
      <w:start w:val="3"/>
    </w:lvl>
  </w:abstractNum>
  <w:abstractNum w:abstractNumId="373">
    <w:nsid w:val="5AA8580E"/>
    <w:multiLevelType w:val="hybridMultilevel"/>
    <w:lvl w:ilvl="0">
      <w:lvlJc w:val="left"/>
      <w:lvlText w:val="(%1)"/>
      <w:numFmt w:val="lowerLetter"/>
      <w:start w:val="7"/>
    </w:lvl>
    <w:lvl w:ilvl="1">
      <w:lvlJc w:val="left"/>
      <w:lvlText w:val="%2"/>
      <w:numFmt w:val="lowerRoman"/>
      <w:start w:val="1"/>
    </w:lvl>
  </w:abstractNum>
  <w:abstractNum w:abstractNumId="374">
    <w:nsid w:val="68FA8D0D"/>
    <w:multiLevelType w:val="hybridMultilevel"/>
    <w:lvl w:ilvl="0">
      <w:lvlJc w:val="left"/>
      <w:lvlText w:val="•"/>
      <w:numFmt w:val="bullet"/>
      <w:start w:val="1"/>
    </w:lvl>
  </w:abstractNum>
  <w:abstractNum w:abstractNumId="375">
    <w:nsid w:val="40F2CBD2"/>
    <w:multiLevelType w:val="hybridMultilevel"/>
    <w:lvl w:ilvl="0">
      <w:lvlJc w:val="left"/>
      <w:lvlText w:val="%1."/>
      <w:numFmt w:val="decimal"/>
      <w:start w:val="1"/>
    </w:lvl>
  </w:abstractNum>
  <w:abstractNum w:abstractNumId="376">
    <w:nsid w:val="3BD615EB"/>
    <w:multiLevelType w:val="hybridMultilevel"/>
    <w:lvl w:ilvl="0">
      <w:lvlJc w:val="left"/>
      <w:lvlText w:val="(%1)"/>
      <w:numFmt w:val="lowerLetter"/>
      <w:start w:val="1"/>
    </w:lvl>
    <w:lvl w:ilvl="1">
      <w:lvlJc w:val="left"/>
      <w:lvlText w:val="(%2)"/>
      <w:numFmt w:val="lowerRoman"/>
      <w:start w:val="1"/>
    </w:lvl>
  </w:abstractNum>
  <w:abstractNum w:abstractNumId="377">
    <w:nsid w:val="A045AB2"/>
    <w:multiLevelType w:val="hybridMultilevel"/>
    <w:lvl w:ilvl="0">
      <w:lvlJc w:val="left"/>
      <w:lvlText w:val="%1"/>
      <w:numFmt w:val="decimal"/>
      <w:start w:val="1"/>
    </w:lvl>
    <w:lvl w:ilvl="1">
      <w:lvlJc w:val="left"/>
      <w:lvlText w:val="(%2)"/>
      <w:numFmt w:val="lowerLetter"/>
      <w:start w:val="2"/>
    </w:lvl>
  </w:abstractNum>
  <w:abstractNum w:abstractNumId="378">
    <w:nsid w:val="1872261F"/>
    <w:multiLevelType w:val="hybridMultilevel"/>
    <w:lvl w:ilvl="0">
      <w:lvlJc w:val="left"/>
      <w:lvlText w:val="(%1)"/>
      <w:numFmt w:val="decimal"/>
      <w:start w:val="1"/>
    </w:lvl>
    <w:lvl w:ilvl="1">
      <w:lvlJc w:val="left"/>
      <w:lvlText w:val="%2"/>
      <w:numFmt w:val="lowerLetter"/>
      <w:start w:val="1"/>
    </w:lvl>
  </w:abstractNum>
  <w:abstractNum w:abstractNumId="379">
    <w:nsid w:val="3DE8306C"/>
    <w:multiLevelType w:val="hybridMultilevel"/>
    <w:lvl w:ilvl="0">
      <w:lvlJc w:val="left"/>
      <w:lvlText w:val="%1"/>
      <w:numFmt w:val="upperLetter"/>
      <w:start w:val="1"/>
    </w:lvl>
    <w:lvl w:ilvl="1">
      <w:lvlJc w:val="left"/>
      <w:lvlText w:val="(%2)"/>
      <w:numFmt w:val="lowerRoman"/>
      <w:start w:val="1"/>
    </w:lvl>
  </w:abstractNum>
  <w:abstractNum w:abstractNumId="380">
    <w:nsid w:val="7631573A"/>
    <w:multiLevelType w:val="hybridMultilevel"/>
    <w:lvl w:ilvl="0">
      <w:lvlJc w:val="left"/>
      <w:lvlText w:val="(%1)"/>
      <w:numFmt w:val="upperLetter"/>
      <w:start w:val="1"/>
    </w:lvl>
    <w:lvl w:ilvl="1">
      <w:lvlJc w:val="left"/>
      <w:lvlText w:val="(%2)"/>
      <w:numFmt w:val="lowerRoman"/>
      <w:start w:val="2"/>
    </w:lvl>
  </w:abstractNum>
  <w:abstractNum w:abstractNumId="381">
    <w:nsid w:val="58DF53B"/>
    <w:multiLevelType w:val="hybridMultilevel"/>
    <w:lvl w:ilvl="0">
      <w:lvlJc w:val="left"/>
      <w:lvlText w:val="%1"/>
      <w:numFmt w:val="lowerLetter"/>
      <w:start w:val="1"/>
    </w:lvl>
    <w:lvl w:ilvl="1">
      <w:lvlJc w:val="left"/>
      <w:lvlText w:val="(%2)"/>
      <w:numFmt w:val="lowerLetter"/>
      <w:start w:val="22"/>
    </w:lvl>
  </w:abstractNum>
  <w:abstractNum w:abstractNumId="382">
    <w:nsid w:val="ACDFAC0"/>
    <w:multiLevelType w:val="hybridMultilevel"/>
    <w:lvl w:ilvl="0">
      <w:lvlJc w:val="left"/>
      <w:lvlText w:val="(%1)"/>
      <w:numFmt w:val="lowerLetter"/>
      <w:start w:val="3"/>
    </w:lvl>
    <w:lvl w:ilvl="1">
      <w:lvlJc w:val="left"/>
      <w:lvlText w:val="%2"/>
      <w:numFmt w:val="lowerLetter"/>
      <w:start w:val="1"/>
    </w:lvl>
  </w:abstractNum>
  <w:abstractNum w:abstractNumId="383">
    <w:nsid w:val="1F578454"/>
    <w:multiLevelType w:val="hybridMultilevel"/>
    <w:lvl w:ilvl="0">
      <w:lvlJc w:val="left"/>
      <w:lvlText w:val="%1"/>
      <w:numFmt w:val="decimal"/>
      <w:start w:val="1"/>
    </w:lvl>
    <w:lvl w:ilvl="1">
      <w:lvlJc w:val="left"/>
      <w:lvlText w:val="(%2)"/>
      <w:numFmt w:val="lowerLetter"/>
      <w:start w:val="6"/>
    </w:lvl>
  </w:abstractNum>
  <w:abstractNum w:abstractNumId="384">
    <w:nsid w:val="5B0DAD2A"/>
    <w:multiLevelType w:val="hybridMultilevel"/>
    <w:lvl w:ilvl="0">
      <w:lvlJc w:val="left"/>
      <w:lvlText w:val="%1."/>
      <w:numFmt w:val="decimal"/>
      <w:start w:val="4"/>
    </w:lvl>
    <w:lvl w:ilvl="1">
      <w:lvlJc w:val="left"/>
      <w:lvlText w:val="%2"/>
      <w:numFmt w:val="lowerLetter"/>
      <w:start w:val="1"/>
    </w:lvl>
  </w:abstractNum>
  <w:abstractNum w:abstractNumId="385">
    <w:nsid w:val="4E3D26AB"/>
    <w:multiLevelType w:val="hybridMultilevel"/>
    <w:lvl w:ilvl="0">
      <w:lvlJc w:val="left"/>
      <w:lvlText w:val="%1"/>
      <w:numFmt w:val="lowerRoman"/>
      <w:start w:val="1"/>
    </w:lvl>
    <w:lvl w:ilvl="1">
      <w:lvlJc w:val="left"/>
      <w:lvlText w:val="%2."/>
      <w:numFmt w:val="decimal"/>
      <w:start w:val="5"/>
    </w:lvl>
    <w:lvl w:ilvl="2">
      <w:lvlJc w:val="left"/>
      <w:lvlText w:val="(%3)"/>
      <w:numFmt w:val="lowerLetter"/>
      <w:start w:val="1"/>
    </w:lvl>
  </w:abstractNum>
  <w:abstractNum w:abstractNumId="386">
    <w:nsid w:val="BE2C8BA"/>
    <w:multiLevelType w:val="hybridMultilevel"/>
    <w:lvl w:ilvl="0">
      <w:lvlJc w:val="left"/>
      <w:lvlText w:val="(%1)"/>
      <w:numFmt w:val="lowerRoman"/>
      <w:start w:val="8"/>
    </w:lvl>
    <w:lvl w:ilvl="1">
      <w:lvlJc w:val="left"/>
      <w:lvlText w:val="%2"/>
      <w:numFmt w:val="decimal"/>
      <w:start w:val="1"/>
    </w:lvl>
    <w:lvl w:ilvl="2">
      <w:lvlJc w:val="left"/>
      <w:lvlText w:val="%3"/>
      <w:numFmt w:val="lowerLetter"/>
      <w:start w:val="1"/>
    </w:lvl>
  </w:abstractNum>
  <w:abstractNum w:abstractNumId="387">
    <w:nsid w:val="7B14914E"/>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388">
    <w:nsid w:val="6F0939F8"/>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89">
    <w:nsid w:val="154291F6"/>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abstractNum>
  <w:abstractNum w:abstractNumId="390">
    <w:nsid w:val="3CEBD7C7"/>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abstractNum>
  <w:abstractNum w:abstractNumId="391">
    <w:nsid w:val="60EE9C16"/>
    <w:multiLevelType w:val="hybridMultilevel"/>
    <w:lvl w:ilvl="0">
      <w:lvlJc w:val="left"/>
      <w:lvlText w:val="(%1)"/>
      <w:numFmt w:val="decimal"/>
      <w:start w:val="30"/>
    </w:lvl>
    <w:lvl w:ilvl="1">
      <w:lvlJc w:val="left"/>
      <w:lvlText w:val="%2"/>
      <w:numFmt w:val="decimal"/>
      <w:start w:val="1"/>
    </w:lvl>
    <w:lvl w:ilvl="2">
      <w:lvlJc w:val="left"/>
      <w:lvlText w:val="%3"/>
      <w:numFmt w:val="lowerLetter"/>
      <w:start w:val="1"/>
    </w:lvl>
  </w:abstractNum>
  <w:abstractNum w:abstractNumId="392">
    <w:nsid w:val="6385489E"/>
    <w:multiLevelType w:val="hybridMultilevel"/>
    <w:lvl w:ilvl="0">
      <w:lvlJc w:val="left"/>
      <w:lvlText w:val="%1."/>
      <w:numFmt w:val="decimal"/>
      <w:start w:val="9"/>
    </w:lvl>
  </w:abstractNum>
  <w:abstractNum w:abstractNumId="393">
    <w:nsid w:val="E4B973"/>
    <w:multiLevelType w:val="hybridMultilevel"/>
    <w:lvl w:ilvl="0">
      <w:lvlJc w:val="left"/>
      <w:lvlText w:val="%1."/>
      <w:numFmt w:val="decimal"/>
      <w:start w:val="13"/>
    </w:lvl>
    <w:lvl w:ilvl="1">
      <w:lvlJc w:val="left"/>
      <w:lvlText w:val="(%2)"/>
      <w:numFmt w:val="lowerLetter"/>
      <w:start w:val="1"/>
    </w:lvl>
  </w:abstractNum>
  <w:abstractNum w:abstractNumId="394">
    <w:nsid w:val="4A0FFA11"/>
    <w:multiLevelType w:val="hybridMultilevel"/>
    <w:lvl w:ilvl="0">
      <w:lvlJc w:val="left"/>
      <w:lvlText w:val="(%1)"/>
      <w:numFmt w:val="lowerLetter"/>
      <w:start w:val="5"/>
    </w:lvl>
  </w:abstractNum>
  <w:abstractNum w:abstractNumId="395">
    <w:nsid w:val="5E446208"/>
    <w:multiLevelType w:val="hybridMultilevel"/>
    <w:lvl w:ilvl="0">
      <w:lvlJc w:val="left"/>
      <w:lvlText w:val="%1."/>
      <w:numFmt w:val="decimal"/>
      <w:start w:val="1"/>
    </w:lvl>
  </w:abstractNum>
  <w:abstractNum w:abstractNumId="396">
    <w:nsid w:val="5F3272DB"/>
    <w:multiLevelType w:val="hybridMultilevel"/>
    <w:lvl w:ilvl="0">
      <w:lvlJc w:val="left"/>
      <w:lvlText w:val="%1."/>
      <w:numFmt w:val="decimal"/>
      <w:start w:val="4"/>
    </w:lvl>
  </w:abstractNum>
  <w:abstractNum w:abstractNumId="397">
    <w:nsid w:val="7616D704"/>
    <w:multiLevelType w:val="hybridMultilevel"/>
    <w:lvl w:ilvl="0">
      <w:lvlJc w:val="left"/>
      <w:lvlText w:val="%1."/>
      <w:numFmt w:val="decimal"/>
      <w:start w:val="1"/>
    </w:lvl>
  </w:abstractNum>
  <w:abstractNum w:abstractNumId="398">
    <w:nsid w:val="C56F860"/>
    <w:multiLevelType w:val="hybridMultilevel"/>
    <w:lvl w:ilvl="0">
      <w:lvlJc w:val="left"/>
      <w:lvlText w:val="%1."/>
      <w:numFmt w:val="decimal"/>
      <w:start w:val="3"/>
    </w:lvl>
  </w:abstractNum>
  <w:abstractNum w:abstractNumId="399">
    <w:nsid w:val="64D17722"/>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abstractNum>
  <w:abstractNum w:abstractNumId="400">
    <w:nsid w:val="7924CA0A"/>
    <w:multiLevelType w:val="hybridMultilevel"/>
    <w:lvl w:ilvl="0">
      <w:lvlJc w:val="left"/>
      <w:lvlText w:val="%1"/>
      <w:numFmt w:val="lowerRoman"/>
      <w:start w:val="1"/>
    </w:lvl>
    <w:lvl w:ilvl="1">
      <w:lvlJc w:val="left"/>
      <w:lvlText w:val="(%2)"/>
      <w:numFmt w:val="upperLetter"/>
      <w:start w:val="2"/>
    </w:lvl>
  </w:abstractNum>
  <w:abstractNum w:abstractNumId="401">
    <w:nsid w:val="CFD4EA7"/>
    <w:multiLevelType w:val="hybridMultilevel"/>
    <w:lvl w:ilvl="0">
      <w:lvlJc w:val="left"/>
      <w:lvlText w:val="(%1)"/>
      <w:numFmt w:val="lowerRoman"/>
      <w:start w:val="6"/>
    </w:lvl>
    <w:lvl w:ilvl="1">
      <w:lvlJc w:val="left"/>
      <w:lvlText w:val="%2"/>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2020-08-31T00:17:33Z</dcterms:created>
  <dcterms:modified xsi:type="dcterms:W3CDTF">2020-08-31T00:17:33Z</dcterms:modified>
</cp:coreProperties>
</file>