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408940</wp:posOffset>
            </wp:positionH>
            <wp:positionV relativeFrom="page">
              <wp:posOffset>837565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6"/>
          <w:szCs w:val="26"/>
          <w:b w:val="1"/>
          <w:bCs w:val="1"/>
          <w:color w:val="auto"/>
        </w:rPr>
        <w:t>UNITED STATES</w:t>
      </w:r>
    </w:p>
    <w:p>
      <w:pPr>
        <w:jc w:val="center"/>
        <w:spacing w:after="0" w:line="220" w:lineRule="auto"/>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line="227" w:lineRule="auto"/>
        <w:rPr>
          <w:sz w:val="20"/>
          <w:szCs w:val="20"/>
          <w:color w:val="auto"/>
        </w:rPr>
      </w:pPr>
      <w:r>
        <w:rPr>
          <w:rFonts w:ascii="Times New Roman" w:cs="Times New Roman" w:eastAsia="Times New Roman" w:hAnsi="Times New Roman"/>
          <w:sz w:val="19"/>
          <w:szCs w:val="19"/>
          <w:b w:val="1"/>
          <w:bCs w:val="1"/>
          <w:color w:val="auto"/>
        </w:rPr>
        <w:t>Washington, D.C. 20549</w:t>
      </w:r>
    </w:p>
    <w:p>
      <w:pPr>
        <w:ind w:left="3260"/>
        <w:spacing w:after="0" w:line="211" w:lineRule="auto"/>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jc w:val="center"/>
        <w:spacing w:after="0" w:line="227" w:lineRule="auto"/>
        <w:rPr>
          <w:sz w:val="20"/>
          <w:szCs w:val="20"/>
          <w:color w:val="auto"/>
        </w:rPr>
      </w:pPr>
      <w:r>
        <w:rPr>
          <w:rFonts w:ascii="Times New Roman" w:cs="Times New Roman" w:eastAsia="Times New Roman" w:hAnsi="Times New Roman"/>
          <w:sz w:val="26"/>
          <w:szCs w:val="26"/>
          <w:b w:val="1"/>
          <w:bCs w:val="1"/>
          <w:color w:val="auto"/>
        </w:rPr>
        <w:t>FORM 10-Q</w:t>
      </w:r>
    </w:p>
    <w:p>
      <w:pPr>
        <w:ind w:left="3260"/>
        <w:spacing w:after="0" w:line="210" w:lineRule="auto"/>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spacing w:after="0" w:line="234" w:lineRule="auto"/>
        <w:rPr>
          <w:sz w:val="20"/>
          <w:szCs w:val="20"/>
          <w:color w:val="auto"/>
        </w:rPr>
      </w:pPr>
      <w:r>
        <w:rPr>
          <w:rFonts w:ascii="Times New Roman" w:cs="Times New Roman" w:eastAsia="Times New Roman" w:hAnsi="Times New Roman"/>
          <w:sz w:val="18"/>
          <w:szCs w:val="18"/>
          <w:b w:val="1"/>
          <w:bCs w:val="1"/>
          <w:color w:val="auto"/>
        </w:rPr>
        <w:t>(Mark One)</w:t>
      </w:r>
    </w:p>
    <w:p>
      <w:pPr>
        <w:spacing w:after="0" w:line="1" w:lineRule="exact"/>
        <w:rPr>
          <w:sz w:val="24"/>
          <w:szCs w:val="24"/>
          <w:color w:val="auto"/>
        </w:rPr>
      </w:pPr>
    </w:p>
    <w:p>
      <w:pPr>
        <w:ind w:left="820" w:right="980" w:hanging="478"/>
        <w:spacing w:after="0" w:line="213" w:lineRule="auto"/>
        <w:tabs>
          <w:tab w:leader="none" w:pos="82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30, 2026</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2" w:lineRule="exact"/>
        <w:rPr>
          <w:sz w:val="24"/>
          <w:szCs w:val="24"/>
          <w:color w:val="auto"/>
        </w:rPr>
      </w:pPr>
    </w:p>
    <w:p>
      <w:pPr>
        <w:ind w:left="820" w:right="2240" w:hanging="478"/>
        <w:spacing w:after="0" w:line="231" w:lineRule="auto"/>
        <w:tabs>
          <w:tab w:leader="none" w:pos="8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001-39495</w:t>
      </w:r>
    </w:p>
    <w:p>
      <w:pPr>
        <w:ind w:left="3260"/>
        <w:spacing w:after="0" w:line="188" w:lineRule="auto"/>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jc w:val="center"/>
        <w:spacing w:after="0" w:line="227" w:lineRule="auto"/>
        <w:rPr>
          <w:sz w:val="20"/>
          <w:szCs w:val="20"/>
          <w:color w:val="auto"/>
        </w:rPr>
      </w:pPr>
      <w:r>
        <w:rPr>
          <w:rFonts w:ascii="Times New Roman" w:cs="Times New Roman" w:eastAsia="Times New Roman" w:hAnsi="Times New Roman"/>
          <w:sz w:val="37"/>
          <w:szCs w:val="37"/>
          <w:b w:val="1"/>
          <w:bCs w:val="1"/>
          <w:color w:val="auto"/>
        </w:rPr>
        <w:t>Asana, Inc.</w:t>
      </w:r>
    </w:p>
    <w:p>
      <w:pPr>
        <w:jc w:val="center"/>
        <w:spacing w:after="0" w:line="219" w:lineRule="auto"/>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ind w:left="32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sectPr>
          <w:pgSz w:w="11900" w:h="16838" w:orient="portrait"/>
          <w:cols w:equalWidth="0" w:num="1">
            <w:col w:w="11240"/>
          </w:cols>
          <w:pgMar w:left="320" w:top="1440" w:right="339" w:bottom="1440" w:gutter="0" w:footer="0" w:header="0"/>
        </w:sectPr>
      </w:pPr>
    </w:p>
    <w:p>
      <w:pPr>
        <w:spacing w:after="0" w:line="7"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26-3912448</w:t>
      </w:r>
    </w:p>
    <w:p>
      <w:pPr>
        <w:spacing w:after="0" w:line="15" w:lineRule="exact"/>
        <w:rPr>
          <w:sz w:val="24"/>
          <w:szCs w:val="24"/>
          <w:color w:val="auto"/>
        </w:rPr>
      </w:pPr>
    </w:p>
    <w:p>
      <w:pPr>
        <w:sectPr>
          <w:pgSz w:w="11900" w:h="16838" w:orient="portrait"/>
          <w:cols w:equalWidth="0" w:num="2">
            <w:col w:w="7640" w:space="720"/>
            <w:col w:w="2880"/>
          </w:cols>
          <w:pgMar w:left="320" w:top="1440" w:right="339" w:bottom="1440" w:gutter="0" w:footer="0" w:header="0"/>
          <w:type w:val="continuous"/>
        </w:sectPr>
      </w:pPr>
    </w:p>
    <w:p>
      <w:pPr>
        <w:ind w:left="14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7040" w:space="720"/>
            <w:col w:w="3480"/>
          </w:cols>
          <w:pgMar w:left="320" w:top="1440" w:right="339" w:bottom="1440" w:gutter="0" w:footer="0" w:header="0"/>
          <w:type w:val="continuous"/>
        </w:sectPr>
      </w:pP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633 Folsom Street, Suite 100</w:t>
      </w:r>
    </w:p>
    <w:p>
      <w:pPr>
        <w:jc w:val="center"/>
        <w:spacing w:after="0" w:line="206" w:lineRule="auto"/>
        <w:rPr>
          <w:sz w:val="20"/>
          <w:szCs w:val="20"/>
          <w:color w:val="auto"/>
        </w:rPr>
      </w:pPr>
      <w:r>
        <w:rPr>
          <w:rFonts w:ascii="Times New Roman" w:cs="Times New Roman" w:eastAsia="Times New Roman" w:hAnsi="Times New Roman"/>
          <w:sz w:val="18"/>
          <w:szCs w:val="18"/>
          <w:b w:val="1"/>
          <w:bCs w:val="1"/>
          <w:color w:val="auto"/>
        </w:rPr>
        <w:t>San Francisco, California 94107</w:t>
      </w:r>
    </w:p>
    <w:p>
      <w:pPr>
        <w:jc w:val="center"/>
        <w:spacing w:after="0" w:line="209" w:lineRule="auto"/>
        <w:rPr>
          <w:sz w:val="20"/>
          <w:szCs w:val="20"/>
          <w:color w:val="auto"/>
        </w:rPr>
      </w:pPr>
      <w:r>
        <w:rPr>
          <w:rFonts w:ascii="Times New Roman" w:cs="Times New Roman" w:eastAsia="Times New Roman" w:hAnsi="Times New Roman"/>
          <w:sz w:val="14"/>
          <w:szCs w:val="14"/>
          <w:b w:val="1"/>
          <w:bCs w:val="1"/>
          <w:i w:val="1"/>
          <w:iCs w:val="1"/>
          <w:color w:val="auto"/>
        </w:rPr>
        <w:t>(Address of principal executive offices and Zip Code)</w:t>
      </w:r>
    </w:p>
    <w:p>
      <w:pPr>
        <w:jc w:val="center"/>
        <w:spacing w:after="0" w:line="221" w:lineRule="auto"/>
        <w:rPr>
          <w:sz w:val="20"/>
          <w:szCs w:val="20"/>
          <w:color w:val="auto"/>
        </w:rPr>
      </w:pPr>
      <w:r>
        <w:rPr>
          <w:rFonts w:ascii="Times New Roman" w:cs="Times New Roman" w:eastAsia="Times New Roman" w:hAnsi="Times New Roman"/>
          <w:sz w:val="18"/>
          <w:szCs w:val="18"/>
          <w:b w:val="1"/>
          <w:bCs w:val="1"/>
          <w:color w:val="auto"/>
        </w:rPr>
        <w:t>(415) 525-3888</w:t>
      </w:r>
    </w:p>
    <w:p>
      <w:pPr>
        <w:jc w:val="center"/>
        <w:spacing w:after="0" w:line="218" w:lineRule="auto"/>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p>
      <w:pPr>
        <w:ind w:left="3260"/>
        <w:spacing w:after="0" w:line="213" w:lineRule="auto"/>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3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33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52"/>
        </w:trPr>
        <w:tc>
          <w:tcPr>
            <w:tcW w:w="3880" w:type="dxa"/>
            <w:vAlign w:val="bottom"/>
            <w:tcBorders>
              <w:top w:val="single" w:sz="8" w:color="auto"/>
            </w:tcBorders>
          </w:tcPr>
          <w:p>
            <w:pPr>
              <w:jc w:val="center"/>
              <w:spacing w:after="0" w:line="152" w:lineRule="exact"/>
              <w:rPr>
                <w:sz w:val="20"/>
                <w:szCs w:val="20"/>
                <w:color w:val="auto"/>
              </w:rPr>
            </w:pPr>
            <w:r>
              <w:rPr>
                <w:rFonts w:ascii="Times New Roman" w:cs="Times New Roman" w:eastAsia="Times New Roman" w:hAnsi="Times New Roman"/>
                <w:sz w:val="16"/>
                <w:szCs w:val="16"/>
                <w:color w:val="auto"/>
                <w:w w:val="99"/>
              </w:rPr>
              <w:t>Class A Common Stock, $0.00001 par value per share</w:t>
            </w:r>
          </w:p>
        </w:tc>
        <w:tc>
          <w:tcPr>
            <w:tcW w:w="100" w:type="dxa"/>
            <w:vAlign w:val="bottom"/>
          </w:tcPr>
          <w:p>
            <w:pPr>
              <w:spacing w:after="0"/>
              <w:rPr>
                <w:sz w:val="13"/>
                <w:szCs w:val="13"/>
                <w:color w:val="auto"/>
              </w:rPr>
            </w:pPr>
          </w:p>
        </w:tc>
        <w:tc>
          <w:tcPr>
            <w:tcW w:w="3280" w:type="dxa"/>
            <w:vAlign w:val="bottom"/>
            <w:tcBorders>
              <w:top w:val="single" w:sz="8" w:color="auto"/>
            </w:tcBorders>
          </w:tcPr>
          <w:p>
            <w:pPr>
              <w:jc w:val="center"/>
              <w:spacing w:after="0" w:line="152" w:lineRule="exact"/>
              <w:rPr>
                <w:sz w:val="20"/>
                <w:szCs w:val="20"/>
                <w:color w:val="auto"/>
              </w:rPr>
            </w:pPr>
            <w:r>
              <w:rPr>
                <w:rFonts w:ascii="Times New Roman" w:cs="Times New Roman" w:eastAsia="Times New Roman" w:hAnsi="Times New Roman"/>
                <w:sz w:val="16"/>
                <w:szCs w:val="16"/>
                <w:color w:val="auto"/>
              </w:rPr>
              <w:t>ASAN</w:t>
            </w:r>
          </w:p>
        </w:tc>
        <w:tc>
          <w:tcPr>
            <w:tcW w:w="100" w:type="dxa"/>
            <w:vAlign w:val="bottom"/>
          </w:tcPr>
          <w:p>
            <w:pPr>
              <w:spacing w:after="0"/>
              <w:rPr>
                <w:sz w:val="13"/>
                <w:szCs w:val="13"/>
                <w:color w:val="auto"/>
              </w:rPr>
            </w:pPr>
          </w:p>
        </w:tc>
        <w:tc>
          <w:tcPr>
            <w:tcW w:w="3880" w:type="dxa"/>
            <w:vAlign w:val="bottom"/>
            <w:tcBorders>
              <w:top w:val="single" w:sz="8" w:color="auto"/>
            </w:tcBorders>
          </w:tcPr>
          <w:p>
            <w:pPr>
              <w:jc w:val="center"/>
              <w:spacing w:after="0" w:line="152" w:lineRule="exact"/>
              <w:rPr>
                <w:sz w:val="20"/>
                <w:szCs w:val="20"/>
                <w:color w:val="auto"/>
              </w:rPr>
            </w:pPr>
            <w:r>
              <w:rPr>
                <w:rFonts w:ascii="Times New Roman" w:cs="Times New Roman" w:eastAsia="Times New Roman" w:hAnsi="Times New Roman"/>
                <w:sz w:val="17"/>
                <w:szCs w:val="17"/>
                <w:color w:val="auto"/>
              </w:rPr>
              <w:t>New York Stock Exchange</w:t>
            </w:r>
          </w:p>
        </w:tc>
      </w:tr>
      <w:tr>
        <w:trPr>
          <w:trHeight w:val="231"/>
        </w:trPr>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Long-Term Stock Exchange</w:t>
            </w:r>
          </w:p>
        </w:tc>
      </w:tr>
    </w:tbl>
    <w:p>
      <w:pPr>
        <w:spacing w:after="0" w:line="179" w:lineRule="exact"/>
        <w:rPr>
          <w:sz w:val="24"/>
          <w:szCs w:val="24"/>
          <w:color w:val="auto"/>
        </w:rPr>
      </w:pPr>
    </w:p>
    <w:p>
      <w:pPr>
        <w:jc w:val="both"/>
        <w:spacing w:after="0" w:line="17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jc w:val="both"/>
        <w:spacing w:after="0" w:line="15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340" w:type="dxa"/>
        <w:tblCellMar>
          <w:top w:w="0" w:type="dxa"/>
          <w:left w:w="0" w:type="dxa"/>
          <w:bottom w:w="0" w:type="dxa"/>
          <w:right w:w="0" w:type="dxa"/>
        </w:tblCellMar>
      </w:tblPr>
      <w:tr>
        <w:trPr>
          <w:trHeight w:val="144"/>
        </w:trPr>
        <w:tc>
          <w:tcPr>
            <w:tcW w:w="204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Large accelerated filer</w:t>
            </w:r>
          </w:p>
        </w:tc>
        <w:tc>
          <w:tcPr>
            <w:tcW w:w="28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ind w:left="2380"/>
              <w:spacing w:after="0" w:line="145" w:lineRule="exact"/>
              <w:rPr>
                <w:sz w:val="20"/>
                <w:szCs w:val="20"/>
                <w:color w:val="auto"/>
              </w:rPr>
            </w:pPr>
            <w:r>
              <w:rPr>
                <w:rFonts w:ascii="Times New Roman" w:cs="Times New Roman" w:eastAsia="Times New Roman" w:hAnsi="Times New Roman"/>
                <w:sz w:val="16"/>
                <w:szCs w:val="16"/>
                <w:color w:val="auto"/>
              </w:rPr>
              <w:t>Accelerated filer</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5"/>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8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ind w:left="23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8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spacing w:after="0" w:line="226" w:lineRule="exact"/>
        <w:rPr>
          <w:sz w:val="24"/>
          <w:szCs w:val="24"/>
          <w:color w:val="auto"/>
        </w:rPr>
      </w:pPr>
    </w:p>
    <w:p>
      <w:pPr>
        <w:spacing w:after="0" w:line="17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227" w:lineRule="auto"/>
        <w:rPr>
          <w:sz w:val="20"/>
          <w:szCs w:val="20"/>
          <w:color w:val="auto"/>
        </w:rPr>
      </w:pPr>
      <w:r>
        <w:rPr>
          <w:rFonts w:ascii="Times New Roman" w:cs="Times New Roman" w:eastAsia="Times New Roman" w:hAnsi="Times New Roman"/>
          <w:sz w:val="16"/>
          <w:szCs w:val="16"/>
          <w:color w:val="auto"/>
        </w:rPr>
        <w:t>As of May 21, 2026, the number of shares of the registrant’s Class A common stock outstanding was 160,969,547 and the number of shares of the registrant’s Class B common stock outstanding was 69,540,280.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512445</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45720</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36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360" w:type="dxa"/>
            <w:vAlign w:val="bottom"/>
            <w:gridSpan w:val="21"/>
            <w:vMerge w:val="continue"/>
          </w:tcPr>
          <w:p>
            <w:pPr>
              <w:spacing w:after="0"/>
              <w:rPr>
                <w:sz w:val="15"/>
                <w:szCs w:val="15"/>
                <w:color w:val="auto"/>
              </w:rPr>
            </w:pPr>
          </w:p>
        </w:tc>
        <w:tc>
          <w:tcPr>
            <w:tcW w:w="860" w:type="dxa"/>
            <w:vAlign w:val="bottom"/>
            <w:gridSpan w:val="4"/>
          </w:tcPr>
          <w:p>
            <w:pPr>
              <w:jc w:val="right"/>
              <w:ind w:right="20"/>
              <w:spacing w:after="0" w:line="179"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Item 1. Financial Statements (Unaudited)</w:t>
            </w:r>
          </w:p>
        </w:tc>
        <w:tc>
          <w:tcPr>
            <w:tcW w:w="86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86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Condensed Consolidated Statements of Operations</w:t>
            </w:r>
          </w:p>
        </w:tc>
        <w:tc>
          <w:tcPr>
            <w:tcW w:w="6600" w:type="dxa"/>
            <w:vAlign w:val="bottom"/>
            <w:gridSpan w:val="7"/>
          </w:tcPr>
          <w:p>
            <w:pPr>
              <w:spacing w:after="0"/>
              <w:rPr>
                <w:sz w:val="17"/>
                <w:szCs w:val="17"/>
                <w:color w:val="auto"/>
              </w:rPr>
            </w:pPr>
          </w:p>
        </w:tc>
        <w:tc>
          <w:tcPr>
            <w:tcW w:w="86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86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2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w w:val="97"/>
              </w:rPr>
              <w:t>Condensed Consolidated Statements of Stockholders’ Equity</w:t>
            </w:r>
          </w:p>
        </w:tc>
        <w:tc>
          <w:tcPr>
            <w:tcW w:w="5880" w:type="dxa"/>
            <w:vAlign w:val="bottom"/>
            <w:gridSpan w:val="3"/>
          </w:tcPr>
          <w:p>
            <w:pPr>
              <w:spacing w:after="0"/>
              <w:rPr>
                <w:sz w:val="17"/>
                <w:szCs w:val="17"/>
                <w:color w:val="auto"/>
              </w:rPr>
            </w:pPr>
          </w:p>
        </w:tc>
        <w:tc>
          <w:tcPr>
            <w:tcW w:w="86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2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5880" w:type="dxa"/>
            <w:vAlign w:val="bottom"/>
            <w:gridSpan w:val="3"/>
          </w:tcPr>
          <w:p>
            <w:pPr>
              <w:spacing w:after="0"/>
              <w:rPr>
                <w:sz w:val="17"/>
                <w:szCs w:val="17"/>
                <w:color w:val="auto"/>
              </w:rPr>
            </w:pPr>
          </w:p>
        </w:tc>
        <w:tc>
          <w:tcPr>
            <w:tcW w:w="86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6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84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60" w:type="dxa"/>
            <w:vAlign w:val="bottom"/>
            <w:tcBorders>
              <w:top w:val="single" w:sz="8" w:color="0000FF"/>
            </w:tcBorders>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20" w:type="dxa"/>
            <w:vAlign w:val="bottom"/>
            <w:tcBorders>
              <w:top w:val="single" w:sz="8" w:color="0000FF"/>
            </w:tcBorders>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546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36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84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 Legal Proceedings</w:t>
            </w:r>
          </w:p>
        </w:tc>
        <w:tc>
          <w:tcPr>
            <w:tcW w:w="8420" w:type="dxa"/>
            <w:vAlign w:val="bottom"/>
            <w:gridSpan w:val="13"/>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Item 1A. Risk Factors</w:t>
            </w:r>
          </w:p>
        </w:tc>
        <w:tc>
          <w:tcPr>
            <w:tcW w:w="84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20" w:type="dxa"/>
            <w:vAlign w:val="bottom"/>
            <w:tcBorders>
              <w:bottom w:val="single" w:sz="8" w:color="0000FF"/>
            </w:tcBorders>
            <w:gridSpan w:val="18"/>
          </w:tcPr>
          <w:p>
            <w:pPr>
              <w:spacing w:after="0" w:line="205" w:lineRule="exact"/>
              <w:rPr>
                <w:sz w:val="20"/>
                <w:szCs w:val="20"/>
                <w:color w:val="auto"/>
              </w:rPr>
            </w:pPr>
            <w:r>
              <w:rPr>
                <w:rFonts w:ascii="Times New Roman" w:cs="Times New Roman" w:eastAsia="Times New Roman" w:hAnsi="Times New Roman"/>
                <w:sz w:val="18"/>
                <w:szCs w:val="18"/>
                <w:color w:val="0000FF"/>
                <w:w w:val="97"/>
              </w:rPr>
              <w:t>Item 2. Unregistered Sales of Equity Securities and Use of Proceeds</w:t>
            </w:r>
          </w:p>
        </w:tc>
        <w:tc>
          <w:tcPr>
            <w:tcW w:w="546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8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84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20" w:type="dxa"/>
            <w:vAlign w:val="bottom"/>
            <w:tcBorders>
              <w:top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7460" w:type="dxa"/>
            <w:vAlign w:val="bottom"/>
            <w:gridSpan w:val="10"/>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Borders>
              <w:top w:val="single" w:sz="8" w:color="0000FF"/>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7"/>
              </w:rPr>
              <w:t>Item 5. Other Information</w:t>
            </w:r>
          </w:p>
        </w:tc>
        <w:tc>
          <w:tcPr>
            <w:tcW w:w="440" w:type="dxa"/>
            <w:vAlign w:val="bottom"/>
            <w:tcBorders>
              <w:top w:val="single" w:sz="8" w:color="0000FF"/>
            </w:tcBorders>
            <w:gridSpan w:val="3"/>
          </w:tcPr>
          <w:p>
            <w:pPr>
              <w:spacing w:after="0"/>
              <w:rPr>
                <w:sz w:val="17"/>
                <w:szCs w:val="17"/>
                <w:color w:val="auto"/>
              </w:rPr>
            </w:pPr>
          </w:p>
        </w:tc>
        <w:tc>
          <w:tcPr>
            <w:tcW w:w="800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6"/>
              </w:rPr>
              <w:t>Item 6. Exhibits</w:t>
            </w:r>
          </w:p>
        </w:tc>
        <w:tc>
          <w:tcPr>
            <w:tcW w:w="9140" w:type="dxa"/>
            <w:vAlign w:val="bottom"/>
            <w:gridSpan w:val="17"/>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36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84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3"/>
        </w:trPr>
        <w:tc>
          <w:tcPr>
            <w:tcW w:w="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6"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Quarterly Report on Form 10-Q include, but are not limited to, statements about: our ability to grow or maintain our dollar-based net retention rate, expand usage of our platform within organizations, and sell subscriptions to our platform; our ability to convert individuals, teams, and organizations on our free and trial versions into paying customers; the timing and success of new features, integrations, capabilities, and enhancements by us, or by our competitors to their products, including the successful deployment of artificial intelligence (“AI”), or any other changes in the competitive landscape of our market; our ability to achieve widespread acceptance and use of our platform; growth in the work management market; the amount and timing of operating expenses and capital expenditures, as well as entry into operating leases, that we may incur to maintain and expand our business and operations and to remain competitive; our focus on growth to drive long-term value; the timing of expenses and our expectations regarding our cost of revenues, gross margin, and operating expenses; the effect of uncertainties related to ongoing macroeconomic conditions, including volatile equity capital markets, on our business, results of operations, and financial condition; performance of our sales and marketing activities; our protections against security breaches, technical difficulties, or interruptions to our platform; our ability to successfully defend litigation brought against us, potential dispute-related settlement payments, or other litigation-related costs; potential pricing pressure as a result of competition or otherwise; anticipated fluctuations in foreign currency exchange rates; potential costs and the anticipated timing of expenses related to the acquisition of businesses, such as our acquisition of Eigen Inc. (“StackAI”), talent, technologies, or intellectual property, including potentially significant amortization costs and possible write-downs; general economic conditions affecting domestic or international markets, and the rate of global information technology (“IT”) spending, including as a result of a downturn or recession, inflation and fluctuating interest rates, and instability in financial institutions and global financial markets; and geopolitical instability.</w:t>
      </w:r>
    </w:p>
    <w:p>
      <w:pPr>
        <w:spacing w:after="0" w:line="13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3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1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854075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looking statements do not reflect the potential impact of any future acquisitions, mergers, dispositions, joint ventures, restructurings, or investments.</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and have filed with the Securities and Exchange Commission (the “SEC”) as exhibits to this Quarterly Report on Form 10-Q with the understanding that our actual future results, levels of activity, performance, and events and circumstances may be materially different from what we expect.</w:t>
      </w:r>
    </w:p>
    <w:p>
      <w:pPr>
        <w:spacing w:after="0" w:line="1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Unless the context otherwise requires, all references in this Quarterly Report on Form 10-Q to “we,” “us,” “our,” “our company,” and “Asana” refer to Asana, Inc. and its consolidated subsidiaries. The Asana logo, “Asana,” “Work Graph,” and our other registered or common law trademarks, service marks, or trade names appearing in this Quarterly Report on Form 10-Q are the property of Asana, Inc. Other trade names, trademarks, and service marks used in this Quarterly Report on Form 10-Q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854075</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SELECT RISK FACTORS AFFECTING OUR BUSINESS</w:t>
      </w:r>
    </w:p>
    <w:p>
      <w:pPr>
        <w:spacing w:after="0" w:line="16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Investing in our Class A common stock involves numerous risks, including the risks described in </w:t>
      </w:r>
      <w:r>
        <w:rPr>
          <w:rFonts w:ascii="Times New Roman" w:cs="Times New Roman" w:eastAsia="Times New Roman" w:hAnsi="Times New Roman"/>
          <w:sz w:val="18"/>
          <w:szCs w:val="18"/>
          <w:i w:val="1"/>
          <w:iCs w:val="1"/>
          <w:color w:val="auto"/>
        </w:rPr>
        <w:t>Part II—Other Information, Item 1A. Risk Factors</w:t>
      </w:r>
      <w:r>
        <w:rPr>
          <w:rFonts w:ascii="Times New Roman" w:cs="Times New Roman" w:eastAsia="Times New Roman" w:hAnsi="Times New Roman"/>
          <w:sz w:val="18"/>
          <w:szCs w:val="18"/>
          <w:color w:val="auto"/>
        </w:rPr>
        <w:t xml:space="preserve"> of this Quarterly Report on Form 10-Q. Below are some of these risks, any one of which could materially adversely affect our business, financial condition, results of operations, and prospects.</w:t>
      </w:r>
    </w:p>
    <w:p>
      <w:pPr>
        <w:spacing w:after="0" w:line="122" w:lineRule="exact"/>
        <w:rPr>
          <w:sz w:val="20"/>
          <w:szCs w:val="20"/>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prior growth rates may not be indicative of our future growth.</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at our current scale, which makes it difficult to evaluate our future prospects and may increase the risk that we will not be successful.</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may not be able to achieve profitability or, if achieved, sustain profitability.</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our long-term value as a company will be greater if we focus on growth, which may negatively impact our profitability in the near and medium term.</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results may fluctuate significantly and may not meet our expectations or those of investors or securities analysts.</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convert individuals, teams, and organizations using our free and trial versions into paying customers, and expand usage within organizations or develop new features, integrations, capabilities, and enhancements that achieve market acceptance, our revenue growth would be harmed.</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for work management solutions develops more slowly than we expect or declines, our business would be adversely affected.</w:t>
      </w:r>
    </w:p>
    <w:p>
      <w:pPr>
        <w:spacing w:after="0" w:line="164"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industry, and competition presents an ongoing threat to the success of our business. Our ability to compete and ensure our success requires developments in our technology, including the successful deployment of AI in our products.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leverage our sales capabilities would harm our ability to expand usage of our platform within our customer base and achieve broader market acceptance of our platform.</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those of third parties with whom we work, or our data are compromised or operate in an unintended way, we could experience adverse consequences, including but not limited to regulatory investigations or actions; litigation; fines and penalties; disruptions of our business operations; reputational harm; loss of revenue or profits; and other adverse consequences.</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technical operations infrastructure, or experience service outages, interruptions, or delays in the deployment of our platform, our results of operations may be harmed.</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ensure that our platform interoperates with a variety of software applications that are developed by others, including our integration partners, we may become less competitive and our results of operations may be harmed.</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of our key personnel could harm our business.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continue to attract and retain highly qualified personnel in very competitive markets to continue to execute on our business strategy and growth plans.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culture has contributed to our success, and if we cannot maintain this culture as we grow, we could lose the employee engagement fostered by our culture, which could harm our business.</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a strong brand, and if we are not able to maintain and enhance our brand, our ability to expand our base of customers may be impaired, and our business and results of operations will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843280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5" w:name="page6"/>
    <w:bookmarkEnd w:id="5"/>
    <w:p>
      <w:pPr>
        <w:ind w:left="320" w:hanging="316"/>
        <w:spacing w:after="0" w:line="274"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maintaining open marketplaces to distribute our mobile application. If such third parties interfere with the distribution of our platform, our business would be adversely affected.</w:t>
      </w:r>
    </w:p>
    <w:p>
      <w:pPr>
        <w:spacing w:after="0" w:line="110"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to customers outside the United States and our international operations expose us to risks inherent in international sales and operations.</w:t>
      </w:r>
    </w:p>
    <w:p>
      <w:pPr>
        <w:spacing w:after="0" w:line="164" w:lineRule="exact"/>
        <w:rPr>
          <w:rFonts w:ascii="Times New Roman" w:cs="Times New Roman" w:eastAsia="Times New Roman" w:hAnsi="Times New Roman"/>
          <w:sz w:val="18"/>
          <w:szCs w:val="18"/>
          <w:color w:val="auto"/>
        </w:rPr>
      </w:pPr>
    </w:p>
    <w:p>
      <w:pPr>
        <w:jc w:val="both"/>
        <w:ind w:left="320" w:hanging="316"/>
        <w:spacing w:after="0" w:line="252"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third parties with whom we work, are subject to stringent and evolving U.S. and foreign laws, regulations, rules, contractual obligations, industry standards, policies and other obligations related to AI, privacy, data protection, and security. Our actual or perceived failure to comply with such obligations (or such failure by the third parties with whom we work) could lead to regulatory investigations or actions; litigation; fines and penalties; disruptions of our business operations; reputational harm; loss of revenue or profits; loss of customers or sales; and other adverse business consequences.</w:t>
      </w:r>
    </w:p>
    <w:p>
      <w:pPr>
        <w:spacing w:after="0" w:line="132"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A common stock may be volatile and could decline significantly and rapidly.</w:t>
      </w:r>
    </w:p>
    <w:p>
      <w:pPr>
        <w:spacing w:after="0" w:line="164" w:lineRule="exact"/>
        <w:rPr>
          <w:rFonts w:ascii="Times New Roman" w:cs="Times New Roman" w:eastAsia="Times New Roman" w:hAnsi="Times New Roman"/>
          <w:sz w:val="18"/>
          <w:szCs w:val="18"/>
          <w:color w:val="auto"/>
        </w:rPr>
      </w:pPr>
    </w:p>
    <w:p>
      <w:pPr>
        <w:jc w:val="both"/>
        <w:ind w:left="320" w:hanging="316"/>
        <w:spacing w:after="0" w:line="255"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our founders, directors, executive officers, and their respective affiliates. This ownership will limit or preclude your ability to influence corporate matters, including the election of directors, amendments of our organizational documents, and any merger, consolidations, sale of all or substantially all of our assets, or other major corporate transaction requiring stockholder approval.</w:t>
      </w:r>
    </w:p>
    <w:p>
      <w:pPr>
        <w:spacing w:after="0" w:line="127" w:lineRule="exact"/>
        <w:rPr>
          <w:rFonts w:ascii="Times New Roman" w:cs="Times New Roman" w:eastAsia="Times New Roman" w:hAnsi="Times New Roman"/>
          <w:sz w:val="18"/>
          <w:szCs w:val="18"/>
          <w:color w:val="auto"/>
        </w:rPr>
      </w:pPr>
    </w:p>
    <w:p>
      <w:pPr>
        <w:ind w:left="320" w:hanging="316"/>
        <w:spacing w:after="0" w:line="274"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Class A common stock in the public markets, or the perception that sales might occur, could cause the trading price of our Class A common stock to decline.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unable to adequately address these and other risks we face, our business may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876935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640" w:top="1234" w:right="339" w:bottom="1440" w:gutter="0" w:footer="0" w:header="0"/>
        </w:sectPr>
      </w:pPr>
    </w:p>
    <w:bookmarkStart w:id="6" w:name="page7"/>
    <w:bookmarkEnd w:id="6"/>
    <w:p>
      <w:pPr>
        <w:ind w:left="408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40" w:type="dxa"/>
            <w:vAlign w:val="bottom"/>
          </w:tcPr>
          <w:p>
            <w:pPr>
              <w:spacing w:after="0"/>
              <w:rPr>
                <w:sz w:val="16"/>
                <w:szCs w:val="16"/>
                <w:color w:val="auto"/>
              </w:rPr>
            </w:pPr>
          </w:p>
        </w:tc>
      </w:tr>
      <w:tr>
        <w:trPr>
          <w:trHeight w:val="24"/>
        </w:trPr>
        <w:tc>
          <w:tcPr>
            <w:tcW w:w="7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6"/>
        </w:trPr>
        <w:tc>
          <w:tcPr>
            <w:tcW w:w="7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40" w:type="dxa"/>
            <w:vAlign w:val="bottom"/>
          </w:tcPr>
          <w:p>
            <w:pPr>
              <w:spacing w:after="0"/>
              <w:rPr>
                <w:sz w:val="16"/>
                <w:szCs w:val="16"/>
                <w:color w:val="auto"/>
              </w:rPr>
            </w:pPr>
          </w:p>
        </w:tc>
        <w:tc>
          <w:tcPr>
            <w:tcW w:w="15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January 31, 2026</w:t>
            </w:r>
          </w:p>
        </w:tc>
      </w:tr>
      <w:tr>
        <w:trPr>
          <w:trHeight w:val="212"/>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5"/>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199,835</w:t>
            </w:r>
          </w:p>
        </w:tc>
      </w:tr>
      <w:tr>
        <w:trPr>
          <w:trHeight w:val="225"/>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234,210</w:t>
            </w:r>
          </w:p>
        </w:tc>
      </w:tr>
      <w:tr>
        <w:trPr>
          <w:trHeight w:val="225"/>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5"/>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110,312</w:t>
            </w:r>
          </w:p>
        </w:tc>
      </w:tr>
      <w:tr>
        <w:trPr>
          <w:trHeight w:val="225"/>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48,573</w:t>
            </w:r>
          </w:p>
        </w:tc>
      </w:tr>
      <w:tr>
        <w:trPr>
          <w:trHeight w:val="218"/>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593,348</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88,313</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133,422</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29,005</w:t>
            </w:r>
          </w:p>
        </w:tc>
      </w:tr>
      <w:tr>
        <w:trPr>
          <w:trHeight w:val="219"/>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805,512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844,088</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2"/>
        </w:trPr>
        <w:tc>
          <w:tcPr>
            <w:tcW w:w="758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5"/>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18,822</w:t>
            </w:r>
          </w:p>
        </w:tc>
      </w:tr>
      <w:tr>
        <w:trPr>
          <w:trHeight w:val="225"/>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123,716</w:t>
            </w:r>
          </w:p>
        </w:tc>
      </w:tr>
      <w:tr>
        <w:trPr>
          <w:trHeight w:val="225"/>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333,636</w:t>
            </w:r>
          </w:p>
        </w:tc>
      </w:tr>
      <w:tr>
        <w:trPr>
          <w:trHeight w:val="225"/>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24,846</w:t>
            </w:r>
          </w:p>
        </w:tc>
      </w:tr>
      <w:tr>
        <w:trPr>
          <w:trHeight w:val="218"/>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501,020</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183,749</w:t>
            </w:r>
          </w:p>
        </w:tc>
      </w:tr>
      <w:tr>
        <w:trPr>
          <w:trHeight w:val="225"/>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w:t>
            </w:r>
          </w:p>
        </w:tc>
      </w:tr>
      <w:tr>
        <w:trPr>
          <w:trHeight w:val="218"/>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689,971</w:t>
            </w:r>
          </w:p>
        </w:tc>
      </w:tr>
      <w:tr>
        <w:trPr>
          <w:trHeight w:val="205"/>
        </w:trPr>
        <w:tc>
          <w:tcPr>
            <w:tcW w:w="75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Commitments and contingencies (Note 7)</w:t>
            </w: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5"/>
        </w:trPr>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2,343,418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2,299,616</w:t>
            </w:r>
          </w:p>
        </w:tc>
      </w:tr>
      <w:tr>
        <w:trPr>
          <w:trHeight w:val="225"/>
        </w:trPr>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w:t>
            </w:r>
          </w:p>
        </w:tc>
      </w:tr>
      <w:tr>
        <w:trPr>
          <w:trHeight w:val="225"/>
        </w:trPr>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(2,209,096)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(2,149,706)</w:t>
            </w:r>
          </w:p>
        </w:tc>
      </w:tr>
      <w:tr>
        <w:trPr>
          <w:trHeight w:val="218"/>
        </w:trPr>
        <w:tc>
          <w:tcPr>
            <w:tcW w:w="7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154,117</w:t>
            </w:r>
          </w:p>
        </w:tc>
      </w:tr>
      <w:tr>
        <w:trPr>
          <w:trHeight w:val="243"/>
        </w:trPr>
        <w:tc>
          <w:tcPr>
            <w:tcW w:w="7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805,512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844,088</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296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700" w:type="dxa"/>
            <w:vAlign w:val="bottom"/>
          </w:tcPr>
          <w:p>
            <w:pPr>
              <w:spacing w:after="0"/>
              <w:rPr>
                <w:sz w:val="16"/>
                <w:szCs w:val="16"/>
                <w:color w:val="auto"/>
              </w:rPr>
            </w:pPr>
          </w:p>
        </w:tc>
      </w:tr>
      <w:tr>
        <w:trPr>
          <w:trHeight w:val="24"/>
        </w:trPr>
        <w:tc>
          <w:tcPr>
            <w:tcW w:w="75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6"/>
        </w:trPr>
        <w:tc>
          <w:tcPr>
            <w:tcW w:w="75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205,095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187,267</w:t>
            </w:r>
          </w:p>
        </w:tc>
      </w:tr>
      <w:tr>
        <w:trPr>
          <w:trHeight w:val="225"/>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25,414</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19,227</w:t>
            </w:r>
          </w:p>
        </w:tc>
      </w:tr>
      <w:tr>
        <w:trPr>
          <w:trHeight w:val="21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179,681</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168,040</w:t>
            </w:r>
          </w:p>
        </w:tc>
      </w:tr>
      <w:tr>
        <w:trPr>
          <w:trHeight w:val="205"/>
        </w:trPr>
        <w:tc>
          <w:tcPr>
            <w:tcW w:w="75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5"/>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75,127</w:t>
            </w:r>
          </w:p>
        </w:tc>
      </w:tr>
      <w:tr>
        <w:trPr>
          <w:trHeight w:val="225"/>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99,841</w:t>
            </w:r>
          </w:p>
        </w:tc>
      </w:tr>
      <w:tr>
        <w:trPr>
          <w:trHeight w:val="225"/>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36,368</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36,976</w:t>
            </w:r>
          </w:p>
        </w:tc>
      </w:tr>
      <w:tr>
        <w:trPr>
          <w:trHeight w:val="218"/>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194,921</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211,944</w:t>
            </w: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(43,904)</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1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(12,986)</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(38,865)</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r>
      <w:tr>
        <w:trPr>
          <w:trHeight w:val="21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(14,405)</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(40,018)</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2"/>
        </w:trPr>
        <w:tc>
          <w:tcPr>
            <w:tcW w:w="758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Net loss per share:</w:t>
            </w:r>
          </w:p>
        </w:tc>
        <w:tc>
          <w:tcPr>
            <w:tcW w:w="10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25"/>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2"/>
        </w:trPr>
        <w:tc>
          <w:tcPr>
            <w:tcW w:w="758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Weighted-average shares used in calculating net loss per share:</w:t>
            </w:r>
          </w:p>
        </w:tc>
        <w:tc>
          <w:tcPr>
            <w:tcW w:w="10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25"/>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238,164</w:t>
            </w:r>
          </w:p>
        </w:tc>
        <w:tc>
          <w:tcPr>
            <w:tcW w:w="1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234,859</w:t>
            </w:r>
          </w:p>
        </w:tc>
      </w:tr>
      <w:tr>
        <w:trPr>
          <w:trHeight w:val="20"/>
        </w:trPr>
        <w:tc>
          <w:tcPr>
            <w:tcW w:w="7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3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2980" w:type="dxa"/>
            <w:vAlign w:val="bottom"/>
            <w:gridSpan w:val="4"/>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80" w:type="dxa"/>
            <w:vAlign w:val="bottom"/>
          </w:tcPr>
          <w:p>
            <w:pPr>
              <w:spacing w:after="0"/>
              <w:rPr>
                <w:sz w:val="16"/>
                <w:szCs w:val="16"/>
                <w:color w:val="auto"/>
              </w:rPr>
            </w:pPr>
          </w:p>
        </w:tc>
      </w:tr>
      <w:tr>
        <w:trPr>
          <w:trHeight w:val="24"/>
        </w:trPr>
        <w:tc>
          <w:tcPr>
            <w:tcW w:w="75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75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(40,018)</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5"/>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unrealized (losses) gains on marketable securities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25"/>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4,742</w:t>
            </w:r>
          </w:p>
        </w:tc>
      </w:tr>
      <w:tr>
        <w:trPr>
          <w:trHeight w:val="21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w:t>
            </w:r>
          </w:p>
        </w:tc>
      </w:tr>
      <w:tr>
        <w:trPr>
          <w:trHeight w:val="21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080" w:type="dxa"/>
            <w:vAlign w:val="bottom"/>
            <w:tcBorders>
              <w:bottom w:val="single" w:sz="8" w:color="auto"/>
            </w:tcBorders>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(15,952)</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(34,212)</w:t>
            </w:r>
          </w:p>
        </w:tc>
      </w:tr>
      <w:tr>
        <w:trPr>
          <w:trHeight w:val="20"/>
        </w:trPr>
        <w:tc>
          <w:tcPr>
            <w:tcW w:w="7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38"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April 30, 2026</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20" w:type="dxa"/>
            <w:vAlign w:val="bottom"/>
          </w:tcPr>
          <w:p>
            <w:pPr>
              <w:spacing w:after="0"/>
              <w:rPr>
                <w:sz w:val="15"/>
                <w:szCs w:val="15"/>
                <w:color w:val="auto"/>
              </w:rPr>
            </w:pPr>
          </w:p>
        </w:tc>
        <w:tc>
          <w:tcPr>
            <w:tcW w:w="1260" w:type="dxa"/>
            <w:vAlign w:val="bottom"/>
            <w:gridSpan w:val="2"/>
          </w:tcPr>
          <w:p>
            <w:pPr>
              <w:jc w:val="center"/>
              <w:ind w:right="220"/>
              <w:spacing w:after="0" w:line="179"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72"/>
        </w:trPr>
        <w:tc>
          <w:tcPr>
            <w:tcW w:w="4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4"/>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line="172" w:lineRule="exact"/>
              <w:rPr>
                <w:sz w:val="20"/>
                <w:szCs w:val="20"/>
                <w:color w:val="auto"/>
              </w:rPr>
            </w:pPr>
            <w:r>
              <w:rPr>
                <w:rFonts w:ascii="Times New Roman" w:cs="Times New Roman" w:eastAsia="Times New Roman" w:hAnsi="Times New Roman"/>
                <w:sz w:val="18"/>
                <w:szCs w:val="18"/>
                <w:b w:val="1"/>
                <w:bCs w:val="1"/>
                <w:color w:val="auto"/>
                <w:w w:val="95"/>
              </w:rPr>
              <w:t>Other</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8"/>
                <w:szCs w:val="18"/>
                <w:b w:val="1"/>
                <w:bCs w:val="1"/>
                <w:color w:val="auto"/>
                <w:w w:val="96"/>
              </w:rPr>
              <w:t>Paid-In</w:t>
            </w:r>
          </w:p>
        </w:tc>
        <w:tc>
          <w:tcPr>
            <w:tcW w:w="138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8"/>
                <w:szCs w:val="18"/>
                <w:b w:val="1"/>
                <w:bCs w:val="1"/>
                <w:color w:val="auto"/>
                <w:w w:val="96"/>
              </w:rPr>
              <w:t>Comprehensive</w:t>
            </w:r>
          </w:p>
        </w:tc>
        <w:tc>
          <w:tcPr>
            <w:tcW w:w="1240" w:type="dxa"/>
            <w:vAlign w:val="bottom"/>
            <w:gridSpan w:val="3"/>
          </w:tcPr>
          <w:p>
            <w:pPr>
              <w:ind w:left="60"/>
              <w:spacing w:after="0" w:line="15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2"/>
        </w:trPr>
        <w:tc>
          <w:tcPr>
            <w:tcW w:w="4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0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0"/>
                <w:szCs w:val="20"/>
                <w:color w:val="auto"/>
              </w:rPr>
            </w:pPr>
          </w:p>
        </w:tc>
        <w:tc>
          <w:tcPr>
            <w:tcW w:w="96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6"/>
              </w:rPr>
              <w:t>Equity</w:t>
            </w:r>
          </w:p>
        </w:tc>
        <w:tc>
          <w:tcPr>
            <w:tcW w:w="0" w:type="dxa"/>
            <w:vAlign w:val="bottom"/>
          </w:tcPr>
          <w:p>
            <w:pPr>
              <w:spacing w:after="0"/>
              <w:rPr>
                <w:sz w:val="1"/>
                <w:szCs w:val="1"/>
                <w:color w:val="auto"/>
              </w:rPr>
            </w:pPr>
          </w:p>
        </w:tc>
      </w:tr>
      <w:tr>
        <w:trPr>
          <w:trHeight w:val="218"/>
        </w:trPr>
        <w:tc>
          <w:tcPr>
            <w:tcW w:w="45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January 31, 2026</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237,915</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$ 2,299,616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(2,149,706)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154,117</w:t>
            </w:r>
          </w:p>
        </w:tc>
        <w:tc>
          <w:tcPr>
            <w:tcW w:w="0" w:type="dxa"/>
            <w:vAlign w:val="bottom"/>
          </w:tcPr>
          <w:p>
            <w:pPr>
              <w:spacing w:after="0"/>
              <w:rPr>
                <w:sz w:val="1"/>
                <w:szCs w:val="1"/>
                <w:color w:val="auto"/>
              </w:rPr>
            </w:pPr>
          </w:p>
        </w:tc>
      </w:tr>
      <w:tr>
        <w:trPr>
          <w:trHeight w:val="225"/>
        </w:trPr>
        <w:tc>
          <w:tcPr>
            <w:tcW w:w="4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the exercise of stock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25"/>
        </w:trPr>
        <w:tc>
          <w:tcPr>
            <w:tcW w:w="4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Repurchases and retirement of common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(44,985)</w:t>
            </w:r>
          </w:p>
        </w:tc>
        <w:tc>
          <w:tcPr>
            <w:tcW w:w="0" w:type="dxa"/>
            <w:vAlign w:val="bottom"/>
          </w:tcPr>
          <w:p>
            <w:pPr>
              <w:spacing w:after="0"/>
              <w:rPr>
                <w:sz w:val="1"/>
                <w:szCs w:val="1"/>
                <w:color w:val="auto"/>
              </w:rPr>
            </w:pPr>
          </w:p>
        </w:tc>
      </w:tr>
      <w:tr>
        <w:trPr>
          <w:trHeight w:val="172"/>
        </w:trPr>
        <w:tc>
          <w:tcPr>
            <w:tcW w:w="4560" w:type="dxa"/>
            <w:vAlign w:val="bottom"/>
            <w:gridSpan w:val="2"/>
          </w:tcPr>
          <w:p>
            <w:pPr>
              <w:ind w:left="120"/>
              <w:spacing w:after="0" w:line="172" w:lineRule="exact"/>
              <w:rPr>
                <w:sz w:val="20"/>
                <w:szCs w:val="20"/>
                <w:color w:val="auto"/>
              </w:rPr>
            </w:pPr>
            <w:r>
              <w:rPr>
                <w:rFonts w:ascii="Times New Roman" w:cs="Times New Roman" w:eastAsia="Times New Roman" w:hAnsi="Times New Roman"/>
                <w:sz w:val="18"/>
                <w:szCs w:val="18"/>
                <w:color w:val="auto"/>
              </w:rPr>
              <w:t>Issuance of common stock upon the vesting and settlement</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restricted stock units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4560" w:type="dxa"/>
            <w:vAlign w:val="bottom"/>
            <w:gridSpan w:val="2"/>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Issuance of common stock under employee share purchase</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plan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0" w:type="dxa"/>
            <w:vAlign w:val="bottom"/>
          </w:tcPr>
          <w:p>
            <w:pPr>
              <w:spacing w:after="0"/>
              <w:rPr>
                <w:sz w:val="1"/>
                <w:szCs w:val="1"/>
                <w:color w:val="auto"/>
              </w:rPr>
            </w:pPr>
          </w:p>
        </w:tc>
      </w:tr>
      <w:tr>
        <w:trPr>
          <w:trHeight w:val="225"/>
        </w:trPr>
        <w:tc>
          <w:tcPr>
            <w:tcW w:w="4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38,242</w:t>
            </w:r>
          </w:p>
        </w:tc>
        <w:tc>
          <w:tcPr>
            <w:tcW w:w="0" w:type="dxa"/>
            <w:vAlign w:val="bottom"/>
          </w:tcPr>
          <w:p>
            <w:pPr>
              <w:spacing w:after="0"/>
              <w:rPr>
                <w:sz w:val="1"/>
                <w:szCs w:val="1"/>
                <w:color w:val="auto"/>
              </w:rPr>
            </w:pPr>
          </w:p>
        </w:tc>
      </w:tr>
      <w:tr>
        <w:trPr>
          <w:trHeight w:val="225"/>
        </w:trPr>
        <w:tc>
          <w:tcPr>
            <w:tcW w:w="4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unrealized losses on marketable securities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25"/>
        </w:trPr>
        <w:tc>
          <w:tcPr>
            <w:tcW w:w="4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25"/>
        </w:trPr>
        <w:tc>
          <w:tcPr>
            <w:tcW w:w="4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(14,405)</w:t>
            </w:r>
          </w:p>
        </w:tc>
        <w:tc>
          <w:tcPr>
            <w:tcW w:w="0" w:type="dxa"/>
            <w:vAlign w:val="bottom"/>
          </w:tcPr>
          <w:p>
            <w:pPr>
              <w:spacing w:after="0"/>
              <w:rPr>
                <w:sz w:val="1"/>
                <w:szCs w:val="1"/>
                <w:color w:val="auto"/>
              </w:rPr>
            </w:pPr>
          </w:p>
        </w:tc>
      </w:tr>
      <w:tr>
        <w:trPr>
          <w:trHeight w:val="218"/>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April 30, 2026</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233,901</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$ 2,343,418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(2,209,096)</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136,982</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170180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40" w:top="1338"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 CONTINUED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April 30, 2025</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5"/>
                <w:szCs w:val="15"/>
                <w:color w:val="auto"/>
              </w:rPr>
            </w:pPr>
          </w:p>
        </w:tc>
        <w:tc>
          <w:tcPr>
            <w:tcW w:w="1260" w:type="dxa"/>
            <w:vAlign w:val="bottom"/>
            <w:gridSpan w:val="2"/>
          </w:tcPr>
          <w:p>
            <w:pPr>
              <w:jc w:val="center"/>
              <w:ind w:right="220"/>
              <w:spacing w:after="0" w:line="179"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restart"/>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2"/>
        </w:trPr>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4"/>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00"/>
              <w:spacing w:after="0" w:line="172"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36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220" w:type="dxa"/>
            <w:vAlign w:val="bottom"/>
            <w:gridSpan w:val="3"/>
          </w:tcPr>
          <w:p>
            <w:pPr>
              <w:jc w:val="right"/>
              <w:ind w:right="160"/>
              <w:spacing w:after="0" w:line="15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2"/>
        </w:trPr>
        <w:tc>
          <w:tcPr>
            <w:tcW w:w="4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0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94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8"/>
        </w:trPr>
        <w:tc>
          <w:tcPr>
            <w:tcW w:w="45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January 31, 2025</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232,888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2,059,848</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(1,828,476)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227,523</w:t>
            </w:r>
          </w:p>
        </w:tc>
        <w:tc>
          <w:tcPr>
            <w:tcW w:w="0" w:type="dxa"/>
            <w:vAlign w:val="bottom"/>
          </w:tcPr>
          <w:p>
            <w:pPr>
              <w:spacing w:after="0"/>
              <w:rPr>
                <w:sz w:val="1"/>
                <w:szCs w:val="1"/>
                <w:color w:val="auto"/>
              </w:rPr>
            </w:pPr>
          </w:p>
        </w:tc>
      </w:tr>
      <w:tr>
        <w:trPr>
          <w:trHeight w:val="225"/>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the exercise of stock 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25"/>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Repurchases and retirement of common stock</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w:t>
            </w:r>
          </w:p>
        </w:tc>
        <w:tc>
          <w:tcPr>
            <w:tcW w:w="0" w:type="dxa"/>
            <w:vAlign w:val="bottom"/>
          </w:tcPr>
          <w:p>
            <w:pPr>
              <w:spacing w:after="0"/>
              <w:rPr>
                <w:sz w:val="1"/>
                <w:szCs w:val="1"/>
                <w:color w:val="auto"/>
              </w:rPr>
            </w:pPr>
          </w:p>
        </w:tc>
      </w:tr>
      <w:tr>
        <w:trPr>
          <w:trHeight w:val="172"/>
        </w:trPr>
        <w:tc>
          <w:tcPr>
            <w:tcW w:w="4580" w:type="dxa"/>
            <w:vAlign w:val="bottom"/>
            <w:gridSpan w:val="2"/>
          </w:tcPr>
          <w:p>
            <w:pPr>
              <w:ind w:left="120"/>
              <w:spacing w:after="0" w:line="172" w:lineRule="exact"/>
              <w:rPr>
                <w:sz w:val="20"/>
                <w:szCs w:val="20"/>
                <w:color w:val="auto"/>
              </w:rPr>
            </w:pPr>
            <w:r>
              <w:rPr>
                <w:rFonts w:ascii="Times New Roman" w:cs="Times New Roman" w:eastAsia="Times New Roman" w:hAnsi="Times New Roman"/>
                <w:sz w:val="18"/>
                <w:szCs w:val="18"/>
                <w:color w:val="auto"/>
              </w:rPr>
              <w:t>Issuance of common stock upon the vesting and settlement of</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restricted stock units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4580" w:type="dxa"/>
            <w:vAlign w:val="bottom"/>
            <w:gridSpan w:val="2"/>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Issuance of common stock under employee share purchase</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plan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0" w:type="dxa"/>
            <w:vAlign w:val="bottom"/>
          </w:tcPr>
          <w:p>
            <w:pPr>
              <w:spacing w:after="0"/>
              <w:rPr>
                <w:sz w:val="1"/>
                <w:szCs w:val="1"/>
                <w:color w:val="auto"/>
              </w:rPr>
            </w:pPr>
          </w:p>
        </w:tc>
      </w:tr>
      <w:tr>
        <w:trPr>
          <w:trHeight w:val="225"/>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49,596</w:t>
            </w:r>
          </w:p>
        </w:tc>
        <w:tc>
          <w:tcPr>
            <w:tcW w:w="0" w:type="dxa"/>
            <w:vAlign w:val="bottom"/>
          </w:tcPr>
          <w:p>
            <w:pPr>
              <w:spacing w:after="0"/>
              <w:rPr>
                <w:sz w:val="1"/>
                <w:szCs w:val="1"/>
                <w:color w:val="auto"/>
              </w:rPr>
            </w:pPr>
          </w:p>
        </w:tc>
      </w:tr>
      <w:tr>
        <w:trPr>
          <w:trHeight w:val="225"/>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unrealized gains on marketable securities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25"/>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0" w:type="dxa"/>
            <w:vAlign w:val="bottom"/>
          </w:tcPr>
          <w:p>
            <w:pPr>
              <w:spacing w:after="0"/>
              <w:rPr>
                <w:sz w:val="1"/>
                <w:szCs w:val="1"/>
                <w:color w:val="auto"/>
              </w:rPr>
            </w:pPr>
          </w:p>
        </w:tc>
      </w:tr>
      <w:tr>
        <w:trPr>
          <w:trHeight w:val="225"/>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(40,018)</w:t>
            </w:r>
          </w:p>
        </w:tc>
        <w:tc>
          <w:tcPr>
            <w:tcW w:w="0" w:type="dxa"/>
            <w:vAlign w:val="bottom"/>
          </w:tcPr>
          <w:p>
            <w:pPr>
              <w:spacing w:after="0"/>
              <w:rPr>
                <w:sz w:val="1"/>
                <w:szCs w:val="1"/>
                <w:color w:val="auto"/>
              </w:rPr>
            </w:pPr>
          </w:p>
        </w:tc>
      </w:tr>
      <w:tr>
        <w:trPr>
          <w:trHeight w:val="218"/>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April 30, 2025</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235,220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2,118,447</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(1,884,100)</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236,304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170180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40" w:top="133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2960" w:type="dxa"/>
            <w:vAlign w:val="bottom"/>
            <w:gridSpan w:val="4"/>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700" w:type="dxa"/>
            <w:vAlign w:val="bottom"/>
          </w:tcPr>
          <w:p>
            <w:pPr>
              <w:spacing w:after="0"/>
              <w:rPr>
                <w:sz w:val="16"/>
                <w:szCs w:val="16"/>
                <w:color w:val="auto"/>
              </w:rPr>
            </w:pPr>
          </w:p>
        </w:tc>
      </w:tr>
      <w:tr>
        <w:trPr>
          <w:trHeight w:val="24"/>
        </w:trPr>
        <w:tc>
          <w:tcPr>
            <w:tcW w:w="75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6"/>
        </w:trPr>
        <w:tc>
          <w:tcPr>
            <w:tcW w:w="75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r>
      <w:tr>
        <w:trPr>
          <w:trHeight w:val="21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(14,405)</w:t>
            </w:r>
          </w:p>
        </w:tc>
        <w:tc>
          <w:tcPr>
            <w:tcW w:w="100" w:type="dxa"/>
            <w:vAlign w:val="bottom"/>
          </w:tcPr>
          <w:p>
            <w:pPr>
              <w:spacing w:after="0"/>
              <w:rPr>
                <w:sz w:val="19"/>
                <w:szCs w:val="19"/>
                <w:color w:val="auto"/>
              </w:rPr>
            </w:pPr>
          </w:p>
        </w:tc>
        <w:tc>
          <w:tcPr>
            <w:tcW w:w="1080" w:type="dxa"/>
            <w:vAlign w:val="bottom"/>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(40,018)</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5"/>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225"/>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w:t>
            </w:r>
          </w:p>
        </w:tc>
      </w:tr>
      <w:tr>
        <w:trPr>
          <w:trHeight w:val="225"/>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contract acquisition costs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w:t>
            </w:r>
          </w:p>
        </w:tc>
      </w:tr>
      <w:tr>
        <w:trPr>
          <w:trHeight w:val="225"/>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w:t>
            </w:r>
          </w:p>
        </w:tc>
      </w:tr>
      <w:tr>
        <w:trPr>
          <w:trHeight w:val="225"/>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accretion of discount on marketable securities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25"/>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r>
      <w:tr>
        <w:trPr>
          <w:trHeight w:val="225"/>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discount on revolving credit facility and term loan issuance costs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5"/>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36,462</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18,738</w:t>
            </w:r>
          </w:p>
        </w:tc>
      </w:tr>
      <w:tr>
        <w:trPr>
          <w:trHeight w:val="225"/>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(8,846)</w:t>
            </w:r>
          </w:p>
        </w:tc>
      </w:tr>
      <w:tr>
        <w:trPr>
          <w:trHeight w:val="225"/>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25"/>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r>
      <w:tr>
        <w:trPr>
          <w:trHeight w:val="225"/>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w:t>
            </w:r>
          </w:p>
        </w:tc>
      </w:tr>
      <w:tr>
        <w:trPr>
          <w:trHeight w:val="225"/>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(12,512)</w:t>
            </w:r>
          </w:p>
        </w:tc>
      </w:tr>
      <w:tr>
        <w:trPr>
          <w:trHeight w:val="225"/>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w:t>
            </w: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40,244</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w:t>
            </w:r>
          </w:p>
        </w:tc>
      </w:tr>
      <w:tr>
        <w:trPr>
          <w:trHeight w:val="205"/>
        </w:trPr>
        <w:tc>
          <w:tcPr>
            <w:tcW w:w="75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5"/>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(34,055)</w:t>
            </w:r>
          </w:p>
        </w:tc>
      </w:tr>
      <w:tr>
        <w:trPr>
          <w:trHeight w:val="225"/>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41,000</w:t>
            </w:r>
          </w:p>
        </w:tc>
      </w:tr>
      <w:tr>
        <w:trPr>
          <w:trHeight w:val="225"/>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25"/>
        </w:trPr>
        <w:tc>
          <w:tcPr>
            <w:tcW w:w="7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w:t>
            </w: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r>
      <w:tr>
        <w:trPr>
          <w:trHeight w:val="205"/>
        </w:trPr>
        <w:tc>
          <w:tcPr>
            <w:tcW w:w="75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5"/>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term loan</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(14,526)</w:t>
            </w:r>
          </w:p>
        </w:tc>
      </w:tr>
      <w:tr>
        <w:trPr>
          <w:trHeight w:val="225"/>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25"/>
        </w:trPr>
        <w:tc>
          <w:tcPr>
            <w:tcW w:w="7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7,746</w:t>
            </w: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(41,925)</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w:t>
            </w:r>
          </w:p>
        </w:tc>
      </w:tr>
      <w:tr>
        <w:trPr>
          <w:trHeight w:val="21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rates on cash, cash equivalents, and restricted cash</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9,216</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200,253</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184,864</w:t>
            </w:r>
          </w:p>
        </w:tc>
      </w:tr>
      <w:tr>
        <w:trPr>
          <w:trHeight w:val="21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080" w:type="dxa"/>
            <w:vAlign w:val="bottom"/>
            <w:tcBorders>
              <w:bottom w:val="single" w:sz="8" w:color="auto"/>
            </w:tcBorders>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194,352</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194,080</w:t>
            </w:r>
          </w:p>
        </w:tc>
      </w:tr>
      <w:tr>
        <w:trPr>
          <w:trHeight w:val="20"/>
        </w:trPr>
        <w:tc>
          <w:tcPr>
            <w:tcW w:w="7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2940" w:type="dxa"/>
            <w:vAlign w:val="bottom"/>
            <w:gridSpan w:val="4"/>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700" w:type="dxa"/>
            <w:vAlign w:val="bottom"/>
          </w:tcPr>
          <w:p>
            <w:pPr>
              <w:spacing w:after="0"/>
              <w:rPr>
                <w:sz w:val="16"/>
                <w:szCs w:val="16"/>
                <w:color w:val="auto"/>
              </w:rPr>
            </w:pPr>
          </w:p>
        </w:tc>
      </w:tr>
      <w:tr>
        <w:trPr>
          <w:trHeight w:val="24"/>
        </w:trPr>
        <w:tc>
          <w:tcPr>
            <w:tcW w:w="7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6"/>
        </w:trPr>
        <w:tc>
          <w:tcPr>
            <w:tcW w:w="76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r>
      <w:tr>
        <w:trPr>
          <w:trHeight w:val="159"/>
        </w:trPr>
        <w:tc>
          <w:tcPr>
            <w:tcW w:w="76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 condensed consolidated balance</w:t>
            </w:r>
          </w:p>
        </w:tc>
        <w:tc>
          <w:tcPr>
            <w:tcW w:w="10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23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sheets</w:t>
            </w:r>
          </w:p>
        </w:tc>
        <w:tc>
          <w:tcPr>
            <w:tcW w:w="10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25"/>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193,656</w:t>
            </w:r>
          </w:p>
        </w:tc>
        <w:tc>
          <w:tcPr>
            <w:tcW w:w="100" w:type="dxa"/>
            <w:vAlign w:val="bottom"/>
          </w:tcPr>
          <w:p>
            <w:pPr>
              <w:spacing w:after="0"/>
              <w:rPr>
                <w:sz w:val="19"/>
                <w:szCs w:val="19"/>
                <w:color w:val="auto"/>
              </w:rPr>
            </w:pPr>
          </w:p>
        </w:tc>
        <w:tc>
          <w:tcPr>
            <w:tcW w:w="106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193,791</w:t>
            </w: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18"/>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80" w:type="dxa"/>
            <w:vAlign w:val="bottom"/>
            <w:tcBorders>
              <w:bottom w:val="single" w:sz="8" w:color="auto"/>
            </w:tcBorders>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194,352</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194,080</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8"/>
        </w:trPr>
        <w:tc>
          <w:tcPr>
            <w:tcW w:w="7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25"/>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data</w:t>
            </w: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80" w:type="dxa"/>
            <w:vAlign w:val="bottom"/>
            <w:shd w:val="clear" w:color="auto" w:fill="CCEEFF"/>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25"/>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information</w:t>
            </w: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5"/>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 in accounts payable and accrued expenses and other current liabilities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5"/>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capitalized for internal-use software</w:t>
            </w:r>
          </w:p>
        </w:tc>
        <w:tc>
          <w:tcPr>
            <w:tcW w:w="1080" w:type="dxa"/>
            <w:vAlign w:val="bottom"/>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19"/>
                <w:szCs w:val="19"/>
                <w:color w:val="auto"/>
              </w:rPr>
            </w:pPr>
          </w:p>
        </w:tc>
        <w:tc>
          <w:tcPr>
            <w:tcW w:w="106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 in accrued expenses and other current liabilities</w:t>
            </w:r>
          </w:p>
        </w:tc>
        <w:tc>
          <w:tcPr>
            <w:tcW w:w="1080" w:type="dxa"/>
            <w:vAlign w:val="bottom"/>
            <w:shd w:val="clear" w:color="auto" w:fill="CCEEFF"/>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Description of Business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Asana, Inc. (“Asana” or the “Company”) was incorporated in the state of Delaware on December 16, 2008. Asana is a leading work management platform for human and AI coordination. The Company is headquartered in San Francisco, California.</w:t>
      </w:r>
    </w:p>
    <w:p>
      <w:pPr>
        <w:spacing w:after="0" w:line="10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Basis of Presentation and Summary of Significant Accounting Policies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generally accepted accounting principles in the United States of America (“GAAP”) and include the accounts of the Company’s wholly-owned subsidiaries. All intercompany transactions and balances have been eliminated on consolidation.</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unaudited condensed consolidated balance sheet as of January 31, 2026 included herein was derived from the audited financial statements as of that date, but does not include all disclosures, including certain notes required by GAAP on an annual reporting basis. In management's opinion, the unaudited condensed consolidated financial statements reflect all normal recurring adjustments necessary to state fairly the balance sheet, statements of comprehensive loss, and stockholders' equity, and statements of cash flows for the interim periods, but are not necessarily indicative of the results of operations to be anticipated for the full fiscal year or any future period.</w:t>
      </w:r>
    </w:p>
    <w:p>
      <w:pPr>
        <w:spacing w:after="0" w:line="132"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audited consolidated financial statements and notes included in the Company’s Annual Report on Form 10-K filed with the SEC on March 13, 2026.</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amounts reported and disclosed in the condensed consolidated financial statements and accompanying notes. Estimates and assumptions reflected in the condensed consolidated financial statements include, but are not limited to, revenue recognition, the useful lives and carrying values of long-lived assets, stock-based compensation expense, the period of benefit for deferred contract acquisition costs, income taxes, and the valuation of right-of-use (“ROU”) assets. Actual results could differ from those estimates.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Global macroeconomic events including inflation, fluctuating interest rates, bank failures, supply chain disruptions, fluctuations in currency exchange rates, tariffs and changes in trade agreements, and international armed conflicts have led to economic uncertainty. These macroeconomic conditions have and are likely to continue to have adverse effects on the rate of global information technology (“IT”) spending, including the buying patterns of the Company’s customers and prospective customers.</w:t>
      </w:r>
    </w:p>
    <w:p>
      <w:pPr>
        <w:spacing w:after="0" w:line="12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conditions caused by the aforementioned macroeconomic events have affected and could continue to affect the rate of global IT spending and could adversely affect demand for the Company’s platform, lengthen the Company’s sales cycles, reduce the value or duration of subscriptions, negatively impact collections of accounts receivable, reduce expected spending from new customers, cause some of the Company’s paying customers to go out of business, and affect contraction or attrition rates of the Company’s customers, all of which could adversely affect the Company’s business, results of operations, and financial condition. As of the date of issuance of the financial statements, the Company is not aware of any specific event or circumstance related to the aforementioned macroeconomic events that would require it to update its estimates or judgments or adjust the carrying value of its assets or liabilities. Actual results could differ from those estimates and any such differences may be material to the condensed consolidated financial statements.</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of cash, cash equivalents, and marketable securities. The Company deposits its cash and cash equivalents and maintains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marketable securities with financial institutions that management believes are of high credit quality, although such deposits may, at times, exceed federally insured limits. The Company has not experienced any losses on its deposits of cash and cash equivalents to date. Cash equivalents are invested in highly rated securities.</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grants credit to customers in the normal course of business. For the three months ended April 30, 2026 and 2025, there were no individual customers that accounted for 10% or more of the Company’s revenues. No customer accounted for more than 10% of accounts receivable, net as of April 30, 2026 or January 31, 2026.</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Fair value is defined as the exit price that would be received to sell an asset or paid to transfer a liability in an orderly transaction between market participants at the reporting date. As such, fair value is a market-based measurement that should be determined based on assumptions that market participants would use in pricing an asset or liability. Fair value is estimated by utilizing a three-tier fair value hierarchy, which prioritizes the inputs used in measuring fair value as follows: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1—Observable inputs comprised of quoted prices for identical assets or liabilities in active markets.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2—Inputs other than the quoted prices in active markets that are observable either directly or indirectly.</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3—Unobservable inputs in which there is little or no market data and that are significant to the fair value of the assets or liabilities.</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determining fair value, a financial instrument’s classification within the three-tier fair value hierarchy is based on the lowest level of input that is significant to the fair value measurement. The Company utilizes valuation techniques that maximize the use of observable inputs and minimize the use of unobservable inputs to the extent possible as well as considers counterparty credit risk in its assessment of fair value.</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carrying amount of certain financial instruments, including accounts receivable, accounts payable, and accrued liabilities approximates their fair values due to their short-term nature.</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manages its operations and allocates resources as a single operating and reportable segment. The Company primarily generates revenues from subscriptions from paying customers accessing its cloud-based platform.</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Company’s chief operating decision-maker is its Chief Executive Officer (“CEO”), who reviews financial information regularly provided on a consolidated basis for purposes of making operating decisions, assessing financial performance, and allocating resources.</w:t>
      </w:r>
    </w:p>
    <w:p>
      <w:pPr>
        <w:spacing w:after="0" w:line="110"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 xml:space="preserve">The Company’s CEO assesses performance and decides how to allocate resources based on consolidated net income or loss that is reported on the Company’s condensed consolidated statements of operations. The consolidated net income or loss is used by the CEO for purposes of evaluating return on assets and determining investment opportunities related to the Company's platform, product development, or sales and marketing. The CEO reviews consolidated expense information for each period based on the classifications presented on the Company's condensed consolidated statements of operations, including cost of revenues, research and development, sales and marketing, general and administrative, interest income and other income (expense), net, interest expense, and provision for income taxes. For information regarding the Company’s depreciation and amortization expense see </w:t>
      </w:r>
      <w:r>
        <w:rPr>
          <w:rFonts w:ascii="Times New Roman" w:cs="Times New Roman" w:eastAsia="Times New Roman" w:hAnsi="Times New Roman"/>
          <w:sz w:val="17"/>
          <w:szCs w:val="17"/>
          <w:i w:val="1"/>
          <w:iCs w:val="1"/>
          <w:color w:val="auto"/>
        </w:rPr>
        <w:t>Note 5. Balance Sheet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Components</w:t>
      </w:r>
      <w:r>
        <w:rPr>
          <w:rFonts w:ascii="Times New Roman" w:cs="Times New Roman" w:eastAsia="Times New Roman" w:hAnsi="Times New Roman"/>
          <w:sz w:val="17"/>
          <w:szCs w:val="17"/>
          <w:color w:val="auto"/>
        </w:rPr>
        <w:t>, for information regarding interest income, see</w:t>
      </w:r>
      <w:r>
        <w:rPr>
          <w:rFonts w:ascii="Times New Roman" w:cs="Times New Roman" w:eastAsia="Times New Roman" w:hAnsi="Times New Roman"/>
          <w:sz w:val="17"/>
          <w:szCs w:val="17"/>
          <w:i w:val="1"/>
          <w:iCs w:val="1"/>
          <w:color w:val="auto"/>
        </w:rPr>
        <w:t xml:space="preserve"> Note 11. Interest Income and Other Income (Expense)</w:t>
      </w:r>
      <w:r>
        <w:rPr>
          <w:rFonts w:ascii="Times New Roman" w:cs="Times New Roman" w:eastAsia="Times New Roman" w:hAnsi="Times New Roman"/>
          <w:sz w:val="17"/>
          <w:szCs w:val="17"/>
          <w:color w:val="auto"/>
        </w:rPr>
        <w:t>, Net and for information regarding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Company’s revenues and long-lived assets by geographic area, see </w:t>
      </w:r>
      <w:r>
        <w:rPr>
          <w:rFonts w:ascii="Times New Roman" w:cs="Times New Roman" w:eastAsia="Times New Roman" w:hAnsi="Times New Roman"/>
          <w:sz w:val="17"/>
          <w:szCs w:val="17"/>
          <w:i w:val="1"/>
          <w:iCs w:val="1"/>
          <w:color w:val="auto"/>
        </w:rPr>
        <w:t>Note 13. Geographic Information</w:t>
      </w:r>
      <w:r>
        <w:rPr>
          <w:rFonts w:ascii="Times New Roman" w:cs="Times New Roman" w:eastAsia="Times New Roman" w:hAnsi="Times New Roman"/>
          <w:sz w:val="17"/>
          <w:szCs w:val="17"/>
          <w:color w:val="auto"/>
        </w:rPr>
        <w:t xml:space="preserve"> in these condensed consolidated financial statements.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at the date of purchase of three months or less to be cash equivalents. Cash and cash equivalents are stated at cost, which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4"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 holds restricted cash for the future payment of voluntary disability insurance claims. The Company had $0.7 million of restricted cash as of April 30, 2026 and $0.4 million restricted cash as of January 31, 2026.</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Investments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marketable securities are primarily comprised of U.S. government securities, corporate bonds, and U.S. agency bonds. The Company classifies its securities as available-for-sale at the time of purchase and reevaluates such classification at each balance sheet date. The Company may sell these securities at any time for use in current operations even if they have not yet reached maturity. As a result, the Company classifies its marketable securities, including securities with stated maturities beyond 12 months, within current assets in the condensed consolidated balance sheets.</w:t>
      </w:r>
    </w:p>
    <w:p>
      <w:pPr>
        <w:spacing w:after="0" w:line="127"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Available-for-sale securities are carried at fair value with unrealized gains and losses reported in accumulated other comprehensive income (loss) as a separate component of stockholders’ equity until realized. Unrealized gains and losses for any marketable securities that management intends to sell or is more likely than not that management will be required to sell prior to their anticipated recovery are recorded in interest income and other income (expense), net.</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evaluates its long-lived assets for impairment whenever events or changes in circumstances indicate that the carrying amount of such asset groups may not be recoverable. Recoverability of assets to be held and used is measured by a comparison of the carrying amount of an asset group to future undiscounted cash flows expected to be generated by the asset group. If such assets are considered to be impaired, the impairment recognized is measured by the amount by which the carrying amount of the assets exceeds the fair value of the assets. The Company recorded no impairment charge during the three months ended April 30, 2026 and 2025.</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and in January 2025, the FASB issued ASU 2025-01, “Income Statement - Reporting Comprehensive Income - Expense Disaggregation Disclosures (Subtopic 220-40): Clarifying the Effective Date”, which requires that public entities disclose, on an annual and interim basis, disaggregated information about specific expense categories (including employee compensation, depreciation, and amortization) presented on the face of the income statement. As clarified by ASU 2025-01, the guidance is effective for the Company’s fiscal years beginning February 1, 2027 and interim reporting periods within annual reporting periods beginning February 1, 2028. The Company is currently evaluating the impact of adoption of the standard on its consolidated financial statements and related disclosures.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which makes targeted improvements to the accounting for internal-use software. The guidance is effective for the Company's fiscal years and interim reporting periods beginning February 1, 2028, with early adoption permitted. The Company is currently evaluating the impact of adoption of the standard on its consolidated financial statements and related disclosures.</w:t>
      </w:r>
    </w:p>
    <w:p>
      <w:pPr>
        <w:spacing w:after="0" w:line="1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Revenues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Remaining Performance Obligations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recognized $146.2 million and $131.7 million of revenues during the three months ended April 30, 2026 and 2025, respectively, that were included in the deferred revenue balances at January 31, 2026 and 2025, respectively.</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Deferred revenue that will be recognized within the next 12 months is recorded as deferred revenue, current and the remaining portion is recorded as deferred revenue, noncurrent. As of April 30, 2026, the Company's remaining performance obligations from contracts with customers was $518.1 million, of which the Company expects to recognize approximately 79% as revenues over the next 12 months and the remainder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Acquisition Costs</w:t>
      </w:r>
    </w:p>
    <w:p>
      <w:pPr>
        <w:spacing w:after="0" w:line="16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Deferred contract acquisition costs are amortized over a period of benefit of three years. The period of benefit was estimated by considering factors such as historical customer attrition rates, the useful life of the Company’s technology, and the impact of competition in the software-as-a-service industry.</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activity of deferred contract acquisition costs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3000" w:type="dxa"/>
            <w:vAlign w:val="bottom"/>
            <w:gridSpan w:val="4"/>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60" w:type="dxa"/>
            <w:vAlign w:val="bottom"/>
          </w:tcPr>
          <w:p>
            <w:pPr>
              <w:spacing w:after="0"/>
              <w:rPr>
                <w:sz w:val="16"/>
                <w:szCs w:val="16"/>
                <w:color w:val="auto"/>
              </w:rPr>
            </w:pPr>
          </w:p>
        </w:tc>
      </w:tr>
      <w:tr>
        <w:trPr>
          <w:trHeight w:val="24"/>
        </w:trPr>
        <w:tc>
          <w:tcPr>
            <w:tcW w:w="7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6"/>
        </w:trPr>
        <w:tc>
          <w:tcPr>
            <w:tcW w:w="75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20" w:type="dxa"/>
            <w:vAlign w:val="bottom"/>
            <w:shd w:val="clear" w:color="auto" w:fill="CCEEFF"/>
          </w:tcPr>
          <w:p>
            <w:pPr>
              <w:jc w:val="right"/>
              <w:ind w:right="94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40,518</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 of contract acquisition costs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contract acquisition costs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w:t>
            </w:r>
          </w:p>
        </w:tc>
      </w:tr>
      <w:tr>
        <w:trPr>
          <w:trHeight w:val="21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20" w:type="dxa"/>
            <w:vAlign w:val="bottom"/>
            <w:tcBorders>
              <w:bottom w:val="single" w:sz="8" w:color="auto"/>
            </w:tcBorders>
          </w:tcPr>
          <w:p>
            <w:pPr>
              <w:jc w:val="right"/>
              <w:ind w:right="94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43,639</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41,336</w:t>
            </w:r>
          </w:p>
        </w:tc>
      </w:tr>
      <w:tr>
        <w:trPr>
          <w:trHeight w:val="20"/>
        </w:trPr>
        <w:tc>
          <w:tcPr>
            <w:tcW w:w="7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outstanding balances of deferred contract acquisition costs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40" w:type="dxa"/>
            <w:vAlign w:val="bottom"/>
          </w:tcPr>
          <w:p>
            <w:pPr>
              <w:spacing w:after="0"/>
              <w:rPr>
                <w:sz w:val="16"/>
                <w:szCs w:val="16"/>
                <w:color w:val="auto"/>
              </w:rPr>
            </w:pPr>
          </w:p>
        </w:tc>
      </w:tr>
      <w:tr>
        <w:trPr>
          <w:trHeight w:val="24"/>
        </w:trPr>
        <w:tc>
          <w:tcPr>
            <w:tcW w:w="7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6"/>
        </w:trPr>
        <w:tc>
          <w:tcPr>
            <w:tcW w:w="7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40" w:type="dxa"/>
            <w:vAlign w:val="bottom"/>
          </w:tcPr>
          <w:p>
            <w:pPr>
              <w:spacing w:after="0"/>
              <w:rPr>
                <w:sz w:val="16"/>
                <w:szCs w:val="16"/>
                <w:color w:val="auto"/>
              </w:rPr>
            </w:pPr>
          </w:p>
        </w:tc>
        <w:tc>
          <w:tcPr>
            <w:tcW w:w="154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January 31, 2026</w:t>
            </w:r>
          </w:p>
        </w:tc>
      </w:tr>
      <w:tr>
        <w:trPr>
          <w:trHeight w:val="225"/>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current</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23,962</w:t>
            </w:r>
          </w:p>
        </w:tc>
      </w:tr>
      <w:tr>
        <w:trPr>
          <w:trHeight w:val="225"/>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noncurrent</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20,384</w:t>
            </w:r>
          </w:p>
        </w:tc>
      </w:tr>
      <w:tr>
        <w:trPr>
          <w:trHeight w:val="243"/>
        </w:trPr>
        <w:tc>
          <w:tcPr>
            <w:tcW w:w="7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deferred contract acquisition costs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44,346</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Deferred contract acquisition costs, current is presented within prepaid expenses and other current assets in the condensed consolidated balance sheets.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contract acquisition costs, noncurrent is presented within other assets in the condensed consolidated balance sheets.</w:t>
      </w:r>
    </w:p>
    <w:p>
      <w:pPr>
        <w:spacing w:after="0" w:line="14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for assets measured at fair value, the respective fair value and classification by level of input within the fair value hierarchy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20" w:type="dxa"/>
            <w:vAlign w:val="bottom"/>
            <w:gridSpan w:val="3"/>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As of April 30, 2026</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4"/>
        </w:trPr>
        <w:tc>
          <w:tcPr>
            <w:tcW w:w="38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6"/>
        </w:trPr>
        <w:tc>
          <w:tcPr>
            <w:tcW w:w="38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2"/>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5"/>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12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95,397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95,397</w:t>
            </w:r>
          </w:p>
        </w:tc>
      </w:tr>
      <w:tr>
        <w:trPr>
          <w:trHeight w:val="225"/>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1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r>
      <w:tr>
        <w:trPr>
          <w:trHeight w:val="219"/>
        </w:trPr>
        <w:tc>
          <w:tcPr>
            <w:tcW w:w="38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equivalents</w:t>
            </w:r>
          </w:p>
        </w:tc>
        <w:tc>
          <w:tcPr>
            <w:tcW w:w="1120" w:type="dxa"/>
            <w:vAlign w:val="bottom"/>
            <w:tcBorders>
              <w:top w:val="single" w:sz="8" w:color="auto"/>
            </w:tcBorders>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95,397</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98,185</w:t>
            </w:r>
          </w:p>
        </w:tc>
      </w:tr>
      <w:tr>
        <w:trPr>
          <w:trHeight w:val="225"/>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12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141,387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141,387</w:t>
            </w:r>
          </w:p>
        </w:tc>
      </w:tr>
      <w:tr>
        <w:trPr>
          <w:trHeight w:val="225"/>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1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79,902</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79,902</w:t>
            </w:r>
          </w:p>
        </w:tc>
      </w:tr>
      <w:tr>
        <w:trPr>
          <w:trHeight w:val="22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agency bonds</w:t>
            </w:r>
          </w:p>
        </w:tc>
        <w:tc>
          <w:tcPr>
            <w:tcW w:w="1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9,695</w:t>
            </w:r>
          </w:p>
        </w:tc>
      </w:tr>
      <w:tr>
        <w:trPr>
          <w:trHeight w:val="218"/>
        </w:trPr>
        <w:tc>
          <w:tcPr>
            <w:tcW w:w="3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120" w:type="dxa"/>
            <w:vAlign w:val="bottom"/>
            <w:tcBorders>
              <w:top w:val="single" w:sz="8" w:color="auto"/>
              <w:bottom w:val="single" w:sz="8" w:color="auto"/>
            </w:tcBorders>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141,387</w:t>
            </w:r>
          </w:p>
        </w:tc>
        <w:tc>
          <w:tcPr>
            <w:tcW w:w="10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89,597</w:t>
            </w:r>
          </w:p>
        </w:tc>
        <w:tc>
          <w:tcPr>
            <w:tcW w:w="8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11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230,984</w:t>
            </w:r>
          </w:p>
        </w:tc>
      </w:tr>
      <w:tr>
        <w:trPr>
          <w:trHeight w:val="244"/>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120" w:type="dxa"/>
            <w:vAlign w:val="bottom"/>
            <w:tcBorders>
              <w:bottom w:val="single" w:sz="8" w:color="auto"/>
            </w:tcBorders>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236,784</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92,385</w:t>
            </w: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329,169</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60" w:type="dxa"/>
            <w:vAlign w:val="bottom"/>
            <w:gridSpan w:val="3"/>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As of January 31, 2026</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4"/>
        </w:trPr>
        <w:tc>
          <w:tcPr>
            <w:tcW w:w="38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6"/>
        </w:trPr>
        <w:tc>
          <w:tcPr>
            <w:tcW w:w="38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2"/>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5"/>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12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67,786</w:t>
            </w:r>
          </w:p>
        </w:tc>
      </w:tr>
      <w:tr>
        <w:trPr>
          <w:trHeight w:val="225"/>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w:t>
            </w:r>
          </w:p>
        </w:tc>
      </w:tr>
      <w:tr>
        <w:trPr>
          <w:trHeight w:val="218"/>
        </w:trPr>
        <w:tc>
          <w:tcPr>
            <w:tcW w:w="38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equivalents</w:t>
            </w:r>
          </w:p>
        </w:tc>
        <w:tc>
          <w:tcPr>
            <w:tcW w:w="1120" w:type="dxa"/>
            <w:vAlign w:val="bottom"/>
            <w:tcBorders>
              <w:top w:val="single" w:sz="8" w:color="auto"/>
            </w:tcBorders>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72,236</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72,236</w:t>
            </w:r>
          </w:p>
        </w:tc>
      </w:tr>
      <w:tr>
        <w:trPr>
          <w:trHeight w:val="225"/>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12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142,306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142,306</w:t>
            </w:r>
          </w:p>
        </w:tc>
      </w:tr>
      <w:tr>
        <w:trPr>
          <w:trHeight w:val="225"/>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1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8,446</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8,446</w:t>
            </w:r>
          </w:p>
        </w:tc>
      </w:tr>
      <w:tr>
        <w:trPr>
          <w:trHeight w:val="22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1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73,760</w:t>
            </w:r>
          </w:p>
        </w:tc>
      </w:tr>
      <w:tr>
        <w:trPr>
          <w:trHeight w:val="225"/>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agency bonds</w:t>
            </w:r>
          </w:p>
        </w:tc>
        <w:tc>
          <w:tcPr>
            <w:tcW w:w="1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9,698</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9,698</w:t>
            </w:r>
          </w:p>
        </w:tc>
      </w:tr>
      <w:tr>
        <w:trPr>
          <w:trHeight w:val="218"/>
        </w:trPr>
        <w:tc>
          <w:tcPr>
            <w:tcW w:w="38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120" w:type="dxa"/>
            <w:vAlign w:val="bottom"/>
            <w:tcBorders>
              <w:top w:val="single" w:sz="8" w:color="auto"/>
              <w:bottom w:val="single" w:sz="8" w:color="auto"/>
            </w:tcBorders>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142,306</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91,904</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234,210</w:t>
            </w:r>
          </w:p>
        </w:tc>
      </w:tr>
      <w:tr>
        <w:trPr>
          <w:trHeight w:val="21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12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214,542</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91,904</w:t>
            </w:r>
          </w:p>
        </w:tc>
        <w:tc>
          <w:tcPr>
            <w:tcW w:w="80" w:type="dxa"/>
            <w:vAlign w:val="bottom"/>
          </w:tcPr>
          <w:p>
            <w:pPr>
              <w:spacing w:after="0"/>
              <w:rPr>
                <w:sz w:val="19"/>
                <w:szCs w:val="19"/>
                <w:color w:val="auto"/>
              </w:rPr>
            </w:pPr>
          </w:p>
        </w:tc>
        <w:tc>
          <w:tcPr>
            <w:tcW w:w="1320" w:type="dxa"/>
            <w:vAlign w:val="bottom"/>
            <w:tcBorders>
              <w:bottom w:val="single" w:sz="8" w:color="auto"/>
            </w:tcBorders>
          </w:tcPr>
          <w:p>
            <w:pPr>
              <w:jc w:val="right"/>
              <w:ind w:right="111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306,446</w:t>
            </w:r>
          </w:p>
        </w:tc>
      </w:tr>
      <w:tr>
        <w:trPr>
          <w:trHeight w:val="20"/>
        </w:trPr>
        <w:tc>
          <w:tcPr>
            <w:tcW w:w="3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Company's investments in marketable securities on the condensed consolidated balance sheets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 April 30, 2026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40" w:type="dxa"/>
            <w:vAlign w:val="bottom"/>
          </w:tcPr>
          <w:p>
            <w:pPr>
              <w:spacing w:after="0"/>
              <w:rPr>
                <w:sz w:val="11"/>
                <w:szCs w:val="11"/>
                <w:color w:val="auto"/>
              </w:rPr>
            </w:pPr>
          </w:p>
        </w:tc>
        <w:tc>
          <w:tcPr>
            <w:tcW w:w="1540" w:type="dxa"/>
            <w:vAlign w:val="bottom"/>
            <w:gridSpan w:val="2"/>
          </w:tcPr>
          <w:p>
            <w:pPr>
              <w:jc w:val="center"/>
              <w:ind w:right="420"/>
              <w:spacing w:after="0" w:line="128"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3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Gross Unrealized Losses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340" w:type="dxa"/>
            <w:vAlign w:val="bottom"/>
          </w:tcPr>
          <w:p>
            <w:pPr>
              <w:spacing w:after="0"/>
              <w:rPr>
                <w:sz w:val="16"/>
                <w:szCs w:val="16"/>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1"/>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141,269</w:t>
            </w:r>
          </w:p>
        </w:tc>
        <w:tc>
          <w:tcPr>
            <w:tcW w:w="8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141,387</w:t>
            </w:r>
          </w:p>
        </w:tc>
        <w:tc>
          <w:tcPr>
            <w:tcW w:w="0" w:type="dxa"/>
            <w:vAlign w:val="bottom"/>
          </w:tcPr>
          <w:p>
            <w:pPr>
              <w:spacing w:after="0"/>
              <w:rPr>
                <w:sz w:val="1"/>
                <w:szCs w:val="1"/>
                <w:color w:val="auto"/>
              </w:rPr>
            </w:pPr>
          </w:p>
        </w:tc>
      </w:tr>
      <w:tr>
        <w:trPr>
          <w:trHeight w:val="225"/>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79,902</w:t>
            </w:r>
          </w:p>
        </w:tc>
        <w:tc>
          <w:tcPr>
            <w:tcW w:w="0" w:type="dxa"/>
            <w:vAlign w:val="bottom"/>
          </w:tcPr>
          <w:p>
            <w:pPr>
              <w:spacing w:after="0"/>
              <w:rPr>
                <w:sz w:val="1"/>
                <w:szCs w:val="1"/>
                <w:color w:val="auto"/>
              </w:rPr>
            </w:pPr>
          </w:p>
        </w:tc>
      </w:tr>
      <w:tr>
        <w:trPr>
          <w:trHeight w:val="225"/>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agency bonds</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0" w:type="dxa"/>
            <w:vAlign w:val="bottom"/>
          </w:tcPr>
          <w:p>
            <w:pPr>
              <w:spacing w:after="0"/>
              <w:rPr>
                <w:sz w:val="1"/>
                <w:szCs w:val="1"/>
                <w:color w:val="auto"/>
              </w:rPr>
            </w:pPr>
          </w:p>
        </w:tc>
      </w:tr>
      <w:tr>
        <w:trPr>
          <w:trHeight w:val="243"/>
        </w:trPr>
        <w:tc>
          <w:tcPr>
            <w:tcW w:w="38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230,852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230,984</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8"/>
        </w:trPr>
        <w:tc>
          <w:tcPr>
            <w:tcW w:w="3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 of January 31, 2026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40" w:type="dxa"/>
            <w:vAlign w:val="bottom"/>
          </w:tcPr>
          <w:p>
            <w:pPr>
              <w:spacing w:after="0"/>
              <w:rPr>
                <w:sz w:val="11"/>
                <w:szCs w:val="11"/>
                <w:color w:val="auto"/>
              </w:rPr>
            </w:pPr>
          </w:p>
        </w:tc>
        <w:tc>
          <w:tcPr>
            <w:tcW w:w="1540" w:type="dxa"/>
            <w:vAlign w:val="bottom"/>
            <w:gridSpan w:val="2"/>
          </w:tcPr>
          <w:p>
            <w:pPr>
              <w:jc w:val="center"/>
              <w:ind w:right="420"/>
              <w:spacing w:after="0" w:line="128"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4"/>
        </w:trPr>
        <w:tc>
          <w:tcPr>
            <w:tcW w:w="3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gridSpan w:val="2"/>
          </w:tcPr>
          <w:p>
            <w:pPr>
              <w:jc w:val="center"/>
              <w:ind w:right="440"/>
              <w:spacing w:after="0" w:line="14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Gross Unrealized Losses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340" w:type="dxa"/>
            <w:vAlign w:val="bottom"/>
          </w:tcPr>
          <w:p>
            <w:pPr>
              <w:spacing w:after="0"/>
              <w:rPr>
                <w:sz w:val="16"/>
                <w:szCs w:val="16"/>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1"/>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141,589</w:t>
            </w:r>
          </w:p>
        </w:tc>
        <w:tc>
          <w:tcPr>
            <w:tcW w:w="8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142,306</w:t>
            </w:r>
          </w:p>
        </w:tc>
        <w:tc>
          <w:tcPr>
            <w:tcW w:w="0" w:type="dxa"/>
            <w:vAlign w:val="bottom"/>
          </w:tcPr>
          <w:p>
            <w:pPr>
              <w:spacing w:after="0"/>
              <w:rPr>
                <w:sz w:val="1"/>
                <w:szCs w:val="1"/>
                <w:color w:val="auto"/>
              </w:rPr>
            </w:pPr>
          </w:p>
        </w:tc>
      </w:tr>
      <w:tr>
        <w:trPr>
          <w:trHeight w:val="225"/>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8,446</w:t>
            </w:r>
          </w:p>
        </w:tc>
        <w:tc>
          <w:tcPr>
            <w:tcW w:w="0" w:type="dxa"/>
            <w:vAlign w:val="bottom"/>
          </w:tcPr>
          <w:p>
            <w:pPr>
              <w:spacing w:after="0"/>
              <w:rPr>
                <w:sz w:val="1"/>
                <w:szCs w:val="1"/>
                <w:color w:val="auto"/>
              </w:rPr>
            </w:pPr>
          </w:p>
        </w:tc>
      </w:tr>
      <w:tr>
        <w:trPr>
          <w:trHeight w:val="225"/>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73,760</w:t>
            </w:r>
          </w:p>
        </w:tc>
        <w:tc>
          <w:tcPr>
            <w:tcW w:w="0" w:type="dxa"/>
            <w:vAlign w:val="bottom"/>
          </w:tcPr>
          <w:p>
            <w:pPr>
              <w:spacing w:after="0"/>
              <w:rPr>
                <w:sz w:val="1"/>
                <w:szCs w:val="1"/>
                <w:color w:val="auto"/>
              </w:rPr>
            </w:pPr>
          </w:p>
        </w:tc>
      </w:tr>
      <w:tr>
        <w:trPr>
          <w:trHeight w:val="225"/>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agency bonds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w:t>
            </w:r>
          </w:p>
        </w:tc>
        <w:tc>
          <w:tcPr>
            <w:tcW w:w="0" w:type="dxa"/>
            <w:vAlign w:val="bottom"/>
          </w:tcPr>
          <w:p>
            <w:pPr>
              <w:spacing w:after="0"/>
              <w:rPr>
                <w:sz w:val="1"/>
                <w:szCs w:val="1"/>
                <w:color w:val="auto"/>
              </w:rPr>
            </w:pPr>
          </w:p>
        </w:tc>
      </w:tr>
      <w:tr>
        <w:trPr>
          <w:trHeight w:val="218"/>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233,069</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234,210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9660" w:type="dxa"/>
            <w:vAlign w:val="bottom"/>
            <w:gridSpan w:val="13"/>
          </w:tcPr>
          <w:p>
            <w:pPr>
              <w:ind w:left="320"/>
              <w:spacing w:after="0"/>
              <w:rPr>
                <w:sz w:val="20"/>
                <w:szCs w:val="20"/>
                <w:color w:val="auto"/>
              </w:rPr>
            </w:pPr>
            <w:r>
              <w:rPr>
                <w:rFonts w:ascii="Times New Roman" w:cs="Times New Roman" w:eastAsia="Times New Roman" w:hAnsi="Times New Roman"/>
                <w:sz w:val="18"/>
                <w:szCs w:val="18"/>
                <w:color w:val="auto"/>
                <w:w w:val="98"/>
              </w:rPr>
              <w:t>The following table presents the contractual maturities of the Company’s marketable securities as of April 30, 2026 (in thousands):</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3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5"/>
          </w:tcPr>
          <w:p>
            <w:pPr>
              <w:jc w:val="right"/>
              <w:ind w:right="1117"/>
              <w:spacing w:after="0"/>
              <w:rPr>
                <w:sz w:val="20"/>
                <w:szCs w:val="20"/>
                <w:color w:val="auto"/>
              </w:rPr>
            </w:pPr>
            <w:r>
              <w:rPr>
                <w:rFonts w:ascii="Times New Roman" w:cs="Times New Roman" w:eastAsia="Times New Roman" w:hAnsi="Times New Roman"/>
                <w:sz w:val="14"/>
                <w:szCs w:val="14"/>
                <w:b w:val="1"/>
                <w:bCs w:val="1"/>
                <w:color w:val="auto"/>
              </w:rPr>
              <w:t>As of April 30, 2026</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c>
          <w:tcPr>
            <w:tcW w:w="0" w:type="dxa"/>
            <w:vAlign w:val="bottom"/>
          </w:tcPr>
          <w:p>
            <w:pPr>
              <w:spacing w:after="0"/>
              <w:rPr>
                <w:sz w:val="1"/>
                <w:szCs w:val="1"/>
                <w:color w:val="auto"/>
              </w:rPr>
            </w:pPr>
          </w:p>
        </w:tc>
      </w:tr>
      <w:tr>
        <w:trPr>
          <w:trHeight w:val="23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3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89,155</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89,354</w:t>
            </w:r>
          </w:p>
        </w:tc>
        <w:tc>
          <w:tcPr>
            <w:tcW w:w="0" w:type="dxa"/>
            <w:vAlign w:val="bottom"/>
          </w:tcPr>
          <w:p>
            <w:pPr>
              <w:spacing w:after="0"/>
              <w:rPr>
                <w:sz w:val="1"/>
                <w:szCs w:val="1"/>
                <w:color w:val="auto"/>
              </w:rPr>
            </w:pPr>
          </w:p>
        </w:tc>
      </w:tr>
      <w:tr>
        <w:trPr>
          <w:trHeight w:val="225"/>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within one to three years</w:t>
            </w:r>
          </w:p>
        </w:tc>
        <w:tc>
          <w:tcPr>
            <w:tcW w:w="3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141,697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141,630</w:t>
            </w:r>
          </w:p>
        </w:tc>
        <w:tc>
          <w:tcPr>
            <w:tcW w:w="0" w:type="dxa"/>
            <w:vAlign w:val="bottom"/>
          </w:tcPr>
          <w:p>
            <w:pPr>
              <w:spacing w:after="0"/>
              <w:rPr>
                <w:sz w:val="1"/>
                <w:szCs w:val="1"/>
                <w:color w:val="auto"/>
              </w:rPr>
            </w:pPr>
          </w:p>
        </w:tc>
      </w:tr>
      <w:tr>
        <w:trPr>
          <w:trHeight w:val="243"/>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230,852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230,984</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periodically evaluates its investments for expected credit losses. The Company had certain available-for-sale investment securities in a gross unrealized loss position, substantially all of which had been in such position for less than 12 months. The unrealized losses on the available-for-sale securities were primarily due to unfavorable changes in interest rates subsequent to the initial purchase of these securities. The Company expects to recover the full carrying value of its available-for-sale securities in an unrealized loss position as it does not intend or anticipate a need to sell these securities prior to recovering the associated unrealized losses. The Company also expects any credit losses would be immaterial based on the high-grade credit rating for each of such available-for-sale securities. As a result, the Company does not consider any portion of the unrealized losses as of April 30, 2026 or January 31, 2026 to represent credit losses.</w:t>
      </w:r>
    </w:p>
    <w:p>
      <w:pPr>
        <w:spacing w:after="0" w:line="13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In April 2020 and November 2022, the Company entered into credit agreements (the “April 2020 Senior Secured Term Loan” and “November 2022 Senior Secured Credit Facility” as defined in </w:t>
      </w:r>
      <w:r>
        <w:rPr>
          <w:rFonts w:ascii="Times New Roman" w:cs="Times New Roman" w:eastAsia="Times New Roman" w:hAnsi="Times New Roman"/>
          <w:sz w:val="18"/>
          <w:szCs w:val="18"/>
          <w:i w:val="1"/>
          <w:iCs w:val="1"/>
          <w:color w:val="auto"/>
        </w:rPr>
        <w:t>Note 6. Debt</w:t>
      </w:r>
      <w:r>
        <w:rPr>
          <w:rFonts w:ascii="Times New Roman" w:cs="Times New Roman" w:eastAsia="Times New Roman" w:hAnsi="Times New Roman"/>
          <w:sz w:val="18"/>
          <w:szCs w:val="18"/>
          <w:color w:val="auto"/>
        </w:rPr>
        <w:t>) with Silicon Valley Bank (“SVB”). The credit facilities are carried at amortized cost, which approximated their fair values as of April 30, 2026 and January 31, 2026. If the credit facilities were measured at fair value in the financial statements, they would be classified as Level 2 in the fair value hierarchy. The April 2020 Senior Secured Term Loan was repaid in full and terminated in November 2022. On March 27, 2023, First Citizens BancShares, Inc. announced that it entered into an agreement to purchase assets and liabilities of SVB, inclusive of the November 2022 Senior Secured Credit Facility.</w:t>
      </w:r>
    </w:p>
    <w:p>
      <w:pPr>
        <w:spacing w:after="0" w:line="13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Balance Sheet Components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40" w:type="dxa"/>
            <w:vAlign w:val="bottom"/>
          </w:tcPr>
          <w:p>
            <w:pPr>
              <w:spacing w:after="0"/>
              <w:rPr>
                <w:sz w:val="16"/>
                <w:szCs w:val="16"/>
                <w:color w:val="auto"/>
              </w:rPr>
            </w:pPr>
          </w:p>
        </w:tc>
      </w:tr>
      <w:tr>
        <w:trPr>
          <w:trHeight w:val="24"/>
        </w:trPr>
        <w:tc>
          <w:tcPr>
            <w:tcW w:w="7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6"/>
        </w:trPr>
        <w:tc>
          <w:tcPr>
            <w:tcW w:w="7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40" w:type="dxa"/>
            <w:vAlign w:val="bottom"/>
          </w:tcPr>
          <w:p>
            <w:pPr>
              <w:spacing w:after="0"/>
              <w:rPr>
                <w:sz w:val="16"/>
                <w:szCs w:val="16"/>
                <w:color w:val="auto"/>
              </w:rPr>
            </w:pPr>
          </w:p>
        </w:tc>
        <w:tc>
          <w:tcPr>
            <w:tcW w:w="15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January 31, 2026</w:t>
            </w:r>
          </w:p>
        </w:tc>
      </w:tr>
      <w:tr>
        <w:trPr>
          <w:trHeight w:val="225"/>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99,333</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51,577</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12,858</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Desktop and other computer equipment</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r>
      <w:tr>
        <w:trPr>
          <w:trHeight w:val="218"/>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gross property and equipment</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170,313</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(82,000)</w:t>
            </w:r>
          </w:p>
        </w:tc>
      </w:tr>
      <w:tr>
        <w:trPr>
          <w:trHeight w:val="218"/>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88,911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88,313</w:t>
            </w:r>
          </w:p>
        </w:tc>
      </w:tr>
      <w:tr>
        <w:trPr>
          <w:trHeight w:val="20"/>
        </w:trPr>
        <w:tc>
          <w:tcPr>
            <w:tcW w:w="7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Depreciation and amortization expense was $6.1 million and $4.9 million for the three months ended April 30, 2026 and 2025, respectively.</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40" w:type="dxa"/>
            <w:vAlign w:val="bottom"/>
          </w:tcPr>
          <w:p>
            <w:pPr>
              <w:spacing w:after="0"/>
              <w:rPr>
                <w:sz w:val="16"/>
                <w:szCs w:val="16"/>
                <w:color w:val="auto"/>
              </w:rPr>
            </w:pPr>
          </w:p>
        </w:tc>
      </w:tr>
      <w:tr>
        <w:trPr>
          <w:trHeight w:val="24"/>
        </w:trPr>
        <w:tc>
          <w:tcPr>
            <w:tcW w:w="7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6"/>
        </w:trPr>
        <w:tc>
          <w:tcPr>
            <w:tcW w:w="7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40" w:type="dxa"/>
            <w:vAlign w:val="bottom"/>
          </w:tcPr>
          <w:p>
            <w:pPr>
              <w:spacing w:after="0"/>
              <w:rPr>
                <w:sz w:val="16"/>
                <w:szCs w:val="16"/>
                <w:color w:val="auto"/>
              </w:rPr>
            </w:pPr>
          </w:p>
        </w:tc>
        <w:tc>
          <w:tcPr>
            <w:tcW w:w="15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January 31, 2026</w:t>
            </w:r>
          </w:p>
        </w:tc>
      </w:tr>
      <w:tr>
        <w:trPr>
          <w:trHeight w:val="225"/>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15,389</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current</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23,962</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w:t>
            </w:r>
          </w:p>
        </w:tc>
      </w:tr>
      <w:tr>
        <w:trPr>
          <w:trHeight w:val="219"/>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48,573</w:t>
            </w:r>
          </w:p>
        </w:tc>
      </w:tr>
      <w:tr>
        <w:trPr>
          <w:trHeight w:val="20"/>
        </w:trPr>
        <w:tc>
          <w:tcPr>
            <w:tcW w:w="7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40" w:type="dxa"/>
            <w:vAlign w:val="bottom"/>
          </w:tcPr>
          <w:p>
            <w:pPr>
              <w:spacing w:after="0"/>
              <w:rPr>
                <w:sz w:val="16"/>
                <w:szCs w:val="16"/>
                <w:color w:val="auto"/>
              </w:rPr>
            </w:pPr>
          </w:p>
        </w:tc>
      </w:tr>
      <w:tr>
        <w:trPr>
          <w:trHeight w:val="24"/>
        </w:trPr>
        <w:tc>
          <w:tcPr>
            <w:tcW w:w="7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6"/>
        </w:trPr>
        <w:tc>
          <w:tcPr>
            <w:tcW w:w="7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40" w:type="dxa"/>
            <w:vAlign w:val="bottom"/>
          </w:tcPr>
          <w:p>
            <w:pPr>
              <w:spacing w:after="0"/>
              <w:rPr>
                <w:sz w:val="16"/>
                <w:szCs w:val="16"/>
                <w:color w:val="auto"/>
              </w:rPr>
            </w:pPr>
          </w:p>
        </w:tc>
        <w:tc>
          <w:tcPr>
            <w:tcW w:w="15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January 31, 2026</w:t>
            </w:r>
          </w:p>
        </w:tc>
      </w:tr>
      <w:tr>
        <w:trPr>
          <w:trHeight w:val="225"/>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current</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40,823</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liabilities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24,144</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 and value-added taxes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15,748</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 for fringe benefits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14,148</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consulting expenses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advertising expenses</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17,857</w:t>
            </w:r>
          </w:p>
        </w:tc>
      </w:tr>
      <w:tr>
        <w:trPr>
          <w:trHeight w:val="218"/>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105,559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123,716</w:t>
            </w:r>
          </w:p>
        </w:tc>
      </w:tr>
      <w:tr>
        <w:trPr>
          <w:trHeight w:val="20"/>
        </w:trPr>
        <w:tc>
          <w:tcPr>
            <w:tcW w:w="7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April 2020, the Company entered into a five-year $40.0 million term loan agreement with SVB (the “April 2020 Senior Secured Term Loan”) which provided for a senior secured term loan facility, in an aggregate principal amount of up to $40.0 million to be used for the construction of the Company’s corporate headquarters. Interest accrued and was payable monthly based on a floating rate per annum equal to the prime rate (per the Wall Street Journal) plus an applicable margin ranging from 0% to (1.0)% based on the Company’s unrestricted cash balance at the lender. The April 2020 Senior Secured Term Loan was repaid in full and terminated in November 2022 in connection with a refinance.</w:t>
      </w:r>
    </w:p>
    <w:p>
      <w:pPr>
        <w:spacing w:after="0" w:line="13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November 2022, the Company entered into an agreement for a four-year credit facility (as amended on April 13, 2023, June 18, 2024, November 18, 2024, May 29, 2025, and February 26, 2026, the “November 2022 Senior Secured Credit Facility”) with SVB, which refinanced the April 2020 Senior Secured Term Loan. The November 2022 Senior Secured Credit Facility provides for senior secured credit facilities in the aggregate principal amount of $150.0 million, including a senior secured term loan facility in an aggregate principal amount of $50.0 million and a revolving loan facility in an aggregate principal amount of up to $100.0 million, including a $30.0 million letter of credit sub-facility, maturing on November 7, 2026. On March 27, 2023, First Citizens BancShares, Inc. announced that it entered into an agreement to purchase assets and liabilities of SVB, inclusive of the November 2022 Senior Secured Credit Facility.</w:t>
      </w:r>
    </w:p>
    <w:p>
      <w:pPr>
        <w:spacing w:after="0" w:line="13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Borrowings under the November 2022 Senior Secured Credit Facility may be designated as ABR Loans or SOFR Loans, subject to certain terms and conditions under the agreement. ABR Loans accrue interest at a rate per annum equal to the ABR plus an applicable margin of 1.25%. Term SOFR Loans accrue interest at a rate per annum equal to the applicable adjusted term SOFR rate, which is equal to the applicable term SOFR rate plus a term SOFR adjustment of 10 basis points, provided such adjusted term SOFR rate shall not be less than zero, plus an applicable margin of 2.25%. Interest accrues and is payable on a monthly basis.</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November 2022 Senior Secured Credit Facility contains customary conditions to borrowing, events of default, and covenants, including covenants that restrict the Company’s ability to incur indebtedness, make or hold investments, execute certain change of control transactions, business combinations or other fundamental changes to the business, dispose of assets, make certain types of restricted payments or enter into certain related party transactions, subject to customary exceptions. In addition, the November 2022 Senior Secured Credit Facility contains financial covenants, including a consolidated adjusted quick ratio of 1.25 to 1.00, as well as a minimum cash adjusted earnings before interest, taxes, depreciation, and amortization (“EBITDA”), each tested on a quarterly basis.</w:t>
      </w:r>
    </w:p>
    <w:p>
      <w:pPr>
        <w:spacing w:after="0" w:line="132"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Pursuant to the terms of the November 2022 Senior Secured Credit Facility, the Company may issue letters of credit which may reduce the total amount available for borrowing under the revolving credit facility. Additionally, the Company is required to pay an annual commitment fee that accrues at a rate of 0.15% per annum on the unused portion of the borrowing commitments under the revolving credit facility. The Company had an aggregate of $21.7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million of letters of credit outstanding under the revolving credit facility as of April 30, 2026, and the Company’s total available borrowing capacity under the revolving credit facility was $78.3 million as of April 30, 2026.</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April 30, 2026, $50.0 million was drawn and $38.1 million was outstanding under the November 2022 Senior Secured Credit Facility. As of April 30, 2026, the Company was in compliance with all financial covenants.</w:t>
      </w:r>
    </w:p>
    <w:p>
      <w:pPr>
        <w:spacing w:after="0" w:line="110"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In conjunction with the close of the November 2022 Senior Secured Credit Facility, the Company paid upfront issuance fees of $0.4 million. The upfront fees are amortized over the remaining term of the agreement. As of April 30, 2026, the Company had less than $0.1 million remaining of upfront issuance fees allocated to the revolving credit facility presented in the Company’s condensed consolidated balance sheet within prepaid expenses and other current assets.</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net carrying amounts of the November 2022 Senior Secured Credit Facility were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40" w:type="dxa"/>
            <w:vAlign w:val="bottom"/>
          </w:tcPr>
          <w:p>
            <w:pPr>
              <w:spacing w:after="0"/>
              <w:rPr>
                <w:sz w:val="16"/>
                <w:szCs w:val="16"/>
                <w:color w:val="auto"/>
              </w:rPr>
            </w:pPr>
          </w:p>
        </w:tc>
      </w:tr>
      <w:tr>
        <w:trPr>
          <w:trHeight w:val="24"/>
        </w:trPr>
        <w:tc>
          <w:tcPr>
            <w:tcW w:w="7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6"/>
        </w:trPr>
        <w:tc>
          <w:tcPr>
            <w:tcW w:w="7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40" w:type="dxa"/>
            <w:vAlign w:val="bottom"/>
          </w:tcPr>
          <w:p>
            <w:pPr>
              <w:spacing w:after="0"/>
              <w:rPr>
                <w:sz w:val="16"/>
                <w:szCs w:val="16"/>
                <w:color w:val="auto"/>
              </w:rPr>
            </w:pPr>
          </w:p>
        </w:tc>
        <w:tc>
          <w:tcPr>
            <w:tcW w:w="15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January 31, 2026</w:t>
            </w:r>
          </w:p>
        </w:tc>
      </w:tr>
      <w:tr>
        <w:trPr>
          <w:trHeight w:val="225"/>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40,625</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loan issuance costs</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40,823</w:t>
            </w:r>
          </w:p>
        </w:tc>
      </w:tr>
      <w:tr>
        <w:trPr>
          <w:trHeight w:val="20"/>
        </w:trPr>
        <w:tc>
          <w:tcPr>
            <w:tcW w:w="7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12"/>
        </w:trPr>
        <w:tc>
          <w:tcPr>
            <w:tcW w:w="7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current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40,823</w:t>
            </w:r>
          </w:p>
        </w:tc>
      </w:tr>
    </w:tbl>
    <w:p>
      <w:pPr>
        <w:spacing w:after="0" w:line="3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net carrying amount of the current portion of the term loan is presented within accrued expenses and other current liabilities in the condensed consolidated balance sheets.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expected future principal payments for all borrowings as of April 30, 2026 is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200" w:type="dxa"/>
            <w:vAlign w:val="bottom"/>
          </w:tcPr>
          <w:p>
            <w:pPr>
              <w:spacing w:after="0"/>
              <w:rPr>
                <w:sz w:val="13"/>
                <w:szCs w:val="13"/>
                <w:color w:val="auto"/>
              </w:rPr>
            </w:pPr>
          </w:p>
        </w:tc>
        <w:tc>
          <w:tcPr>
            <w:tcW w:w="158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Expected Principal</w:t>
            </w:r>
          </w:p>
        </w:tc>
        <w:tc>
          <w:tcPr>
            <w:tcW w:w="0" w:type="dxa"/>
            <w:vAlign w:val="bottom"/>
          </w:tcPr>
          <w:p>
            <w:pPr>
              <w:spacing w:after="0"/>
              <w:rPr>
                <w:sz w:val="1"/>
                <w:szCs w:val="1"/>
                <w:color w:val="auto"/>
              </w:rPr>
            </w:pPr>
          </w:p>
        </w:tc>
      </w:tr>
      <w:tr>
        <w:trPr>
          <w:trHeight w:val="191"/>
        </w:trPr>
        <w:tc>
          <w:tcPr>
            <w:tcW w:w="94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224"/>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year 2027</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38,125</w:t>
            </w:r>
          </w:p>
        </w:tc>
        <w:tc>
          <w:tcPr>
            <w:tcW w:w="0" w:type="dxa"/>
            <w:vAlign w:val="bottom"/>
          </w:tcPr>
          <w:p>
            <w:pPr>
              <w:spacing w:after="0"/>
              <w:rPr>
                <w:sz w:val="1"/>
                <w:szCs w:val="1"/>
                <w:color w:val="auto"/>
              </w:rPr>
            </w:pPr>
          </w:p>
        </w:tc>
      </w:tr>
      <w:tr>
        <w:trPr>
          <w:trHeight w:val="218"/>
        </w:trPr>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expected future principal payments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38,125</w:t>
            </w:r>
          </w:p>
        </w:tc>
        <w:tc>
          <w:tcPr>
            <w:tcW w:w="0" w:type="dxa"/>
            <w:vAlign w:val="bottom"/>
          </w:tcPr>
          <w:p>
            <w:pPr>
              <w:spacing w:after="0"/>
              <w:rPr>
                <w:sz w:val="1"/>
                <w:szCs w:val="1"/>
                <w:color w:val="auto"/>
              </w:rPr>
            </w:pPr>
          </w:p>
        </w:tc>
      </w:tr>
      <w:tr>
        <w:trPr>
          <w:trHeight w:val="20"/>
        </w:trPr>
        <w:tc>
          <w:tcPr>
            <w:tcW w:w="9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Standby Letters of Credit</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April 30, 2026, the Company had several letters of credit outstanding related to its operating leases totaling $21.7 million. The letters of credit expire at various dates between fiscal 2028 and fiscal 2035.</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November 2024, the Company entered into a 60-month contract with Amazon Web Services (“AWS”) for hosting-related services, which replaced the Company’s prior agreement with AWS and terminated the remaining commitments under the prior agreement. Pursuant to the terms of the November 2024 contract with AWS, the Company is required to spend $255.0 million over the term of the contract between December 2024 to November 2029. The commitment may be offset by up to $4.2 million in credits, of which $3.7 million are subject to the Company meeting certain conditions of the agreement. As of April 30, 2026, the Company had purchase commitments remaining of $189.8 million under this contract, which are not reflected on the Company’s condensed consolidated balance sheet as of April 30, 2026. The Company may include certain agreements with third-party vendors purchased through AWS Marketplace within the AWS commitment, as spend for these agreements are eligible and expected to be used to meet the purchase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2"/>
        </w:trPr>
        <w:tc>
          <w:tcPr>
            <w:tcW w:w="9460" w:type="dxa"/>
            <w:vAlign w:val="bottom"/>
          </w:tcPr>
          <w:p>
            <w:pPr>
              <w:jc w:val="center"/>
              <w:ind w:left="1713"/>
              <w:spacing w:after="0"/>
              <w:rPr>
                <w:sz w:val="20"/>
                <w:szCs w:val="20"/>
                <w:color w:val="auto"/>
              </w:rPr>
            </w:pPr>
            <w:r>
              <w:rPr>
                <w:rFonts w:ascii="Times New Roman" w:cs="Times New Roman" w:eastAsia="Times New Roman" w:hAnsi="Times New Roman"/>
                <w:sz w:val="18"/>
                <w:szCs w:val="18"/>
                <w:b w:val="1"/>
                <w:bCs w:val="1"/>
                <w:color w:val="auto"/>
                <w:w w:val="97"/>
              </w:rPr>
              <w:t>ASANA, INC.</w:t>
            </w: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2"/>
        </w:trPr>
        <w:tc>
          <w:tcPr>
            <w:tcW w:w="9460" w:type="dxa"/>
            <w:vAlign w:val="bottom"/>
          </w:tcPr>
          <w:p>
            <w:pPr>
              <w:jc w:val="center"/>
              <w:ind w:left="1713"/>
              <w:spacing w:after="0"/>
              <w:rPr>
                <w:sz w:val="20"/>
                <w:szCs w:val="20"/>
                <w:color w:val="auto"/>
              </w:rPr>
            </w:pPr>
            <w:r>
              <w:rPr>
                <w:rFonts w:ascii="Times New Roman" w:cs="Times New Roman" w:eastAsia="Times New Roman" w:hAnsi="Times New Roman"/>
                <w:sz w:val="18"/>
                <w:szCs w:val="18"/>
                <w:b w:val="1"/>
                <w:bCs w:val="1"/>
                <w:color w:val="auto"/>
                <w:w w:val="97"/>
              </w:rPr>
              <w:t>NOTES TO CONDENSED CONSOLIDATED FINANCIAL STATEMENTS</w:t>
            </w: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3"/>
        </w:trPr>
        <w:tc>
          <w:tcPr>
            <w:tcW w:w="9460" w:type="dxa"/>
            <w:vAlign w:val="bottom"/>
          </w:tcPr>
          <w:p>
            <w:pPr>
              <w:jc w:val="center"/>
              <w:ind w:left="1693"/>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530"/>
        </w:trPr>
        <w:tc>
          <w:tcPr>
            <w:tcW w:w="9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Future commitments under the AWS contract as of April 30, 2026, are as follows (in thousands):</w:t>
            </w: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59"/>
        </w:trPr>
        <w:tc>
          <w:tcPr>
            <w:tcW w:w="9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140" w:type="dxa"/>
            <w:vAlign w:val="bottom"/>
          </w:tcPr>
          <w:p>
            <w:pPr>
              <w:spacing w:after="0"/>
              <w:rPr>
                <w:sz w:val="24"/>
                <w:szCs w:val="24"/>
                <w:color w:val="auto"/>
              </w:rPr>
            </w:pPr>
          </w:p>
        </w:tc>
        <w:tc>
          <w:tcPr>
            <w:tcW w:w="16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Purchase Commitments</w:t>
            </w:r>
          </w:p>
        </w:tc>
      </w:tr>
      <w:tr>
        <w:trPr>
          <w:trHeight w:val="24"/>
        </w:trPr>
        <w:tc>
          <w:tcPr>
            <w:tcW w:w="9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year 2027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21,798</w:t>
            </w:r>
          </w:p>
        </w:tc>
      </w:tr>
      <w:tr>
        <w:trPr>
          <w:trHeight w:val="225"/>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w:t>
            </w:r>
          </w:p>
        </w:tc>
      </w:tr>
      <w:tr>
        <w:trPr>
          <w:trHeight w:val="225"/>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w:t>
            </w:r>
          </w:p>
        </w:tc>
      </w:tr>
      <w:tr>
        <w:trPr>
          <w:trHeight w:val="225"/>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58,000</w:t>
            </w:r>
          </w:p>
        </w:tc>
      </w:tr>
      <w:tr>
        <w:trPr>
          <w:trHeight w:val="243"/>
        </w:trPr>
        <w:tc>
          <w:tcPr>
            <w:tcW w:w="9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remaining purchase commitments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189,798</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months ended April 30, 2026, other than certain non-cancelable operating leases described in </w:t>
      </w:r>
      <w:r>
        <w:rPr>
          <w:rFonts w:ascii="Times New Roman" w:cs="Times New Roman" w:eastAsia="Times New Roman" w:hAnsi="Times New Roman"/>
          <w:sz w:val="18"/>
          <w:szCs w:val="18"/>
          <w:i w:val="1"/>
          <w:iCs w:val="1"/>
          <w:color w:val="auto"/>
        </w:rPr>
        <w:t>Note 8. Leases</w:t>
      </w:r>
      <w:r>
        <w:rPr>
          <w:rFonts w:ascii="Times New Roman" w:cs="Times New Roman" w:eastAsia="Times New Roman" w:hAnsi="Times New Roman"/>
          <w:sz w:val="18"/>
          <w:szCs w:val="18"/>
          <w:color w:val="auto"/>
        </w:rPr>
        <w:t xml:space="preserve"> and the commitment for hosting-related services described above, there have been no other material changes outside the ordinary course of business to the Company’s contractual obligations and commitments from those disclosed in the Company’s Annual Report on Form 10-K for the fiscal year ended January 31, 2026.</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its directors and officers that may require the Company to indemnify its directors and officers against any liabilities that may arise by reason of their status or service as directors or officers, other than liabilities arising from willful misconduct of the individual.</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Additionally, in the ordinary course of business, the Company enters into agreements of varying scope and terms pursuant to which it agrees to indemnify customers, vendors, lessors, business partners, and other parties with respect to certain matters, including, but not limited to, losses arising out of the breach of such agreements, services to be provided by the Company, or from intellectual property infringement claims made by third parties. For the three months ended April 30, 2026 and 2025, no demands have been made upon the Company to provide indemnification under such agreements, and there are no claims that the Company is aware of that could have a material adverse effect on its financial position, results of operations, or cash flows.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may be subject to various claims and other legal matters arising in the ordinary course of business. As of April 30, 2026, the Company believes that none of its current legal proceedings would have a material adverse effect on its financial position, results of operations, or cash flows.</w:t>
      </w:r>
    </w:p>
    <w:p>
      <w:pPr>
        <w:spacing w:after="0" w:line="12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leases real estate facilities under non-cancelable operating leases with various expiration dates through fiscal 2034. The Company has no lease agreements that are classified as finance leases.</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Future minimum lease payments under non-cancelable operating leases with initial lease terms in excess of one year included in the Company’s total operating lease liabilities as of April 30, 2026 are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 Payments</w:t>
            </w:r>
          </w:p>
        </w:tc>
      </w:tr>
      <w:tr>
        <w:trPr>
          <w:trHeight w:val="24"/>
        </w:trPr>
        <w:tc>
          <w:tcPr>
            <w:tcW w:w="9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year 2027</w:t>
            </w:r>
          </w:p>
        </w:tc>
        <w:tc>
          <w:tcPr>
            <w:tcW w:w="62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32,987</w:t>
            </w:r>
          </w:p>
        </w:tc>
      </w:tr>
      <w:tr>
        <w:trPr>
          <w:trHeight w:val="225"/>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43,223</w:t>
            </w:r>
          </w:p>
        </w:tc>
      </w:tr>
      <w:tr>
        <w:trPr>
          <w:trHeight w:val="225"/>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38,934</w:t>
            </w:r>
          </w:p>
        </w:tc>
      </w:tr>
      <w:tr>
        <w:trPr>
          <w:trHeight w:val="225"/>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35,146</w:t>
            </w:r>
          </w:p>
        </w:tc>
      </w:tr>
      <w:tr>
        <w:trPr>
          <w:trHeight w:val="225"/>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136,340</w:t>
            </w:r>
          </w:p>
        </w:tc>
      </w:tr>
      <w:tr>
        <w:trPr>
          <w:trHeight w:val="218"/>
        </w:trPr>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62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286,630</w:t>
            </w:r>
          </w:p>
        </w:tc>
      </w:tr>
      <w:tr>
        <w:trPr>
          <w:trHeight w:val="225"/>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(76,687)</w:t>
            </w:r>
          </w:p>
        </w:tc>
      </w:tr>
      <w:tr>
        <w:trPr>
          <w:trHeight w:val="218"/>
        </w:trPr>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6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209,943</w:t>
            </w:r>
          </w:p>
        </w:tc>
      </w:tr>
      <w:tr>
        <w:trPr>
          <w:trHeight w:val="20"/>
        </w:trPr>
        <w:tc>
          <w:tcPr>
            <w:tcW w:w="9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April 30, 2026, the Company has a commitment of $22.5 million for operating leases that have not yet commenced, and therefore are not included in the ROU asset or operating lease liabilities. The foregoing operating leases expire between fiscal 2033 and fiscal 2037.</w:t>
      </w:r>
    </w:p>
    <w:p>
      <w:pPr>
        <w:spacing w:after="0" w:line="110"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Company has subleased certain office spaces to third parties and has classified the subleases as operating leases. The subleases have lease terms ranging from four to five years. Sublease income was $1.2 million for the three months ended April 30, 2026 and $0.6 million for the three months ended April 30, 2025. The Company recognizes sublease income as a reduction of lease expense in the Company’s condensed consolidated statements of operations.</w:t>
      </w:r>
    </w:p>
    <w:p>
      <w:pPr>
        <w:spacing w:after="0" w:line="10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Operating lease amounts in the table above do not include sublease payments to be received of $16.1 million. As of April 30, 2026, the future total minimum sublease payments to be received were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120" w:type="dxa"/>
            <w:vAlign w:val="bottom"/>
          </w:tcPr>
          <w:p>
            <w:pPr>
              <w:spacing w:after="0"/>
              <w:rPr>
                <w:sz w:val="13"/>
                <w:szCs w:val="13"/>
                <w:color w:val="auto"/>
              </w:rPr>
            </w:pPr>
          </w:p>
        </w:tc>
        <w:tc>
          <w:tcPr>
            <w:tcW w:w="16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Sublease Payments to be</w:t>
            </w:r>
          </w:p>
        </w:tc>
        <w:tc>
          <w:tcPr>
            <w:tcW w:w="0" w:type="dxa"/>
            <w:vAlign w:val="bottom"/>
          </w:tcPr>
          <w:p>
            <w:pPr>
              <w:spacing w:after="0"/>
              <w:rPr>
                <w:sz w:val="1"/>
                <w:szCs w:val="1"/>
                <w:color w:val="auto"/>
              </w:rPr>
            </w:pPr>
          </w:p>
        </w:tc>
      </w:tr>
      <w:tr>
        <w:trPr>
          <w:trHeight w:val="191"/>
        </w:trPr>
        <w:tc>
          <w:tcPr>
            <w:tcW w:w="9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0" w:type="dxa"/>
            <w:vAlign w:val="bottom"/>
          </w:tcPr>
          <w:p>
            <w:pPr>
              <w:spacing w:after="0"/>
              <w:rPr>
                <w:sz w:val="1"/>
                <w:szCs w:val="1"/>
                <w:color w:val="auto"/>
              </w:rPr>
            </w:pPr>
          </w:p>
        </w:tc>
      </w:tr>
      <w:tr>
        <w:trPr>
          <w:trHeight w:val="224"/>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year 2027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0" w:type="dxa"/>
            <w:vAlign w:val="bottom"/>
          </w:tcPr>
          <w:p>
            <w:pPr>
              <w:spacing w:after="0"/>
              <w:rPr>
                <w:sz w:val="1"/>
                <w:szCs w:val="1"/>
                <w:color w:val="auto"/>
              </w:rPr>
            </w:pPr>
          </w:p>
        </w:tc>
      </w:tr>
      <w:tr>
        <w:trPr>
          <w:trHeight w:val="225"/>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0" w:type="dxa"/>
            <w:vAlign w:val="bottom"/>
          </w:tcPr>
          <w:p>
            <w:pPr>
              <w:spacing w:after="0"/>
              <w:rPr>
                <w:sz w:val="1"/>
                <w:szCs w:val="1"/>
                <w:color w:val="auto"/>
              </w:rPr>
            </w:pPr>
          </w:p>
        </w:tc>
      </w:tr>
      <w:tr>
        <w:trPr>
          <w:trHeight w:val="225"/>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0" w:type="dxa"/>
            <w:vAlign w:val="bottom"/>
          </w:tcPr>
          <w:p>
            <w:pPr>
              <w:spacing w:after="0"/>
              <w:rPr>
                <w:sz w:val="1"/>
                <w:szCs w:val="1"/>
                <w:color w:val="auto"/>
              </w:rPr>
            </w:pPr>
          </w:p>
        </w:tc>
      </w:tr>
      <w:tr>
        <w:trPr>
          <w:trHeight w:val="225"/>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0" w:type="dxa"/>
            <w:vAlign w:val="bottom"/>
          </w:tcPr>
          <w:p>
            <w:pPr>
              <w:spacing w:after="0"/>
              <w:rPr>
                <w:sz w:val="1"/>
                <w:szCs w:val="1"/>
                <w:color w:val="auto"/>
              </w:rPr>
            </w:pPr>
          </w:p>
        </w:tc>
      </w:tr>
      <w:tr>
        <w:trPr>
          <w:trHeight w:val="243"/>
        </w:trPr>
        <w:tc>
          <w:tcPr>
            <w:tcW w:w="9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sublease payments to be received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16,144</w:t>
            </w:r>
          </w:p>
        </w:tc>
        <w:tc>
          <w:tcPr>
            <w:tcW w:w="0" w:type="dxa"/>
            <w:vAlign w:val="bottom"/>
          </w:tcPr>
          <w:p>
            <w:pPr>
              <w:spacing w:after="0"/>
              <w:rPr>
                <w:sz w:val="1"/>
                <w:szCs w:val="1"/>
                <w:color w:val="auto"/>
              </w:rPr>
            </w:pP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Net Loss Per Share</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computes net loss per share using the two-class method required for multiple classes of common stock and participating securities. The rights, including the liquidation and dividend rights, of the Class A common stock and Class B common stock are substantially identical, other than voting and conversion rights. Accordingly, the Class A common stock and Class B common stock share equally in the Company’s net income and losses.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(in thousands,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2980" w:type="dxa"/>
            <w:vAlign w:val="bottom"/>
            <w:gridSpan w:val="4"/>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80" w:type="dxa"/>
            <w:vAlign w:val="bottom"/>
          </w:tcPr>
          <w:p>
            <w:pPr>
              <w:spacing w:after="0"/>
              <w:rPr>
                <w:sz w:val="16"/>
                <w:szCs w:val="16"/>
                <w:color w:val="auto"/>
              </w:rPr>
            </w:pPr>
          </w:p>
        </w:tc>
      </w:tr>
      <w:tr>
        <w:trPr>
          <w:trHeight w:val="24"/>
        </w:trPr>
        <w:tc>
          <w:tcPr>
            <w:tcW w:w="75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75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r>
      <w:tr>
        <w:trPr>
          <w:trHeight w:val="21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Borders>
              <w:bottom w:val="single" w:sz="8" w:color="auto"/>
            </w:tcBorders>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(14,405)</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(40,018)</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2"/>
        </w:trPr>
        <w:tc>
          <w:tcPr>
            <w:tcW w:w="758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Denominator:</w:t>
            </w:r>
          </w:p>
        </w:tc>
        <w:tc>
          <w:tcPr>
            <w:tcW w:w="10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calculating net loss per share, basic and diluted</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238,164</w:t>
            </w: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234,859</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43"/>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for the period presented because including them would have been anti-dilutive are as follows (in thousands):</w:t>
      </w:r>
    </w:p>
    <w:p>
      <w:pPr>
        <w:spacing w:after="0" w:line="144"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8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780" w:type="dxa"/>
            <w:vAlign w:val="bottom"/>
            <w:tcBorders>
              <w:top w:val="single" w:sz="8" w:color="auto"/>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w:t>
            </w:r>
          </w:p>
        </w:tc>
      </w:tr>
      <w:tr>
        <w:trPr>
          <w:trHeight w:val="225"/>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18,063</w:t>
            </w:r>
          </w:p>
        </w:tc>
      </w:tr>
      <w:tr>
        <w:trPr>
          <w:trHeight w:val="225"/>
        </w:trPr>
        <w:tc>
          <w:tcPr>
            <w:tcW w:w="870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Performance-based restricted stock units </w:t>
            </w:r>
            <w:r>
              <w:rPr>
                <w:rFonts w:ascii="Times New Roman" w:cs="Times New Roman" w:eastAsia="Times New Roman" w:hAnsi="Times New Roman"/>
                <w:sz w:val="22"/>
                <w:szCs w:val="22"/>
                <w:color w:val="auto"/>
                <w:vertAlign w:val="superscript"/>
              </w:rPr>
              <w:t>(1)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issuable pursuant to the 2020 Employee Stock Purchase Plan</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38"/>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16,081</w:t>
            </w:r>
          </w:p>
        </w:tc>
        <w:tc>
          <w:tcPr>
            <w:tcW w:w="10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23,991</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0" w:lineRule="exact"/>
        <w:rPr>
          <w:sz w:val="20"/>
          <w:szCs w:val="20"/>
          <w:color w:val="auto"/>
        </w:rPr>
      </w:pPr>
    </w:p>
    <w:p>
      <w:pPr>
        <w:jc w:val="both"/>
        <w:ind w:left="320" w:hanging="314"/>
        <w:spacing w:after="0" w:line="262" w:lineRule="auto"/>
        <w:tabs>
          <w:tab w:leader="none" w:pos="3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Performance-based restricted stock units are presented at the number of shares eligible to vest based on 100% target attainment of the market and performance conditions, however the number of shares that ultimately vest will range between zero and 200% depending on level of attainment. See </w:t>
      </w:r>
      <w:r>
        <w:rPr>
          <w:rFonts w:ascii="Times New Roman" w:cs="Times New Roman" w:eastAsia="Times New Roman" w:hAnsi="Times New Roman"/>
          <w:sz w:val="16"/>
          <w:szCs w:val="16"/>
          <w:i w:val="1"/>
          <w:iCs w:val="1"/>
          <w:color w:val="auto"/>
        </w:rPr>
        <w:t>Note 10. Stockholders’ Equity</w:t>
      </w:r>
      <w:r>
        <w:rPr>
          <w:rFonts w:ascii="Times New Roman" w:cs="Times New Roman" w:eastAsia="Times New Roman" w:hAnsi="Times New Roman"/>
          <w:sz w:val="16"/>
          <w:szCs w:val="16"/>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There are two classes of common stock that total 1,500,000,000 authorized shares: 1,000,000,000 authorized shares of Class A common stock and 500,000,000 authorized shares of Class B common stock. The rights of the holders of Class A common stock and Class B common stock are identical, except with respect to voting and conversion. Each share of Class A common stock is entitled to one vote per share. Each share of Class B common stock is entitled to 10 votes per share and is convertible into one share of Class A common stock. There were 164,360,667 shares of Class A common stock and 69,540,280 shares of Class B common stock issued and outstanding as of April 30, 2026. There were 162,018,631 shares of Class A common stock and 75,896,680 shares of Class B common stock outstanding as of January 31, 2026.</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All changes in the number of shares of common stock outstanding for the three months ended April 30, 2026 were related to changes in Class A common stock, other than conversions of Class B common stock into an equivalent number of shares of Class A common stock.</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 Plans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has a 2009 Stock Plan (the “2009 Plan”), a 2012 Amended and Restated Stock Plan (the “2012 Plan”), and a 2020 Equity Incentive Plan (the “2020 Plan”). Each plan was initially established to grant equity awards to employees and consultants of the Company to assist in attracting, retaining, and motivating employees and consultants and to provide incentives to promote the success of the Company’s business. The number of shares reserved for issuance under the 2020 Plan increased by 11,895,765 shares of Class A common stock on February 1, 2026. As of April 30, 2026, 57,760,357 shares were reserved for issuance under the 2020 Plan.</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There are no outstanding awards under the 2009 Plan, and new issuances under the 2012 Plan terminated upon completion of the direct listing. Awards outstanding under the 2012 Plan continue to be outstanding and are governed by the provisions of the 2012 Plan. The 2020 Plan provides for the grant of incentive stock options (“ISOs”), within the meaning of Section 422 of the Code, nonstatutory stock options (“NSOs” and together with ISOs, “stock options”), stock appreciation rights, restricted stock awards, restricted stock unit awards (“RSUs”), performance-based restricted stock unit awards (“PSUs”), and other forms of equity compensation.</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ISOs may be granted only to Company employees (including officers and directors who are also employees). NSOs may be granted to Company employees and consultants. Stock options under the 2020 Plan may be granted for periods of up to 10 years. The exercise price of ISOs and NSOs shall not be less than 100% of the estimated fair value of the shares on the date of grant as determined by the Company’s board of directors. Stock options granted generally vest over four years and vest at a rate of 25% upon the first anniversary of the vesting commencement date and 1/48 per month thereafter.</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has outstanding RSU awards issued pursuant to the 2012 Plan and 2020 Plan. RSUs granted generally vest on a predefined rate over a period of one to four years contingent upon continuous service.</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Shares of common stock purchased under the 2012 Plan are subject to certain restrictions and repurchase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Option activity under the Company’s combined stock plans is set forth below (in thousands, except years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vMerge w:val="restart"/>
          </w:tcPr>
          <w:p>
            <w:pPr>
              <w:jc w:val="center"/>
              <w:ind w:left="50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jc w:val="center"/>
              <w:ind w:left="406"/>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8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jc w:val="center"/>
              <w:ind w:left="426"/>
              <w:spacing w:after="0" w:line="14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1260" w:type="dxa"/>
            <w:vAlign w:val="bottom"/>
            <w:vMerge w:val="restart"/>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jc w:val="center"/>
              <w:ind w:left="507"/>
              <w:spacing w:after="0" w:line="13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Pr>
          <w:p>
            <w:pPr>
              <w:jc w:val="center"/>
              <w:ind w:left="426"/>
              <w:spacing w:after="0" w:line="133"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38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jc w:val="center"/>
              <w:ind w:left="507"/>
              <w:spacing w:after="0" w:line="146"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80" w:type="dxa"/>
            <w:vAlign w:val="bottom"/>
            <w:gridSpan w:val="5"/>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8"/>
              </w:rPr>
              <w:t>Contractual Term</w:t>
            </w:r>
          </w:p>
        </w:tc>
        <w:tc>
          <w:tcPr>
            <w:tcW w:w="2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840" w:type="dxa"/>
            <w:vAlign w:val="bottom"/>
          </w:tcPr>
          <w:p>
            <w:pPr>
              <w:spacing w:after="0"/>
              <w:rPr>
                <w:sz w:val="16"/>
                <w:szCs w:val="16"/>
                <w:color w:val="auto"/>
              </w:rPr>
            </w:pPr>
          </w:p>
        </w:tc>
        <w:tc>
          <w:tcPr>
            <w:tcW w:w="1260" w:type="dxa"/>
            <w:vAlign w:val="bottom"/>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Price Per Share</w:t>
            </w:r>
          </w:p>
        </w:tc>
        <w:tc>
          <w:tcPr>
            <w:tcW w:w="1260" w:type="dxa"/>
            <w:vAlign w:val="bottom"/>
          </w:tcPr>
          <w:p>
            <w:pPr>
              <w:jc w:val="center"/>
              <w:ind w:left="426"/>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4"/>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January 31, 2026</w:t>
            </w:r>
          </w:p>
        </w:tc>
        <w:tc>
          <w:tcPr>
            <w:tcW w:w="126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02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28,562</w:t>
            </w:r>
          </w:p>
        </w:tc>
        <w:tc>
          <w:tcPr>
            <w:tcW w:w="0" w:type="dxa"/>
            <w:vAlign w:val="bottom"/>
          </w:tcPr>
          <w:p>
            <w:pPr>
              <w:spacing w:after="0"/>
              <w:rPr>
                <w:sz w:val="1"/>
                <w:szCs w:val="1"/>
                <w:color w:val="auto"/>
              </w:rPr>
            </w:pPr>
          </w:p>
        </w:tc>
      </w:tr>
      <w:tr>
        <w:trPr>
          <w:trHeight w:val="225"/>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 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options cancelled</w:t>
            </w:r>
          </w:p>
        </w:tc>
        <w:tc>
          <w:tcPr>
            <w:tcW w:w="1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April 30, 2026</w:t>
            </w:r>
          </w:p>
        </w:tc>
        <w:tc>
          <w:tcPr>
            <w:tcW w:w="12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1300" w:type="dxa"/>
            <w:vAlign w:val="bottom"/>
            <w:tcBorders>
              <w:bottom w:val="single" w:sz="8" w:color="CCEEFF"/>
            </w:tcBorders>
            <w:gridSpan w:val="3"/>
            <w:shd w:val="clear" w:color="auto" w:fill="CCEEFF"/>
          </w:tcPr>
          <w:p>
            <w:pPr>
              <w:jc w:val="right"/>
              <w:ind w:right="102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8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Vested and exercisable at April 30, 2026</w:t>
            </w:r>
          </w:p>
        </w:tc>
        <w:tc>
          <w:tcPr>
            <w:tcW w:w="12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3,990</w:t>
            </w:r>
          </w:p>
        </w:tc>
        <w:tc>
          <w:tcPr>
            <w:tcW w:w="1300" w:type="dxa"/>
            <w:vAlign w:val="bottom"/>
            <w:gridSpan w:val="3"/>
          </w:tcPr>
          <w:p>
            <w:pPr>
              <w:jc w:val="right"/>
              <w:ind w:right="1027"/>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3.81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74"/>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11,031</w:t>
            </w:r>
          </w:p>
        </w:tc>
        <w:tc>
          <w:tcPr>
            <w:tcW w:w="0" w:type="dxa"/>
            <w:vAlign w:val="bottom"/>
          </w:tcPr>
          <w:p>
            <w:pPr>
              <w:spacing w:after="0"/>
              <w:rPr>
                <w:sz w:val="1"/>
                <w:szCs w:val="1"/>
                <w:color w:val="auto"/>
              </w:rPr>
            </w:pPr>
          </w:p>
        </w:tc>
      </w:tr>
      <w:tr>
        <w:trPr>
          <w:trHeight w:val="225"/>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April 30, 2026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1300" w:type="dxa"/>
            <w:vAlign w:val="bottom"/>
            <w:gridSpan w:val="3"/>
            <w:shd w:val="clear" w:color="auto" w:fill="CCEEFF"/>
          </w:tcPr>
          <w:p>
            <w:pPr>
              <w:jc w:val="right"/>
              <w:ind w:right="102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0" w:type="dxa"/>
            <w:vAlign w:val="bottom"/>
          </w:tcPr>
          <w:p>
            <w:pPr>
              <w:spacing w:after="0"/>
              <w:rPr>
                <w:sz w:val="1"/>
                <w:szCs w:val="1"/>
                <w:color w:val="auto"/>
              </w:rPr>
            </w:pPr>
          </w:p>
        </w:tc>
      </w:tr>
      <w:tr>
        <w:trPr>
          <w:trHeight w:val="544"/>
        </w:trPr>
        <w:tc>
          <w:tcPr>
            <w:tcW w:w="7600" w:type="dxa"/>
            <w:vAlign w:val="bottom"/>
            <w:gridSpan w:val="10"/>
          </w:tcPr>
          <w:p>
            <w:pPr>
              <w:ind w:left="320"/>
              <w:spacing w:after="0"/>
              <w:rPr>
                <w:sz w:val="20"/>
                <w:szCs w:val="20"/>
                <w:color w:val="auto"/>
              </w:rPr>
            </w:pPr>
            <w:r>
              <w:rPr>
                <w:rFonts w:ascii="Times New Roman" w:cs="Times New Roman" w:eastAsia="Times New Roman" w:hAnsi="Times New Roman"/>
                <w:sz w:val="18"/>
                <w:szCs w:val="18"/>
                <w:color w:val="auto"/>
              </w:rPr>
              <w:t>The total intrinsic value of stock options exercised during the periods presented were as follows:</w:t>
            </w: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3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7"/>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4"/>
        </w:trPr>
        <w:tc>
          <w:tcPr>
            <w:tcW w:w="3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84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38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5"/>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intrinsic value of stock options exercised (in thousands)</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0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0" w:type="dxa"/>
            <w:vAlign w:val="bottom"/>
          </w:tcPr>
          <w:p>
            <w:pPr>
              <w:spacing w:after="0"/>
              <w:rPr>
                <w:sz w:val="1"/>
                <w:szCs w:val="1"/>
                <w:color w:val="auto"/>
              </w:rPr>
            </w:pPr>
          </w:p>
        </w:tc>
      </w:tr>
      <w:tr>
        <w:trPr>
          <w:trHeight w:val="399"/>
        </w:trPr>
        <w:tc>
          <w:tcPr>
            <w:tcW w:w="51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69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The Company’s RSU activity is set forth below (in thousands, except per share data):</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3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jc w:val="center"/>
              <w:ind w:left="406"/>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8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vMerge w:val="restart"/>
          </w:tcPr>
          <w:p>
            <w:pPr>
              <w:jc w:val="center"/>
              <w:ind w:left="46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jc w:val="center"/>
              <w:ind w:left="406"/>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38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80" w:type="dxa"/>
            <w:vAlign w:val="bottom"/>
            <w:gridSpan w:val="5"/>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Grant Date Fair Value Per</w:t>
            </w:r>
          </w:p>
        </w:tc>
        <w:tc>
          <w:tcPr>
            <w:tcW w:w="2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84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46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406"/>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4"/>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at January 31, 2026</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12,631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0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129,468</w:t>
            </w:r>
          </w:p>
        </w:tc>
        <w:tc>
          <w:tcPr>
            <w:tcW w:w="0" w:type="dxa"/>
            <w:vAlign w:val="bottom"/>
          </w:tcPr>
          <w:p>
            <w:pPr>
              <w:spacing w:after="0"/>
              <w:rPr>
                <w:sz w:val="1"/>
                <w:szCs w:val="1"/>
                <w:color w:val="auto"/>
              </w:rPr>
            </w:pPr>
          </w:p>
        </w:tc>
      </w:tr>
      <w:tr>
        <w:trPr>
          <w:trHeight w:val="225"/>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RSUs cancelled/forfeited</w:t>
            </w:r>
          </w:p>
        </w:tc>
        <w:tc>
          <w:tcPr>
            <w:tcW w:w="5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(2,168)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at April 30, 2026</w:t>
            </w: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10,207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0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64,508</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RSUs vested, not yet released at April 30, 2026</w:t>
            </w: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ind w:right="110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0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193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weighted-average grant date fair value of RSUs granted during the three months ended April 30, 2026 and 2025 was $7.36 and $18.46, respectively.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grant date fair value of RSUs vested during the three months ended April 30, 2026 and 2025 was $37.1 million and $45.4 million, respectively.</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grants PSUs to certain executives which are subject to vesting based on either the achievement of a market-based condition and service-based condition (“Market-Based Awards”) or a performance-based condition and service-based condition (“Performance-Based Awards”). The number of shares eligible to vest will range between zero and 200%, depending on the attainment level of the market and performance conditions over a range of one to four annual performance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Market-Based Awards</w:t>
      </w:r>
    </w:p>
    <w:p>
      <w:pPr>
        <w:spacing w:after="0" w:line="16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Market-Based Awards vest based on both (i) continuous service through each vesting date and (ii) the Company’s relative total shareholder return performance as compared to a defined group of peer companies during the performance periods. The Company estimates the grant-date fair value of the Market-Based Awards using a Monte Carlo simulation model, which models multiple stock price paths in order to estimate the grant date fair value of the awards. The valuation model incorporates various assumptions including expected stock price volatility, expected term, expected dividend yield, and risk-free interest rates. The Company estimates the volatility of its common stock and the common stock of its peer companies on the date of grant based on the respective historical equity volatility. The expected term is based on the award agreement, the expected dividend yield input is zero as the Company has never declared a dividend and does not expect to pay any cash dividends in the foreseeable future, and the risk-free rate is based on the U.S. Treasury yield curve in effect at the time of the grant. The Company recognizes stock-based compensation expense for the Market-Based Awards using the accelerated attribution method over the requisite service period. Failure to satisfy the market condition results in the forfeiture of units but does not result in the reversal of previously recognized compensation cost.</w:t>
      </w:r>
    </w:p>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assumptions were used to calculate the fair value of the Market-Based Awards granted during the three months ended April 30, 2026:</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20" w:type="dxa"/>
            <w:vAlign w:val="bottom"/>
          </w:tcPr>
          <w:p>
            <w:pPr>
              <w:spacing w:after="0"/>
              <w:rPr>
                <w:sz w:val="16"/>
                <w:szCs w:val="16"/>
                <w:color w:val="auto"/>
              </w:rPr>
            </w:pPr>
          </w:p>
        </w:tc>
        <w:tc>
          <w:tcPr>
            <w:tcW w:w="19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April 30, 2026</w:t>
            </w:r>
          </w:p>
        </w:tc>
      </w:tr>
      <w:tr>
        <w:trPr>
          <w:trHeight w:val="24"/>
        </w:trPr>
        <w:tc>
          <w:tcPr>
            <w:tcW w:w="93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8"/>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5"/>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to 4 years</w:t>
            </w:r>
          </w:p>
        </w:tc>
      </w:tr>
      <w:tr>
        <w:trPr>
          <w:trHeight w:val="225"/>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1"/>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73.4 %</w:t>
            </w:r>
          </w:p>
        </w:tc>
      </w:tr>
    </w:tbl>
    <w:p>
      <w:pPr>
        <w:spacing w:after="0" w:line="2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three months ended April 30, 2026, the Company granted 391,534 Market-Based Awards and recognized $2.5 million of stock-based compensation expense related to its Market-Based Awards. During the three months ended April 30, 2025, no Market-Based Awards had been granted, and therefore no such stock-based compensation expense had been recognized.</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Performance-Based Awards</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Performance-Based Awards will vest upon satisfaction of both (i) continuous service through each vesting date and (ii) achievement of certain performance targets during the performance periods. Under ASC 718, the Performance-Based Awards are determined to be granted once the performance targets are approved by the board of directors, as this is when a mutual understanding of the key terms of the awards have been established. The Company estimates the grant-date fair value of the Performance-Based Awards based on the price of the Company’s common stock on the date of grant. Stock-based compensation for these awards is recognized using the accelerated attribution method over the requisite service period and is only recognized if achievement of the performance targets is considered probable. The probability of achievement is assessed at the grant date and is reassessed each reporting period. Stock-based compensation for these awards will be adjusted to reflect the number of awards that ultimately vest.</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three months ended April 30, 2026, the Company granted 123,821 Performance-Based Awards and recognized $0.3 million of stock-based compensation expense related to its Performance-Based Awards. During the three months ended April 30, 2025, no Performance-Based Awards had been granted, and therefore no such stock-based compensation expense had been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PSU activity is set forth below (in thousands, except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center"/>
              <w:ind w:left="446"/>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700" w:type="dxa"/>
            <w:vAlign w:val="bottom"/>
          </w:tcPr>
          <w:p>
            <w:pPr>
              <w:spacing w:after="0"/>
              <w:rPr>
                <w:sz w:val="12"/>
                <w:szCs w:val="12"/>
                <w:color w:val="auto"/>
              </w:rPr>
            </w:pPr>
          </w:p>
        </w:tc>
        <w:tc>
          <w:tcPr>
            <w:tcW w:w="1260" w:type="dxa"/>
            <w:vAlign w:val="bottom"/>
            <w:vMerge w:val="restart"/>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left="446"/>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vMerge w:val="restart"/>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57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Grant Date Fair Value Per</w:t>
            </w:r>
          </w:p>
        </w:tc>
        <w:tc>
          <w:tcPr>
            <w:tcW w:w="2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7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ind w:left="446"/>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PSUs at January 31, 2026</w:t>
            </w:r>
          </w:p>
        </w:tc>
        <w:tc>
          <w:tcPr>
            <w:tcW w:w="12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8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0" w:type="dxa"/>
            <w:vAlign w:val="bottom"/>
          </w:tcPr>
          <w:p>
            <w:pPr>
              <w:spacing w:after="0"/>
              <w:rPr>
                <w:sz w:val="1"/>
                <w:szCs w:val="1"/>
                <w:color w:val="auto"/>
              </w:rPr>
            </w:pPr>
          </w:p>
        </w:tc>
      </w:tr>
      <w:tr>
        <w:trPr>
          <w:trHeight w:val="225"/>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PSUs 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vested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PSUs cancelled/forfeited</w:t>
            </w:r>
          </w:p>
        </w:tc>
        <w:tc>
          <w:tcPr>
            <w:tcW w:w="1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PSUs at April 30, 2026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360" w:type="dxa"/>
            <w:vAlign w:val="bottom"/>
            <w:gridSpan w:val="2"/>
            <w:shd w:val="clear" w:color="auto" w:fill="CCEEFF"/>
          </w:tcPr>
          <w:p>
            <w:pPr>
              <w:jc w:val="right"/>
              <w:ind w:right="108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weighted-average grant date fair value of PSUs granted during the three months ended April 30, 2026 was $8.49 and there were no PSU awards granted during the three months ended April 30, 2025. No PSU awards vested during the three months ended April 30, 2026 and 2025.</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Stock-based compensation expense for stock-based awards to employees and non-employees in the Company’s condensed consolidated statements of operations for the periods below were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3000" w:type="dxa"/>
            <w:vAlign w:val="bottom"/>
            <w:gridSpan w:val="4"/>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60" w:type="dxa"/>
            <w:vAlign w:val="bottom"/>
          </w:tcPr>
          <w:p>
            <w:pPr>
              <w:spacing w:after="0"/>
              <w:rPr>
                <w:sz w:val="16"/>
                <w:szCs w:val="16"/>
                <w:color w:val="auto"/>
              </w:rPr>
            </w:pPr>
          </w:p>
        </w:tc>
      </w:tr>
      <w:tr>
        <w:trPr>
          <w:trHeight w:val="24"/>
        </w:trPr>
        <w:tc>
          <w:tcPr>
            <w:tcW w:w="7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6"/>
        </w:trPr>
        <w:tc>
          <w:tcPr>
            <w:tcW w:w="75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120" w:type="dxa"/>
            <w:vAlign w:val="bottom"/>
            <w:shd w:val="clear" w:color="auto" w:fill="CCEEFF"/>
          </w:tcPr>
          <w:p>
            <w:pPr>
              <w:jc w:val="right"/>
              <w:ind w:right="94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24,364</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14,823</w:t>
            </w:r>
          </w:p>
        </w:tc>
      </w:tr>
      <w:tr>
        <w:trPr>
          <w:trHeight w:val="225"/>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8,636</w:t>
            </w:r>
          </w:p>
        </w:tc>
      </w:tr>
      <w:tr>
        <w:trPr>
          <w:trHeight w:val="243"/>
        </w:trPr>
        <w:tc>
          <w:tcPr>
            <w:tcW w:w="7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20" w:type="dxa"/>
            <w:vAlign w:val="bottom"/>
            <w:tcBorders>
              <w:bottom w:val="single" w:sz="8" w:color="auto"/>
            </w:tcBorders>
            <w:shd w:val="clear" w:color="auto" w:fill="CCEEFF"/>
          </w:tcPr>
          <w:p>
            <w:pPr>
              <w:jc w:val="right"/>
              <w:ind w:right="94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36,322</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stock-based compensation expense related to awards granted to non-employees for the three months ended April 30, 2026 and 2025 were not material.</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Total unrecognized stock-based compensation expense related to unvested awards not yet recognized under all equity compensation plans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20" w:type="dxa"/>
            <w:vAlign w:val="bottom"/>
            <w:gridSpan w:val="3"/>
          </w:tcPr>
          <w:p>
            <w:pPr>
              <w:jc w:val="right"/>
              <w:ind w:right="1165"/>
              <w:spacing w:after="0"/>
              <w:rPr>
                <w:sz w:val="20"/>
                <w:szCs w:val="20"/>
                <w:color w:val="auto"/>
              </w:rPr>
            </w:pPr>
            <w:r>
              <w:rPr>
                <w:rFonts w:ascii="Times New Roman" w:cs="Times New Roman" w:eastAsia="Times New Roman" w:hAnsi="Times New Roman"/>
                <w:sz w:val="14"/>
                <w:szCs w:val="14"/>
                <w:b w:val="1"/>
                <w:bCs w:val="1"/>
                <w:color w:val="auto"/>
              </w:rPr>
              <w:t>As of April 30, 2026</w:t>
            </w:r>
          </w:p>
        </w:tc>
        <w:tc>
          <w:tcPr>
            <w:tcW w:w="0" w:type="dxa"/>
            <w:vAlign w:val="bottom"/>
          </w:tcPr>
          <w:p>
            <w:pPr>
              <w:spacing w:after="0"/>
              <w:rPr>
                <w:sz w:val="1"/>
                <w:szCs w:val="1"/>
                <w:color w:val="auto"/>
              </w:rPr>
            </w:pPr>
          </w:p>
        </w:tc>
      </w:tr>
      <w:tr>
        <w:trPr>
          <w:trHeight w:val="24"/>
        </w:trPr>
        <w:tc>
          <w:tcPr>
            <w:tcW w:w="7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Unrecognized Expense</w:t>
            </w:r>
          </w:p>
        </w:tc>
        <w:tc>
          <w:tcPr>
            <w:tcW w:w="100" w:type="dxa"/>
            <w:vAlign w:val="bottom"/>
          </w:tcPr>
          <w:p>
            <w:pPr>
              <w:spacing w:after="0"/>
              <w:rPr>
                <w:sz w:val="11"/>
                <w:szCs w:val="11"/>
                <w:color w:val="auto"/>
              </w:rPr>
            </w:pPr>
          </w:p>
        </w:tc>
        <w:tc>
          <w:tcPr>
            <w:tcW w:w="178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9"/>
              </w:rPr>
              <w:t>Weighted-Average Expected</w:t>
            </w:r>
          </w:p>
        </w:tc>
        <w:tc>
          <w:tcPr>
            <w:tcW w:w="0" w:type="dxa"/>
            <w:vAlign w:val="bottom"/>
          </w:tcPr>
          <w:p>
            <w:pPr>
              <w:spacing w:after="0"/>
              <w:rPr>
                <w:sz w:val="1"/>
                <w:szCs w:val="1"/>
                <w:color w:val="auto"/>
              </w:rPr>
            </w:pPr>
          </w:p>
        </w:tc>
      </w:tr>
      <w:tr>
        <w:trPr>
          <w:trHeight w:val="146"/>
        </w:trPr>
        <w:tc>
          <w:tcPr>
            <w:tcW w:w="7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Recognition Period</w:t>
            </w:r>
          </w:p>
        </w:tc>
        <w:tc>
          <w:tcPr>
            <w:tcW w:w="0" w:type="dxa"/>
            <w:vAlign w:val="bottom"/>
          </w:tcPr>
          <w:p>
            <w:pPr>
              <w:spacing w:after="0"/>
              <w:rPr>
                <w:sz w:val="1"/>
                <w:szCs w:val="1"/>
                <w:color w:val="auto"/>
              </w:rPr>
            </w:pPr>
          </w:p>
        </w:tc>
      </w:tr>
      <w:tr>
        <w:trPr>
          <w:trHeight w:val="191"/>
        </w:trPr>
        <w:tc>
          <w:tcPr>
            <w:tcW w:w="75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4"/>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129,697</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15,807</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8"/>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145,596</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September 2020, the Company’s board of directors adopted and approved the 2020 Employee Stock Purchase Plan (“ESPP”), which became effective on the effective date of the Company's registration statement on Form S-1 filed with the SEC in connection with the direct listing. The number of shares reserved under the ESPP was automatically increased on February 1, 2026 to 14,596,024 shares of Class A common stock, pursuant to the evergreen provisions of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Subject to any limitations contained therein, the ESPP allows eligible participants to contribute, through payroll deductions, up to 15% of their eligible compensation to purchase shares of the Company’s Class A common stock at a purchase price equal to 85% of the fair market value of the Class A common stock on either the first day of the offering period or the purchase date, whichever fair market value is lower. The ESPP generally provides for consecutive 24-month offering periods, each consisting of four separate consecutive purchase periods of approximately six months in length. The ESPP also includes a two year look back in purchase price, including a reset feature. The reset feature is triggered if the price on the date of purchase is less than the price on the first day of the offering period.</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the ESPP of $1.7 million and $2.2 million during the three months ended April 30, 2026 and 2025, respectively. As of April 30, 2026 and January 31, 2026, $1.8 million and $6.0 million, respectively, have been withheld in contributions from employees. As of April 30, 2026, total unrecognized stock-based compensation expense related to the ESPP was $10.3 million, which will be amortized over a weighted-average vesting term of 1.3 years.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6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In June 2024, the Company’s board of directors authorized a stock repurchase program of up to $150.0 million of its outstanding Class A common stock (the “Repurchase Program”). The Repurchase Program was later amended on May 30, 2025 to remove the original expiration date and authorize the repurchase of an additional $100.0 million of Class A common stock. On February 27, 2026, the Repurchase Program was amended by the board of directors to authorize the repurchase of an additional $160.0 million of Class A common stock. Under the Repurchase Program, which is designed to return value to the Company’s stockholders and reduce share count over time, the Company may repurchase shares in the open market, through privately negotiated transactions, by entering into structured repurchase agreements with third parties, by making block purchases, and/or pursuant to Rule 10b5-1 trading plans. The timing, manner, price, and amount of any repurchases under the Repurchase Program will be determined by the Company in its discretion.</w:t>
      </w:r>
    </w:p>
    <w:p>
      <w:pPr>
        <w:spacing w:after="0" w:line="1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Repurchase Program does not obligate the Company to acquire any particular amount of Class A common stock, and the Repurchase Program may be suspended or discontinued at any time at the Company’s discretion. The Repurchase Program will be funded using the Company’s working capital, has no fixed term as amended, and will continue until the funds committed to the Repurchase Program are exhausted or such authorization is revoked by the Company’s board of directors.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stock repurchase activity under the Company’s Repurchase Program (in thousands,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3000" w:type="dxa"/>
            <w:vAlign w:val="bottom"/>
            <w:gridSpan w:val="4"/>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60" w:type="dxa"/>
            <w:vAlign w:val="bottom"/>
          </w:tcPr>
          <w:p>
            <w:pPr>
              <w:spacing w:after="0"/>
              <w:rPr>
                <w:sz w:val="16"/>
                <w:szCs w:val="16"/>
                <w:color w:val="auto"/>
              </w:rPr>
            </w:pPr>
          </w:p>
        </w:tc>
      </w:tr>
      <w:tr>
        <w:trPr>
          <w:trHeight w:val="24"/>
        </w:trPr>
        <w:tc>
          <w:tcPr>
            <w:tcW w:w="7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6"/>
        </w:trPr>
        <w:tc>
          <w:tcPr>
            <w:tcW w:w="75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price per share</w:t>
            </w:r>
          </w:p>
        </w:tc>
        <w:tc>
          <w:tcPr>
            <w:tcW w:w="1120" w:type="dxa"/>
            <w:vAlign w:val="bottom"/>
          </w:tcPr>
          <w:p>
            <w:pPr>
              <w:jc w:val="right"/>
              <w:ind w:right="94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9"/>
                <w:szCs w:val="19"/>
                <w:color w:val="auto"/>
              </w:rPr>
            </w:pPr>
          </w:p>
        </w:tc>
        <w:tc>
          <w:tcPr>
            <w:tcW w:w="1120" w:type="dxa"/>
            <w:vAlign w:val="bottom"/>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purchase price</w:t>
            </w:r>
          </w:p>
        </w:tc>
        <w:tc>
          <w:tcPr>
            <w:tcW w:w="1120" w:type="dxa"/>
            <w:vAlign w:val="bottom"/>
            <w:shd w:val="clear" w:color="auto" w:fill="CCEEFF"/>
          </w:tcPr>
          <w:p>
            <w:pPr>
              <w:jc w:val="right"/>
              <w:ind w:right="94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w:t>
            </w:r>
          </w:p>
        </w:tc>
      </w:tr>
    </w:tbl>
    <w:p>
      <w:pPr>
        <w:spacing w:after="0" w:line="300"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As of April 30, 2026, $154.5 million remained available for future stock repurchases under the Repurchase Program. All shares of Class A common stock repurchased under the Repurchase Program were retired. Upon retirement, the par value of the common stock repurchased was deducted from common stock and any excess of repurchase price over par value was recorded entirely to accumulated deficit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Interest Income and Other Income (Expense), Net</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Interest income and other income (expense), net consist of the following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3060" w:type="dxa"/>
            <w:vAlign w:val="bottom"/>
            <w:gridSpan w:val="4"/>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00" w:type="dxa"/>
            <w:vAlign w:val="bottom"/>
          </w:tcPr>
          <w:p>
            <w:pPr>
              <w:spacing w:after="0"/>
              <w:rPr>
                <w:sz w:val="16"/>
                <w:szCs w:val="16"/>
                <w:color w:val="auto"/>
              </w:rPr>
            </w:pPr>
          </w:p>
        </w:tc>
      </w:tr>
      <w:tr>
        <w:trPr>
          <w:trHeight w:val="24"/>
        </w:trPr>
        <w:tc>
          <w:tcPr>
            <w:tcW w:w="75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6"/>
        </w:trPr>
        <w:tc>
          <w:tcPr>
            <w:tcW w:w="75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shd w:val="clear" w:color="auto" w:fill="CCEEFF"/>
          </w:tcPr>
          <w:p>
            <w:pPr>
              <w:jc w:val="right"/>
              <w:ind w:right="100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losses on foreign currency transactions</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(expense) income</w:t>
            </w: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r>
      <w:tr>
        <w:trPr>
          <w:trHeight w:val="218"/>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interest income and other income (expense), net</w:t>
            </w:r>
          </w:p>
        </w:tc>
        <w:tc>
          <w:tcPr>
            <w:tcW w:w="1180" w:type="dxa"/>
            <w:vAlign w:val="bottom"/>
            <w:tcBorders>
              <w:bottom w:val="single" w:sz="8" w:color="auto"/>
            </w:tcBorders>
          </w:tcPr>
          <w:p>
            <w:pPr>
              <w:jc w:val="right"/>
              <w:ind w:right="100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5,830</w:t>
            </w:r>
          </w:p>
        </w:tc>
      </w:tr>
      <w:tr>
        <w:trPr>
          <w:trHeight w:val="20"/>
        </w:trPr>
        <w:tc>
          <w:tcPr>
            <w:tcW w:w="75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800" w:firstLine="318"/>
        <w:spacing w:after="0" w:line="430" w:lineRule="auto"/>
        <w:rPr>
          <w:sz w:val="20"/>
          <w:szCs w:val="20"/>
          <w:color w:val="auto"/>
        </w:rPr>
      </w:pPr>
      <w:r>
        <w:rPr>
          <w:rFonts w:ascii="Times New Roman" w:cs="Times New Roman" w:eastAsia="Times New Roman" w:hAnsi="Times New Roman"/>
          <w:sz w:val="18"/>
          <w:szCs w:val="18"/>
          <w:color w:val="auto"/>
        </w:rPr>
        <w:t xml:space="preserve">Other non-operating (expense) income consists primarily of realized foreign currency gains and losses on transactions in the periods presented. </w:t>
      </w:r>
      <w:r>
        <w:rPr>
          <w:rFonts w:ascii="Times New Roman" w:cs="Times New Roman" w:eastAsia="Times New Roman" w:hAnsi="Times New Roman"/>
          <w:sz w:val="18"/>
          <w:szCs w:val="18"/>
          <w:b w:val="1"/>
          <w:bCs w:val="1"/>
          <w:color w:val="auto"/>
        </w:rPr>
        <w:t>Note 12. Income Taxes</w:t>
      </w: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Company's income tax expense was $1.4 million and $1.2 million for the three months ended April 30, 2026 and 2025, respectively, primarily due to income taxes in foreign jurisdictions.</w:t>
      </w:r>
    </w:p>
    <w:p>
      <w:pPr>
        <w:spacing w:after="0" w:line="11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July 4, 2025, the United States enacted federal tax legislation commonly referred to as the One Big Beautiful Bill Act (the “OBBB Act”). Included in this legislation are provisions that allow for the immediate expensing of domestic research and development expenses, permanent extensions and modifications of certain provisions of the 2017 Tax Cuts and Jobs Act, and modifications to the U.S. international tax system. The Company evaluated the impact of the OBBB Act on its tax provision, valuation allowance, and uncertain tax positions. The OBBB Act did not have a material impact on the Company's financial statements. The Company maintains a full valuation allowance, and any change in net deferred tax assets from the OBBB Act would be accompanied by a corresponding adjustment to the valuation allowance.</w:t>
      </w:r>
    </w:p>
    <w:p>
      <w:pPr>
        <w:spacing w:after="0" w:line="13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Geographic Information</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set forth revenues and long-lived assets, which primarily consist of property and equipment, net and operating lease ROU assets, by geographic area for the periods presented below (in thousands):</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40" w:type="dxa"/>
            <w:vAlign w:val="bottom"/>
            <w:gridSpan w:val="6"/>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4"/>
        </w:trPr>
        <w:tc>
          <w:tcPr>
            <w:tcW w:w="75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5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111,537</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84,771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75,730</w:t>
            </w:r>
          </w:p>
        </w:tc>
        <w:tc>
          <w:tcPr>
            <w:tcW w:w="0" w:type="dxa"/>
            <w:vAlign w:val="bottom"/>
          </w:tcPr>
          <w:p>
            <w:pPr>
              <w:spacing w:after="0"/>
              <w:rPr>
                <w:sz w:val="1"/>
                <w:szCs w:val="1"/>
                <w:color w:val="auto"/>
              </w:rPr>
            </w:pPr>
          </w:p>
        </w:tc>
      </w:tr>
      <w:tr>
        <w:trPr>
          <w:trHeight w:val="243"/>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205,095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187,267</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Revenues by geography are based on the shipping address of the customer.</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75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75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7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gridSpan w:val="5"/>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0" w:type="dxa"/>
            <w:vAlign w:val="bottom"/>
          </w:tcPr>
          <w:p>
            <w:pPr>
              <w:spacing w:after="0"/>
              <w:rPr>
                <w:sz w:val="1"/>
                <w:szCs w:val="1"/>
                <w:color w:val="auto"/>
              </w:rPr>
            </w:pPr>
          </w:p>
        </w:tc>
      </w:tr>
      <w:tr>
        <w:trPr>
          <w:trHeight w:val="225"/>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201,604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202,567</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19,168</w:t>
            </w:r>
          </w:p>
        </w:tc>
        <w:tc>
          <w:tcPr>
            <w:tcW w:w="0" w:type="dxa"/>
            <w:vAlign w:val="bottom"/>
          </w:tcPr>
          <w:p>
            <w:pPr>
              <w:spacing w:after="0"/>
              <w:rPr>
                <w:sz w:val="1"/>
                <w:szCs w:val="1"/>
                <w:color w:val="auto"/>
              </w:rPr>
            </w:pPr>
          </w:p>
        </w:tc>
      </w:tr>
      <w:tr>
        <w:trPr>
          <w:trHeight w:val="243"/>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long-lived assets</w:t>
            </w: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225,147</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221,735</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Restructuring</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the fourth quarter of fiscal 2025, the Company approved a restructuring plan (the “2025 Restructuring Plan”) intended to improve operational efficiencies and operating costs and better align the Company’s workforce with its business needs, top strategic priorities, and key growth opportunities. The 2025 Restructuring Plan involved a reduction of the Company’s workforce by approximately 5% globally.</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April 30, 2025, the Company had recorded cumulative total restructuring charges of $6.7 million related to the 2025 Restructuring Plan, consisting of $6.0 million of severance and related charges and $0.7 million of stock-based compensation expense. During the three months ended April 30, 2025, the Company recorded restructuring charges of $2.2 million and settled substantially all restructuring liability, with $0.1 million reflected within accrued expenses and other current liabilities as of April 30, 2025.</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did not have material restructuring activity during the three months ended April 30, 2026.</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Restructuring costs consist of the following activity for the periods presented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3"/>
                <w:szCs w:val="13"/>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w:t>
            </w:r>
          </w:p>
        </w:tc>
      </w:tr>
      <w:tr>
        <w:trPr>
          <w:trHeight w:val="191"/>
        </w:trPr>
        <w:tc>
          <w:tcPr>
            <w:tcW w:w="94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58"/>
              <w:spacing w:after="0"/>
              <w:rPr>
                <w:sz w:val="20"/>
                <w:szCs w:val="20"/>
                <w:color w:val="auto"/>
              </w:rPr>
            </w:pPr>
            <w:r>
              <w:rPr>
                <w:rFonts w:ascii="Times New Roman" w:cs="Times New Roman" w:eastAsia="Times New Roman" w:hAnsi="Times New Roman"/>
                <w:sz w:val="14"/>
                <w:szCs w:val="14"/>
                <w:b w:val="1"/>
                <w:bCs w:val="1"/>
                <w:color w:val="auto"/>
              </w:rPr>
              <w:t>30,</w:t>
            </w:r>
          </w:p>
        </w:tc>
      </w:tr>
      <w:tr>
        <w:trPr>
          <w:trHeight w:val="191"/>
        </w:trPr>
        <w:tc>
          <w:tcPr>
            <w:tcW w:w="94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78"/>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25"/>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related charges</w:t>
            </w:r>
          </w:p>
        </w:tc>
        <w:tc>
          <w:tcPr>
            <w:tcW w:w="54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r>
      <w:tr>
        <w:trPr>
          <w:trHeight w:val="225"/>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benefit</w:t>
            </w:r>
          </w:p>
        </w:tc>
        <w:tc>
          <w:tcPr>
            <w:tcW w:w="5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43"/>
        </w:trPr>
        <w:tc>
          <w:tcPr>
            <w:tcW w:w="9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438"/>
        </w:trPr>
        <w:tc>
          <w:tcPr>
            <w:tcW w:w="10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restructuring costs are recognized in the condensed consolidated statement of operations for the periods presented (in thousands):</w:t>
            </w:r>
          </w:p>
        </w:tc>
        <w:tc>
          <w:tcPr>
            <w:tcW w:w="1240" w:type="dxa"/>
            <w:vAlign w:val="bottom"/>
          </w:tcPr>
          <w:p>
            <w:pPr>
              <w:spacing w:after="0"/>
              <w:rPr>
                <w:sz w:val="24"/>
                <w:szCs w:val="24"/>
                <w:color w:val="auto"/>
              </w:rPr>
            </w:pPr>
          </w:p>
        </w:tc>
      </w:tr>
      <w:tr>
        <w:trPr>
          <w:trHeight w:val="317"/>
        </w:trPr>
        <w:tc>
          <w:tcPr>
            <w:tcW w:w="946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w:t>
            </w:r>
          </w:p>
        </w:tc>
      </w:tr>
      <w:tr>
        <w:trPr>
          <w:trHeight w:val="192"/>
        </w:trPr>
        <w:tc>
          <w:tcPr>
            <w:tcW w:w="94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58"/>
              <w:spacing w:after="0"/>
              <w:rPr>
                <w:sz w:val="20"/>
                <w:szCs w:val="20"/>
                <w:color w:val="auto"/>
              </w:rPr>
            </w:pPr>
            <w:r>
              <w:rPr>
                <w:rFonts w:ascii="Times New Roman" w:cs="Times New Roman" w:eastAsia="Times New Roman" w:hAnsi="Times New Roman"/>
                <w:sz w:val="14"/>
                <w:szCs w:val="14"/>
                <w:b w:val="1"/>
                <w:bCs w:val="1"/>
                <w:color w:val="auto"/>
              </w:rPr>
              <w:t>30,</w:t>
            </w:r>
          </w:p>
        </w:tc>
      </w:tr>
      <w:tr>
        <w:trPr>
          <w:trHeight w:val="192"/>
        </w:trPr>
        <w:tc>
          <w:tcPr>
            <w:tcW w:w="94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78"/>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25"/>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25"/>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25"/>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18"/>
        </w:trPr>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w:t>
            </w:r>
          </w:p>
        </w:tc>
      </w:tr>
      <w:tr>
        <w:trPr>
          <w:trHeight w:val="20"/>
        </w:trPr>
        <w:tc>
          <w:tcPr>
            <w:tcW w:w="9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May 27, 2026, the Company acquired Eigen Inc. (“StackAI”) pursuant to an agreement and plan of merger for approximately $75.0 million in cash consideration, subject to customary purchase price adjustments. StackAI is a privately held artificial intelligence company that offers a no-code AI automation platform that allows businesses to build, test, and deploy custom AI agents and complex workflows. The acquisition is expected to help accelerate the Company’s broader AI platform strategy. The Company also plans to issue equity awards to certain StackAI employees, which will generally vest subject to each employees’ respective continued employment, with a portion further subject to the achievement of certain performance conditions. Given the timing of the transaction, the initial accounting for the acquisition is in process and has not been completed at the time the condensed consolidated financial statements are issued. The transaction will be treated as a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filed with the SEC on March 13, 2026. As described in the section titled “Special Note Regarding Forward-Looking Statements,” the following discussion and analysis contains forward-looking statements that involve risks and uncertainties, as well as assumptions that, if they never materialize or prove 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6" w:lineRule="exact"/>
        <w:rPr>
          <w:sz w:val="20"/>
          <w:szCs w:val="20"/>
          <w:color w:val="auto"/>
        </w:rPr>
      </w:pPr>
    </w:p>
    <w:p>
      <w:pPr>
        <w:ind w:right="100" w:firstLine="318"/>
        <w:spacing w:after="0" w:line="250" w:lineRule="auto"/>
        <w:rPr>
          <w:sz w:val="20"/>
          <w:szCs w:val="20"/>
          <w:color w:val="auto"/>
        </w:rPr>
      </w:pPr>
      <w:r>
        <w:rPr>
          <w:rFonts w:ascii="Times New Roman" w:cs="Times New Roman" w:eastAsia="Times New Roman" w:hAnsi="Times New Roman"/>
          <w:sz w:val="18"/>
          <w:szCs w:val="18"/>
          <w:color w:val="auto"/>
        </w:rPr>
        <w:t>Asana is the work management platform built for the agentic enterprise, where humans and AI agents run critical workflows together. Our platform enables individuals to work smarter, teams to move faster, and organizations to deliver results. Customers use Asana to connect their work to company goals and orchestrate mission critical workflows like product launches, employee onboarding, resource planning, tracking company-wide strategic initiatives and more. By combining shared memory with enterprise-grade governance, our platform enables organizations to coordinate work across human and AI team members on the same live plan. This drives clarity, accountability, and impact across the organization from executives and department heads to team leads, individuals, and agents delivering the work. In Asana, the “Who, What, When, and Why” of work is transparent, ensuring that every action, whether taken by a person or an AI agent, is grounded in real business context and aligned to strategic goals.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offer complementary products within the Asana platform to meet the needs of diverse organizations:</w:t>
      </w:r>
    </w:p>
    <w:p>
      <w:pPr>
        <w:spacing w:after="0" w:line="164" w:lineRule="exact"/>
        <w:rPr>
          <w:sz w:val="20"/>
          <w:szCs w:val="20"/>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core work management product, available in a tiered, seat-based model;</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Teammates, collaborative AI agents that work like real teammates to accelerate outcomes, which operates on a consumption basis;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Asana AI Studio, a no-code builder that lets teams build and embed AI into workflows, also on a consumption basis.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employ a hybrid go-to-market approach, combining a product-led model, direct sales and channel partners.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that our growth and financial performance are dependent upon many factors, including the key factors described below.</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Paying Customers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focused on continuing to grow the number of customers that use our platform, and specifically on growing the number of customers spending over $5,000 on an annualized basis (“Core customers”), and those spending over $100,000 on an annualized basis. Our operating results and growth opportunity depend, in part, on our ability to attract new customers and expand within those same organizations. We believe we have significant greenfield opportunities among addressable customers worldwide, and we will continue to invest in our research and development and our sales and marketing organizations to address this opportunity.</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define a customer as a distinct account, which could include a team, company, educational or government institution, organization, or distinct business unit of a company, that is on a paid subscription plan, a free version, or a free trial of one of our paid subscription plans. A single organization may have multiple customers. We define a paying customer as a customer on a paid subscription plan.</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define customers spending over $5,000 and $100,000 as those organizations on a paid subscription plan that had $5,000 or more or $100,000 or more in annualized GAAP revenues in a given quarter, respectively, inclusive of discounts. As customers realize the productivity benefits we provide, our platform often becomes critical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31" w:name="page32"/>
    <w:bookmarkEnd w:id="31"/>
    <w:p>
      <w:pPr>
        <w:jc w:val="both"/>
        <w:spacing w:after="0" w:line="255" w:lineRule="auto"/>
        <w:rPr>
          <w:sz w:val="20"/>
          <w:szCs w:val="20"/>
          <w:color w:val="auto"/>
        </w:rPr>
      </w:pPr>
      <w:r>
        <w:rPr>
          <w:rFonts w:ascii="Times New Roman" w:cs="Times New Roman" w:eastAsia="Times New Roman" w:hAnsi="Times New Roman"/>
          <w:sz w:val="18"/>
          <w:szCs w:val="18"/>
          <w:color w:val="auto"/>
        </w:rPr>
        <w:t>managing their work, increasing employee productivity and achieving their objectives, which drives further adoption and expansion opportunities, and results in higher annualized contract values. We believe that our ability to increase the number of these customers is an important indicator of the components of our business, including: the continued acquisition of new customers, retaining and expanding our user base within existing customers, our continued investment in product development and functionality required by larger organizations, and the strategic expansion of our direct sales force.</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April 30, 2026, we had 26,103 Core customers contributing approximately 76% of revenues for the three months then ended. As of April 30, 2025, we had 24,297 Core customers who contributed approximately 75% of revenues for the three months then ended.</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April 30, 2026 and 2025, we had 817 and 728 customers spending over $100,000, on an annualized basis, respectively.</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Dollar-based Net Retention Rate</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expect to derive a portion of our revenue growth from expansion within our existing customer base, where we have an opportunity to expand adoption of Asana across teams, departments, and organizations. We believe that our dollar-based net retention rate demonstrates our opportunity to further expand within our existing customer base, particularly those that generate higher levels of annual revenues.</w:t>
      </w:r>
    </w:p>
    <w:p>
      <w:pPr>
        <w:spacing w:after="0" w:line="12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reported dollar-based net retention rate equals the simple arithmetic average of our quarterly dollar-based net retention rate for the four quarters ending with the most recent fiscal quarter. We calculate our dollar-based net retention rate by comparing our revenues from the same set of customers in a given quarter, relative to the comparable prior-year period. To calculate our dollar-based net retention rate for a given quarter, we start with the revenues in that quarter from customers that generated revenues in the same quarter of the prior year. We then divide that amount by the revenues attributable to that same group of customers in the prior-year quarter. Current period revenues include any upsells and are net of contraction or attrition over the trailing 12 months, but exclude revenues from new customers in the current period. We expect our dollar-based net retention rate to fluctuate due to a number of factors, including the expected growth of our revenue base, the level of penetration within our customer base, our ability to retain our customers, and the macroeconomic environment. For example, macroeconomic conditions have affected customers’ renewal decisions, which has impacted our dollar-based net retention rate in recent periods.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April 30, 2026 and 2025, our dollar-based net retention rate was 96% and 95%, respectively.</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April 30, 2026 and 2025, our dollar-based net retention rate for our Core customers was 97% and 96%, respectively. Our dollar-based net retention rate for customers spending over $100,000 on an annualized basis for the same periods was 96% and 95%,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Economic Conditions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Global macroeconomic events including inflation, fluctuating interest rates, bank failures, supply chain disruptions, fluctuations in currency exchange rates, tariffs and changes in trade agreements, and geopolitical unrest have led to economic uncertainty. These macroeconomic conditions have and are likely to continue to have adverse effects on the rate of global IT spending, including the buying patterns of our customers and prospective customers, and the length of our sales cycles.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Additionally, the introduction and acceptance of AI-assisted technologies has impacted traditional search engine user discovery of our products, particularly by small and midsize businesses. While we have aligned our product-led growth initiatives to this new environment and seen modest quarter-over-quarter traffic recovery from these customers as well as improvements in web conversion and retention, we expect these shifting dynamics to continue to impact us throughout fiscal year 2027.</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StackAI</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May 28, 2026, we announced the acquisition of Eigen Inc. (“StackAI”), a privately held artificial intelligence company that offers a no-code AI automation platform that allows businesses to build, test, and deploy custom AI agents and complex workflows. The acquisition is expected to help accelerate our broader AI platform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Leadership Transitions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March 2026, we announced the resignation of our former Chief Financial Officer, Sonalee Parekh, and the appointment of our new Chief Financial Officer, Aziz Megji, effective March 24, 2026. In March 2026, we also announced the appointment of Veronica Sosa as our Chief Accounting Officer and principal accounting officer, effective March 11, 2026.</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primarily generate revenues from subscription fees earned from customers accessing our cloud-based platform. Subscription revenues are driven primarily by the number of paying customers, the number of paying users within the customer base, and the level of subscription plan. We recognize revenues ratably over the related contractual term beginning on the date that the platform is made available to a customer.</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also generate revenues from our consumption-based AI product and professional services, which are not material to the consolidated financial statements.</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Cost of revenues consists primarily of the cost of providing our platform to free users and paying customers and is comprised of third-party hosting fees, personnel-related expenses for our operations and support personnel including allocated overhead costs for facilities and shared IT-related expenses, third-party implementation services partner fees, credit card processing fees, infrastructure and application performance monitoring costs, and amortization of our capitalized internal-use software costs.</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we acquire new customers and existing customers increase their use of our cloud-based platform, we expect that our cost of revenues will continue to increase.</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Gross profit, or revenues less cost of revenues, and gross margin, or gross profit as a percentage of revenues, has been and will continue to be affected by various factors, including the timing of our acquisition of new customers, renewals of and follow-on sales to existing customers, costs associated with operating our cloud-based platform, and the extent to which we expand our operations and customer support organizations. We expect our gross profit to increase in dollar amount and our gross margin to remain relatively consistent over the long term.</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Personnel-related expenses are the most significant component of operating expenses and consist of salaries, employer payroll taxes, benefits, stock-based compensation expense, and, in the case of sales and marketing expenses, sales commissions. Operating expenses also include an allocation of overhead costs for facilities and shared IT-related expenses, including depreciation expense.</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6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Research and development expenses consist primarily of personnel-related expenses. These expenses also include product design costs, third-party services and consulting expenses, software subscriptions and computer equipment used in research and development activities, and allocated overhead costs. A substantial portion of our research and development efforts are focused on enhancing our software architecture and adding new features and functionality to our platform. We anticipate continuing to invest in innovation and technology development, including the integration of AI in our products, and as a result, we expect research and development expenses to continue to increase in dollar amount, but to decrease as a percentage of revenues over time.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personnel-related expenses and expenses for performance marketing, brand marketing, pipeline generation, and sponsorship activities. These expenses also include allocated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33" w:name="page34"/>
    <w:bookmarkEnd w:id="33"/>
    <w:p>
      <w:pPr>
        <w:jc w:val="both"/>
        <w:spacing w:after="0" w:line="274" w:lineRule="auto"/>
        <w:rPr>
          <w:sz w:val="20"/>
          <w:szCs w:val="20"/>
          <w:color w:val="auto"/>
        </w:rPr>
      </w:pPr>
      <w:r>
        <w:rPr>
          <w:rFonts w:ascii="Times New Roman" w:cs="Times New Roman" w:eastAsia="Times New Roman" w:hAnsi="Times New Roman"/>
          <w:sz w:val="18"/>
          <w:szCs w:val="18"/>
          <w:color w:val="auto"/>
        </w:rPr>
        <w:t>overhead costs, travel-related expenses, and professional fees. Sales commissions earned by our sales force that are considered incremental and recoverable costs of obtaining a subscription with a customer are deferred and amortized on a straight-line basis over the expected period of benefit of three years.</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continue to make strategic investments in our sales and marketing organization, and we expect sales and marketing expenses to remain our largest operating expense in dollar amount. We expect our sales and marketing expenses to continue to increase in dollar amount but to decrease as a percentage of revenues over time, although the percentage may fluctuate from period to period depending on the extent and timing of our initiatives.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for our finance, human resources, information technology, and legal organizations, and for certain of our executives. These expenses also include non-personnel costs, such as outside legal, accounting, and other professional fees, software subscriptions and expensed computer equipment, certain tax, license, and insurance-related expenses, impairment charges, and allocated overhead costs.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recognized and will continue to recognize certain expenses as part of being a publicly traded company, consisting of professional fees and other expenses. As a public company, we incur additional costs associated with accounting, compliance, insurance, and investor relations. We expect our general and administrative expenses to continue to increase in dollar amount for the foreseeable future but to generally decrease as a percentage of our revenues, although the percentage may fluctuate from period to period depending on the timing and amount of our general and administrative expenses.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Income (Expense), Net and Interest Expense</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Interest income and other income (expense), net consists of income earned on our marketable securities and investments, in addition to foreign currency transaction gains and losses.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Interest expense consists of interest expense from our credit facilities.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Provision for income taxes consists primarily of income taxes in certain foreign jurisdictions in which we conduct business. To date, we have not recorded a material provision for income taxes for any of the periods presented other than for foreign income tax. In the United States, we have recorded deferred tax assets for which we provide a full valuation allowance, which primarily include net operating loss carryforwards and research and development tax credit carryforwards. We expect to maintain this full valuation allowance for the foreseeable future as it is more likely than not the deferred tax assets will not be realized based on our history of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our revenues for those periods. The period-to-period comparison of financial results is not necessarily indicative of financial results to be achieved in future periods.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2960" w:type="dxa"/>
            <w:vAlign w:val="bottom"/>
            <w:gridSpan w:val="4"/>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5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80" w:type="dxa"/>
            <w:vAlign w:val="bottom"/>
            <w:gridSpan w:val="3"/>
          </w:tcPr>
          <w:p>
            <w:pPr>
              <w:jc w:val="center"/>
              <w:ind w:right="29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8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205,095</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187,267</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2"/>
                <w:szCs w:val="22"/>
                <w:color w:val="auto"/>
                <w:vertAlign w:val="superscript"/>
              </w:rPr>
              <w:t>(1)</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25,414</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19,227</w:t>
            </w: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179,681</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168,040</w:t>
            </w:r>
          </w:p>
        </w:tc>
        <w:tc>
          <w:tcPr>
            <w:tcW w:w="0" w:type="dxa"/>
            <w:vAlign w:val="bottom"/>
          </w:tcPr>
          <w:p>
            <w:pPr>
              <w:spacing w:after="0"/>
              <w:rPr>
                <w:sz w:val="1"/>
                <w:szCs w:val="1"/>
                <w:color w:val="auto"/>
              </w:rPr>
            </w:pPr>
          </w:p>
        </w:tc>
      </w:tr>
      <w:tr>
        <w:trPr>
          <w:trHeight w:val="205"/>
        </w:trPr>
        <w:tc>
          <w:tcPr>
            <w:tcW w:w="75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2"/>
                <w:szCs w:val="22"/>
                <w:color w:val="auto"/>
                <w:vertAlign w:val="superscript"/>
              </w:rPr>
              <w:t>(1)</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75,127</w:t>
            </w:r>
          </w:p>
        </w:tc>
        <w:tc>
          <w:tcPr>
            <w:tcW w:w="0" w:type="dxa"/>
            <w:vAlign w:val="bottom"/>
          </w:tcPr>
          <w:p>
            <w:pPr>
              <w:spacing w:after="0"/>
              <w:rPr>
                <w:sz w:val="1"/>
                <w:szCs w:val="1"/>
                <w:color w:val="auto"/>
              </w:rPr>
            </w:pPr>
          </w:p>
        </w:tc>
      </w:tr>
      <w:tr>
        <w:trPr>
          <w:trHeight w:val="225"/>
        </w:trPr>
        <w:tc>
          <w:tcPr>
            <w:tcW w:w="7580" w:type="dxa"/>
            <w:vAlign w:val="bottom"/>
          </w:tcPr>
          <w:p>
            <w:pPr>
              <w:ind w:left="140"/>
              <w:spacing w:after="0" w:line="225"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2"/>
                <w:szCs w:val="22"/>
                <w:color w:val="auto"/>
                <w:vertAlign w:val="superscript"/>
              </w:rPr>
              <w:t>(1)</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99,841</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2"/>
                <w:szCs w:val="22"/>
                <w:color w:val="auto"/>
                <w:vertAlign w:val="superscript"/>
              </w:rPr>
              <w:t>(1)</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36,368</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36,976</w:t>
            </w:r>
          </w:p>
        </w:tc>
        <w:tc>
          <w:tcPr>
            <w:tcW w:w="0" w:type="dxa"/>
            <w:vAlign w:val="bottom"/>
          </w:tcPr>
          <w:p>
            <w:pPr>
              <w:spacing w:after="0"/>
              <w:rPr>
                <w:sz w:val="1"/>
                <w:szCs w:val="1"/>
                <w:color w:val="auto"/>
              </w:rPr>
            </w:pPr>
          </w:p>
        </w:tc>
      </w:tr>
      <w:tr>
        <w:trPr>
          <w:trHeight w:val="218"/>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194,921</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211,944</w:t>
            </w: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(43,904)</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1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(12,986)</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(38,865)</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1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Borders>
              <w:bottom w:val="single" w:sz="8" w:color="auto"/>
            </w:tcBorders>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(14,405)</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(40,018)</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auto"/>
              </w:rPr>
              <w:t>__________________</w:t>
            </w: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580" w:type="dxa"/>
            <w:vAlign w:val="bottom"/>
            <w:vMerge w:val="continue"/>
          </w:tcPr>
          <w:p>
            <w:pPr>
              <w:spacing w:after="0"/>
              <w:rPr>
                <w:sz w:val="22"/>
                <w:szCs w:val="22"/>
                <w:color w:val="auto"/>
              </w:rPr>
            </w:pPr>
          </w:p>
        </w:tc>
        <w:tc>
          <w:tcPr>
            <w:tcW w:w="10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(1)  Amounts include stock-based compensation expense as follows:</w:t>
            </w: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7580" w:type="dxa"/>
            <w:vAlign w:val="bottom"/>
          </w:tcPr>
          <w:p>
            <w:pPr>
              <w:spacing w:after="0"/>
              <w:rPr>
                <w:sz w:val="24"/>
                <w:szCs w:val="24"/>
                <w:color w:val="auto"/>
              </w:rPr>
            </w:pPr>
          </w:p>
        </w:tc>
        <w:tc>
          <w:tcPr>
            <w:tcW w:w="2960" w:type="dxa"/>
            <w:vAlign w:val="bottom"/>
            <w:gridSpan w:val="4"/>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5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5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80" w:type="dxa"/>
            <w:vAlign w:val="bottom"/>
            <w:gridSpan w:val="3"/>
          </w:tcPr>
          <w:p>
            <w:pPr>
              <w:jc w:val="center"/>
              <w:ind w:right="29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8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24,364</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14,823</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8,636</w:t>
            </w:r>
          </w:p>
        </w:tc>
        <w:tc>
          <w:tcPr>
            <w:tcW w:w="0" w:type="dxa"/>
            <w:vAlign w:val="bottom"/>
          </w:tcPr>
          <w:p>
            <w:pPr>
              <w:spacing w:after="0"/>
              <w:rPr>
                <w:sz w:val="1"/>
                <w:szCs w:val="1"/>
                <w:color w:val="auto"/>
              </w:rPr>
            </w:pPr>
          </w:p>
        </w:tc>
      </w:tr>
      <w:tr>
        <w:trPr>
          <w:trHeight w:val="243"/>
        </w:trPr>
        <w:tc>
          <w:tcPr>
            <w:tcW w:w="7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36,322</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35" w:name="page36"/>
    <w:bookmarkEnd w:id="35"/>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components of our statements of operations data, for each of the periods presented, as a percentage of revenues.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7"/>
          </w:tcPr>
          <w:p>
            <w:pPr>
              <w:jc w:val="center"/>
              <w:ind w:right="694"/>
              <w:spacing w:after="0"/>
              <w:rPr>
                <w:sz w:val="20"/>
                <w:szCs w:val="20"/>
                <w:color w:val="auto"/>
              </w:rPr>
            </w:pPr>
            <w:r>
              <w:rPr>
                <w:rFonts w:ascii="Times New Roman" w:cs="Times New Roman" w:eastAsia="Times New Roman" w:hAnsi="Times New Roman"/>
                <w:sz w:val="14"/>
                <w:szCs w:val="14"/>
                <w:b w:val="1"/>
                <w:bCs w:val="1"/>
                <w:color w:val="auto"/>
                <w:w w:val="99"/>
              </w:rPr>
              <w:t>Three Months Ended April 30,</w:t>
            </w:r>
          </w:p>
        </w:tc>
        <w:tc>
          <w:tcPr>
            <w:tcW w:w="0" w:type="dxa"/>
            <w:vAlign w:val="bottom"/>
          </w:tcPr>
          <w:p>
            <w:pPr>
              <w:spacing w:after="0"/>
              <w:rPr>
                <w:sz w:val="1"/>
                <w:szCs w:val="1"/>
                <w:color w:val="auto"/>
              </w:rPr>
            </w:pPr>
          </w:p>
        </w:tc>
      </w:tr>
      <w:tr>
        <w:trPr>
          <w:trHeight w:val="24"/>
        </w:trPr>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2"/>
        </w:trPr>
        <w:tc>
          <w:tcPr>
            <w:tcW w:w="5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 revenues)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5"/>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5"/>
        </w:trPr>
        <w:tc>
          <w:tcPr>
            <w:tcW w:w="51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5"/>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5"/>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w:t>
            </w: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 Less than 1%.</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Note: Certain figures may not sum due to rounding.</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April 30, 2026 to Three Months Ended April 30, 2025</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1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5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gridSpan w:val="5"/>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620" w:type="dxa"/>
            <w:vAlign w:val="bottom"/>
            <w:tcBorders>
              <w:top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205,095</w:t>
            </w:r>
          </w:p>
        </w:tc>
        <w:tc>
          <w:tcPr>
            <w:tcW w:w="4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187,267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17,828</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bl>
    <w:p>
      <w:pPr>
        <w:spacing w:after="0" w:line="3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Revenues increased $17.8 million, or 10%, during the three months ended April 30, 2026 compared to the three months ended April 30, 2025. The increase in revenues was primarily due to the addition of new paying customers and a continued shift in our sales mix toward our higher priced Enterprise+ subscription plan.</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Three Months Ended April 30,</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6"/>
                <w:szCs w:val="16"/>
                <w:color w:val="auto"/>
              </w:rPr>
            </w:pPr>
          </w:p>
        </w:tc>
        <w:tc>
          <w:tcPr>
            <w:tcW w:w="108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600" w:type="dxa"/>
            <w:vAlign w:val="bottom"/>
            <w:tcBorders>
              <w:top w:val="single" w:sz="8" w:color="auto"/>
            </w:tcBorders>
            <w:gridSpan w:val="3"/>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25,414</w:t>
            </w:r>
          </w:p>
        </w:tc>
        <w:tc>
          <w:tcPr>
            <w:tcW w:w="4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6,187</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bl>
    <w:p>
      <w:pPr>
        <w:spacing w:after="0" w:line="3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Cost of revenues increased $6.2 million, or 32%, during the three months ended April 30, 2026 compared to the three months ended April 30, 2025. The increase was primarily due to an increase of $2.4 million in third-party hosting costs, an increase of $1.9 million in personnel-related costs, an increase of $1.1 million in amortization of capitalized software development costs, an increase of $0.4 million in infrastructure-related costs and an increase of $0.3 million in credit card processing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56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5"/>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8"/>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211,944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Research and development expenses decreased $9.0 million, or 12%, during the three months ended April 30, 2026 compared to the three months ended April 30, 2025. The decrease was primarily due to a decrease of $7.6 million in personnel-related costs and an increase of $1.4 million in capitalized software costs.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Sales and marketing expenses decreased $7.4 million, or 7%, during the three months ended April 30, 2026 compared to the three months ended April 30, 2025. The decrease was primarily due to a decrease of $4.2 million in personnel-related costs, a decrease of $2.0 million in travel and entertainment costs, and a decrease of $1.1 million in allocated overhead costs.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General and administrative expenses decreased $0.6 million, or 2%, during the three months ended April 30, 2026 compared to the three months ended April 30, 2025. The decrease was primarily due to a decrease of $0.7 million in allocated overhead costs, a decrease of $0.6 million in regulatory and compliance costs, a decrease of $0.5 million in provision for credit losses, and offset by an increase of $1.2 million in professional fees.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Income (Expense), Net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420" w:type="dxa"/>
            <w:vAlign w:val="bottom"/>
            <w:gridSpan w:val="3"/>
          </w:tcPr>
          <w:p>
            <w:pPr>
              <w:jc w:val="center"/>
              <w:ind w:left="44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2420" w:type="dxa"/>
            <w:vAlign w:val="bottom"/>
            <w:tcBorders>
              <w:top w:val="single" w:sz="8" w:color="auto"/>
            </w:tcBorders>
            <w:gridSpan w:val="3"/>
          </w:tcPr>
          <w:p>
            <w:pPr>
              <w:jc w:val="center"/>
              <w:ind w:left="42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2,903</w:t>
            </w:r>
          </w:p>
        </w:tc>
        <w:tc>
          <w:tcPr>
            <w:tcW w:w="96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1"/>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Interest income and other income (expense), net decreased by $2.9 million, or 50%, during the three months ended April 30, 2026 compared to the three months ended April 30, 2025, primarily due to a decrease of $2.6 million in foreign currency transaction gains (losses) and a decrease of $0.3 million in interest income on marketable securities. Interest expense decreased by $0.1 million, or 18%, during the three months ended April 30, 2026 compared to the three months ended April 30, 2025, primarily due to a decrease in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5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tables present certain non-GAAP financial measures for each period presented below. In addition to our results determined in accordance with GAAP, we believe these non-GAAP financial measures are useful in evaluating our operating performance. See below for a description of the non-GAAP financial measures and their limitations as an analytical tool.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40" w:type="dxa"/>
            <w:vAlign w:val="bottom"/>
            <w:gridSpan w:val="3"/>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4"/>
        </w:trPr>
        <w:tc>
          <w:tcPr>
            <w:tcW w:w="75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75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2"/>
        </w:trPr>
        <w:tc>
          <w:tcPr>
            <w:tcW w:w="7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2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spacing w:after="0"/>
              <w:rPr>
                <w:sz w:val="16"/>
                <w:szCs w:val="16"/>
                <w:color w:val="auto"/>
              </w:rPr>
            </w:pPr>
          </w:p>
        </w:tc>
      </w:tr>
      <w:tr>
        <w:trPr>
          <w:trHeight w:val="23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income from operations</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23,576</w:t>
            </w:r>
          </w:p>
        </w:tc>
        <w:tc>
          <w:tcPr>
            <w:tcW w:w="6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24,411</w:t>
            </w:r>
          </w:p>
        </w:tc>
        <w:tc>
          <w:tcPr>
            <w:tcW w:w="6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34,350</w:t>
            </w:r>
          </w:p>
        </w:tc>
        <w:tc>
          <w:tcPr>
            <w:tcW w:w="6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r>
      <w:tr>
        <w:trPr>
          <w:trHeight w:val="231"/>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34,350</w:t>
            </w:r>
          </w:p>
        </w:tc>
        <w:tc>
          <w:tcPr>
            <w:tcW w:w="6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9,882</w:t>
            </w:r>
          </w:p>
        </w:tc>
      </w:tr>
    </w:tbl>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Non-GAAP Income (Loss) From Operations and Non-GAAP Net Income (Loss)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define non-GAAP income (loss) from operations as loss from operations plus stock-based compensation-related charges including the related employer payroll tax associated with RSUs and amortization of stock-based compensation capitalized in internal-use software, impairment of long-lived assets, restructuring costs, and acquisition-related costs. The amount of employer payroll tax-related items on employee stock transactions is dependent on our stock price and other factors that are beyond our control and that do not correlate to the operation of the business. The restructuring costs are related to the reduction of our global workforce, which resulted in expenses related to severance, benefits, and other related items. When evaluating the performance of our business and making operating plans, we do not consider these items (for example, when considering the impact of equity award grants, we place a greater emphasis on overall stockholder dilution rather than the accounting charges associated with such grants). We believe the costs associated with restructuring are distinguishable from ongoing operating costs and are not reflective of underlying trends in our business. We believe it is useful to exclude these expenses in order to better understand the long-term performance of our core business, to facilitate comparison of our results to those of peer companies, and to facilitate comparison over multiple periods.</w:t>
      </w:r>
    </w:p>
    <w:p>
      <w:pPr>
        <w:spacing w:after="0" w:line="14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define non-GAAP net income (loss) as net loss plus stock-based compensation expense-related charges including the related employer payroll tax associated with RSUs and amortization of stock-based compensation capitalized in internal-use software, impairment of long-lived assets, and restructuring costs.</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use non-GAAP income (loss) from operations and non-GAAP net income (loss) in conjunction with traditional GAAP measures to evaluate our financial performance. We believe that non-GAAP income (loss) from operations and non-GAAP net income (loss) provide our management and investors consistency and comparability with our past financial performance and facilitates period-to-period comparisons of operations.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Adjusted Free Cash Flow</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define free cash flow as net cash from operating activities less cash used for purchases of property and equipment and capitalized internal-use software costs. We define adjusted free cash flow as free cash flow plus restructuring costs paid. We believe that free cash flow and adjusted free cash flow are useful indicators of liquidity that provide information to management and investors, even if negative, about the amount of cash used in our operations other than that used for investments in property and equipment and capitalized internal-use software costs, adjusted for expenditures which are distinguishable from our ongoing operations.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Limitations and Reconciliations of Non-GAAP Financial Measures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In addition, free cash flow and adjusted free cash flow do not reflect our future contractual commitments and the total increase or decrease of our cash balance for a given period. All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38" w:name="page39"/>
    <w:bookmarkEnd w:id="38"/>
    <w:p>
      <w:pPr>
        <w:jc w:val="both"/>
        <w:spacing w:after="0" w:line="259" w:lineRule="auto"/>
        <w:rPr>
          <w:sz w:val="20"/>
          <w:szCs w:val="20"/>
          <w:color w:val="auto"/>
        </w:rPr>
      </w:pPr>
      <w:r>
        <w:rPr>
          <w:rFonts w:ascii="Times New Roman" w:cs="Times New Roman" w:eastAsia="Times New Roman" w:hAnsi="Times New Roman"/>
          <w:sz w:val="18"/>
          <w:szCs w:val="18"/>
          <w:color w:val="auto"/>
        </w:rPr>
        <w:t>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25" w:lineRule="exact"/>
        <w:rPr>
          <w:sz w:val="20"/>
          <w:szCs w:val="20"/>
          <w:color w:val="auto"/>
        </w:rPr>
      </w:pPr>
    </w:p>
    <w:p>
      <w:pPr>
        <w:ind w:left="320" w:right="1440"/>
        <w:spacing w:after="0" w:line="449" w:lineRule="auto"/>
        <w:rPr>
          <w:sz w:val="20"/>
          <w:szCs w:val="20"/>
          <w:color w:val="auto"/>
        </w:rPr>
      </w:pPr>
      <w:r>
        <w:rPr>
          <w:rFonts w:ascii="Times New Roman" w:cs="Times New Roman" w:eastAsia="Times New Roman" w:hAnsi="Times New Roman"/>
          <w:sz w:val="18"/>
          <w:szCs w:val="18"/>
          <w:color w:val="auto"/>
        </w:rPr>
        <w:t xml:space="preserve">The following tables reconcile the most directly comparable GAAP financial measure to each of these non-GAAP financial measures. </w:t>
      </w:r>
      <w:r>
        <w:rPr>
          <w:rFonts w:ascii="Times New Roman" w:cs="Times New Roman" w:eastAsia="Times New Roman" w:hAnsi="Times New Roman"/>
          <w:sz w:val="18"/>
          <w:szCs w:val="18"/>
          <w:i w:val="1"/>
          <w:iCs w:val="1"/>
          <w:color w:val="auto"/>
        </w:rPr>
        <w:t>Non-GAAP Income (Loss) From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2980" w:type="dxa"/>
            <w:vAlign w:val="bottom"/>
            <w:gridSpan w:val="4"/>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80" w:type="dxa"/>
            <w:vAlign w:val="bottom"/>
          </w:tcPr>
          <w:p>
            <w:pPr>
              <w:spacing w:after="0"/>
              <w:rPr>
                <w:sz w:val="16"/>
                <w:szCs w:val="16"/>
                <w:color w:val="auto"/>
              </w:rPr>
            </w:pPr>
          </w:p>
        </w:tc>
      </w:tr>
      <w:tr>
        <w:trPr>
          <w:trHeight w:val="24"/>
        </w:trPr>
        <w:tc>
          <w:tcPr>
            <w:tcW w:w="75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75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r>
      <w:tr>
        <w:trPr>
          <w:trHeight w:val="192"/>
        </w:trPr>
        <w:tc>
          <w:tcPr>
            <w:tcW w:w="7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00" w:type="dxa"/>
            <w:vAlign w:val="bottom"/>
            <w:gridSpan w:val="3"/>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6"/>
                <w:szCs w:val="16"/>
                <w:color w:val="auto"/>
              </w:rPr>
            </w:pPr>
          </w:p>
        </w:tc>
      </w:tr>
      <w:tr>
        <w:trPr>
          <w:trHeight w:val="23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8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(15,240)</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(43,904)</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5"/>
        </w:trPr>
        <w:tc>
          <w:tcPr>
            <w:tcW w:w="75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Stock-based compensation-related charges </w:t>
            </w:r>
            <w:r>
              <w:rPr>
                <w:rFonts w:ascii="Times New Roman" w:cs="Times New Roman" w:eastAsia="Times New Roman" w:hAnsi="Times New Roman"/>
                <w:sz w:val="22"/>
                <w:szCs w:val="22"/>
                <w:color w:val="auto"/>
                <w:vertAlign w:val="superscript"/>
              </w:rPr>
              <w:t>(1)</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49,824</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0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income from operations</w:t>
            </w:r>
          </w:p>
        </w:tc>
        <w:tc>
          <w:tcPr>
            <w:tcW w:w="1080" w:type="dxa"/>
            <w:vAlign w:val="bottom"/>
            <w:tcBorders>
              <w:bottom w:val="single" w:sz="8" w:color="auto"/>
            </w:tcBorders>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23,576</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8,137</w:t>
            </w:r>
          </w:p>
        </w:tc>
      </w:tr>
      <w:tr>
        <w:trPr>
          <w:trHeight w:val="20"/>
        </w:trPr>
        <w:tc>
          <w:tcPr>
            <w:tcW w:w="7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0" w:lineRule="exact"/>
        <w:rPr>
          <w:sz w:val="20"/>
          <w:szCs w:val="20"/>
          <w:color w:val="auto"/>
        </w:rPr>
      </w:pPr>
    </w:p>
    <w:p>
      <w:pPr>
        <w:jc w:val="both"/>
        <w:ind w:left="320" w:hanging="314"/>
        <w:spacing w:after="0" w:line="252" w:lineRule="auto"/>
        <w:tabs>
          <w:tab w:leader="none" w:pos="3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Stock-based compensation-related charges includes related payroll tax associated with RSUs and amortization of stock-based compensation capitalized in internal-use software. We began excluding amortization of stock-based compensation capitalized in internal-use software from our non-GAAP measures starting in the quarter ended April 30, 2026 and have presented the change prospectively as prior period amounts were immaterial. The amounts of amortization of stock-based compensation capitalized in internal-use software was $1.1 million for the three months ended April 30, 2026 and was $0.6 million for the three months ended April 30, 2025. This change has no impact on our GAAP financial results.</w:t>
      </w:r>
    </w:p>
    <w:p>
      <w:pPr>
        <w:spacing w:after="0" w:line="122" w:lineRule="exact"/>
        <w:rPr>
          <w:rFonts w:ascii="Times New Roman" w:cs="Times New Roman" w:eastAsia="Times New Roman" w:hAnsi="Times New Roman"/>
          <w:sz w:val="16"/>
          <w:szCs w:val="16"/>
          <w:color w:val="auto"/>
        </w:rPr>
      </w:pPr>
    </w:p>
    <w:p>
      <w:pPr>
        <w:ind w:left="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i w:val="1"/>
          <w:iCs w:val="1"/>
          <w:color w:val="auto"/>
        </w:rPr>
        <w:t>Non-GAAP Net Income (Loss)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2980" w:type="dxa"/>
            <w:vAlign w:val="bottom"/>
            <w:gridSpan w:val="4"/>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80" w:type="dxa"/>
            <w:vAlign w:val="bottom"/>
          </w:tcPr>
          <w:p>
            <w:pPr>
              <w:spacing w:after="0"/>
              <w:rPr>
                <w:sz w:val="16"/>
                <w:szCs w:val="16"/>
                <w:color w:val="auto"/>
              </w:rPr>
            </w:pPr>
          </w:p>
        </w:tc>
      </w:tr>
      <w:tr>
        <w:trPr>
          <w:trHeight w:val="24"/>
        </w:trPr>
        <w:tc>
          <w:tcPr>
            <w:tcW w:w="75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75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r>
      <w:tr>
        <w:trPr>
          <w:trHeight w:val="192"/>
        </w:trPr>
        <w:tc>
          <w:tcPr>
            <w:tcW w:w="7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00" w:type="dxa"/>
            <w:vAlign w:val="bottom"/>
            <w:gridSpan w:val="3"/>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6"/>
                <w:szCs w:val="16"/>
                <w:color w:val="auto"/>
              </w:rPr>
            </w:pPr>
          </w:p>
        </w:tc>
      </w:tr>
      <w:tr>
        <w:trPr>
          <w:trHeight w:val="23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(14,405)</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(40,018)</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5"/>
        </w:trPr>
        <w:tc>
          <w:tcPr>
            <w:tcW w:w="75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Stock-based compensation-related charges </w:t>
            </w:r>
            <w:r>
              <w:rPr>
                <w:rFonts w:ascii="Times New Roman" w:cs="Times New Roman" w:eastAsia="Times New Roman" w:hAnsi="Times New Roman"/>
                <w:sz w:val="22"/>
                <w:szCs w:val="22"/>
                <w:color w:val="auto"/>
                <w:vertAlign w:val="superscript"/>
              </w:rPr>
              <w:t>(1)</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49,824</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0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1080" w:type="dxa"/>
            <w:vAlign w:val="bottom"/>
            <w:tcBorders>
              <w:bottom w:val="single" w:sz="8" w:color="auto"/>
            </w:tcBorders>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24,411</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12,023</w:t>
            </w:r>
          </w:p>
        </w:tc>
      </w:tr>
      <w:tr>
        <w:trPr>
          <w:trHeight w:val="20"/>
        </w:trPr>
        <w:tc>
          <w:tcPr>
            <w:tcW w:w="7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0" w:lineRule="exact"/>
        <w:rPr>
          <w:sz w:val="20"/>
          <w:szCs w:val="20"/>
          <w:color w:val="auto"/>
        </w:rPr>
      </w:pPr>
    </w:p>
    <w:p>
      <w:pPr>
        <w:jc w:val="both"/>
        <w:ind w:left="320" w:hanging="314"/>
        <w:spacing w:after="0" w:line="252" w:lineRule="auto"/>
        <w:tabs>
          <w:tab w:leader="none" w:pos="3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Stock-based compensation-related charges includes related payroll tax associated with RSUs and amortization of stock-based compensation capitalized in internal-use software. We began excluding amortization of stock-based compensation capitalized in internal-use software from our non-GAAP measures starting in the quarter ended April 30, 2026 and have presented the change prospectively as prior period amounts were immaterial. The amounts of amortization of stock-based compensation capitalized in internal-use software was $1.1 million for the three months ended April 30, 2026 and was $0.6 million for the three months ended April 30, 2025. This change has no impact on our GAAP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39" w:name="page40"/>
    <w:bookmarkEnd w:id="39"/>
    <w:p>
      <w:pPr>
        <w:ind w:left="320"/>
        <w:spacing w:after="0"/>
        <w:rPr>
          <w:sz w:val="20"/>
          <w:szCs w:val="20"/>
          <w:color w:val="auto"/>
        </w:rPr>
      </w:pPr>
      <w:r>
        <w:rPr>
          <w:rFonts w:ascii="Times New Roman" w:cs="Times New Roman" w:eastAsia="Times New Roman" w:hAnsi="Times New Roman"/>
          <w:sz w:val="18"/>
          <w:szCs w:val="18"/>
          <w:i w:val="1"/>
          <w:iCs w:val="1"/>
          <w:color w:val="auto"/>
        </w:rPr>
        <w:t>Free Cash Flow and Adjusted Free Cash Flow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3020" w:type="dxa"/>
            <w:vAlign w:val="bottom"/>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40" w:type="dxa"/>
            <w:vAlign w:val="bottom"/>
          </w:tcPr>
          <w:p>
            <w:pPr>
              <w:spacing w:after="0"/>
              <w:rPr>
                <w:sz w:val="16"/>
                <w:szCs w:val="16"/>
                <w:color w:val="auto"/>
              </w:rPr>
            </w:pPr>
          </w:p>
        </w:tc>
      </w:tr>
      <w:tr>
        <w:trPr>
          <w:trHeight w:val="24"/>
        </w:trPr>
        <w:tc>
          <w:tcPr>
            <w:tcW w:w="75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6"/>
        </w:trPr>
        <w:tc>
          <w:tcPr>
            <w:tcW w:w="75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r>
      <w:tr>
        <w:trPr>
          <w:trHeight w:val="192"/>
        </w:trPr>
        <w:tc>
          <w:tcPr>
            <w:tcW w:w="7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40" w:type="dxa"/>
            <w:vAlign w:val="bottom"/>
            <w:gridSpan w:val="3"/>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6"/>
                <w:szCs w:val="16"/>
                <w:color w:val="auto"/>
              </w:rPr>
            </w:pPr>
          </w:p>
        </w:tc>
      </w:tr>
      <w:tr>
        <w:trPr>
          <w:trHeight w:val="257"/>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080" w:type="dxa"/>
            <w:vAlign w:val="bottom"/>
            <w:tcBorders>
              <w:bottom w:val="single" w:sz="8" w:color="auto"/>
            </w:tcBorders>
            <w:shd w:val="clear" w:color="auto" w:fill="CCEEFF"/>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75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1080" w:type="dxa"/>
            <w:vAlign w:val="bottom"/>
            <w:tcBorders>
              <w:bottom w:val="single" w:sz="8" w:color="auto"/>
            </w:tcBorders>
          </w:tcPr>
          <w:p>
            <w:pPr>
              <w:jc w:val="right"/>
              <w:ind w:right="897"/>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(41,925)</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955"/>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(5,523)</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80" w:type="dxa"/>
            <w:vAlign w:val="bottom"/>
            <w:shd w:val="clear" w:color="auto" w:fill="CCEEFF"/>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25"/>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w:t>
            </w:r>
          </w:p>
        </w:tc>
      </w:tr>
      <w:tr>
        <w:trPr>
          <w:trHeight w:val="21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080" w:type="dxa"/>
            <w:vAlign w:val="bottom"/>
            <w:shd w:val="clear" w:color="auto" w:fill="CCEEFF"/>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 paid</w:t>
            </w:r>
          </w:p>
        </w:tc>
        <w:tc>
          <w:tcPr>
            <w:tcW w:w="10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w:t>
            </w:r>
          </w:p>
        </w:tc>
      </w:tr>
      <w:tr>
        <w:trPr>
          <w:trHeight w:val="21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1080" w:type="dxa"/>
            <w:vAlign w:val="bottom"/>
            <w:tcBorders>
              <w:top w:val="single" w:sz="8" w:color="auto"/>
              <w:bottom w:val="single" w:sz="8" w:color="auto"/>
            </w:tcBorders>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34,350</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9,882</w:t>
            </w:r>
          </w:p>
        </w:tc>
      </w:tr>
      <w:tr>
        <w:trPr>
          <w:trHeight w:val="20"/>
        </w:trPr>
        <w:tc>
          <w:tcPr>
            <w:tcW w:w="7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Since inception, we have financed operations primarily through the net proceeds we have received from the sales of our preferred stock and common stock, the issuance of senior mandatory convertible promissory notes in January and June 2020 to a trust affiliated with our co-founder, Chair, and former CEO, Dustin Moskovitz, cash generated from the sale of subscriptions to our platform, and financing activities including a private placement transaction with Mr. Moskovitz. We have generated losses from our operations as reflected in our accumulated deficit of $2,209.1 million as of April 30, 2026.</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April 30, 2026, our principal sources of liquidity were cash, cash equivalents, and marketable securities of $424.6 million.</w:t>
      </w:r>
    </w:p>
    <w:p>
      <w:pPr>
        <w:spacing w:after="0" w:line="16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In November 2022, we entered into a four-year credit agreement with SVB, which provided for a senior secured credit facilities in the aggregate principal amount of up to $150.0 million, consisting of a term loan facility in the aggregate principal amount of $50.0 million and a revolving loan facility in an aggregate principal amount of up to $100.0 million, including a $30.0 million letter of credit sub-facility (as amended on April 13, 2023, June 18, 2024, November 18, 2024, May 29, 2025, and February 26, 2026, the “November 2022 Senior Secured Credit Facility”). The November 2022 Senior Secured Credit Facility refinanced our prior credit agreement with SVB (the “April 2020 Senior Secured Term Loan”) and terminates on November 7, 2026.</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Borrowings under the November 2022 Senior Secured Credit Facility may be designated as ABR Loans or SOFR Loans, subject to certain terms and conditions under the agreement. Interest will accrue on any outstanding balance at a floating rate tied to the adjusted term SOFR, the prime rate or the federal funds effective rate. Interest is payable monthly in arrears. Pursuant to the terms of the revolving credit facility, we are required to pay an annual commitment fee that accrues at a rate of 0.15% per annum on the unused portion of the borrowing commitments under the revolving credit facility. Refer to </w:t>
      </w:r>
      <w:r>
        <w:rPr>
          <w:rFonts w:ascii="Times New Roman" w:cs="Times New Roman" w:eastAsia="Times New Roman" w:hAnsi="Times New Roman"/>
          <w:sz w:val="18"/>
          <w:szCs w:val="18"/>
          <w:i w:val="1"/>
          <w:iCs w:val="1"/>
          <w:color w:val="auto"/>
        </w:rPr>
        <w:t>Note 6. Debt</w:t>
      </w:r>
      <w:r>
        <w:rPr>
          <w:rFonts w:ascii="Times New Roman" w:cs="Times New Roman" w:eastAsia="Times New Roman" w:hAnsi="Times New Roman"/>
          <w:sz w:val="18"/>
          <w:szCs w:val="18"/>
          <w:color w:val="auto"/>
        </w:rPr>
        <w:t xml:space="preserve"> for further details.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April 30, 2026, under the November 2022 Senior Secured Credit Facility there was $50.0 million drawn and $38.1 million was outstanding under the term loan, no amounts outstanding under the revolving credit facility and an aggregate $21.7 million in letters of credit issued under the credit sub-facility. Our total available borrowing capacity under the revolving credit facility was $78.3 million as of April 30, 2026.</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March 27, 2023, First Citizens BancShares, Inc. (“First Citizens”) announced that it had entered into an agreement to purchase assets and liabilities of SVB, inclusive of our November 2022 Senior Secured Credit Facility. We continue to have the ability to make additional borrowings under the November 2022 Senior Secured Credit Facility which is now held by SVB as a division of First Citizens.</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June 2024, our board of directors authorized a stock repurchase program of up to $150.0 million of our outstanding Class A common stock (the “Repurchase Program”). Repurchases are made on the open market, including via pre-set trading plans, in accordance with applicable securities laws. The Repurchase Program is funded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40" w:name="page41"/>
    <w:bookmarkEnd w:id="40"/>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using our working capital and was initially authorized through June 2025. The Repurchase Program does not obligate us to acquire any particular amount of Class A common stock, and the Repurchase Program may be suspended or discontinued at any time at our discretion. During the three months ended April 30, 2026, we repurchased 7.4 million shares of our outstanding Class A common stock for an aggregate purchase price of $45.0 million. During the three months ended April 30, 2025, we repurchased 1.0 million shares of our outstanding Class A common stock for an aggregate purchase price of $15.6 million. All shares of Class A common stock repurchased were retired. The Repurchase Program was later amended on May 30, 2025 to remove the original expiration date and authorize the repurchase of an additional $100.0 million of Class A common stock. The Repurchase Program was later amended on February 27, 2026 to authorize the repurchase of an additional $160.0 million of Class A common stock. As of April 30, 2026, $154.5 million remained available for future stock repurchases under the Repurchase Program. The Repurchase Program, as amended, has no specified expiration date and will continue until the funds committed to the Repurchase Program are exhausted or such authorization is revoked by our board of directors. See </w:t>
      </w:r>
      <w:r>
        <w:rPr>
          <w:rFonts w:ascii="Times New Roman" w:cs="Times New Roman" w:eastAsia="Times New Roman" w:hAnsi="Times New Roman"/>
          <w:sz w:val="18"/>
          <w:szCs w:val="18"/>
          <w:i w:val="1"/>
          <w:iCs w:val="1"/>
          <w:color w:val="auto"/>
        </w:rPr>
        <w:t>Note 10. Stockholders’ Equity</w:t>
      </w:r>
      <w:r>
        <w:rPr>
          <w:rFonts w:ascii="Times New Roman" w:cs="Times New Roman" w:eastAsia="Times New Roman" w:hAnsi="Times New Roman"/>
          <w:sz w:val="18"/>
          <w:szCs w:val="18"/>
          <w:color w:val="auto"/>
        </w:rPr>
        <w:t xml:space="preserve"> to our unaudited condensed consolidated financial statements included in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of this Quarterly Report on Form 10-Q for more information regarding stock repurchases.</w:t>
      </w:r>
    </w:p>
    <w:p>
      <w:pPr>
        <w:spacing w:after="0" w:line="13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 substantial source of our cash provided by operating activities is our customer billings for subscription to our platform. Deferred revenue consists of the unearned portion of billed fees for our subscriptions, which is included on our condensed consolidated balance sheets as a liability and is recorded as revenues over the term of the subscription agreement. As of April 30, 2026, we had $323.1 million of deferred revenue, of which $322.9 million was recorded as a current liability. This deferred revenue will be recognized as revenues when all of the revenue recognition criteria are met.</w:t>
      </w:r>
    </w:p>
    <w:p>
      <w:pPr>
        <w:spacing w:after="0" w:line="12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We assess our liquidity primarily through our cash on hand as well as the projected timing of billings under contract with our paying customers and related collection cycles. We believe our current cash, cash equivalents, marketable securities, and amounts available under our November 2022 Senior Secured Credit Facility will be sufficient to meet our working capital and capital expenditure requirements for at least the next 12 months. Our future capital requirements will depend on many factors, including our revenue growth rate, subscription renewal activity, billing frequency, our dollar-based-net-retention rate, the timing and extent of spending to support our research and development efforts, particularly for the introduction of new and enhanced products and features, including the integration of AI in our products, the performance of sales and marketing activities, costs associated with international expansion, additional capital expenditures to invest in existing and new office spaces, as well as increased general and administrative expenses to support being a publicly traded company. We may, in the future, enter into arrangements to acquire or invest in complementary businesses, services, and technologies, including intellectual property rights. We may seek to raise additional funds at any time through equity, equity-linked arrangements, and debt. If we are unable to raise additional capital when desired and at reasonable rates, our business, results of operations, and financial condition would be adversely affected. Additionally, cash from operations could also be affected by various risks and uncertainties in connection with the impact of an economic downturn or recession, significant market volatility in the global economy, timing and ability to collect payments from our customers and other risks detailed in </w:t>
      </w:r>
      <w:r>
        <w:rPr>
          <w:rFonts w:ascii="Times New Roman" w:cs="Times New Roman" w:eastAsia="Times New Roman" w:hAnsi="Times New Roman"/>
          <w:sz w:val="18"/>
          <w:szCs w:val="18"/>
          <w:i w:val="1"/>
          <w:iCs w:val="1"/>
          <w:color w:val="auto"/>
        </w:rPr>
        <w:t>Part II—Other Information, 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1A. Risk Factors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3020" w:type="dxa"/>
            <w:vAlign w:val="bottom"/>
            <w:gridSpan w:val="3"/>
          </w:tcPr>
          <w:p>
            <w:pPr>
              <w:jc w:val="center"/>
              <w:ind w:left="56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40" w:type="dxa"/>
            <w:vAlign w:val="bottom"/>
          </w:tcPr>
          <w:p>
            <w:pPr>
              <w:spacing w:after="0"/>
              <w:rPr>
                <w:sz w:val="16"/>
                <w:szCs w:val="16"/>
                <w:color w:val="auto"/>
              </w:rPr>
            </w:pPr>
          </w:p>
        </w:tc>
      </w:tr>
      <w:tr>
        <w:trPr>
          <w:trHeight w:val="24"/>
        </w:trPr>
        <w:tc>
          <w:tcPr>
            <w:tcW w:w="75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6"/>
        </w:trPr>
        <w:tc>
          <w:tcPr>
            <w:tcW w:w="75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r>
      <w:tr>
        <w:trPr>
          <w:trHeight w:val="192"/>
        </w:trPr>
        <w:tc>
          <w:tcPr>
            <w:tcW w:w="7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40" w:type="dxa"/>
            <w:vAlign w:val="bottom"/>
            <w:gridSpan w:val="2"/>
          </w:tcPr>
          <w:p>
            <w:pPr>
              <w:jc w:val="center"/>
              <w:ind w:right="36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6"/>
                <w:szCs w:val="16"/>
                <w:color w:val="auto"/>
              </w:rPr>
            </w:pPr>
          </w:p>
        </w:tc>
      </w:tr>
      <w:tr>
        <w:trPr>
          <w:trHeight w:val="23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8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40,244</w:t>
            </w:r>
          </w:p>
        </w:tc>
        <w:tc>
          <w:tcPr>
            <w:tcW w:w="1200" w:type="dxa"/>
            <w:vAlign w:val="bottom"/>
            <w:shd w:val="clear" w:color="auto" w:fill="CCEEFF"/>
          </w:tcPr>
          <w:p>
            <w:pPr>
              <w:jc w:val="right"/>
              <w:ind w:right="96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8"/>
              </w:rPr>
              <w:t>6,764</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0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200" w:type="dxa"/>
            <w:vAlign w:val="bottom"/>
          </w:tcPr>
          <w:p>
            <w:pPr>
              <w:spacing w:after="0"/>
              <w:rPr>
                <w:sz w:val="19"/>
                <w:szCs w:val="19"/>
                <w:color w:val="auto"/>
              </w:rPr>
            </w:pPr>
          </w:p>
        </w:tc>
        <w:tc>
          <w:tcPr>
            <w:tcW w:w="64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4,176</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(41,925)</w:t>
            </w: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(5,523)</w:t>
            </w:r>
          </w:p>
        </w:tc>
      </w:tr>
    </w:tbl>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largest source of operating cash is cash collection from sales of subscriptions to our paying customers. Our primary uses of cash from operating activities are for personnel-related expenses, marketing expenses, and third-party hosting-related and software expenses. Prior to fiscal 2025, we generated negative cash flows from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activities and supplemented working capital requirements through net proceeds from the sale of equity and equity-linked securities.</w:t>
      </w:r>
    </w:p>
    <w:p>
      <w:pPr>
        <w:spacing w:after="0" w:line="16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Net cash provided by operating activities of $40.2 million for the three months ended April 30, 2026 reflects our net loss of $14.4 million, adjusted by non-cash items such as stock-based compensation expense of $36.3 million, amortization of deferred contract acquisition costs of $6.8 million, depreciation and amortization of $6.1 million, non-cash lease expense of $4.9 million, and provision for expected credit losses of $0.5 million, partially offset by net accretion of discount on marketable securities of $0.3 million, and net cash inflows of $0.3 million from changes in our operating assets and liabilities. The net cash inflows from changes in operating assets and liabilities primarily consisted of a $36.5 million decrease in accounts receivable and a $7.4 million increase in accounts payable. These amounts were partially offset by a $15.5 million decrease in accrued expenses and other liabilities primarily from accrued advertising expenses and accrued payroll liability, a $10.7 million decrease in deferred revenue resulting from decreased billings for subscriptions, a $10.1 million increase in prepaid expenses and other current assets related to an increase in deferred contract acquisition costs, a $6.4 million decrease in operating lease liabilities, and a $0.9 million increase in other assets.</w:t>
      </w:r>
    </w:p>
    <w:p>
      <w:pPr>
        <w:spacing w:after="0" w:line="13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Net cash provided by operating activities of $6.8 million for the three months ended April 30, 2025 reflects our net loss of $40.0 million, adjusted by non-cash items such as stock-based compensation expense of $48.2 million, amortization of deferred contract acquisition costs of $6.7 million, depreciation and amortization of $5.0 million, non-cash lease expense of $4.5 million, and provision for expected credit losses of $1.0 million, partially offset by net accretion of discount on marketable securities of $0.7 million, and net cash outflows of $17.9 million from changes in our operating assets and liabilities. The net cash outflows from changes in operating assets and liabilities primarily consisted of a $12.5 million decrease in deferred revenue resulting from decreased billings for subscriptions, a $8.8 million increase in prepaid expenses and other current assets related to an increase in deferred contract acquisition costs, a $7.4 million decrease in accrued expenses and other liabilities primarily from accrued payroll liabilities, a $5.4 million decrease in operating lease liabilities, a $1.7 million decrease in accounts payable, and a $0.7 million increase in other assets. These amounts were partially offset by a $18.7 million decrease in accounts receivable.</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used in investing activities of $3.4 million for the three months ended April 30, 2026 consisted of $50.0 million in purchases of marketable securities, $3.1 million in capitalized internal-use software costs, and $2.8 million in purchases of property and equipment. This was partially offset by $52.5 million in maturities of marketable securities.</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provided by investing activities of $4.2 million for the three months ended April 30, 2025 consisted of $41.0 million in maturities of marketable securities, partially offset by $34.1 million in purchases of marketable securities, $2.1 million in capitalized internal-use software costs, and $0.6 million in purchases of property and equipment.</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used in financing activities of $41.9 million for the three months ended April 30, 2026 consisted of $45.0 million in repurchases of Class A common stock and $2.5 million in repayment of term loan. This was partially offset by $4.9 million in proceeds from our employee stock purchase plan and $0.7 million in proceeds from the exercise of stock options.</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used in financing activities of $5.5 million for the three months ended April 30, 2025 consisted of $14.5 million in repurchases of Class A common stock. This was partially offset by $7.7 million in proceeds from our employee stock purchase plan and $1.3 million in proceeds from the exercise of stock options.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the three months ended April 30, 2026, there were no material changes in our contractual obligations and other commitments as disclosed in our Annual Report on Form 10-K filed with the SEC on March 13,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42" w:name="page43"/>
    <w:bookmarkEnd w:id="42"/>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For further information on our commitments and contingencies, refer to </w:t>
      </w:r>
      <w:r>
        <w:rPr>
          <w:rFonts w:ascii="Times New Roman" w:cs="Times New Roman" w:eastAsia="Times New Roman" w:hAnsi="Times New Roman"/>
          <w:sz w:val="18"/>
          <w:szCs w:val="18"/>
          <w:i w:val="1"/>
          <w:iCs w:val="1"/>
          <w:color w:val="auto"/>
        </w:rPr>
        <w:t>Note 7. Commitments and Contingencies</w:t>
      </w:r>
      <w:r>
        <w:rPr>
          <w:rFonts w:ascii="Times New Roman" w:cs="Times New Roman" w:eastAsia="Times New Roman" w:hAnsi="Times New Roman"/>
          <w:sz w:val="18"/>
          <w:szCs w:val="18"/>
          <w:color w:val="auto"/>
        </w:rPr>
        <w:t xml:space="preserve"> in the condensed consolidated financial statements contained within this Quarterly Report on Form 10-Q.</w:t>
      </w:r>
    </w:p>
    <w:p>
      <w:pPr>
        <w:spacing w:after="0" w:line="107" w:lineRule="exact"/>
        <w:rPr>
          <w:sz w:val="20"/>
          <w:szCs w:val="20"/>
          <w:color w:val="auto"/>
        </w:rPr>
      </w:pPr>
    </w:p>
    <w:p>
      <w:pPr>
        <w:ind w:left="320" w:right="40"/>
        <w:spacing w:after="0" w:line="431" w:lineRule="auto"/>
        <w:rPr>
          <w:sz w:val="20"/>
          <w:szCs w:val="20"/>
          <w:color w:val="auto"/>
        </w:rPr>
      </w:pPr>
      <w:r>
        <w:rPr>
          <w:rFonts w:ascii="Times New Roman" w:cs="Times New Roman" w:eastAsia="Times New Roman" w:hAnsi="Times New Roman"/>
          <w:sz w:val="18"/>
          <w:szCs w:val="18"/>
          <w:color w:val="auto"/>
        </w:rPr>
        <w:t xml:space="preserve">In November 2022, we entered into the November 2022 Senior Secured Credit Facility with SVB, as discussed in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b w:val="1"/>
          <w:bCs w:val="1"/>
          <w:i w:val="1"/>
          <w:iCs w:val="1"/>
          <w:color w:val="auto"/>
        </w:rPr>
        <w:t>Indemnification Agreements</w:t>
      </w:r>
    </w:p>
    <w:p>
      <w:pPr>
        <w:spacing w:after="0" w:line="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in connection with the listing of our Class A common stock on the NYSE,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financial position, results of operations, or cash flows.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GAAP.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Except as noted below, there have been no changes to our critical accounting policies and estimates during the three months ended April 30, 2026 as compared to those disclosed in our Management’s Discussion and Analysis of Financial Condition and Results of Operations set forth in our Annual Report on Form 10-K filed with the SEC on March 13, 2026.</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68"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 xml:space="preserve">Accounting for stock-based compensation expense related to equity awards requires the use of significant estimates and assumptions, most notably for Performance-Based Awards. Refer to </w:t>
      </w:r>
      <w:r>
        <w:rPr>
          <w:rFonts w:ascii="Times New Roman" w:cs="Times New Roman" w:eastAsia="Times New Roman" w:hAnsi="Times New Roman"/>
          <w:sz w:val="17"/>
          <w:szCs w:val="17"/>
          <w:i w:val="1"/>
          <w:iCs w:val="1"/>
          <w:color w:val="auto"/>
        </w:rPr>
        <w:t>Note 10. Stockholders’ Equity</w:t>
      </w:r>
      <w:r>
        <w:rPr>
          <w:rFonts w:ascii="Times New Roman" w:cs="Times New Roman" w:eastAsia="Times New Roman" w:hAnsi="Times New Roman"/>
          <w:sz w:val="17"/>
          <w:szCs w:val="17"/>
          <w:color w:val="auto"/>
        </w:rPr>
        <w:t xml:space="preserve"> for further discussion of the estimates and assumptions which impact the reported amount and recognition of stock-based compensation expense for Performance-Based Awards, which can contain both market conditions and performance conditions.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4"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2. Basis of Presentation and Summary of Significant Accounting Policies</w:t>
      </w:r>
      <w:r>
        <w:rPr>
          <w:rFonts w:ascii="Times New Roman" w:cs="Times New Roman" w:eastAsia="Times New Roman" w:hAnsi="Times New Roman"/>
          <w:sz w:val="18"/>
          <w:szCs w:val="18"/>
          <w:color w:val="auto"/>
        </w:rPr>
        <w:t xml:space="preserve"> to our condensed consolidated financial statements included in </w:t>
      </w:r>
      <w:r>
        <w:rPr>
          <w:rFonts w:ascii="Times New Roman" w:cs="Times New Roman" w:eastAsia="Times New Roman" w:hAnsi="Times New Roman"/>
          <w:sz w:val="18"/>
          <w:szCs w:val="18"/>
          <w:i w:val="1"/>
          <w:iCs w:val="1"/>
          <w:color w:val="auto"/>
        </w:rPr>
        <w:t>Part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Item 1 </w:t>
      </w:r>
      <w:r>
        <w:rPr>
          <w:rFonts w:ascii="Times New Roman" w:cs="Times New Roman" w:eastAsia="Times New Roman" w:hAnsi="Times New Roman"/>
          <w:sz w:val="18"/>
          <w:szCs w:val="18"/>
          <w:color w:val="auto"/>
        </w:rPr>
        <w:t>of this Quarterly Report on Form 10-Q for more information regarding recent accounting pronouncements.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operations in the United States and internationally, and we are exposed to certain market risks in the ordinary course of our business.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cash, cash equivalents, restricted cash, and marketable securities primarily consist of cash on hand and highly liquid investments in money market funds, U.S. government securities, corporate bonds, U.S. agency bonds, and commercial paper. As of April 30, 2026 and January 31, 2026, we had cash and cash equivalents of $193.7 million and $199.8 million, respectively, restricted cash of $0.7 million and $0.4 million, respectively,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43" w:name="page44"/>
    <w:bookmarkEnd w:id="43"/>
    <w:p>
      <w:pPr>
        <w:jc w:val="both"/>
        <w:spacing w:after="0" w:line="255" w:lineRule="auto"/>
        <w:rPr>
          <w:sz w:val="20"/>
          <w:szCs w:val="20"/>
          <w:color w:val="auto"/>
        </w:rPr>
      </w:pPr>
      <w:r>
        <w:rPr>
          <w:rFonts w:ascii="Times New Roman" w:cs="Times New Roman" w:eastAsia="Times New Roman" w:hAnsi="Times New Roman"/>
          <w:sz w:val="18"/>
          <w:szCs w:val="18"/>
          <w:color w:val="auto"/>
        </w:rPr>
        <w:t>marketable securities of $231.0 million and $234.2 million, respectively. We do not enter into investments for trading or speculative purposes. Our investments are exposed to market risk due to fluctuations in interest rates, which may affect our interest income and the fair value of our investments. As of April 30, 2026, a hypothetical increase in interest rates for our investments by 100 basis points would not have a material impact on our condensed consolidated financial statements.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Any borrowings under the revolving credit facility bear interest at a variable rate tied to the adjusted term SOFR, the prime rate, or the federal funds effective rate. As of April 30, 2026, we had $38.1 million outstanding under the credit facility. We do not have any other long-term debt or financial liabilities with floating interest rates that would subject us to interest rate fluctuations. As of April 30, 2026, a hypothetical increase of 100 basis points in interest rates for our revolving credit facility would not have a material impact on our condensed consolidated financial statements.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68"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The majority of our subscription agreements are denominated in U.S. dollars, with the remainder generated in Euros, British Pounds, Australian Dollars, Japanese Yen, Mexican Pesos, Brazilian Reais, Canadian Dollars, and South Korean Won. A portion of our operating expenses are incurred outside the United States, denominated in foreign currencies, and subject to fluctuations due to changes in foreign currency exchange rates, particularly changes in the Euro, British Pound, Canadian Dollar, Australian Dollar, Japanese Yen, Icelandic Krona, Singapore Dollar, Swiss Franc, and Polish Zloty. Our results of operations and cash flows are, therefore, subject to fluctuations in foreign currency exchange rates that are unrelated to our operating performance.</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As exchange rates may fluctuate significantly between periods, our non-U.S. dollar denominated revenue and operating expenses may also experience significant fluctuations between periods as we convert these to U.S. dollars. Volatile market conditions arising from the macro environment have and may in the future result in significant changes in exchange rates, and in particular a weakening of foreign currencies relative to the U.S. dollar has and may in the future negatively affect our revenue expressed in U.S. dollars. In the three months ended April 30, 2026, 29%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 We disclose the impact of realized foreign currency gains and losses within </w:t>
      </w:r>
      <w:r>
        <w:rPr>
          <w:rFonts w:ascii="Times New Roman" w:cs="Times New Roman" w:eastAsia="Times New Roman" w:hAnsi="Times New Roman"/>
          <w:sz w:val="18"/>
          <w:szCs w:val="18"/>
          <w:i w:val="1"/>
          <w:iCs w:val="1"/>
          <w:color w:val="auto"/>
        </w:rPr>
        <w:t>Note 11. Interest Income and Other Income (Expense), Net.</w:t>
      </w:r>
      <w:r>
        <w:rPr>
          <w:rFonts w:ascii="Times New Roman" w:cs="Times New Roman" w:eastAsia="Times New Roman" w:hAnsi="Times New Roman"/>
          <w:sz w:val="18"/>
          <w:szCs w:val="18"/>
          <w:color w:val="auto"/>
        </w:rPr>
        <w:t xml:space="preserve"> A hypothetical 10% change in foreign currency rates would not have resulted in material gains or losses for the three months ended April 30, 2026 and 2025.</w:t>
      </w:r>
    </w:p>
    <w:p>
      <w:pPr>
        <w:spacing w:after="0" w:line="13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the impact of foreign currency exchange rates are not projected to be material to our operating results, we have not entered into derivative or hedging transactions, but we may do so in the future if our exposure to foreign currency becomes more significant.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(the “Exchange Act”)) as of April 30, 2026. 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Chief Executive Officer and Chief Financial Officer concluded that, as of April 30, 2026, our disclosure controls and procedures were effective to provide reasonable assurance that information we are required to disclose in reports we file or submit under the Exchange Act is recorded, processed, summarized, and reported within the time periods specified in the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during the quarter ended April 30,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45" w:name="page46"/>
    <w:bookmarkEnd w:id="45"/>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not a party to any material pending legal proceedings. From time to time, we may be subject to legal proceedings and claims arising in the ordinary course of business.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risks described below, together with the other information in this Quarterly Report on Form 10-Q, including our condensed consolidated financial statements and related notes and the section titled “Management’s Discussion and Analysis of Financial Condition and Results of Operations” before deciding whether to invest in our Class A common stock.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prior growth rates may not be indicative of our future growth.</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experienced significant growth in prior periods and we may not be able to achieve similar revenue growth rates in the future. Further, as we continue to operate in a new and rapidly changing category of work management software, widespread acceptance and use of our platform is critical to our future growth and success. We believe our revenue growth depends on a number of factors, including, but not limited to, our ability to:</w:t>
      </w:r>
    </w:p>
    <w:p>
      <w:pPr>
        <w:spacing w:after="0" w:line="125" w:lineRule="exact"/>
        <w:rPr>
          <w:sz w:val="20"/>
          <w:szCs w:val="20"/>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individuals, teams, and organizations as customers;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or maintain our dollar-based net retention rate, expand usage within organizations, and sell subscriptions;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package our subscription plans effectively;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individuals, teams, and organizations on our free and trial versions into paying customers;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widespread acceptance and use of our platform, including in markets outside of the United States;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expand our direct sales force and channel partner program and leverage our existing sales capacity;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features and capabilities of our platform, including the successful deployment of AI features in our products;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excellent customer experience and customer support;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security, privacy, and reliability of our platform or systems that process confidential data;</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compete against established companies and new market entrants, as well as existing software tools;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on a global basis.</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If we are unable to accomplish these tasks, our revenue growth would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ind w:right="2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at our current scale, which makes it difficult to evaluate our future prospects and may increase the risk that we will not be successful.</w:t>
      </w:r>
    </w:p>
    <w:p>
      <w:pPr>
        <w:spacing w:after="0" w:line="10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have experienced significant growth in prior periods and, as a result, have a relatively short history operating our business at its current scale. Furthermore, we operate in an industry that is characterized by rapid technological innovation, intense competition, changing customer needs, and frequent introductions of new products, technologies, and services. In particular, advancements in technology such as AI and machine learning are changing the way people work by automating tasks, enhancing communication, and improving decision-making processes, and businesses that are slow to adopt these new technologies may face a competitive disadvantage. We have encountered, and will continue to encounter, risks and uncertainties frequently experienced by growing companies in evolving industries. In addition, our future growth rate is subject to a number of uncertainties, such as general macroeconomic and market conditions, including fluctuating interest rates, inflation, actual or anticipated bank failures, instability in financial markets, tariffs and changes in trade agreements, and economic downturns or recessions in the regions in which we do business. If our assumptions regarding these risks and uncertainties, which we use to plan our business, are incorrect or change in reaction to changes in the market, or if we do not address these risks successfully, our results of operations could differ materially from our expectations, and our business, results of operations, and financial condition would suffer.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we may not be able to achieve profitability or, if achieved, sustain profitability.</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incurred net losses in each fiscal year since our founding. We generated net losses of $14.4 million and $40.0 million for the three months ended April 30, 2026 and 2025, respectively. As of April 30, 2026, we had an accumulated deficit of $2,209.1 million. We do not expect to be profitable in the near future, and we cannot assure you that we will achieve profitability in the future or that, if we do become profitable, we will sustain profitability. These losses reflect, among other things, the significant investments we made to develop and commercialize our platform, serve our existing customers, and broaden our customer base.</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expect to continue to make future investments and expenditures related to the growth of our business, including:</w:t>
      </w:r>
    </w:p>
    <w:p>
      <w:pPr>
        <w:spacing w:after="0" w:line="164" w:lineRule="exact"/>
        <w:rPr>
          <w:sz w:val="20"/>
          <w:szCs w:val="20"/>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investment in our sales and marketing activities;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investments in research and development to introduce new features and enhancements to our platform, including integration of AI in our products;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employees necessary to support our goals;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infrastructure;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operations across our multiple geographies;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general and administrative organization.</w:t>
      </w:r>
    </w:p>
    <w:p>
      <w:pPr>
        <w:spacing w:after="0" w:line="16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a result of these investments and expenditures, we may experience losses in future periods that may increase significantly. Therefore, our losses in future periods may be significantly greater than the losses we would incur if we developed our business more slowly. In addition, we may find that these efforts are more expensive than we currently anticipate or that they may not result in increases in our revenues. We cannot be certain that we will be able to achieve, sustain, or increase profitability on a quarterly or annual basis. Any failure by us to achieve and sustain profitability would cause the trading price of our Class A common stock to decline.</w:t>
      </w:r>
    </w:p>
    <w:p>
      <w:pPr>
        <w:spacing w:after="0" w:line="128"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believe our long-term value as a company will be greater if we focus on growth, which may negatively impact our profitability in the near and medium term.</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 significant part of our business strategy and culture is to focus on long-term growth and customer success over short-term financial results. As a result, in the near and medium term, we may continue to operate at a loss, or our near- and medium-term profitability may be lower than it would be if our strategy were to maximize near- and medium-term profitability. We expect to continue making expenditures on sales and marketing efforts, and expenditures to grow our platform and develop new features, integrations, capabilities, and enhancements to our platform. Such expenditures may not result in improved business results or profitability over the long term. If we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47" w:name="page48"/>
    <w:bookmarkEnd w:id="47"/>
    <w:p>
      <w:pPr>
        <w:jc w:val="both"/>
        <w:spacing w:after="0" w:line="274" w:lineRule="auto"/>
        <w:rPr>
          <w:sz w:val="20"/>
          <w:szCs w:val="20"/>
          <w:color w:val="auto"/>
        </w:rPr>
      </w:pPr>
      <w:r>
        <w:rPr>
          <w:rFonts w:ascii="Times New Roman" w:cs="Times New Roman" w:eastAsia="Times New Roman" w:hAnsi="Times New Roman"/>
          <w:sz w:val="18"/>
          <w:szCs w:val="18"/>
          <w:color w:val="auto"/>
        </w:rPr>
        <w:t>ultimately unable to achieve or improve profitability at the level or during the time frame anticipated by securities or industry analysts and our stockholders, the trading price of our Class A common stock may decline.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may fluctuate significantly and may not meet our expectations or those of investors or securities analysts.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quarterly results of operations, including the levels of our revenues, deferred revenue, working capital, and cash flows, may vary significantly in the future, such that period-to-period comparisons of our results of operations may not be meaningful. Our quarterly financial results may fluctuate due to a variety of factors, many of which are outside of our control and may be difficult to predict, including, but not limited to:</w:t>
      </w:r>
    </w:p>
    <w:p>
      <w:pPr>
        <w:spacing w:after="0" w:line="125"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platform;</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or maintain our dollar-based net retention rate, expand usage within organizations, and sell subscriptions;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features, integrations, capabilities, and enhancements by us to our platform, or by our competitors to their products, including the development and deployment of AI driven features, or any other changes in the competitive landscape of our market;</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widespread acceptance and use of our platform;</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in our forecasting of the demand for our platform, which would lead to lower revenues, increased costs, or both;</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and capital expenditures, as well as entry into operating leases, that we may incur to maintain and expand our business and operations and to remain competitive;</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and recognition of revenues;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technical difficulties, or interruptions to our platform;</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as a result of competition or otherwise;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other dispute-related settlement payments, or other litigation-related costs;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new employees hired;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grant or vesting of equity awards to employees, directors, or consultants;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buying patterns for software spending;</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values of foreign currencies relative to the U.S. dollar;</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global interest rates, which may affect our customers’ spending patterns and our return on investments;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inflation on our costs and on customer spending;</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continuing uncertainty in relation to, the legislative or regulatory environment;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compliance costs in new and existing markets;</w:t>
      </w:r>
    </w:p>
    <w:p>
      <w:pPr>
        <w:spacing w:after="0" w:line="164"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timing of expenses related to the potential acquisition of businesses, including our acquisition of StackAI, talent, technologies, or intellectual property, including potentially significant amortization costs and possible write-downs;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such as influenza, and other highly communicable diseases or viruses; and</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either domestic or international markets, including geopolitical uncertainty and instability, tariffs and changes in trade agreements, and their effects on software spending.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48" w:name="page49"/>
    <w:bookmarkEnd w:id="48"/>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Any one or more of the factors above may result in significant fluctuations in our quarterly results of operations, which may negatively impact the trading price of our Class A common stock. You should not rely on our past results as an indicator of our future performance.</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variability and unpredictability of our quarterly results of operations or other operating metrics could result in our failure to meet our expectations or those of investors or analysts with respect to revenues or other metrics for a particular period. If we fail to meet or exceed such expectations for these or any other reasons, the trading price of our Class A common stock would fall, and we would face costly litigation, including securities class action lawsuits.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manage our growth.</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historically experienced significant growth and increasing demand for our platform. The growth and expansion of our business and platform may place a significant strain on our management, operational, and financial resources. We are required to manage multiple relationships with various strategic partners, customers, and other third parties. In the event of further growth of our operations or in the number of our third-party relationships, our systems, procedures, or internal controls may not be adequate to support our operations, and our management may not be able to manage such growth effectively. To effectively manage our growth, we must continue to implement and improve our operational, financial, and management information systems and expand, train, and manage our employee base.</w:t>
      </w:r>
    </w:p>
    <w:p>
      <w:pPr>
        <w:spacing w:after="0" w:line="128"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convert individuals, teams, and organizations using our free and trial versions into paying customers, and expand usage within organizations or develop new features, integrations, capabilities, and enhancements that achieve market acceptance, our revenue growth would be harmed.</w:t>
      </w:r>
    </w:p>
    <w:p>
      <w:pPr>
        <w:spacing w:after="0" w:line="121"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7"/>
          <w:szCs w:val="17"/>
          <w:color w:val="auto"/>
        </w:rPr>
        <w:t>To increase our revenues and achieve profitability, we must increase our customer base through various methods, including but not limited to, adding new customers, converting individuals, teams, and organizations using our free and trial versions into paying customers, and expanding usage within organizations. We encourage customers on our free and trial versions to upgrade to paid subscription plans. Additionally, we seek to expand within organizations by adding new customers, having organizations upgrade to our Advanced, Enterprise, or Enterprise+ plans, or expanding their use of our platform into other groups within an organization. While we have experienced significant growth in our number of customers, we do not know whether we will continue to achieve similar customer growth rates in the future. Numerous factors may impede our ability to add new customers, convert individuals, teams, and organizations using our free and trial versions into paying customers, expand usage within organizations, and sell subscriptions to our platform, including but not limited to, our failure to attract and effectively train new sales and marketing personnel, failure to retain and motivate our current sales and marketing personnel, failure to develop or expand relationships with partners, failure to compete effectively against alternative products or services, failure to successfully deploy new features and integrations, failure to provide a quality customer experience and customer support, or failure to ensure the effectiveness of our marketing programs. Additionally, as we focus on increasing our sales to larger organizations, we will be required to deploy sophisticated and costly sales efforts, which may result in longer sales cycles, greater competition, and less predictability in completing some of our sales. In the large enterprise market, the customer’s decision to use our platform can sometimes be an enterprise-wide decision, in which case, we will likely be required to provide greater levels of customer education to familiarize potential customers with the use and benefits of our platform, as well as training and on-going support. In addition, larger enterprise organizations may demand more customization, integration and support services, and features. As a result of these factors, these sales opportunities may require us to devote greater sales, research and development, and customer support resources to these customers, resulting in increased costs, lengthened sales cycles, and diversion of our own sales and professional services resources to a smaller number of larger customers. If our efforts to sell to organizations of all sizes are not successful or do not generate additional revenues, our business, results of operations, and financial condition would suffer.</w:t>
      </w:r>
    </w:p>
    <w:p>
      <w:pPr>
        <w:spacing w:after="0" w:line="13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we believe that many of our new customers originate from word-of-mouth and other non-paid referrals from existing customers, so we must ensure that our existing customers remain loyal to our platform in order to continue receiving those referrals. Our ability to attract new customers and increase revenues from existing paying customers depends in large part on our ability to continually enhance and improve our platform and the features, integrations, and capabilities we offer, and to introduce compelling new features, integrations, and capabilities that reflect the changing nature of our market in order to maintain and improve the quality and value of our platform. Accordingly, we must continue to invest in research and development and in our ongoing efforts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49" w:name="page50"/>
    <w:bookmarkEnd w:id="49"/>
    <w:p>
      <w:pPr>
        <w:jc w:val="both"/>
        <w:spacing w:after="0" w:line="252" w:lineRule="auto"/>
        <w:rPr>
          <w:sz w:val="20"/>
          <w:szCs w:val="20"/>
          <w:color w:val="auto"/>
        </w:rPr>
      </w:pPr>
      <w:r>
        <w:rPr>
          <w:rFonts w:ascii="Times New Roman" w:cs="Times New Roman" w:eastAsia="Times New Roman" w:hAnsi="Times New Roman"/>
          <w:sz w:val="18"/>
          <w:szCs w:val="18"/>
          <w:color w:val="auto"/>
        </w:rPr>
        <w:t>improve and enhance our platform. The success of any enhancement to our platform depends on several factors, including timely completion and delivery, competitive pricing and packaging, adequate quality testing, integration with new and existing technologies, including AI, and overall market acceptance. Any new features, integrations, and capabilities that we develop may not be introduced in a timely or cost-effective manner, may contain errors, failures, vulnerabilities, or bugs, or may not achieve the market acceptance necessary to generate significant revenues. We may have limited insight into the privacy, data protection, or security practices of third-party data suppliers for our AI algorithms.</w:t>
      </w:r>
    </w:p>
    <w:p>
      <w:pPr>
        <w:spacing w:after="0" w:line="132"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7"/>
          <w:szCs w:val="17"/>
          <w:color w:val="auto"/>
        </w:rPr>
        <w:t>Moreover, our business is subscription based, and customers are not obligated to and may not renew their subscriptions after their existing subscriptions expire, and we cannot ensure that customers will renew subscriptions with a similar contract period, with the same or greater number of users, or for the same level of subscription plan or upgrade their subscription plan. Customers may or may not renew their subscription plans as a result of a number of factors, including their satisfaction or dissatisfaction with our platform, our pricing or pricing structure, the pricing or capabilities of the products and services offered by our competitors, geographic availability of our service, the effects of general economic conditions including a downturn or recession, inflation and fluctuating interest rates, or customers’ budgetary constraints. If customers do not renew their subscriptions, renew on less favorable terms, or fail to add more individuals, teams, and organizations, or if we fail to upgrade individuals, teams, and organizations from our free or trial plans to our paid subscription plans, or expand the adoption of our platform within organizations, our revenues may decline or grow less quickly than anticipated, which would harm our business, results of operations, and financial condition. The current macroeconomic environment, including fluctuating interest rates, instability in financial markets, uncertain or changing sanctions regimes, bank failures, tariffs and changes in trade agreements, and their effects on software spending, and headwinds for technology customers, may impact the adoption of our platform generally and our success in engaging with new customers and expanding relationships with existing customers may be impacted by these conditions. If our customers are materially negatively impacted by these factors, such as being unable to access our service or their existing cash to fulfill their payment obligation to us due to future bank failures, our business could be negatively impacted. As a result of these macroeconomic conditions, and any corresponding actions customers may take to manage costs, we have experienced and may continue to experience longer sales cycles, and we may continue to experience a reduction in renewal rates, as well as reduced customer spend and delayed payments that could materially impact our business, results of operations, and financial condition in future periods. While we believe our revenues are relatively predictable in the near-term as a result of our subscription-based business model, the effect of macroeconomic uncertainties may not be fully reflected in our operating results and overall financial performance until future periods. If we fail to predict customer demands, fail to sufficiently account for the impact of macroeconomic and geopolitical conditions on our sales projections, or fail to attract new customers and maintain and expand new and existing customer relationships, our revenues may grow more slowly than expected, may not grow at all, or may decline, and our business may be harmed.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One of our marketing strategies is to offer free and trial subscription plans, and we may not be able to continue to realize the benefits of this strategy.</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offer free and trial subscription plans to promote brand awareness and organic adoption of our platform. Our marketing strategy depends in part on individuals, teams, and organizations who use our free and trial versions of our platform convincing others within their organizations to use Asana and to become paying customers. To the extent that increasing numbers of these individuals, teams, and organizations do not become, or lead others to become, paying customers, we will not realize the intended benefits of this marketing strategy, we will continue to pay the costs associated with hosting such free and trial versions, our ability to grow our business will be harmed, and our business, results of operations, and financial condition will suffer.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derive substantially all of our revenues from a single software solution and products available as add-ons to that solution.</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flagship product, the Asana collaborative work management platform, currently accounts for substantially all of our revenue through seat-based licenses. Additionally, the revenue derived from our add-on products and products or services we may launch in the future, may be dependent on licenses to our core work management platform. As such, the continued growth in market demand for and market acceptance, including international market acceptance, of our platform is critical to our continued success. Demand for our platform is affected by a number of factors, some of which are beyond our control, such as the rate of market adoption of work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50" w:name="page51"/>
    <w:bookmarkEnd w:id="50"/>
    <w:p>
      <w:pPr>
        <w:jc w:val="both"/>
        <w:spacing w:after="0" w:line="265" w:lineRule="auto"/>
        <w:rPr>
          <w:sz w:val="20"/>
          <w:szCs w:val="20"/>
          <w:color w:val="auto"/>
        </w:rPr>
      </w:pPr>
      <w:r>
        <w:rPr>
          <w:rFonts w:ascii="Times New Roman" w:cs="Times New Roman" w:eastAsia="Times New Roman" w:hAnsi="Times New Roman"/>
          <w:sz w:val="17"/>
          <w:szCs w:val="17"/>
          <w:color w:val="auto"/>
        </w:rPr>
        <w:t>solutions; the timing of development and release of competing new products; the development and acceptance of new features, integrations, and capabilities for our platform, including features, integrations, or capabilities that utilize AI; price, product, and service changes by us or our competitors; technological changes and developments within the markets we serve; growth, contraction, and rapid evolution of our market; and general economic conditions and trends including a downturn or recession, inflation, tariffs and changes in trade agreements, and fluctuating interest rates. If we are unable to continue to meet the demands of individuals, teams, and organizations or trends in preferences for work management solutions or to achieve more widespread market acceptance of our platform, our business, results of operations, and financial condition would be harmed. Changes in preferences of our current or potential customers may have a disproportionately greater impact on us than if we offered products that were independent from licenses to our core work management platform. In addition, some current and potential customers, particularly larger organizations, may develop or acquire their own tools or continue to rely on traditional tools and software for their work management solutions, which would reduce or eliminate their demand for our platform. If demand for our platform declines for any of these or other reasons, our business, results of operations, and financial condition would be adversely affected.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market for work management solutions develops more slowly than we expect or declines, our business would be adversely affected.</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It is uncertain whether work management solutions will achieve and sustain high levels of customer demand and market acceptance given the relatively early stage of development of this market. Our success will depend to a substantial extent on the widespread adoption of work management solutions generally. Individuals and organizations may be reluctant or unwilling to migrate to work management solutions from spreadsheets, email, messaging, and legacy project management tools. It is difficult to predict adoption rates and demand for our platform, the future growth rate and size of the market for work management solutions, or the entry of competitive offerings. The expansion of the work management solutions market depends on a number of factors, including the cost, performance, and perceived value associated with work management solutions. If work management solutions do not achieve widespread adoption, or there is a reduction in demand for work management solutions caused by a lack of customer acceptance, technological challenges, weakening economic conditions, privacy, data protection, or security concerns, competing technologies and products, decreases in corporate spending, or otherwise, it could result in decreased revenues, and our business, results of operations, and financial condition would be adversely affected.</w:t>
      </w:r>
    </w:p>
    <w:p>
      <w:pPr>
        <w:spacing w:after="0" w:line="134"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Additionally, while we believe that developing and deploying additional AI features on our platform will lead to increased demand for our offerings, this demand may not materialize as expected or may take longer than anticipated. Developments in AI technology may also change how work is performed or how software tools are used, which could reduce demand for certain work management capabilities or require us to adapt our platform and business model.</w:t>
      </w:r>
    </w:p>
    <w:p>
      <w:pPr>
        <w:spacing w:after="0" w:line="102"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and competition presents an ongoing threat to the success of our business. Our ability to compete and ensure our success requires developments in our technology, including the successful deployment of artificial intelligence in our products.</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market for work management solutions is increasingly competitive, fragmented, and subject to rapidly changing technology, shifting user and customer needs, new market entrants, and frequent introductions of new products and services. We compete with companies that range in size from large and diversified with significant spending resources to smaller companies. Our competition addresses the project portfolio management, work management, goal management, and workflow management categories, including, but not limited to, solutions around collaboration, communication, and coordination. Our competitors generally fall into the following groups: companies specifically offering work management solutions, companies offering productivity suites, and companies specializing in vertical solutions that address a portion of our market.</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that our ability to compete depends upon many factors both within and beyond our control, including the following:</w:t>
      </w:r>
    </w:p>
    <w:p>
      <w:pPr>
        <w:spacing w:after="0" w:line="164"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developments in our technology, including the successful deployment of AI in our products;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adaptability of our platform to a broad range of use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51" w:name="page52"/>
    <w:bookmarkEnd w:id="51"/>
    <w:p>
      <w:pPr>
        <w:ind w:left="640" w:right="2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market acceptance of our platform and the timing and market acceptance of new features and enhancements to our platform or the offerings of our competitors;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performance, price, security, and reliability of solutions developed either by us or our competitors;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strength;</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efforts, including our ability to grow our market share domestically and internationally;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diversity of our customer base;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support efforts; and</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create easy to use integrations for, and robust, effective partnerships with, other larger enterprise software solutions and tools.</w:t>
      </w:r>
    </w:p>
    <w:p>
      <w:pPr>
        <w:spacing w:after="0" w:line="11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Many of our current and potential competitors may have longer operating histories, greater brand name recognition, stronger and more extensive partner relationships, significantly greater financial, technical, marketing, and other resources, lower labor and development costs, and larger customer bases than we do. These competitors may engage in more extensive research and development efforts, incorporate AI or machine learning to more significantly improve their product offerings, undertake more far-reaching marketing campaigns, and adopt more aggressive pricing policies that will allow them to build larger customer bases than we have. Our competitors may also offer their products and services at a lower price, may offer price concessions, delayed payment terms, financing terms, or other terms and conditions that are more enticing to potential customers.</w:t>
      </w:r>
    </w:p>
    <w:p>
      <w:pPr>
        <w:spacing w:after="0" w:line="13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work management solutions market is rapidly evolving and highly competitive, with relatively low barriers to entry, and in the future there will likely be an increasing number of similar or alternative solutions offered by additional competitors. In addition, some of our customers and potential customers may elect to develop their own internal applications for their work management needs. Developments in AI-enabled software development tools may reduce the research and development costs associated with building work management solutions which may lead to additional competitors in the work management solutions market or enable our customers and potential customers to develop their own internal work management solutions. Additionally, companies we do not currently consider to be competitors may enter the market, through acquisitions or through innovation and expansion of their existing solutions, to compete with us either directly or indirectly. Further, our potential and existing competitors may make acquisitions or enter into strategic relationships and rapidly acquire significant market share due to a larger customer base, superior product offering, more effective sales and marketing operations, or greater financial, technical, and other resources.</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Any one of these competitive pressures in our market, or our failure to compete effectively, may result in price reductions; fewer customers; reduced revenues, gross profit, and gross margin; increased net losses; and loss of market share. Any failure to meet and address these factors would harm our business, results of operations, and financial condition.</w:t>
      </w:r>
    </w:p>
    <w:p>
      <w:pPr>
        <w:spacing w:after="0" w:line="121"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leverage our sales capabilities would harm our ability to expand usage of our platform within our customer base and achieve broader market acceptance of our platform.</w:t>
      </w:r>
    </w:p>
    <w:p>
      <w:pPr>
        <w:spacing w:after="0" w:line="107"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Our ability to expand usage of our platform within our customer base and achieve broader market acceptance among businesses will depend to a significant extent on our ability to expand our sales operations successfully, particularly our sales and marketing efforts targeted at broadening use of our platform across departments and entire organizations. We plan to leverage our direct sales force and channel partners, both domestically and internationally, to expand use of our platform within our customer base, and reach larger teams and organizations. We may additionally make strategic investments in expanding our sales capabilities in the future. We have invested and continue to invest financial and other resources to train and develop our direct sales force and channel partners in order to complement our product-led go-to-market approach. Our business, results of operations, and financial condition will be harmed if our efforts do not generate a corresponding increase in revenues. We may not achieve anticipated revenue growth from our direct sales force if we are unable to leverage and develop talented direct sales personnel, if direct sales personnel and channel partners are unable to achieve desired productivity levels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52" w:name="page53"/>
    <w:bookmarkEnd w:id="52"/>
    <w:p>
      <w:pPr>
        <w:jc w:val="both"/>
        <w:spacing w:after="0" w:line="255" w:lineRule="auto"/>
        <w:rPr>
          <w:sz w:val="20"/>
          <w:szCs w:val="20"/>
          <w:color w:val="auto"/>
        </w:rPr>
      </w:pPr>
      <w:r>
        <w:rPr>
          <w:rFonts w:ascii="Times New Roman" w:cs="Times New Roman" w:eastAsia="Times New Roman" w:hAnsi="Times New Roman"/>
          <w:sz w:val="18"/>
          <w:szCs w:val="18"/>
          <w:color w:val="auto"/>
        </w:rPr>
        <w:t>reasonable period of time, or if we are unable to retain our existing direct sales personnel and channel partners. We believe that there is significant competition for sales personnel with the skills and technical knowledge that we require, and that developing and growing the skills of these personnel takes significant time and resources. Our ability to achieve revenue growth will depend, in large part, on our success in attracting, training, and retaining sufficient numbers of capable sales personnel in our direct sales force and channel partners to support our growth.</w:t>
      </w:r>
    </w:p>
    <w:p>
      <w:pPr>
        <w:spacing w:after="0" w:line="12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third parties with whom we work, or our data are compromised or operate in an unintended way, we could experience adverse consequences, including but not limited to regulatory investigations or actions; litigation; fines and penalties; disruptions of our business operations; reputational harm; loss of revenue or profits; and other adverse consequences.</w:t>
      </w:r>
    </w:p>
    <w:p>
      <w:pPr>
        <w:spacing w:after="0" w:line="121"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Operating our business and platform involves the collection, processing, storage, and transmission of sensitive, regulated, proprietary and confidential information, including our personal information and business information and those of our customers. As a result, we and the third parties with whom we work face a variety of evolving threats, including but not limited to ransomware attacks, which could cause security incidents. Security incidents can and do compromise the confidentiality, integrity, and availability of this information or our systems. Such incidents include, but are not limited to, cyber-attacks, software bugs and vulnerabilities, malicious internet-based activity, online and offline fraud, server malfunctions, software or hardware failures, email account takeovers, malicious code, malware (including as a result of advanced persistent threat intrusion), viruses, social engineering (including through deep fakes, which are increasingly more difficult to identify, and phishing attacks), ransomware, supply chain attacks and vulnerabilities through our third-party partners, denial-of-service attacks, credential stuffing, credential harvesting, loss of data or other information technology assets, adware, telecommunications failures, earthquakes, fire, floods, attacks enhanced or facilitated by AI (including through the identification or exploitation of vulnerabilities), and other similar threats, efforts by individuals or groups of hackers and sophisticated organizations, including state-sponsored organizations, threat actors, “hacktivists,” organized criminal threat actors, errors or malfeasance of our personnel, logic flaws, implementation flaws, and other misconfigurations and security vulnerabilities in the software or systems on which we rely. For example, in June 2025, we suffered a flaw in the implementation of our Model Context Protocol feature that potentially led to certain data in the instances of certain customers being accessible to other users of this feature. Additionally, we have been impacted by the use of automated or other fraudulent processes designed to circumvent controls to conduct fraud, send spam, or to execute an account takeover. We anticipate such activity to continue. These abuses, exploits, and other potential causes of security breaches and incidents, and the steps that we take to address them may result in a loss of anticipated revenue, increased costs to protect against or remediate these issues, or cause harm to our reputation and brand.</w:t>
      </w:r>
    </w:p>
    <w:p>
      <w:pPr>
        <w:spacing w:after="0" w:line="12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Ransomware attacks, including those perpetrated by organized criminal threat actors, nation-states, and nation-state-supported actors, are becoming increasingly prevalent and severe and can lead to significant interruptions in our operations and our ability to provide our products or services, loss of confidential, proprietary, and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and our customers may be vulnerable to a heightened risk of these attacks, including retaliatory cyber-attacks, that could materially disrupt our systems and operations, supply chain, and ability to produce, sell and distribute our services. Threats such as these are constantly evolving and therefore grow increasingly sophisticated and complex, which in turn increases the difficulty of detecting and successfully defending against them.</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It may be difficult and/or costly to detect, investigate, mitigate, contain, and remediate a security incident and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expend resources and modify our business activities to try to protect against security incidents. Additionally, certain privacy, data protection, and security obligations require us to implement and maintain 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53" w:name="page54"/>
    <w:bookmarkEnd w:id="53"/>
    <w:p>
      <w:pPr>
        <w:jc w:val="both"/>
        <w:spacing w:after="0" w:line="274" w:lineRule="auto"/>
        <w:rPr>
          <w:sz w:val="20"/>
          <w:szCs w:val="20"/>
          <w:color w:val="auto"/>
        </w:rPr>
      </w:pPr>
      <w:r>
        <w:rPr>
          <w:rFonts w:ascii="Times New Roman" w:cs="Times New Roman" w:eastAsia="Times New Roman" w:hAnsi="Times New Roman"/>
          <w:sz w:val="18"/>
          <w:szCs w:val="18"/>
          <w:color w:val="auto"/>
        </w:rPr>
        <w:t>security measures or industry-standard or reasonable security measures to protect our information technology systems and confidential, proprietary, and sensitive information.</w:t>
      </w:r>
    </w:p>
    <w:p>
      <w:pPr>
        <w:spacing w:after="0" w:line="11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we have suffered security incidents in the past and there can be no assurance that these measures will be effective. We take steps designed to detect, mitigate, and remediate vulnerabilities in our information systems (such as our hardware and/or software, including that of third parties with whom we work). We have not been, and may not in the future, be able to detect and remediate all vulnerabilities, including on a timely basis. Further, we have experienced (and may in the future experience) delays in developing and deploying remedial measures designed to address such identified vulnerabilities. Vulnerabilities in the past have been, and in the future could be, exploited and result in a security incident.</w:t>
      </w:r>
    </w:p>
    <w:p>
      <w:pPr>
        <w:spacing w:after="0" w:line="132"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Additionally, we rely on or partner with third-party vendors and systems that have made representations as to their security measures but there can be no assurance that they will maintain their own security measures appropriately. Breaches of our security measures or those of our third parties, including supply chain attacks or other threats to our business operations, could result in unauthorized access to our sites, networks, systems, and accounts; unauthorized access to, and misappropriation of, individuals’ personal information or other sensitive, confidential or proprietary information of ourselves, our customers, or other third parties; viruses, worms, spyware, or other malware being served from our platform, mobile application, networks, or systems; deletion or modification of content or the display of unauthorized content on our platform; interruption, disruption, or malfunction of operations or our ability to provide our services; costs relating to breach remediation, deployment of additional personnel and protection technologies, and response to governmental investigations and media inquiries and coverage; engagement of third-party experts and consultants; or litigation, regulatory action, and other potential liabilities.</w:t>
      </w:r>
    </w:p>
    <w:p>
      <w:pPr>
        <w:spacing w:after="0" w:line="12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If any of these breaches of security or other security incidents should occur, we cannot guarantee that recovery protocols and backup systems will be sufficient to prevent data loss. Additionally, any security breaches or incidents that we have suffered or may in the future suffer, may lead to damage to our reputation and brand, our business suffering, requirements to expend significant capital and other resources to alleviate problems caused by such breaches and incidents, and exposure to risk of loss, litigation or regulatory action, and other potential liabilities, such as investigations, fines, penalties, audits, inspections, injunctions, additional oversight, or restrictions or bans on processing personal information. Actual or anticipated security breaches, incidents, or attacks may cause us to incur increasing costs, including costs to deploy additional personnel and protection technologies, train employees, and engage third-party experts and consultants.</w:t>
      </w:r>
    </w:p>
    <w:p>
      <w:pPr>
        <w:spacing w:after="0" w:line="13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Remote work has increased risks to our information technology systems and data, as more of our employees utilize network connections, computers, and devices outside our premises or network, including working from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previously identified or similar threats could cause a security breach or incident or other interruption that could result in unauthorized, unlawful, or accidental acquisition, modification, destruction, loss, alteration, encryption, disclosure of, or access to our information technology systems and confidential, proprietary, and sensitive information, or those of the third parties with whom we work. For example, periodically we become aware of attempts to phish Asana employees or attempts to circumvent spam protections we’ve put in place in our product. A security incident or other interruption could disrupt our ability (and that of third parties with whom we work) to provide our products or services or could impact our reputation.</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Any compromise or breach of our security measures, or those of the third parties with whom we work, could also violate applicable privacy, data protection, security, and other laws, and cause significant legal and financial exposure, adverse publicity, and a loss of confidence in our security measures, which could have a material adverse effect on our business, results of operations, and financial condition. Applicable privacy, data protection, and security obligations may also require us, or we may voluntarily choose, to notify relevant stakeholders, such as governmental authorities, partners, customers, investors, and affected individuals, of security breaches or incidents, or take other action, such as providing credit monitoring and identity theft protection services, and we have done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54" w:name="page55"/>
    <w:bookmarkEnd w:id="54"/>
    <w:p>
      <w:pPr>
        <w:jc w:val="both"/>
        <w:spacing w:after="0" w:line="274" w:lineRule="auto"/>
        <w:rPr>
          <w:sz w:val="20"/>
          <w:szCs w:val="20"/>
          <w:color w:val="auto"/>
        </w:rPr>
      </w:pPr>
      <w:r>
        <w:rPr>
          <w:rFonts w:ascii="Times New Roman" w:cs="Times New Roman" w:eastAsia="Times New Roman" w:hAnsi="Times New Roman"/>
          <w:sz w:val="18"/>
          <w:szCs w:val="18"/>
          <w:color w:val="auto"/>
        </w:rPr>
        <w:t>such notifications in the past. Such notifications may involve inconsistent requirements and are costly, and the notifications or the failure to comply with such applicable requirements could lead to adverse consequences.</w:t>
      </w:r>
    </w:p>
    <w:p>
      <w:pPr>
        <w:spacing w:after="0" w:line="110"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Any actual or perceived security breach or incident suffered by us or a third party with whom we work may cause us to experience material adverse consequences, such as government enforcement actions (for example, investigations, fines, penalties, audits, and inspections); additional reporting requirements and/or oversight; restrictions on processing confidential, proprietary, and sensitive data (including personal information);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material attendant consequences may cause customers to stop using our services, deter new customers from using our services, and negatively impact our ability to grow and operate our business.</w:t>
      </w:r>
    </w:p>
    <w:p>
      <w:pPr>
        <w:spacing w:after="0" w:line="11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Additionally, our contracts may not contain limitations of liability, and even when they do, there can be no assurance that the limitations of liability in our contracts are sufficient to protect us from liabilities, claims, or damages if we fail to comply with applicable obligations related to privacy, data protection, or security. We also cannot be sure that our insurance coverage will be adequate or sufficient to protect us from or to mitigate liabilities arising out of our privacy, data protection, and security practices, that such coverage will continue to be available on commercially reasonable terms or at all, or that such coverage will pay future claims.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proprietary, or confidential information could be leaked, disclosed, or revealed as a result of or in connection with our employees’ or vendors’ use of generative AI technologies.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Furthermore, any sensitive information (including regulated, proprietary and confidential information, including personal information and business information) that we input into a third-party generative AI platform could be leaked or disclosed to others, including if sensitive information is used to train the third parties’ AI model. Additionally, where an AI model ingests personal information and makes connections using such information, those technologies may reveal other personal or sensitive information generated by the model.</w:t>
      </w:r>
    </w:p>
    <w:p>
      <w:pPr>
        <w:spacing w:after="0" w:line="123"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use of AI and machine learning technologies in our products and operations gives rise to legal, business, and operational risks. Legal, regulatory, social and ethical issues relating to the use of AI and machine learning technologies in our products and business may result in reputational harm and liability.</w:t>
      </w:r>
    </w:p>
    <w:p>
      <w:pPr>
        <w:spacing w:after="0" w:line="12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platform integrates generative AI and machine learning technologies. The rapid evolution of AI machine learning and automated decision-making technologies require dedicated resources to develop, test, and maintain our product offerings and to help responsibly integrate such technologies into certain features to minimize unintended or harmful impacts to our customers. Uncertainty around new and emerging AI, machine learning, and automated decision-making technologies may require additional investment in the development of proprietary datasets, machine learning models, and systems to test for accuracy, bias, and other variables, which are often complex, may be costly, and could impact our profit margin as we expand the use of AI and machine learning technologies in our products. There are significant risks involved in developing, maintaining, and deploying these technologies internally and/or to customers and there can be no assurance that such technologies will enhance our products or benefit our customers or business.</w:t>
      </w:r>
    </w:p>
    <w:p>
      <w:pPr>
        <w:spacing w:after="0" w:line="13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Artificial intelligence-related technologies are subject to existing laws and regulations relating to privacy, data protection, security, intellectual property, and product liability, and will continue to be subject to additional new laws and regulations in the coming years. For example, several countries, states, and localities have proposed, enacted, or are considering laws governing the development and use of AI, machine learning, and automated decision-making technologies, such as the EU’s AI Act, the Colorado Artificial Intelligence Act, and the California AI Transparency Act. For example,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the higher. Depending on how the EU AI Act is implemented and interpreted, we may have to adapt our business practices, contractual arrangements, and services to comply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obligations. The effects of these laws and regulations are difficult to predict, and other jurisdictions may adopt similar laws and regulations.</w:t>
      </w:r>
    </w:p>
    <w:p>
      <w:pPr>
        <w:spacing w:after="0" w:line="16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Additionally, certain privacy laws extend rights to consumers (such as the right to delete certain personal data) and regulate automated decision making, which may apply, or be asserted to apply, to certain AI and machine learning technologies. These obligations may make it harder for us to conduct our business using AI and machine learning, lead to regulatory fines or penalties, require us to change our business practices, retrain our AI and machine learning technologies, or prevent or limit the use of AI, machine learning, and automated decision-making technologies. For example, the FTC has required other companies to turn over (or disgorge) valuable insights or trainings generated through the use of AI and machine learning, and automated decision-making technologies where they allege the company has violated privacy and consumer protection laws. If we cannot use AI and machine learning technologies or that use is restricted, our business may be less efficient, or we may be at a competitive disadvantage.</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Our ability to continue to develop or use such technologies may be dependent on our access to technology offered by vendors and specific third-party software and infrastructure providers, such as processing hardware or third-party AI models, and we cannot control the quality, availability, or cost of such vendor offerings or third-party software and infrastructure offerings. We face competition from other companies in our industry who use similar machine learning technologies. Failure to offer or deploy new AI or machine learning as quickly or effectively as our competitors could adversely affect our business.</w:t>
      </w:r>
    </w:p>
    <w:p>
      <w:pPr>
        <w:spacing w:after="0" w:line="11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In addition, market acceptance and consumer perceptions of AI and machine learning technologies is currently fast-evolving and therefore remain uncertain. For example, AI technologies, including generative AI, sometimes create content or information that appears correct but is factually inaccurate or flawed. The use of AI technologies also presents emerging ethical and social issues. If we enable or offer solutions that draw scrutiny or controversy due to their perceived or actual negative impact on our customers, we may experience brand or reputational harm, competitive disadvantages, consumer complaints, legal liability, and other adverse consequences, any of which could materially adversely affect our business, results of operations, and financial condition.</w:t>
      </w:r>
    </w:p>
    <w:p>
      <w:pPr>
        <w:spacing w:after="0" w:line="111"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16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have experienced, and may in the future experience system slowdowns and interruptions. In addition, continued growth in our customer base could place additional demands on our platform and could cause or exacerbate slowdowns or interrupt the availability of our platform. If there is a substantial increase in the volume of usage on our platform, we will be required to further expand and upgrade our technology and infrastructure. There can be no assurance that we will be able to accurately project the rate or timing of increases, if any, in the use of our platform or expand and upgrade our systems and infrastructure to accommodate such increases on a timely basis. In such cases, if our users are not able to access our platform or encounter slowdowns when doing so, we may lose customers or partners. In order to remain competitive, we must continue to enhance and improve the responsiveness, functionality, and features of our platform. Our disaster recovery plan may not be sufficient to address all aspects or any unanticipated consequence or incidents, and our insurance may not be sufficient to compensate us for the losses that could occur.</w:t>
      </w:r>
    </w:p>
    <w:p>
      <w:pPr>
        <w:spacing w:after="0" w:line="13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Moreover, Amazon Web Services (“AWS”) provides the cloud computing infrastructure that we use to host our platform, mobile application, and many of the internal tools we use to operate our business. We have a long-term commitment with AWS, and our platform, mobile application, and internal tools use computing, storage capabilities, bandwidth, and other services provided by AWS. Any significant disruption of, limitation of our access to, or other interference with our use of AWS would negatively impact our operations and could seriously harm our business. In addition, any transition of the cloud services currently provided by AWS to another cloud services provider would require significant time and expense and could disrupt or degrade delivery of our platform. Our business relies on the availability of our platform for our users and customers, and we may lose users or customers if they are not able to access our platform or encounter difficulties in doing so. The level of service provided by AWS could affect the availability or speed of our platform, which may also impact the usage of, and our customers’ satisfaction with, our platform and could seriously harm our business and reputation. If AWS increases pricing terms, terminates or seeks to terminate our contractual relationship, establishes more favorable relationships with our competitors, or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56" w:name="page57"/>
    <w:bookmarkEnd w:id="56"/>
    <w:p>
      <w:pPr>
        <w:jc w:val="both"/>
        <w:spacing w:after="0" w:line="274" w:lineRule="auto"/>
        <w:rPr>
          <w:sz w:val="20"/>
          <w:szCs w:val="20"/>
          <w:color w:val="auto"/>
        </w:rPr>
      </w:pPr>
      <w:r>
        <w:rPr>
          <w:rFonts w:ascii="Times New Roman" w:cs="Times New Roman" w:eastAsia="Times New Roman" w:hAnsi="Times New Roman"/>
          <w:sz w:val="18"/>
          <w:szCs w:val="18"/>
          <w:color w:val="auto"/>
        </w:rPr>
        <w:t>or interprets its terms of service or policies in a manner that is unfavorable with respect to us, our business, results of operations, and financial condition could be harmed.</w:t>
      </w:r>
    </w:p>
    <w:p>
      <w:pPr>
        <w:spacing w:after="0" w:line="11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we rely on hardware and infrastructure purchased or leased from third parties and software licensed from third parties to operate critical business functions. Our business would be disrupted if any of this third-party hardware, software, and infrastructure becomes unavailable on commercially reasonable terms, or at all. Furthermore, delays or complications with respect to the transition of critical business functions from one third-party product to another, or any errors or defects in third-party hardware, software, or infrastructure could result in errors or a failure of our platform, which could harm our business and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vulnerabilities, or bugs in our platform would harm our business, results of operations, and financial condition.</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software technology underlying and integrating with our platform is inherently complex and may contain material defects or errors. Errors, failures, vulnerabilities, or bugs have in the past, and may in the future, occur in our platform and mobile application, especially when updates are deployed or new features, integrations, or capabilities are rolled out. Any such errors, failures, vulnerabilities, or bugs may not be found until after new features, integrations, or capabilities have been released. Furthermore, we will need to ensure that our platform can scale to meet the evolving needs of customers, particularly as we increase our focus on larger teams and organizations. Real or perceived errors, failures, vulnerabilities, or bugs in our platform and mobile application could result in an interruption in the availability of our platform, negative publicity, unfavorable user experience, loss or leaking of personal information and data of organizations, loss of or delay in market acceptance of our platform, loss of competitive position, regulatory fines, or claims by organizations for losses sustained by them, all of which would harm our business, results of operations, and financial condition.</w:t>
      </w:r>
    </w:p>
    <w:p>
      <w:pPr>
        <w:spacing w:after="0" w:line="133"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ensure that our platform interoperates with a variety of software applications that are developed by others, including our integration partners, we may become less competitive and our results of operations may be harmed.</w:t>
      </w:r>
    </w:p>
    <w:p>
      <w:pPr>
        <w:spacing w:after="0" w:line="107"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partners, through the interaction of application programming interfaces (“APIs”).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spacing w:after="0" w:line="116" w:lineRule="exact"/>
        <w:rPr>
          <w:sz w:val="20"/>
          <w:szCs w:val="20"/>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discontinues or limits our access to its software or APIs;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its terms of service or other policies, including fees charged to, or other restrictions on us, or other application developers;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how information is accessed by us or our customers;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more favorable relationships with one or more of our competitors; or</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or otherwise favors its own competitive offerings over our platform.</w:t>
      </w:r>
    </w:p>
    <w:p>
      <w:pPr>
        <w:spacing w:after="0" w:line="16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Third-party services and products are constantly evolving, and we may not be able to modify our platform to assure its compatibility with that of other third parties.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57" w:name="page58"/>
    <w:bookmarkEnd w:id="57"/>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Further, our platform includes both a mobile and a desktop application to enable individuals, teams, and organizations to access our platform on multiple device types. If either our mobile or desktop application does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and usage of our platform. Also, we may not be successful in developing or maintaining relationships with key participants in the mobile industry or in ensuring that Asana operates effectively with a range of operating systems, networks, devices, browsers, protocols, and standards. If we are unable to effectively anticipate and manage these risks, or if it is difficult for customers to access and use our platform, our business, results of operations, and financial condition may be harmed.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one or more of our key personnel could harm our business.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success depends largely upon the continued services and performance of our senior management and other key personnel. From time to time, there may be changes in our senior management team resulting from the hiring or departure of executives and key employees. For example, in March 2026, we announced the resignation of our former Chief Financial Officer, Sonalee Parekh, and the appointment of our new Chief Financial Officer, Aziz Megji, effective March 24, 2026. Our senior management and key employees are employed on an at-will basis. The loss of our Chief Executive Officer, other key members of management, and key development, engineering, sales, or marketing personnel may disrupt our operations and have an adverse effect on our ability to grow our business. Changes in our senior management team may also cause disruptions in, and harm to, our business, results of operations, and financial condition. We currently do not have “key person” insurance on any of our employees.</w:t>
      </w:r>
    </w:p>
    <w:p>
      <w:pPr>
        <w:spacing w:after="0" w:line="130"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must continue to attract and retain highly qualified personnel in very competitive markets to continue to execute on our business strategy and growth plans.</w:t>
      </w:r>
    </w:p>
    <w:p>
      <w:pPr>
        <w:spacing w:after="0" w:line="10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To execute our business model, we must attract and retain highly qualified personnel. Competition for executive officers, software engineers, sales personnel, and other key personnel in our industry and in the San Francisco Bay Area, where our headquarters is located, and in other locations where we maintain offices, is intense. The incentives to attract, retain, and motivate employees provided by our equity awards, or by other compensation arrangements, may not be as effective as in the past. Additionally, increased inflation rates can adversely affect us by increasing our costs, including labor and employee benefit costs. Employee salaries and benefits expenses have increased as a result of economic growth and increased demand for business services among other wage-inflationary pressures and we cannot assure you that they will not continue to rise. Many of the companies with which we compete for experienced personnel have greater resources than we have. Our recruiting and retention efforts may also be limited by laws and regulations, such as restrictive immigration laws, including changes with respect to H-1B visas, and restrictions on travel imposed by certain governments, as well as delays in processing or a lack of availability of visas. In addition, our past and future restructuring efforts may adversely affect our ability to attract and retain employees. If we do not succeed in attracting excellent personnel or retaining or motivating existing personnel, we may be unable to innovate quickly enough to support our business model or grow effectively.</w:t>
      </w:r>
    </w:p>
    <w:p>
      <w:pPr>
        <w:spacing w:after="0" w:line="13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Recently, there has been increased scrutiny of companies’ human capital practices and initiatives. Negative perception of certain of these practices and initiatives, whether due to our perceived over- or under- pursuit of such initiatives, may result in issues with hiring or retaining employees, as well as potential litigation or other adverse impacts. In addition, our ability to successfully identify, hire and promote employees may be impacted by legal and judicial developments outside of our control and may necessitate changes to our employment practices. For example, some advocacy groups and state attorneys general have asserted that the U.S. Supreme Court’s decision striking down race-based affirmative action in higher education in June 2023 should be analogized to private employment matters and private contract matters. Several cases alleging discrimination based on similar arguments have been filed since the decision, with increasing scrutiny of certain corporate human capital practices. In January 2025, the current U.S. administration signed a number of Executive Orders focused on human capital initiatives, which include a broad mandate to eliminate certain federal programs and a caution to the private sector to end what may be viewed as illegal human capital initiatives. The Executive Orders also indicate upcoming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investigations of private entities, including publicly traded companies, and changes to federal contracting regulations.</w:t>
      </w:r>
    </w:p>
    <w:p>
      <w:pPr>
        <w:spacing w:after="0" w:line="160"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culture has contributed to our success, and if we cannot maintain this culture as we grow, we could lose the employee engagement fostered by our culture, which could harm our business.</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believe that a critical component of our success has been our culture. We have invested substantial time and resources in building out our team with an emphasis on shared values and inclusion. As we continue to grow and develop the infrastructure associated with being a public company, we will need to maintain our culture among a larger number of employees dispersed in various geographic regions. Any failure to preserve our culture could negatively affect our future success, including our ability to retain and recruit personnel and to effectively focus on and pursue our mission to help humanity by enabling the world’s teams to work together effortlessly.</w:t>
      </w:r>
    </w:p>
    <w:p>
      <w:pPr>
        <w:spacing w:after="0" w:line="128"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Issues and regulations related to human capital, and stakeholder responses thereto, may have an adverse effect on our business, financial condition, and results of operations and may damage our reputation.</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relating to their human capital and related practices and initiatives. The landscape related to the regulation of such practices and initiatives is constantly evolving. Investor advocacy groups, institutional investors, stockholders, activists, employees, consumers, customers, regulators, proxy advisory services and other market participants have increasingly focused on these types of matters and initiatives. Such stakeholders have placed increased importance on these practices and their effect on companies from an investor, consumer, customer or employee perspective.</w:t>
      </w:r>
    </w:p>
    <w:p>
      <w:pPr>
        <w:spacing w:after="0" w:line="132"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In addition, we could be criticized for the scope or nature of our practices or initiatives in these areas, or for any revisions to our practices or initiatives. Furthermore, some stakeholders may disagree with our practices or initiatives and there is also a risk that stakeholders may change their views on these matters over time. Our various stakeholders or regulators may also have divergent opinions and conflicting expectations regarding our culture, values, strategy and business, which makes it difficult to achieve a consistently positive perception among all of our various stakeholders. Moreover, we may determine that it is in the best interest of our company and our stockholders to prioritize other investments over maintenance of our current practices or initiatives based on economic, technological developments, regulatory and social factors, business strategy or pressure from investors, activists or other stakeholders.</w:t>
      </w:r>
    </w:p>
    <w:p>
      <w:pPr>
        <w:spacing w:after="0" w:line="11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If our practices or initiatives do not meet evolving investor, industry, stakeholder or regulatory expectations and standards related to human capital and related matters, or if we are perceived to have not responded appropriately to the growing and various concerns about such issues, among other things, our reputation, culture, ability to attract or retain employees, sales, stock price, ability to access the capital markets, or overall business or financial results could be adversely affected. Further, if we incur adverse publicity and reaction from investors, activists or other stakeholders related to our human capital practices or initiatives, the perception of us and our products by current and potential customers could cause our customers and consumers to stop purchasing our products or to purchase products from a competitor or subject us to legal and regulatory proceedings, any of which could adversely impact our business and financial results.</w:t>
      </w:r>
    </w:p>
    <w:p>
      <w:pPr>
        <w:spacing w:after="0" w:line="130"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a strong brand, and if we are not able to maintain and enhance our brand, our ability to expand our base of customers may be impaired, and our business and results of operations will be harmed.</w:t>
      </w:r>
    </w:p>
    <w:p>
      <w:pPr>
        <w:spacing w:after="0" w:line="10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believe that the brand identity that we have developed has significantly contributed to the success of our business. We also believe that maintaining and enhancing the “Asana” brand is critical to expanding our customer base and establishing and maintaining relationships with partners. Successful promotion of our brand will depend largely on the effectiveness of our marketing efforts and on our ability to ensure that our platform remains high-quality, reliable, and useful at competitive prices, as well as with respect to our free and trial versions. Maintaining and enhancing our brand may require us to make substantial investments and these investments may not be successful. If we fail to promote and maintain the “Asana” brand, or if we incur excessive expenses in this effort, our business, results of operations, and financial condition would be adversely affected. We anticipate that, as our market becomes increasingly competitive, maintaining, and enhancing our brand may become more difficult and expensive.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customer support, our business and reputation will suffer.</w:t>
      </w:r>
    </w:p>
    <w:p>
      <w:pPr>
        <w:spacing w:after="0" w:line="168"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While we have designed our platform to be easy to adopt and use, once individuals, teams, and organizations begin using Asana, they rely on our support services to resolve any related issues. High-quality user and customer education and customer experience have been key to the adoption of our platform and for the conversion of individuals, teams, and organizations on our free and trial versions into paying customers. The importance of high-quality customer experience will increase as we expand our business and pursue new customers. For instance, if we do not help organizations on our platform quickly resolve issues and provide effective ongoing user experience at the individual, team, and organizational levels, our ability to convert organizations on our free and trial versions into paying customers will suffer, and our reputation with existing or potential customers will be harmed. Further, our sales are highly dependent on our business reputation and on positive recommendations from existing individuals, teams, and organizations on our platform. Any failure to maintain high-quality customer experience, or a market perception that we do not maintain high-quality customer experience, could harm our reputation, our ability to sell our platform to existing and prospective customers, and our business, results of operations, and financial condition.</w:t>
      </w:r>
    </w:p>
    <w:p>
      <w:pPr>
        <w:spacing w:after="0" w:line="1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as we continue to grow our operations and reach a larger and increasingly global customer and user base, we need to be able to provide efficient customer support that meets the needs of organizations on our platform globally at scale. The number of organizations on our platform has grown significantly, which puts additional pressure on our support organization. We will need to hire additional support personnel to provide efficient product support globally at scale, and if we are unable to provide such support, our business, results of operations, and financial condition would be harmed.</w:t>
      </w:r>
    </w:p>
    <w:p>
      <w:pPr>
        <w:spacing w:after="0" w:line="123"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maintaining open marketplaces to distribute our mobile application. If such third parties interfere with the distribution of our platform, our business would be adversely affected.</w:t>
      </w:r>
    </w:p>
    <w:p>
      <w:pPr>
        <w:spacing w:after="0" w:line="107" w:lineRule="exact"/>
        <w:rPr>
          <w:sz w:val="20"/>
          <w:szCs w:val="20"/>
          <w:color w:val="auto"/>
        </w:rPr>
      </w:pPr>
    </w:p>
    <w:p>
      <w:pPr>
        <w:jc w:val="both"/>
        <w:ind w:firstLine="238"/>
        <w:spacing w:after="0" w:line="267" w:lineRule="auto"/>
        <w:rPr>
          <w:sz w:val="20"/>
          <w:szCs w:val="20"/>
          <w:color w:val="auto"/>
        </w:rPr>
      </w:pPr>
      <w:r>
        <w:rPr>
          <w:rFonts w:ascii="Times New Roman" w:cs="Times New Roman" w:eastAsia="Times New Roman" w:hAnsi="Times New Roman"/>
          <w:sz w:val="17"/>
          <w:szCs w:val="17"/>
          <w:color w:val="auto"/>
        </w:rPr>
        <w:t>We rely on third parties maintaining open marketplaces, including the Apple App Store and Google Play, which make our mobile application available for download. We cannot assure you that the marketplaces through which we distribute our mobile application will maintain their current structures or that such marketplaces will not charge us fees to list our application for download. We are also dependent on these third-party marketplaces to enable us and our users to timely update our mobile application, and to incorporate new features, integrations, and capabilities. We are subject to requirements imposed by marketplaces such as Apple and Google, who may change their technical requirements or policies in a manner that adversely impacts, among other things, the way in which we or our partners collect, use and share data from users through our mobile application. If we do not comply with these requirements, we could lose access to the mobile application marketplace and users, and our business, results of operations, and financial condition may be harmed.</w:t>
      </w:r>
    </w:p>
    <w:p>
      <w:pPr>
        <w:spacing w:after="0" w:line="1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Apple and Google, among others, for competitive or other reasons, could stop allowing or supporting access to our mobile application through their products, could allow access for us only at an unsustainable cost, or could make changes to the terms of access in order to make our mobile application less desirable or harder to access.</w:t>
      </w:r>
    </w:p>
    <w:p>
      <w:pPr>
        <w:spacing w:after="0" w:line="121"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rely on traditional web search engines to direct traffic to our website. If our website fails to rank prominently in unpaid search results, traffic to our website could decline and our business would be adversely affected.</w:t>
      </w:r>
    </w:p>
    <w:p>
      <w:pPr>
        <w:spacing w:after="0" w:line="107" w:lineRule="exact"/>
        <w:rPr>
          <w:sz w:val="20"/>
          <w:szCs w:val="20"/>
          <w:color w:val="auto"/>
        </w:rPr>
      </w:pPr>
    </w:p>
    <w:p>
      <w:pPr>
        <w:jc w:val="both"/>
        <w:ind w:firstLine="238"/>
        <w:spacing w:after="0" w:line="249" w:lineRule="auto"/>
        <w:rPr>
          <w:sz w:val="20"/>
          <w:szCs w:val="20"/>
          <w:color w:val="auto"/>
        </w:rPr>
      </w:pPr>
      <w:r>
        <w:rPr>
          <w:rFonts w:ascii="Times New Roman" w:cs="Times New Roman" w:eastAsia="Times New Roman" w:hAnsi="Times New Roman"/>
          <w:sz w:val="18"/>
          <w:szCs w:val="18"/>
          <w:color w:val="auto"/>
        </w:rPr>
        <w:t>Our success depends in part on our ability to attract users through unpaid Internet search results on traditional web search engines such as Google. The number of users we attract to our website from search engines is due in large part to how and where our website ranks in unpaid search results. These rankings can be affected by a number of factors, many of which are not in our direct control, and they may change frequently. For example, a search engine may change its ranking algorithms, methodologies, or design layouts. As a result, links to our website may not be prominent enough to drive traffic to our website, and we may not know how or otherwise be in a position to influence the results. Additionally, the introduction and acceptance of AI-assisted technologies has impacted traditional search engine user discovery of our products, particularly by small and midsize businesses. If we are unable to maintain or improve our visibility, our ability to attract users through unpaid channels may decline. Any reduction in the number of users directed to our website could reduce our revenues or require us to increase our sales and marketing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customers outside the United States and our international operations expose us to risks inherent in international sales and operations.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the three months ended April 30, 2026, 41% of our revenues were generated from customers outside the United States. We have operations in multiple cities globally. Operating in international markets requires significant resources and management attention and subjects us to regulatory, economic, and political risks that are different from those in the United States. In addition, we will face risks in doing business internationally that could adversely affect our business and results of operations, including:</w:t>
      </w:r>
    </w:p>
    <w:p>
      <w:pPr>
        <w:spacing w:after="0" w:line="127" w:lineRule="exact"/>
        <w:rPr>
          <w:sz w:val="20"/>
          <w:szCs w:val="20"/>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localize and adapt our platform for specific countries, including translation into foreign languages and associated expenses;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protection laws that impose different and potentially conflicting obligations with respect to how personal information is processed or require that customer data be stored in a designated territory;</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other delays and difficulties in setting up foreign operations;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pricing environments, longer sales cycles, longer accounts receivable payment cycles, and collections issues;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weaker protection for intellectual property and other legal rights than in the United States and practical difficulties in enforcing intellectual property and other rights outside of the United States;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challenges related to the complexity of multiple, conflicting, and changing governmental laws and regulations, including employment, tax, sanctions, privacy, data protection, and security laws and regulations;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values of foreign currencies relative to the U.S. dollar;</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potential outcomes of any claims or litigation;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and changes in accounting policies;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tax regulations;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or similar issues, such as a pandemic or epidemic; and</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and local economic and political conditions, such as global economic downturns or recessions in the regions in which we do business, tariffs and changes in trade agreements, bank failures, as well as macroeconomic and policy impacts of political instability and armed conflicts.</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international armed conflicts, such as those in the Middle East, have created potential global security concerns that could impact our global operations, the operations of our vendors and partners, including our third-party data center providers, and the operations of our customers in affected regions. These security concerns could also impact regional and global economies, either of which could adversely affect our business.</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we continue to expand our business globally, our success will depend, in large part, on our ability to anticipate and effectively manage these risks. These factors and others could harm our ability to increase international revenues and, consequently, would materially impact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61" w:name="page62"/>
    <w:bookmarkEnd w:id="61"/>
    <w:p>
      <w:pPr>
        <w:jc w:val="both"/>
        <w:spacing w:after="0" w:line="259" w:lineRule="auto"/>
        <w:rPr>
          <w:sz w:val="20"/>
          <w:szCs w:val="20"/>
          <w:color w:val="auto"/>
        </w:rPr>
      </w:pPr>
      <w:r>
        <w:rPr>
          <w:rFonts w:ascii="Times New Roman" w:cs="Times New Roman" w:eastAsia="Times New Roman" w:hAnsi="Times New Roman"/>
          <w:sz w:val="18"/>
          <w:szCs w:val="18"/>
          <w:color w:val="auto"/>
        </w:rPr>
        <w:t>Continuing to leverage our existing international operations and any potential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121" w:lineRule="exact"/>
        <w:rPr>
          <w:sz w:val="20"/>
          <w:szCs w:val="20"/>
          <w:color w:val="auto"/>
        </w:rPr>
      </w:pPr>
    </w:p>
    <w:p>
      <w:pPr>
        <w:ind w:right="7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Sales to government entities, customers reliant on government funding, and other government contractors are subject to a number of additional challenges and risks.</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sell and expect to continue selling our products and services to U.S. federal and state and foreign governmental agency customers, which may occur through direct sales to government entities or sales to government entities through our channel partners. We also sell our products and services to customers who may be reliant on funding derived from federal, state, or foreign governmental sources. We are currently pursuing U.S. Federal Risk and Authorization Management Program (“FedRAMP”) authorization and have achieved a FedRAMP In Process designation. Even if we obtain FedRAMP authorization, selling to government entities, customers reliant on government funding, and other government contractors or affiliates presents a number of unique challenges and risks including the following:</w:t>
      </w:r>
    </w:p>
    <w:p>
      <w:pPr>
        <w:spacing w:after="0" w:line="132" w:lineRule="exact"/>
        <w:rPr>
          <w:sz w:val="20"/>
          <w:szCs w:val="20"/>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to governmental entities can be more competitive, expensive, and time-consuming than selling to private entities, often requiring significant up-front time and expense and ongoing compliance costs without any assurance that these efforts will generate a sale;</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governmental entities are subject to termination for the convenience of the customer;</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certification requirements may change, or we may be unable to achieve one or more government certifications, including FedRAMP, which may restrict our ability to sell into the government sector until we have attained such certificates;</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governmental entities, customers reliant on government funding, and other government contractors or affiliates, including channel partners or resellers in the government market, contain terms that are less favorable than what we generally agree to in our standard agreements, including, terms and conditions required by regulation that are not negotiable with the customer;</w:t>
      </w:r>
    </w:p>
    <w:p>
      <w:pPr>
        <w:spacing w:after="0" w:line="124"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terms and conditions of government contracts, or with representations or certifications made in connection with government contracts, can result in significantly more adverse consequences than we typically would expect in the commercial market, including, depending on the circumstances, criminal liability, liability under the civil False Claims Act, and/or suspension or debarment from doing business with governmental entities;</w:t>
      </w:r>
    </w:p>
    <w:p>
      <w:pPr>
        <w:spacing w:after="0" w:line="127" w:lineRule="exact"/>
        <w:rPr>
          <w:rFonts w:ascii="Times New Roman" w:cs="Times New Roman" w:eastAsia="Times New Roman" w:hAnsi="Times New Roman"/>
          <w:sz w:val="18"/>
          <w:szCs w:val="18"/>
          <w:color w:val="auto"/>
        </w:rPr>
      </w:pPr>
    </w:p>
    <w:p>
      <w:pPr>
        <w:jc w:val="both"/>
        <w:ind w:left="640" w:hanging="316"/>
        <w:spacing w:after="0" w:line="251"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U.S. government contractor, we and the third parties we rely upon, including providers of software or systems we incorporate into our products, may be subject to Executive Orders, agency designations, and regulatory changes affecting various aspects of our operations, including compliance with nondiscrimination plans, supply-chain risk designations, or other regulatory requirements, and any changes we may implement in order to comply with such regulatory requirements could pose challenges to our operations, while failure to comply with these requirements could expose us to administrative, civil, or criminal liabilities, including fines, penalties, repayments or suspension or debarment from eligibility for future U.S. government contracts; and</w:t>
      </w:r>
    </w:p>
    <w:p>
      <w:pPr>
        <w:spacing w:after="0" w:line="132"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and payment for our products from government or other customers may be influenced, among other things, by public sector budgetary cycles and funding authorizations, with funding reductions or delays having an adverse impact on customer demand for our products.</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Though our current revenue impact from contracts with government entities is not significant, to the extent that we become more reliant on contracts with government entities, customers reliant on government funding and/or other government contractors or affiliates in the future, our exposure to such risks and challenges could increase, which in turn could adversely impact our business and revenue.</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January 2025, the U.S. presidential administration began issuing Executive Orders identifying new government policies and directing U.S. federal agencies to evaluate their current actions, including certain spending, to ensure that such actions are consistent with new administration priorities. Some of those Executive Orders are the subjects of pending litigation, and there remains significant uncertainty about the ways in which agencies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implement the new Executive Orders. Such implementation could negatively affect our current and future business with U.S. government agencies.</w:t>
      </w:r>
    </w:p>
    <w:p>
      <w:pPr>
        <w:spacing w:after="0" w:line="160"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experience excessive fraudulent activity, we could incur substantial costs and lose the right to accept credit cards or other payment methods for payment, which could cause our customer base to decline significantly.</w:t>
      </w:r>
    </w:p>
    <w:p>
      <w:pPr>
        <w:spacing w:after="0" w:line="10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 large portion of our customers authorize us to bill their credit card accounts or bill them via other payment methods, such as PayPal or other direct debit methods, through our third-party payment processing partners for our paid subscription plans. If customers pay for their subscription plans with stolen credit cards or fraudulent bank accounts, we could incur substantial third-party vendor costs for which we may not be reimbursed. Further, our customers provide us with payment billing information online, and we do not review the physical credit cards used in these transactions or do additional verification beyond what we collect online, which increases our risk of exposure to fraudulent activity. We also incur charges and fees associated with those charges, which we refer to as chargebacks, from the credit card companies or banks or third-party payment processors for claims that the customer did not authorize the transaction for subscription plans, something that we have experienced in the past. If the number of claims of unauthorized transactions becomes excessive, we could be assessed substantial fines for excess chargebacks, and we could lose the right to accept credit cards for payment or leverage a certain type of payment system via our third-party payment processing partner. In addition, credit card issuers or other payment methods may change merchant standards, including data protection and documentation standards, required to utilize their services from time to time. Our third-party payment processing partners must also maintain compliance with current and future merchant standards to accept credit cards as payment or facilitate other methods of payment for our paid subscription plans. Substantial losses due to fraud or our inability to accept credit card or other electronic payments would cause our customer base to significantly decrease and would harm our business.</w:t>
      </w:r>
    </w:p>
    <w:p>
      <w:pPr>
        <w:spacing w:after="0" w:line="131"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engage in merger and acquisition activities, which would require significant management attention, disrupt our business, dilute stockholder value, and adversely affect our business, results of operations, and financial condition.</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part of our business strategy to expand our platform and grow our business in response to changing technologies, customer demand, and competitive pressures, we may in the future make investments or acquisitions in other companies, products, or technologies, such as our acquisition of StackAI that was announced in May 2026. The identification of suitable acquisition candidates can be difficult, time-consuming, and costly, and we may not be able to complete acquisitions on favorable terms, if at all. If we do complete acquisitions, we may not ultimately strengthen our competitive position or achieve the goals of such acquisition, and any acquisitions we complete could be viewed negatively by customers or investors. We may encounter difficult or unforeseen expenditures in integrating an acquisition, particularly if we cannot retain the key personnel of the acquired company. Existing and potential customers may also delay or reduce their use of our platform due to a concern that the acquisition may decrease effectiveness of our platform (including any newly acquired product). In addition, if we fail to successfully integrate such acquisitions, or the assets, technologies, or personnel associated with such acquisitions, into our company, the business and results of operations of the combined company would be adversely affected.</w:t>
      </w:r>
    </w:p>
    <w:p>
      <w:pPr>
        <w:spacing w:after="0" w:line="13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Acquisitions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technology and accurately forecast the financial impact of an acquisition transaction, including accounting charges. We may have to pay cash for any such acquisition which would limit other potential uses for our cash. If we incur debt to fund any such acquisition,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existing stockholders’ ownership would be 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and Legal Matters, including Taxation and Intellectual Property</w:t>
      </w:r>
    </w:p>
    <w:p>
      <w:pPr>
        <w:spacing w:after="0" w:line="162"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rights claims and other litigation that are expensive to support, and if resolved adversely, could have a material adverse effect on us.</w:t>
      </w:r>
    </w:p>
    <w:p>
      <w:pPr>
        <w:spacing w:after="0" w:line="107"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There is considerable patent and other intellectual property development activity in our industry. Our competitors, as well as a number of other entities, including non-practicing entities and individuals, may own or claim to own intellectual property relating to our industry. As we face increasing competition and our public profile increases, the possibility of intellectual property rights claims against us may also increase. From time to time, our competitors or other third parties have claimed, and may in the future claim, that we are infringing upon, misappropriating, or violating their intellectual property rights, even if we are unaware of the intellectual property rights that such parties may claim cover our platform or some or all of the other technologies we use in our business. The costs of supporting such litigation, regardless of merit,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 as a result.</w:t>
      </w:r>
    </w:p>
    <w:p>
      <w:pPr>
        <w:spacing w:after="0" w:line="14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are also frequently required to indemnify our reseller partners and customers in the event of any third-party infringement claims against our customers and third parties who offer our platform, and such indemnification obligations may be excluded from contractual limitation of liability provisions that limit our exposure. These claims may require us to initiate or defend protracted and costly litigation on behalf of our customers and reseller partners, regardless of the merits of these claims. If any of these claims succeed, we may be forced to pay damages on behalf of our customers and reseller partners, may be required to modify our allegedly infringing platform to make it non-infringing, or may be required to obtain licenses for the products used. If we cannot obtain all necessary licenses on commercially reasonable terms, our customers may be forced to stop using our platform, and our reseller partners may be forced to stop selling our platform.</w:t>
      </w:r>
    </w:p>
    <w:p>
      <w:pPr>
        <w:spacing w:after="0" w:line="130"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rights, the value of our brand and other intangible assets may be diminished, and our business may be adversely affected.</w:t>
      </w:r>
    </w:p>
    <w:p>
      <w:pPr>
        <w:spacing w:after="0" w:line="10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Our success is dependent, in part, upon protecting our intellectual property rights and proprietary information. We rely and expect to continue to rely on a combination of trademark, copyright, patent, and trade secret protection laws to protect our intellectual property rights and proprietary information. Additionally, we maintain a policy requiring our employees, consultants, independent contractors, and third parties who are engaged to develop any material intellectual property for us to enter into confidentiality and invention assignment agreements to control access to and use of our proprietary information and to ensure that any intellectual property developed by such employees, contractors, consultants, and other third parties are assigned to us. However, we cannot guarantee that the confidentiality and proprietary agreements or other employee, consultant, or independent contractor agreements we enter into adequately protect our intellectual property rights and other proprietary information. In addition, we cannot guarantee that these agreements will not be breached, that we will have adequate remedies for any breach, or that the applicable counter-parties to such agreements will not assert rights to our intellectual property rights or other proprietary information arising out of these relationships. Furthermore, the steps we have taken and may take in the future may not prevent misappropriation of our proprietary solutions or technologies, particularly with respect to officers and employees who are no longer employed by us.</w:t>
      </w:r>
    </w:p>
    <w:p>
      <w:pPr>
        <w:spacing w:after="0" w:line="121"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Furthermore, third parties may knowingly or unknowingly infringe or circumvent our intellectual property rights, and we may not be able to prevent infringement without incurring substantial expense. Litigation brought to protect and enforce our intellectual property rights would be costly, time-consuming, and distracting to management and key personnel, and could result in the impairment or loss of portions of our intellectual property. Furthermore,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64" w:name="page65"/>
    <w:bookmarkEnd w:id="64"/>
    <w:p>
      <w:pPr>
        <w:jc w:val="both"/>
        <w:spacing w:after="0" w:line="255" w:lineRule="auto"/>
        <w:rPr>
          <w:sz w:val="20"/>
          <w:szCs w:val="20"/>
          <w:color w:val="auto"/>
        </w:rPr>
      </w:pPr>
      <w:r>
        <w:rPr>
          <w:rFonts w:ascii="Times New Roman" w:cs="Times New Roman" w:eastAsia="Times New Roman" w:hAnsi="Times New Roman"/>
          <w:sz w:val="18"/>
          <w:szCs w:val="18"/>
          <w:color w:val="auto"/>
        </w:rPr>
        <w:t>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obtain or maintain the right to use certain of our intellectual property would negatively affect our business.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future success and competitive position depend in part upon our ability to obtain or maintain certain intellectual property used in our platform. While we have been issued patents for certain aspects of our intellectual property in the United States and have additional patent applications pending in the United States, we have not applied for patent protection in foreign jurisdictions, and may be unable to obtain patent protection for the technology covered in our patent applications. In addition, we cannot ensure that any of the patent applications will be approved or that the claims allowed on any issued patents will be sufficiently broad to protect our technology or platform and provide us with competitive advantages. Furthermore, any issued patents may be challenged, invalidated, or circumvented by third parties.</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Many patent applications in the United States may not be public for a period of time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Because some patent applications may not be public for a period of time, there is also a risk that we could adopt a technology without knowledge of a pending patent application, which technology would infringe a third-party patent once that patent is issued.</w:t>
      </w:r>
    </w:p>
    <w:p>
      <w:pPr>
        <w:spacing w:after="0" w:line="132"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We also rely on unpatented proprietary technology. It is possible that others will independently develop the same or similar technology or otherwise obtain access to our unpatented technology. To protect our trade secrets and other proprietary information, we require employees, consultants, and independent contractors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would be materially adversely affected.</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rely on our trademarks, trade names, and brand names to distinguish our solutions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solutions that also address the software market.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have in the past and may in the future become subject to legal proceedings, demands, and claims that arise in the ordinary course of business. We (including our officers and directors) could be sued or face regulatory action for a number of issues, including defamation, civil rights infringement, breach of fiduciary duty, negligence, intellectual property rights infringement, violations of privacy, data protection or security laws, personal injury, product liability, regulatory compliance, or other legal claims relating to information that is published or made available via our platform. Litigation might result in substantial costs and may divert management and key personnel’s attention and resources, which might seriously harm our business, results of operations, and financial condition. Insurance might not cover such claims, might not provide sufficient payments to cover all the costs to resolve one or more such claims, and might not continue to be available on terms acceptable to us. A claim brought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65" w:name="page66"/>
    <w:bookmarkEnd w:id="65"/>
    <w:p>
      <w:pPr>
        <w:jc w:val="both"/>
        <w:spacing w:after="0" w:line="274" w:lineRule="auto"/>
        <w:rPr>
          <w:sz w:val="20"/>
          <w:szCs w:val="20"/>
          <w:color w:val="auto"/>
        </w:rPr>
      </w:pPr>
      <w:r>
        <w:rPr>
          <w:rFonts w:ascii="Times New Roman" w:cs="Times New Roman" w:eastAsia="Times New Roman" w:hAnsi="Times New Roman"/>
          <w:sz w:val="18"/>
          <w:szCs w:val="18"/>
          <w:color w:val="auto"/>
        </w:rPr>
        <w:t>against us that is uninsured or underinsured could result in unanticipated costs and could have a material adverse effect on our business, results of operations, and financial condition.</w:t>
      </w:r>
    </w:p>
    <w:p>
      <w:pPr>
        <w:spacing w:after="0" w:line="106"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and third-party software could impose unanticipated conditions or restrictions on our ability to commercialize our solutions and could subject us to possible litigation.</w:t>
      </w:r>
    </w:p>
    <w:p>
      <w:pPr>
        <w:spacing w:after="0" w:line="107"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A portion of the technologies we use in our platform and mobile application incorporates “open source” software, and we may incorporate open source software in our platform and mobile application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Some open source licenses require end-users who distribute or make available across a network software and services that include open source software to make available all or part of such software, which in some circumstances could include valuable proprietary code, at no cost, or license such code under the terms of the particular open source license.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 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could expend substantial time and resources to re-engineer some or all of our software or be required to incur significant legal expenses defending against such allegations and could be subject to significant damages, enjoined from the sale of our platform that contained the open source software, and required to comply with the foregoing conditions, including public release of certain portions of our proprietary source code.</w:t>
      </w:r>
    </w:p>
    <w:p>
      <w:pPr>
        <w:spacing w:after="0" w:line="1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financial condition, or operating results.</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rely on software licensed from third parties to offer our platform. In addition, we may need to obtain future licenses from third parties to use intellectual property rights associated with the development of our platform, which might not be available on acceptable terms, or at all. Any loss of the right to use any third-party software required for the development and maintenance of our platform or mobile application could result in loss of functionality or availability of our platform or mobile application until equivalent technology is either developed by us, or, if available, is identified, obtained, and integrated. Any errors or defects in third-party software could result in errors or a failure of our platform or mobile application. Any of the foregoing would disrupt the distribution and sale of subscriptions to our platform and harm our business, results of operations, and financial condition.</w:t>
      </w:r>
    </w:p>
    <w:p>
      <w:pPr>
        <w:spacing w:after="0" w:line="12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We, and third parties with whom we work, are subject to stringent and evolving U.S. and foreign laws, regulations, rules, contractual obligations, industry standards, policies and other obligations related to artificial intelligence, privacy, data protection, and security. Our actual or perceived failure to comply with such obligations (or such failure by the third parties with whom we work) could lead to regulatory investigations or actions; litigation; fines and penalties; disruptions of our business operations; reputational harm; loss of revenue or profits; loss of customers or sales; and other adverse business consequences.</w:t>
      </w:r>
    </w:p>
    <w:p>
      <w:pPr>
        <w:spacing w:after="0" w:line="12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receive, process, store, and use business and personal information belonging to individuals who interact with Asana, including our users and prospective, current, and former customers. There are numerous federal, state, local, and foreign laws and regulations regarding privacy, data protection, security and the storing, sharing, use, processing, disclosure, and protection of business and personal information including personal information privacy laws, state data breach notification laws, consumer protection laws (e.g., Section 5 of the Federal Trade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66" w:name="page67"/>
    <w:bookmarkEnd w:id="66"/>
    <w:p>
      <w:pPr>
        <w:jc w:val="both"/>
        <w:spacing w:after="0" w:line="255" w:lineRule="auto"/>
        <w:rPr>
          <w:sz w:val="20"/>
          <w:szCs w:val="20"/>
          <w:color w:val="auto"/>
        </w:rPr>
      </w:pPr>
      <w:r>
        <w:rPr>
          <w:rFonts w:ascii="Times New Roman" w:cs="Times New Roman" w:eastAsia="Times New Roman" w:hAnsi="Times New Roman"/>
          <w:sz w:val="18"/>
          <w:szCs w:val="18"/>
          <w:color w:val="auto"/>
        </w:rPr>
        <w:t>Act) and other similar laws (e.g., wiretapping laws). These laws continue to evolve in scope and are subject to differing interpretations, and may contain inconsistencies or pose conflicts with other legal requirements. Preparing for and attempting to comply with these laws and other obligations requires significant resources and, potentially, changes to our technologies, systems, and practices and those of any third parties that process personal information on our behalf.</w:t>
      </w:r>
    </w:p>
    <w:p>
      <w:pPr>
        <w:spacing w:after="0" w:line="12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seek to comply with applicable laws, regulations, policies, legal obligations, contracts, and industry standards and have developed privacy notices and policies, data processing addenda, and internal privacy procedures to reflect such compliance. However, it is possible that these obligations may be interpreted and applied in a manner that is inconsistent from one jurisdiction to another and may conflict with other rules or our practices. Failure or perceived failure by us (or third parties with whom we work) to comply with our privacy notices and policies, privacy-related obligations to users, customers, or other third parties, or privacy or security-related legal obligations, or any data compromise that results in the accidental or unauthorized release, misuse, or transfer of business or personal information or other user or customer data, may result in domestic or foreign governmental enforcement actions, investigations, penalties, audits, inspections, fines, injunctions (including bans or restrictions on processing personal data, and orders to destroy or not use personal information), litigation, or public statements against us by our users, customers, consumers, regulators, consumer advocacy groups, or others, additional reporting requirements and/or oversight; which would have an adverse effect on our reputation and business. We could also incur significant costs investigating and defending such claims and, if we are found liable, significant damages. Any of these events could have a material adverse effect on our reputation, business, or financial condition, including but not limited to: loss of customers; interruptions or stoppages in our business operations;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w:t>
      </w:r>
    </w:p>
    <w:p>
      <w:pPr>
        <w:spacing w:after="0" w:line="13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Foreign privacy, data protection, and security laws have become more stringent in recent years, are undergoing a period of rapid change, and increase the costs and complexity of offering our products and services in new and existing geographies. For example, the European Union’s General Data Protection Regulation 2019/679 (“the EU GDPR”), the EU GDPR as it forms part of United Kingdom (“UK”) law by virtue of section 3 of the European Union (Withdrawal) Act 2018 (“UK GDPR”), Australia’s Privacy Act, and Canada’s Personal Information Protection and Electronic Documents Act, impose strict requirements for processing personal information. European privacy, data protection, and security laws, including the EU GDPR and UK GDPR impose significant and complex burdens on processing personal information, provide for robust regulatory enforcement, and contemplate significant penalties for noncompliance. Non-compliance with the EU GDPR and UK GDPR can trigger fines of up to the greater of €20 million (£17.5 million for the UK GDPR) or 4% of our global revenues, restrictions or prohibitions on data processing, and exposure to private right of action and enforcement mechanisms including extensive audit and inspection rights, or private litigation related to processing of personal information brought by classes of data subjects or consumer protection organizations authorized at law to represent their interests.</w:t>
      </w:r>
    </w:p>
    <w:p>
      <w:pPr>
        <w:spacing w:after="0" w:line="140"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Globally, certain jurisdictions have enacted data residency or data localization laws and have imposed requirements for cross-border transfers of personal information. For example, the cross-border transfer landscape in Europe is complex and other countries outside of Europe have enacted or are considering enacting cross-border data transfer restrictions and laws requiring data residency or other restrictions around the location of the storage and processing of data, which could increase the cost and complexity of doing business. The EU GDPR generally restricts the transfer of personal information to countries outside of the EEA, such as the United States, which are not considered by the European Commission to provide an adequate level of privacy, data protection, and security. In addition, Swiss and UK law contain similar data transfer restrictions as the EU GDPR. Although there are currently valid mechanisms available to transfer data from the EEA and the UK to the United States in compliance with law, such as the EEA standard contractual clauses, the UK’s International Data Transfer Agreement / Addendum, the EU-U.S. Data Privacy Framework and the UK extension thereto, and the Swiss-U.S. Data Privacy Framework (which allow for transfers to relevant U.S.-based organizations who self-certify compliance and participate in such frameworks), these mechanisms are subject to legal challenges and there remains some uncertainty regarding the future of these cross-border data transfers. If we cannot implement a valid compliance mechanism for cross-border personal information transfers, we may face increased exposure to regulatory actions, substantial fines, and injunctions against processing or transferring personal information from the EEA, UK, or elsewhere. Inability to import personal information to the United States may significantly and negatively impact our business operations, including limiting our ability to collaborate with service providers, contractors,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67" w:name="page68"/>
    <w:bookmarkEnd w:id="67"/>
    <w:p>
      <w:pPr>
        <w:jc w:val="both"/>
        <w:spacing w:after="0" w:line="259" w:lineRule="auto"/>
        <w:rPr>
          <w:sz w:val="20"/>
          <w:szCs w:val="20"/>
          <w:color w:val="auto"/>
        </w:rPr>
      </w:pPr>
      <w:r>
        <w:rPr>
          <w:rFonts w:ascii="Times New Roman" w:cs="Times New Roman" w:eastAsia="Times New Roman" w:hAnsi="Times New Roman"/>
          <w:sz w:val="18"/>
          <w:szCs w:val="18"/>
          <w:color w:val="auto"/>
        </w:rPr>
        <w:t>companies subject to European and other privacy, data protection, and security laws; or requiring us to increase our data processing capabilities in Europe or elsewhere at significant expense. Additionally, companies that transfer personal data out of the EEA and UK to other jurisdictions, particularly to the United States, are subject to increased scrutiny from regulators, individual litigants, and activist groups.</w:t>
      </w:r>
    </w:p>
    <w:p>
      <w:pPr>
        <w:spacing w:after="0" w:line="12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Furthermore, rules regarding the use of online cookies and similar online trackers in the European Union are becoming more stringent in terms of the advance consent companies must obtain from data subjects before such trackers can be placed on browsers. Other regions of the world have likewise adopted privacy regulations that may result in increased restrictions on cookie collection and use, and fines for noncompliance. Partially as a result of these developments, individuals are becoming increasingly resistant to the collection, use, and sharing of personal information to deliver targeted advertising or analytics. Individuals are now more aware of options related to consent, “do not track” mechanisms (such as browser signals from the Global Privacy Control), and “ad-blocking” software to prevent the collection of their personal information for targeted advertising and analytics purposes. These developments may also impact our analytics and advertising activities and our ability to analyze how users interact with our services. We may be required to change the way we market our products, and any of these developments or changes could materially impair our ability to reach new or existing customers or otherwise negatively affect our operations.</w:t>
      </w:r>
    </w:p>
    <w:p>
      <w:pPr>
        <w:spacing w:after="0" w:line="13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to the European Union, a growing number of other global jurisdictions, such as Brazil, Japan, India and Canada, are considering or have passed legislation implementing privacy, data protection, and security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the Act on the Protection of Personal Information in Japan, or India’s Information Technology Act impose obligations similar to those under the EU GDPR.</w:t>
      </w:r>
    </w:p>
    <w:p>
      <w:pPr>
        <w:spacing w:after="0" w:line="13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Privacy, data protection, security, and consumer protection legislation are also becoming increasingly common in the United States. For example, numerous U.S. states have enacted comprehensive privacy laws that impose certain obligations on covered businesses, including providing specific disclosures in privacy notices and affording residents with certain rights concerning their personal information such as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information, including sensitive information, such as conducting data privacy impact assessments. These state laws allow for statutory fines for noncompliance. For example, the CCPA requires companies that process information of consumers, business representatives, and employees who are California residents to provide specific disclosures in privacy notices and honor requests of such individuals to exercise certain individual privacy rights. The CCPA provides for fines for intentional violations and allows private litigants affected by certain data breaches to recover significant statutory damages. Similar laws have been enacted and are being considered in other states and at the federal and local levels, and we expect more states to pass similar laws in the future. The proliferation of such laws could have potentially conflicting requirements that would make compliance challenging, and increase legal risk and compliance costs for us and the third parties with whom we work.</w:t>
      </w:r>
    </w:p>
    <w:p>
      <w:pPr>
        <w:spacing w:after="0" w:line="13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and Iran) and covered individuals (i.e., individuals and entities located in or controlled by individuals or entities located in those jurisdictions) that may impact certain business activities such as vendor engagements, sharing of data, employment of certain individuals, and investor agreements. Violations of the rule could lead to significant civil and criminal fines and penalties.</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Furthermore, the Federal Trade Commission and many state attorneys general continue to enforce federal and state consumer protection laws against companies and individuals for online data collection, use, dissemination, and security and privacy practices that appear to be unfair or deceptive. We also publish privacy policies, marketing materials, white papers, and other statements, such as statements related to compliance with certain certifications or self-regulatory principles, concerning privacy, data protection, and security. If these policies, materials or statements are found to be deficient, lacking in transparency, deceptive, unfair, misleading, or misrepresentative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practices, we may become subject to investigation, enforcement actions by regulators, or other adverse consequences.</w:t>
      </w:r>
    </w:p>
    <w:p>
      <w:pPr>
        <w:spacing w:after="0" w:line="16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Additionally, under various privacy laws and other obligations, we may be required to obtain certain consents to process personal information. For example, some of our data processing practices have been, and may in the future continue to be, subject to challenges or lawsuits under privacy, data protection, and communications laws, including, for example, challenges based on wiretapping laws for sharing consumer information with third parties through various methods, including chatbot and session replay providers, or via third-party marketing pixels. Our inability or failure to obtain consent for these practices could result in adverse consequences, including class action litigation and mass arbitration demands.</w:t>
      </w:r>
    </w:p>
    <w:p>
      <w:pPr>
        <w:spacing w:after="0" w:line="132"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There are a number of legislative proposals in the United States, at both the federal and state level, and in the European Union and more globally, that could impose new obligations in areas such as e-commerce, data processing, and other related legislation or liability for copyright infringement by third parties. We cannot yet determine the impact that future laws, regulations, and standards may have on our business. For example, the European Union’s Data Act (the “Data Act”) became fully applicable on September 12, 2025. Among other things, the Data Act will affect customers’ ability to terminate service agreements with us or our competitors. Compliance with the Data Act may require us to adjust contract terms and technical measures for data portability. These changes may impact the duration of customer relationships and result in additional compliance and operational costs, which may affect our business.</w:t>
      </w:r>
    </w:p>
    <w:p>
      <w:pPr>
        <w:spacing w:after="0" w:line="11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to privacy, data protection, and security laws, we are or may become contractually subject to industry standards adopted by industry groups and may become subject to such obligations in the future. We are also bound by other contractual obligations related to privacy, data protection, and security, and our efforts to comply with such obligations may not be successful.</w:t>
      </w:r>
    </w:p>
    <w:p>
      <w:pPr>
        <w:spacing w:after="0" w:line="121"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and similar laws, and our failure to comply with these laws could subject us to criminal penalties or significant fines and harm our business and reputation.</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are subject to anti-corruption and anti-bribery and similar laws, such as the U.S. Foreign Corrupt Practices Act of 1977, as amended, the U.S. domestic bribery statute contained in 18 U.S.C. § 201,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spacing w:after="0" w:line="133"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export, import, and trade and economic sanction laws and regulations that could impair our ability to compete in international markets and subject us to liability for noncompliance.</w:t>
      </w:r>
    </w:p>
    <w:p>
      <w:pPr>
        <w:spacing w:after="0" w:line="107" w:lineRule="exact"/>
        <w:rPr>
          <w:sz w:val="20"/>
          <w:szCs w:val="20"/>
          <w:color w:val="auto"/>
        </w:rPr>
      </w:pPr>
    </w:p>
    <w:p>
      <w:pPr>
        <w:jc w:val="both"/>
        <w:ind w:firstLine="238"/>
        <w:spacing w:after="0" w:line="248" w:lineRule="auto"/>
        <w:rPr>
          <w:sz w:val="20"/>
          <w:szCs w:val="20"/>
          <w:color w:val="auto"/>
        </w:rPr>
      </w:pPr>
      <w:r>
        <w:rPr>
          <w:rFonts w:ascii="Times New Roman" w:cs="Times New Roman" w:eastAsia="Times New Roman" w:hAnsi="Times New Roman"/>
          <w:sz w:val="18"/>
          <w:szCs w:val="18"/>
          <w:color w:val="auto"/>
        </w:rPr>
        <w:t>Our business activities are subject to various export, import, and trade and economic sanction laws and regulations, including, among others, the U.S. Export Administration Regulations, administered by the Department of Commerce’s Bureau of Industry and Security (“BIS”), and economic and trade sanctions regulations maintained by the U.S. Department of the Treasury’s Office of Foreign Assets Control (“OFAC”) which we refer to collectively as “Trade Controls”. These Trade Controls, which may be enacted at any time, may prohibit or restrict the sale or supply of certain products, including encryption items and other technology, and services to certain governments, persons, entities, countries, and territories, including those that are the target of comprehensive sanctions. We must be ready to evaluate and respond to these Trade Controls and assess their impact on our business, which can be difficult to ascertain. We incorporate encryption technology into our platform, which may subject its export outside of the United States to various export authorization requirements, including licensing, compliance with license exceptions, or other appropriate government authorization, including the filing of an encryption classification request or self-classification report with the U.S. Commerce Department. In addition, various other countries regulate the import and export of certain encryption and other technology, including through import permitting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69" w:name="page70"/>
    <w:bookmarkEnd w:id="69"/>
    <w:p>
      <w:pPr>
        <w:jc w:val="both"/>
        <w:spacing w:after="0" w:line="274" w:lineRule="auto"/>
        <w:rPr>
          <w:sz w:val="20"/>
          <w:szCs w:val="20"/>
          <w:color w:val="auto"/>
        </w:rPr>
      </w:pPr>
      <w:r>
        <w:rPr>
          <w:rFonts w:ascii="Times New Roman" w:cs="Times New Roman" w:eastAsia="Times New Roman" w:hAnsi="Times New Roman"/>
          <w:sz w:val="18"/>
          <w:szCs w:val="18"/>
          <w:color w:val="auto"/>
        </w:rPr>
        <w:t>licensing requirements, and have enacted laws that could limit our ability to distribute our platform or could limit the ability of organizations to use our platform in those countries.</w:t>
      </w:r>
    </w:p>
    <w:p>
      <w:pPr>
        <w:spacing w:after="0" w:line="110" w:lineRule="exact"/>
        <w:rPr>
          <w:sz w:val="20"/>
          <w:szCs w:val="20"/>
          <w:color w:val="auto"/>
        </w:rPr>
      </w:pPr>
    </w:p>
    <w:p>
      <w:pPr>
        <w:jc w:val="both"/>
        <w:ind w:firstLine="238"/>
        <w:spacing w:after="0" w:line="282" w:lineRule="auto"/>
        <w:rPr>
          <w:sz w:val="20"/>
          <w:szCs w:val="20"/>
          <w:color w:val="auto"/>
        </w:rPr>
      </w:pPr>
      <w:r>
        <w:rPr>
          <w:rFonts w:ascii="Times New Roman" w:cs="Times New Roman" w:eastAsia="Times New Roman" w:hAnsi="Times New Roman"/>
          <w:sz w:val="17"/>
          <w:szCs w:val="17"/>
          <w:color w:val="auto"/>
        </w:rPr>
        <w:t>While we have implemented controls designed to promote and achieve compliance with applicable Trade Controls, in the past we may have inadvertently provided certain services to some customers in apparent violation of U.S. sanctions laws and exported software and source code prior to submitting required filings and obtaining authorization from BIS regarding exports of our software, which may be subject to enforcement action by BIS or OFAC.</w:t>
      </w:r>
    </w:p>
    <w:p>
      <w:pPr>
        <w:spacing w:after="0" w:line="106" w:lineRule="exact"/>
        <w:rPr>
          <w:sz w:val="20"/>
          <w:szCs w:val="20"/>
          <w:color w:val="auto"/>
        </w:rPr>
      </w:pPr>
    </w:p>
    <w:p>
      <w:pPr>
        <w:jc w:val="both"/>
        <w:ind w:firstLine="238"/>
        <w:spacing w:after="0" w:line="251" w:lineRule="auto"/>
        <w:rPr>
          <w:sz w:val="20"/>
          <w:szCs w:val="20"/>
          <w:color w:val="auto"/>
        </w:rPr>
      </w:pPr>
      <w:r>
        <w:rPr>
          <w:rFonts w:ascii="Times New Roman" w:cs="Times New Roman" w:eastAsia="Times New Roman" w:hAnsi="Times New Roman"/>
          <w:sz w:val="18"/>
          <w:szCs w:val="18"/>
          <w:color w:val="auto"/>
        </w:rPr>
        <w:t>Although we seek to conduct our business in full compliance with Trade Controls, we cannot guarantee that these controls will be fully effective. Violations of Trade Controls may subject our company, including responsible personnel, to various adverse consequences, including civil or criminal penalties, government investigations, and loss of export privileges. Further, obtaining the necessary authorizations, including any required licenses, for particular transactions or uses of our platform may be time-consuming, is not guaranteed, and may result in the delay or loss of customers or sales opportunities. In addition, if our reseller partners fail to obtain any required import, export, or re-export licenses or permits, this could result in a violation of law by us, and we may also suffer reputational harm and other negative consequences, including government investigations and penalties.</w:t>
      </w:r>
    </w:p>
    <w:p>
      <w:pPr>
        <w:spacing w:after="0" w:line="132" w:lineRule="exact"/>
        <w:rPr>
          <w:sz w:val="20"/>
          <w:szCs w:val="20"/>
          <w:color w:val="auto"/>
        </w:rPr>
      </w:pPr>
    </w:p>
    <w:p>
      <w:pPr>
        <w:jc w:val="both"/>
        <w:ind w:firstLine="238"/>
        <w:spacing w:after="0" w:line="249" w:lineRule="auto"/>
        <w:rPr>
          <w:sz w:val="20"/>
          <w:szCs w:val="20"/>
          <w:color w:val="auto"/>
        </w:rPr>
      </w:pPr>
      <w:r>
        <w:rPr>
          <w:rFonts w:ascii="Times New Roman" w:cs="Times New Roman" w:eastAsia="Times New Roman" w:hAnsi="Times New Roman"/>
          <w:sz w:val="18"/>
          <w:szCs w:val="18"/>
          <w:color w:val="auto"/>
        </w:rPr>
        <w:t>Finally, changes in our platform or future changes in Trade Controls, such as those we have seen issued by the United States and other governments in response to international armed conflicts, could result in our inability to provide our platform to certain customers or decreased use of our platform by existing or potential customers with international operations. For example, on June 12, 2024, OFAC issued a determination imposing new restrictions on the export, reexport, sale, or supply of IT support and cloud-based services for enterprise management software and design and manufacturing software to persons located in Russia, which went into effect on September 12, 2024. We continue to evaluate these Trade Controls sanctions and their potential applicability to our products and services; however, we are unable to quantitatively estimate any impacts to our business at this time. Any decreased use of our platform or mobile application or increased limitations on our ability to export or sell our platform and mobile application would adversely affect our business, results of operations, and financial condition.</w:t>
      </w:r>
    </w:p>
    <w:p>
      <w:pPr>
        <w:spacing w:after="0" w:line="133"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could be enacted or existing tax laws or regulations could be applied to us or our customers in a manner that could increase the costs of our platform and harm our business.</w:t>
      </w:r>
    </w:p>
    <w:p>
      <w:pPr>
        <w:spacing w:after="0" w:line="5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Income, sales, use, value added, or other tax laws, statutes, rules, regulations, or ordinances could be enacted or amended at any time (possibly with retroactive effect), and could be applied solely or disproportionately to products and services provided over the internet. For example, on July 4, 2025, the United States enacted federal tax legislation commonly referred to as the One Big Beautiful Bill Act. This and other legislation, or further enactments of or amendments to tax laws, could reduce our sales activity due to the inherent cost increase the taxes would represent and ultimately harm our results of operations and cash flows.</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application of U.S. federal, state, local, and international tax laws to services provided electronically is unclear and continuously evolving. Existing tax laws, statutes, rules, regulations, or ordinances could be interpreted or applied adversely to us, possibly with retroactive effect, which could require us or our customers to pay additional tax amounts, as well as require us or our customers to pay fines or penalties, as well as interest for past amounts. If we are unsuccessful in collecting such taxes due from our customers, we would be held liable for such costs, thereby adversely affecting our results of operations and harming our business.</w:t>
      </w:r>
    </w:p>
    <w:p>
      <w:pPr>
        <w:spacing w:after="0" w:line="132"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We may be subject to taxation in several jurisdictions around the world with increasingly complex tax laws, the application of which can be uncertain. Although we have only been required to pay income and value-added taxes in certain foreign jurisdictions to date,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filings and impose additional tax, interest, and penalties, and the authorities could claim that various withholding requirements apply to us or our subsidiaries or assert that benefits of tax treaties are not available to us or our subsidiaries, any of which would harm us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70" w:name="page71"/>
    <w:bookmarkEnd w:id="70"/>
    <w:p>
      <w:pPr>
        <w:ind w:right="4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financial condition may be harmed if we are required to collect sales, value added, or other related taxes for subscriptions to our platform in jurisdictions where we have not historically done so.</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collect sales taxes and value added taxes in a number of jurisdictions. One or more states or countries may seek to impose incremental or new sales, use, value added, or other tax collection obligations on us. A successful assertion by a state, country, or other jurisdiction that we should have been or should be collecting additional sales, use, value added, or other taxes could, among other things, result in substantial tax payments, create significant administrative burdens for us, discourage potential customers from subscribing to our platform due to the incremental cost of any such sales, value added, or other related taxes, or otherwise harm our business, results of operations, and financial condition.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do not expect to become profitable in the near future, may never achieve profitability, and have incurred substantial net operating losses (“NOLs”) during our history. In general, under Sections 382 and 383 of the Internal Revenue Code of 1986, as amended, a corporation that undergoes an “ownership change” is subject to limitations on its ability to utilize its pre-change NOLs or tax credits to offset future taxable income or taxes. For these purposes, an ownership change generally occurs where the aggregate change in stock ownership by one or more stockholders or groups of stockholders owning at least 5% of a corporation’s stock exceeds more than 50 percentage points over a three-year period. We have experienced ownership changes since inception and our utilization of NOL carryforwards will be subject to annual limitations. However, it is not expected that the annual limitations will result in the expiration of our NOLs or other tax attribute carryforwards prior to utilization. We may experience additional ownership changes in connection with subsequent shifts in our stock ownership (some of which are outside our control). As a result, even if we attain profitability, we may be unable to use a material portion of our NOLs and other tax attributes.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Allocation Strategy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we cannot be sure that additional financing will be available.</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Historically, we have financed our operations and capital expenditures primarily through sales of our capital stock and debt securities that are convertible into our capital stock. In the future, we may raise additional capital through additional debt or equity financings to support our business growth, to respond to business opportunities, challenges, competitions, or unforeseen circumstances, or for other reasons. On an ongoing basis, we are evaluating sources of financing and may need to raise additional capital in the future. Our ability to obtain additional capital will depend on our development efforts, business plans, investor demand, operating performance, the condition of the capital markets, and other factors. If the overall economy is negatively impacted for an extended period, our results of operations, financial position and cash flows may be materially adversely affected. In addition, a severe prolonged economic downturn could result in a variety of risks to the business, including weakening our ability to develop potential businesses and a decreased ability to raise additional capital when needed on acceptable terms, if at all.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competition, or unforeseen circumstances would be adversely affected.</w:t>
      </w:r>
    </w:p>
    <w:p>
      <w:pPr>
        <w:spacing w:after="0" w:line="132"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operating activities may be restricted as a result of covenants related to the indebtedness under our November 2022 Senior Secured Credit Facility, and we may be required to repay the outstanding indebtedness in an event of default, which would have an adverse effect on our business. Additionally, future operational challenges on the part of our lender could impact our ability to quickly access additional liquidity.</w:t>
      </w:r>
    </w:p>
    <w:p>
      <w:pPr>
        <w:spacing w:after="0" w:line="1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November 7, 2022, we entered into an agreement with several banks and other financial institutions or entities for which Silicon Valley Bank (“SVB”) acted as issuing lender, administrative agent and collateral agent, under which we may incur loans in an aggregate principal amount not to exceed $150 million, consisting of a term loan facility in an aggregate principal amount equal to $50 million and a revolving loan facility in an aggregate principal amount of up to $100 million, including a $30 million letter of credit sub-facility (collectively and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71" w:name="page72"/>
    <w:bookmarkEnd w:id="71"/>
    <w:p>
      <w:pPr>
        <w:jc w:val="both"/>
        <w:spacing w:after="0" w:line="251" w:lineRule="auto"/>
        <w:rPr>
          <w:sz w:val="20"/>
          <w:szCs w:val="20"/>
          <w:color w:val="auto"/>
        </w:rPr>
      </w:pPr>
      <w:r>
        <w:rPr>
          <w:rFonts w:ascii="Times New Roman" w:cs="Times New Roman" w:eastAsia="Times New Roman" w:hAnsi="Times New Roman"/>
          <w:sz w:val="18"/>
          <w:szCs w:val="18"/>
          <w:color w:val="auto"/>
        </w:rPr>
        <w:t>amended on April 13, 2023, June 18, 2024, November 18, 2024, May 29, 2025, and February 26, 2026, the “November 2022 Senior Secured Credit Facility”). On March 27, 2023, First Citizens BancShares, Inc. (“First Citizens”) announced that it had entered into an agreement to purchase assets and liabilities of SVB, inclusive of our November 2022 Senior Secured Credit Facility. We continue to have the ability to make additional borrowings under the November 2022 Senior Secured Credit Facility which is now held by SVB as a division of First Citizens. Upon expiration of the November 2022 Senior Secured Credit Facility, we may seek to obtain additional financing, and we cannot assure you that such additional financing will be available to us on favorable terms when required, or at all.</w:t>
      </w:r>
    </w:p>
    <w:p>
      <w:pPr>
        <w:spacing w:after="0" w:line="13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Additionally, the November 2022 Senior Secured Credit Facility includes customary conditions to borrowing and covenants, including restrictions on our ability to incur liens, incur indebtedness, make or hold investments, execute certain change of control transactions, business combinations or other fundamental changes to the business, dispose of assets, make certain types of restricted payments or enter into certain related party transactions, subject to customary exceptions. In addition, the November 2022 Senior Secured Credit Facility contains financial covenants that require us to maintain a consolidated adjusted quick ratio of 1.25 to 1.00, as well as a minimum cash adjusted EBITDA, each tested on a quarterly basis. The November 2022 Senior Secured Credit Facility contains customary events of default relating to, among other things, payment defaults, breach of covenants, cross acceleration to material indebtedness, bankruptcy-related defaults, judgment defaults, and the occurrence of certain change of control events. Non-compliance with one or more of the covenants and restrictions or the occurrence of an event of default could result in the full or partial principal balance of the November 2022 Senior Secured Credit Facility becoming immediately due and payable and termination of the commitments. Our business may be adversely affected by these restrictions on our ability to operate our business.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may be volatile and could decline significantly and rapidly.</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trading price of our Class A common stock has been and could continue to be subject to wide fluctuations in response to numerous factors in addition to the ones described in the preceding Risk Factors, many of which are beyond our control, including:</w:t>
      </w:r>
    </w:p>
    <w:p>
      <w:pPr>
        <w:spacing w:after="0" w:line="110" w:lineRule="exact"/>
        <w:rPr>
          <w:sz w:val="20"/>
          <w:szCs w:val="20"/>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 the economy as a whole, and macroeconomic factors such as inflationary pressures;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projections we may provide to the public or our failure to meet these projections;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pricing of subscription plans to our platform;</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that of our competitors;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or growth rate of our addressable markets;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of acquisitions, strategic partnerships, joint ventures, or capital-raising activities or commitments, by us or by our competitors;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members of our board of directors, management, or key personnel;</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64"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 including those related to privacy, data protection, and security in the United States or globally;</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72" w:name="page73"/>
    <w:bookmarkEnd w:id="72"/>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bank failures, war, international tariffs, incidents of terrorism, or responses to these events;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such as influenza, and other highly communicable diseases or viruses; and</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purchases, or expectations with respect to such transactions, of shares of our Class A common stock by us or our security holders, particularly by our founders, directors, executive officers, and principal stockholders, none of whom are subject to any contractual lock-up agreement or other contractual restrictions on transfer.</w:t>
      </w:r>
    </w:p>
    <w:p>
      <w:pPr>
        <w:spacing w:after="0" w:line="125"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In addition,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For example, despite our revenue growing year over year, our stock price has previously experienced significant volatility due to general downturns and increased instability in the equity markets. In the past, companies that have experienced volatility in the trading price for their stock have been subject to securities class action litigation.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largest stockholder will have the ability to influence the outcome of director elections and other matters requiring stockholder approval.</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Dustin Moskovitz, our co-founder, Chair, and former Chief Executive Officer, beneficially owns a significant percentage of our outstanding Class A common stock and Class B common stock, representing a majority of the voting power of our capital stock as of April 30, 2026. Mr. Moskovitz could exert substantial influence over matters requiring approval by our stockholders. This concentration of ownership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2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our founders,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28"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Our Class B common stock has 10 votes per share, and our Class A common stock, which is the stock listed on the New York Stock Exchange (“NYSE”) and the Long-Term Stock Exchange (“LTSE”) has one vote per share. Our founders, directors, executive officers, and their affiliates hold a majority of the voting power of our capital stock. Because of the 10-to-one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date that is specified by the affirmative vote of the holders of two-thirds of the then-outstanding shares of Class B common stock, (ii) one year after the death or permanent disability of 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73" w:name="page74"/>
    <w:bookmarkEnd w:id="73"/>
    <w:p>
      <w:pPr>
        <w:jc w:val="both"/>
        <w:spacing w:after="0" w:line="252" w:lineRule="auto"/>
        <w:rPr>
          <w:sz w:val="20"/>
          <w:szCs w:val="20"/>
          <w:color w:val="auto"/>
        </w:rPr>
      </w:pPr>
      <w:r>
        <w:rPr>
          <w:rFonts w:ascii="Times New Roman" w:cs="Times New Roman" w:eastAsia="Times New Roman" w:hAnsi="Times New Roman"/>
          <w:sz w:val="18"/>
          <w:szCs w:val="18"/>
          <w:color w:val="auto"/>
        </w:rPr>
        <w:t>Moskovitz, or (iii) the later of the date that is (x) September 21, 2030 and (y) the date that Mr. Moskovitz no longer serves as our Chief Executive Officer or as a member of our board of directors. The conversion of Class B common stock to Class A common stock will have the effect, over time, of increasing the relative voting power of those holders of Class B common stock who retain their shares over the long term. As a result, it is possible that, in addition to Mr. Moskovitz, one or more of the persons or entities holding our Class B common stock could gain significant voting control as other holders of Class B common stock sell or otherwise convert their shares into Class A common stock.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effect our dual class structure may have on the trading price of our Class A common stock.</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cannot predict whether our dual class structure will result in a lower or more volatile trading price of our Class A common stock on the NYSE and the LTSE, in adverse publicity, or other adverse consequences. For example, certain index providers have announced restrictions on including companies with multiple-class share structures in certain of their indices. The FTSE Russell requires new constituents of its indices to have greater than 5% of the company’s voting rights in the hands of public stockholders. Under such policies, the dual class structure of our common stock may make us ineligible for inclusion in certain indices. As a result, mutual funds, exchange-traded funds, and other investment vehicles that attempt to passively track those indices may not invest in our Class A common stock if we are not included and the trading price of our Class A common stock could be adversely affected. Previously, S&amp;P Dow Jones also excluded companies utilizing dual or multi-class capital structures from its indices, including the S&amp;P 500, the S&amp;P MidCap 400, and the S&amp;P SmallCap 600, which together make up the S&amp;P Composite 1500. However, in April 2023, it reversed this policy and announced that companies with dual or multi-class capital structures will again be eligible for inclusion on its indices. We cannot be sure that this policy, or the policies of other indices, will not change further and make us ineligible for inclusion on indices in the future.</w:t>
      </w:r>
    </w:p>
    <w:p>
      <w:pPr>
        <w:spacing w:after="0" w:line="140"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In addition, institutional investors and certain investment funds may also be precluded, reluctant or unwilling to invest in entities with multiple class structures due to a lack of ability to meaningfully influence corporate affairs and policies through voting. Such restrictions, reluctance and unwillingness may make our Class A common stock less attractive to investors and, as a result, the market price of our Class A common stock could be adversely affected.</w:t>
      </w:r>
    </w:p>
    <w:p>
      <w:pPr>
        <w:spacing w:after="0" w:line="102"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Class A common stock in the public markets, or the perception that sales might occur, could cause the trading price of our Class A common stock to decline.</w:t>
      </w:r>
    </w:p>
    <w:p>
      <w:pPr>
        <w:spacing w:after="0" w:line="1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into the public market, particularly sales by our founders, directors, executive officers, and principal stockholders, or the perception that these sales might occur in large quantities, could cause the trading price of our Class A common stock to decline.</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certain of our security holders have rights, subject to some conditions, to require us to file registration statements for the public resale of the Class A common stock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may also issue our capital stock or securities convertible into our capital stock from time to time in connection with a financing, acquisition, investments, or otherwise. Any such issuance could result in significant dilution to our existing stockholders and cause the trading price of our Class A common stock to decline.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and financial performance may differ from any projections that we disclose or any information that may be attributed to us by third parties.</w:t>
      </w:r>
    </w:p>
    <w:p>
      <w:pPr>
        <w:spacing w:after="0" w:line="18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74" w:name="page75"/>
    <w:bookmarkEnd w:id="74"/>
    <w:p>
      <w:pPr>
        <w:ind w:right="2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 will be fully implemented or that such program will enhance the long-term value of our share price.</w:t>
      </w:r>
    </w:p>
    <w:p>
      <w:pPr>
        <w:spacing w:after="0" w:line="10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June 2024, our board of directors authorized a stock repurchase program of up to $150 million of our outstanding Class A common stock. On May 30, 2025, our board of directors authorized the repurchase of an additional $100 million of the Company’s outstanding Class A common stock and removed the fixed duration of the program. On February 27, 2026, our board of directors authorized the repurchase of an additional $160 million of the Company’s outstanding Class A common stock. Repurchases are made on the open market, including via pre-set trading plans, in accordance with applicable securities laws. The program does not obligate us to acquire any particular amount of Class A common stock, and the repurchase program may be suspended or discontinued at any time at our discretion and we may modify our trading plan from time to time in accordance with securities laws. Although the program has been approved, there is no obligation for the Company to repurchase any specific dollar amount of stock.</w:t>
      </w:r>
    </w:p>
    <w:p>
      <w:pPr>
        <w:spacing w:after="0" w:line="13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existence of our stock repurchase program could affect the price of our stock and could potentially reduce the market liquidity for our stock. Although our stock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 Repurchasing our common stock reduces the amount of cash we have available to fund working capital, capital expenditures, strategic acquisitions or investments, other business opportunities, and other general corporate projects, and we may fail to realize the anticipated long-term stockholder value of any stock repurchase program.</w:t>
      </w:r>
    </w:p>
    <w:p>
      <w:pPr>
        <w:spacing w:after="0" w:line="128" w:lineRule="exact"/>
        <w:rPr>
          <w:sz w:val="20"/>
          <w:szCs w:val="20"/>
          <w:color w:val="auto"/>
        </w:rPr>
      </w:pPr>
    </w:p>
    <w:p>
      <w:pPr>
        <w:ind w:right="6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trading price and trading volume could decline if securities or industry analysts do not publish research about our business, or if they publish unfavorable research.</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cannot assure you that any equity research analysts will adequately provide research coverage about our company and of our Class A common stock. A lack of adequate research coverage may harm the liquidity and trading price of our Class A common stock. To the extent equity research analysts do provide research coverage of our company and our Class A common stock, we will not have any control over the content and opinions included in their reports. The trading price of our Class A common stock could decline if one or more of these analysts downgrade our stock or publish inaccurate or unfavorable commentary or research. If one or more of these analysts cease coverage of our company, or fail to regularly publish reports on us, the demand for our Class A common stock could decrease, which in turn could cause our trading price or trading volume to decline.</w:t>
      </w:r>
    </w:p>
    <w:p>
      <w:pPr>
        <w:spacing w:after="0" w:line="12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107"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As a public company, we are subject to the reporting requirements of the Securities Exchange Act of 1934, as amended (the “Exchange Act”), the listing standards of the NYSE and the LTSE,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and engaged outside consultants to assist us in complying with these requirements, we may need to increase this staffing in the future,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This uncertainty may be exacerbated by the recent change of administration at the federal level, the appointment of a new Chair of the Securities and Exchange Commission (“SEC”) and the ongoing reevaluation of regulatory priorities with respect to public companies, including changing regulatory and enforcement practices at the SEC and the national securities exchanges. We intend to invest substantial resources to comply with evolving laws, regulations, and standards,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75" w:name="page76"/>
    <w:bookmarkEnd w:id="75"/>
    <w:p>
      <w:pPr>
        <w:jc w:val="both"/>
        <w:spacing w:after="0" w:line="248" w:lineRule="auto"/>
        <w:rPr>
          <w:sz w:val="20"/>
          <w:szCs w:val="20"/>
          <w:color w:val="auto"/>
        </w:rPr>
      </w:pPr>
      <w:r>
        <w:rPr>
          <w:rFonts w:ascii="Times New Roman" w:cs="Times New Roman" w:eastAsia="Times New Roman" w:hAnsi="Times New Roman"/>
          <w:sz w:val="18"/>
          <w:szCs w:val="18"/>
          <w:color w:val="auto"/>
        </w:rPr>
        <w:t>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Being a public company that is subject to these new rules and regulations has made and will continue to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members who can serve on our audit committee and compensation committee, and qualified executive officers. As a result of the disclosure obligations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 In addition, our November 2022 Senior Secured Credit Facility contains restrictions on our ability to pay dividends. Accordingly, investors must rely on sales of their Class A common stock as the only way to realize any future gains, if any, on their investments.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stock issuances could result in significant dilution to our stockholders.</w:t>
      </w:r>
    </w:p>
    <w:p>
      <w:pPr>
        <w:spacing w:after="0" w:line="16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We may issue our capital stock or securities convertible into our capital stock from time to time in connection with a financing, acquisition, investments, or otherwise. Additional issuances of our stock will result in dilution to existing holders of our stock. Also, the exercise of stock options to purchase our stock and the settlement of RSUs will result in further dilution. The amount of dilution could be substantial depending upon the size of the issuance or exercise. For example, on September 7, 2022, we issued and sold 19,273,127 shares of our Class A common stock to our co-founder, Chair, and former Chief Executive Officer, Dustin Moskovitz, in a private placement transaction, at a purchase price of $18.16 per share, based on the closing trading price of the Company’s Class A common stock on September 2, 2022, for aggregate gross proceeds of approximately $350 million. Any future such transactions, notes or issuances could result in substantial dilution to our existing stockholders and cause the trading price of our Class A common stock to decline.</w:t>
      </w:r>
    </w:p>
    <w:p>
      <w:pPr>
        <w:spacing w:after="0" w:line="117" w:lineRule="exact"/>
        <w:rPr>
          <w:sz w:val="20"/>
          <w:szCs w:val="20"/>
          <w:color w:val="auto"/>
        </w:rPr>
      </w:pPr>
    </w:p>
    <w:p>
      <w:pPr>
        <w:ind w:right="6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p>
    <w:p>
      <w:pPr>
        <w:spacing w:after="0" w:line="107"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There are provisions in our restated certificate of incorporation and amended and restated bylaws that may make it difficult for a third party to acquire, or attempt to acquire, control of our company, even if a change in control were considered favorable by our stockholders. These anti-takeover provisions include:</w:t>
      </w:r>
    </w:p>
    <w:p>
      <w:pPr>
        <w:spacing w:after="0" w:line="88" w:lineRule="exact"/>
        <w:rPr>
          <w:sz w:val="20"/>
          <w:szCs w:val="20"/>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so that not all members of our board of directors are elected at one time;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the number of directors and to fill any vacancies and newly created directorships;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our directors may only be removed for cause;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cumulative voting for directors;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of a super-majority to amend some provisions in our restated certificate of incorporation and 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76" w:name="page77"/>
    <w:bookmarkEnd w:id="76"/>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issuance of “blank check” preferred stock that our board of directors could use to implement a stockholder rights plan;</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dual class common stock structure in which holders of our Class B common stock, which has 10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12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of our stockholders to call special meetings of stockholders;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actions by written consent, thereby requiring that all stockholder actions be taken at a meeting of our stockholders.</w:t>
      </w:r>
    </w:p>
    <w:p>
      <w:pPr>
        <w:spacing w:after="0" w:line="16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restated certificate of incorporation,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2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designates the Court of Chancery of the State of Delaware and, to the extent enforceable, the federal district courts of the United States of America as the exclusive forums for certain disputes between us and our stockholders, which will restrict our stockholders’ ability to choose the judicial forum for disputes with us or our directors, officers, or employees.</w:t>
      </w:r>
    </w:p>
    <w:p>
      <w:pPr>
        <w:spacing w:after="0" w:line="1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or our stockholders arising pursuant to the Delaware General Corporation Law, our certificate of incorporation, or our bylaws, any action to interpret, apply, enforce, or determine the validity of our certificate of incorporation or bylaws, any action as to which the Delaware General Corporation Law confers jurisdiction to the Court of Chancery of the State of Delaware, or any action asserting a claim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restated certificate of incorporation provides that the federal district courts of the United States of America will be the exclusive forum for resolving any complaint asserting a cause of action arising under the Securities Act.</w:t>
      </w:r>
    </w:p>
    <w:p>
      <w:pPr>
        <w:spacing w:after="0" w:line="13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instances,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Generally accepted accounting principles in the United States are subject to interpretation by the Financial Accounting Standards Board (“FASB”),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23"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10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If any of these new or improved controls and systems do not perform as expected, we may experience material weaknesses in our controls. In addition to our results determined in accordance with generally accepted accounting principles (“GAAP”), we believe certain non-GAAP measures may be useful in evaluating our operating performance. We present certain non-GAAP financial measures in this Quarterly Report on Form 10-Q and intend to continue to present certain non-GAAP financial measures in future filings with the SEC and other public statements. Any failure to accurately report and present our non-GAAP financial measures could cause investors to lose confidence in our reported financial and other information, which would likely have a negative effect on the trading price of our Class A common stock.</w:t>
      </w:r>
    </w:p>
    <w:p>
      <w:pPr>
        <w:spacing w:after="0" w:line="12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NYSE or the LTSE. We are required to provide an annual management report on the effectiveness of our internal control over financial reporting.</w:t>
      </w:r>
    </w:p>
    <w:p>
      <w:pPr>
        <w:spacing w:after="0" w:line="14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independent registered public accounting firm is required to formally attest to the effectiveness of our internal control over financial reporting and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Class A common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exposure to foreign currency exchange rate fluctuations.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While we have historically transacted in U.S. dollars with the majority of our customers and vendors, we have also transacted in foreign currencies and for foreign jurisdictions where we have operations, and expect to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78" w:name="page79"/>
    <w:bookmarkEnd w:id="78"/>
    <w:p>
      <w:pPr>
        <w:jc w:val="both"/>
        <w:spacing w:after="0" w:line="259" w:lineRule="auto"/>
        <w:rPr>
          <w:sz w:val="20"/>
          <w:szCs w:val="20"/>
          <w:color w:val="auto"/>
        </w:rPr>
      </w:pPr>
      <w:r>
        <w:rPr>
          <w:rFonts w:ascii="Times New Roman" w:cs="Times New Roman" w:eastAsia="Times New Roman" w:hAnsi="Times New Roman"/>
          <w:sz w:val="18"/>
          <w:szCs w:val="18"/>
          <w:color w:val="auto"/>
        </w:rPr>
        <w:t>to transact in more foreign currencies in the future. Accordingly, declines in the value of foreign currencies relative to the U.S. dollar can adversely affect our revenues and results of operations due to transactional and translational remeasurement that is reflected in our earnings. Also, fluctuations in the values of foreign currencies relative to the U.S. dollar could make it more difficult to detect underlying trends in our business and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The preparation of financial statements in conformity with GAAP requires management to make estimates and assumptions that affect the amounts reported in our condensed consolidated financial statements. We base our estimates on historical experience and on various other assumptions that we believe to be reasonable under the circumstances, as provided in the section titled </w:t>
      </w:r>
      <w:r>
        <w:rPr>
          <w:rFonts w:ascii="Times New Roman" w:cs="Times New Roman" w:eastAsia="Times New Roman" w:hAnsi="Times New Roman"/>
          <w:sz w:val="18"/>
          <w:szCs w:val="18"/>
          <w:i w:val="1"/>
          <w:iCs w:val="1"/>
          <w:color w:val="auto"/>
        </w:rPr>
        <w:t>Item 2. Management’s Discussion and Analysis of Financial Condition and 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Operations. </w:t>
      </w:r>
      <w:r>
        <w:rPr>
          <w:rFonts w:ascii="Times New Roman" w:cs="Times New Roman" w:eastAsia="Times New Roman" w:hAnsi="Times New Roman"/>
          <w:sz w:val="18"/>
          <w:szCs w:val="18"/>
          <w:color w:val="auto"/>
        </w:rPr>
        <w:t>The results of these estimates form the basis for making judgments about the carrying values of assets, liabilities, and equity, and the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and expenses that are not readily apparent from other sources. Significant assumptions and estimates used in preparing our condensed consolidated financial statements include those related to the useful lives and carrying values of long-lived assets, the fair value of common stock, stock-based compensation expense, the period of benefit for deferred contract acquisition costs,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health epidemics, or geopolitical conflicts may disrupt our business.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Natural disasters or other catastrophic events may cause damage or disruption to our operations, international commerce, and the global economy, and thus could harm our business. In particular, health crises and international conflicts, including the reactions of governments, markets, and the general public, may result in a number of adverse consequences for our business, operations, and results of operations, both worldwide and in our offices in affected regions, many of which are beyond our control.</w:t>
      </w:r>
    </w:p>
    <w:p>
      <w:pPr>
        <w:spacing w:after="0" w:line="127"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We have our headquarters and a large employee presence in San Francisco, California, and the west coast of the United States contains active earthquake zones. In the event of a major earthquake, hurricane, or catastrophic event such as fire, power loss, telecommunications failure, cyber-attack, war, or terrorist attack, we may be unable to continue our operations and may endure system interruptions, reputational harm, delays in our platform development, lengthy interruptions in our platform, breaches of security, and loss of critical data, all of which would harm our business, results of operations, and financial condition. Acts of terrorism would also cause disruptions to the internet or the economy as a whole. In addition, the insurance we maintain would likely not be adequate to cover our losses resulting from disasters or other business interruptions. Our disaster recovery plan may not be sufficient to address all aspects or any unanticipated consequence or incident, and our insurance may not be sufficient to compensate us for the losses that could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June 2024, our board of directors authorized a stock repurchase program of up to $150.0 million of our outstanding Class A common stock. On May 30, 2025, our board of directors amended the Repurchase Program to remove the expiration date of the Repurchase Program and authorized the repurchase of an additional $100.0 million of the Company’s outstanding Class A common stock pursuant to the Repurchase Program. On February 27, 2026, our board of directors amended the Repurchase Program to authorize the repurchase of an additional $160.0 million of the Company’s outstanding Class A common stock pursuant to the Repurchase Program. As of April 30, 2026, $154.5 million remained available for future stock repurchases under the Repurchase Program. The Repurchase Program, as amended, has no specified expiration date and will continue until the funds committed to the Repurchase Program are exhausted or such authorization is revoked by our board of directors.</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our stock repurchase activity under our authorized stock repurchase program for the three months ended April 30, 2026 (in thousands, except for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9"/>
              </w:rPr>
              <w:t>Approximate Dollar</w:t>
            </w:r>
          </w:p>
        </w:tc>
        <w:tc>
          <w:tcPr>
            <w:tcW w:w="0" w:type="dxa"/>
            <w:vAlign w:val="bottom"/>
          </w:tcPr>
          <w:p>
            <w:pPr>
              <w:spacing w:after="0"/>
              <w:rPr>
                <w:sz w:val="1"/>
                <w:szCs w:val="1"/>
                <w:color w:val="auto"/>
              </w:rPr>
            </w:pPr>
          </w:p>
        </w:tc>
      </w:tr>
      <w:tr>
        <w:trPr>
          <w:trHeight w:val="144"/>
        </w:trPr>
        <w:tc>
          <w:tcPr>
            <w:tcW w:w="5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22"/>
              <w:spacing w:after="0" w:line="144" w:lineRule="exact"/>
              <w:rPr>
                <w:sz w:val="20"/>
                <w:szCs w:val="20"/>
                <w:color w:val="auto"/>
              </w:rPr>
            </w:pPr>
            <w:r>
              <w:rPr>
                <w:rFonts w:ascii="Times New Roman" w:cs="Times New Roman" w:eastAsia="Times New Roman" w:hAnsi="Times New Roman"/>
                <w:sz w:val="14"/>
                <w:szCs w:val="14"/>
                <w:b w:val="1"/>
                <w:bCs w:val="1"/>
                <w:color w:val="auto"/>
                <w:w w:val="98"/>
              </w:rPr>
              <w:t>Value of Shares that</w:t>
            </w:r>
          </w:p>
        </w:tc>
        <w:tc>
          <w:tcPr>
            <w:tcW w:w="0" w:type="dxa"/>
            <w:vAlign w:val="bottom"/>
          </w:tcPr>
          <w:p>
            <w:pPr>
              <w:spacing w:after="0"/>
              <w:rPr>
                <w:sz w:val="1"/>
                <w:szCs w:val="1"/>
                <w:color w:val="auto"/>
              </w:rPr>
            </w:pPr>
          </w:p>
        </w:tc>
      </w:tr>
      <w:tr>
        <w:trPr>
          <w:trHeight w:val="134"/>
        </w:trPr>
        <w:tc>
          <w:tcPr>
            <w:tcW w:w="5180" w:type="dxa"/>
            <w:vAlign w:val="bottom"/>
          </w:tcPr>
          <w:p>
            <w:pPr>
              <w:spacing w:after="0"/>
              <w:rPr>
                <w:sz w:val="11"/>
                <w:szCs w:val="11"/>
                <w:color w:val="auto"/>
              </w:rPr>
            </w:pPr>
          </w:p>
        </w:tc>
        <w:tc>
          <w:tcPr>
            <w:tcW w:w="1460" w:type="dxa"/>
            <w:vAlign w:val="bottom"/>
            <w:vMerge w:val="restart"/>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80" w:type="dxa"/>
            <w:vAlign w:val="bottom"/>
          </w:tcPr>
          <w:p>
            <w:pPr>
              <w:spacing w:after="0"/>
              <w:rPr>
                <w:sz w:val="11"/>
                <w:szCs w:val="11"/>
                <w:color w:val="auto"/>
              </w:rPr>
            </w:pPr>
          </w:p>
        </w:tc>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jc w:val="center"/>
              <w:ind w:right="22"/>
              <w:spacing w:after="0" w:line="135" w:lineRule="exact"/>
              <w:rPr>
                <w:sz w:val="20"/>
                <w:szCs w:val="20"/>
                <w:color w:val="auto"/>
              </w:rPr>
            </w:pPr>
            <w:r>
              <w:rPr>
                <w:rFonts w:ascii="Times New Roman" w:cs="Times New Roman" w:eastAsia="Times New Roman" w:hAnsi="Times New Roman"/>
                <w:sz w:val="14"/>
                <w:szCs w:val="14"/>
                <w:b w:val="1"/>
                <w:bCs w:val="1"/>
                <w:color w:val="auto"/>
              </w:rPr>
              <w:t>May Still Be</w:t>
            </w: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4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1"/>
        </w:trPr>
        <w:tc>
          <w:tcPr>
            <w:tcW w:w="5180" w:type="dxa"/>
            <w:vAlign w:val="bottom"/>
          </w:tcPr>
          <w:p>
            <w:pPr>
              <w:spacing w:after="0"/>
              <w:rPr>
                <w:sz w:val="16"/>
                <w:szCs w:val="16"/>
                <w:color w:val="auto"/>
              </w:rPr>
            </w:pPr>
          </w:p>
        </w:tc>
        <w:tc>
          <w:tcPr>
            <w:tcW w:w="146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Plans of Programs</w:t>
            </w:r>
          </w:p>
        </w:tc>
        <w:tc>
          <w:tcPr>
            <w:tcW w:w="0" w:type="dxa"/>
            <w:vAlign w:val="bottom"/>
          </w:tcPr>
          <w:p>
            <w:pPr>
              <w:spacing w:after="0"/>
              <w:rPr>
                <w:sz w:val="1"/>
                <w:szCs w:val="1"/>
                <w:color w:val="auto"/>
              </w:rPr>
            </w:pPr>
          </w:p>
        </w:tc>
      </w:tr>
      <w:tr>
        <w:trPr>
          <w:trHeight w:val="224"/>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1 - February 28</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199,441</w:t>
            </w:r>
          </w:p>
        </w:tc>
        <w:tc>
          <w:tcPr>
            <w:tcW w:w="0" w:type="dxa"/>
            <w:vAlign w:val="bottom"/>
          </w:tcPr>
          <w:p>
            <w:pPr>
              <w:spacing w:after="0"/>
              <w:rPr>
                <w:sz w:val="1"/>
                <w:szCs w:val="1"/>
                <w:color w:val="auto"/>
              </w:rPr>
            </w:pPr>
          </w:p>
        </w:tc>
      </w:tr>
      <w:tr>
        <w:trPr>
          <w:trHeight w:val="225"/>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 March 31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187,400</w:t>
            </w: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April 30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154,455</w:t>
            </w:r>
          </w:p>
        </w:tc>
        <w:tc>
          <w:tcPr>
            <w:tcW w:w="0" w:type="dxa"/>
            <w:vAlign w:val="bottom"/>
          </w:tcPr>
          <w:p>
            <w:pPr>
              <w:spacing w:after="0"/>
              <w:rPr>
                <w:sz w:val="1"/>
                <w:szCs w:val="1"/>
                <w:color w:val="auto"/>
              </w:rPr>
            </w:pPr>
          </w:p>
        </w:tc>
      </w:tr>
      <w:tr>
        <w:trPr>
          <w:trHeight w:val="218"/>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During our last fiscal quarter, our directors and/or officers (as defined in Rule 16a-1(f) under the Exchange Act) adopted or terminated the contracts, instructions, or written plans for the purchase or sale of the Company’s Class A common stock as set forth in the table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Trading Arrangement</w:t>
            </w:r>
          </w:p>
        </w:tc>
        <w:tc>
          <w:tcPr>
            <w:tcW w:w="16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4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8"/>
              </w:rPr>
              <w:t>Total Shares of</w:t>
            </w: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3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Non-Rule</w:t>
            </w:r>
          </w:p>
        </w:tc>
        <w:tc>
          <w:tcPr>
            <w:tcW w:w="16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40" w:type="dxa"/>
            <w:vAlign w:val="bottom"/>
            <w:vMerge w:val="restart"/>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60" w:type="dxa"/>
            <w:vAlign w:val="bottom"/>
            <w:vMerge w:val="restart"/>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Rule 10b5-1*</w:t>
            </w:r>
          </w:p>
        </w:tc>
        <w:tc>
          <w:tcPr>
            <w:tcW w:w="940" w:type="dxa"/>
            <w:vAlign w:val="bottom"/>
            <w:vMerge w:val="continue"/>
          </w:tcPr>
          <w:p>
            <w:pPr>
              <w:spacing w:after="0"/>
              <w:rPr>
                <w:sz w:val="12"/>
                <w:szCs w:val="12"/>
                <w:color w:val="auto"/>
              </w:rPr>
            </w:pP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Subject to Trading</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 Date</w:t>
            </w:r>
          </w:p>
        </w:tc>
        <w:tc>
          <w:tcPr>
            <w:tcW w:w="0" w:type="dxa"/>
            <w:vAlign w:val="bottom"/>
          </w:tcPr>
          <w:p>
            <w:pPr>
              <w:spacing w:after="0"/>
              <w:rPr>
                <w:sz w:val="1"/>
                <w:szCs w:val="1"/>
                <w:color w:val="auto"/>
              </w:rPr>
            </w:pPr>
          </w:p>
        </w:tc>
      </w:tr>
      <w:tr>
        <w:trPr>
          <w:trHeight w:val="193"/>
        </w:trPr>
        <w:tc>
          <w:tcPr>
            <w:tcW w:w="320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10b5-1**</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2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Katie Colendich</w:t>
            </w:r>
          </w:p>
        </w:tc>
        <w:tc>
          <w:tcPr>
            <w:tcW w:w="11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59,208</w:t>
            </w:r>
            <w:r>
              <w:rPr>
                <w:rFonts w:ascii="Times New Roman" w:cs="Times New Roman" w:eastAsia="Times New Roman" w:hAnsi="Times New Roman"/>
                <w:sz w:val="22"/>
                <w:szCs w:val="22"/>
                <w:color w:val="auto"/>
                <w:w w:val="93"/>
                <w:vertAlign w:val="superscript"/>
              </w:rPr>
              <w:t>(1)</w:t>
            </w: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General Counsel &amp; Corporate Secretary</w:t>
            </w:r>
          </w:p>
        </w:tc>
        <w:tc>
          <w:tcPr>
            <w:tcW w:w="11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6"/>
              </w:rPr>
              <w:t>Adopted</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March 25, 2026</w:t>
            </w:r>
          </w:p>
        </w:tc>
        <w:tc>
          <w:tcPr>
            <w:tcW w:w="1060" w:type="dxa"/>
            <w:vAlign w:val="bottom"/>
            <w:shd w:val="clear" w:color="auto" w:fill="CCEEFF"/>
          </w:tcPr>
          <w:p>
            <w:pPr>
              <w:jc w:val="center"/>
              <w:ind w:right="18"/>
              <w:spacing w:after="0"/>
              <w:rPr>
                <w:sz w:val="20"/>
                <w:szCs w:val="20"/>
                <w:color w:val="auto"/>
              </w:rPr>
            </w:pPr>
            <w:r>
              <w:rPr>
                <w:rFonts w:ascii="Times New Roman" w:cs="Times New Roman" w:eastAsia="Times New Roman" w:hAnsi="Times New Roman"/>
                <w:sz w:val="18"/>
                <w:szCs w:val="18"/>
                <w:color w:val="auto"/>
                <w:w w:val="91"/>
              </w:rPr>
              <w:t>X</w:t>
            </w:r>
          </w:p>
        </w:tc>
        <w:tc>
          <w:tcPr>
            <w:tcW w:w="940" w:type="dxa"/>
            <w:vAlign w:val="bottom"/>
            <w:shd w:val="clear" w:color="auto" w:fill="CCEEFF"/>
          </w:tcPr>
          <w:p>
            <w:pPr>
              <w:spacing w:after="0"/>
              <w:rPr>
                <w:sz w:val="20"/>
                <w:szCs w:val="20"/>
                <w:color w:val="auto"/>
              </w:rPr>
            </w:pPr>
          </w:p>
        </w:tc>
        <w:tc>
          <w:tcPr>
            <w:tcW w:w="1640" w:type="dxa"/>
            <w:vAlign w:val="bottom"/>
            <w:vMerge w:val="continue"/>
            <w:shd w:val="clear" w:color="auto" w:fill="CCEEFF"/>
          </w:tcPr>
          <w:p>
            <w:pPr>
              <w:spacing w:after="0"/>
              <w:rPr>
                <w:sz w:val="20"/>
                <w:szCs w:val="20"/>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24, 2027</w:t>
            </w:r>
          </w:p>
        </w:tc>
        <w:tc>
          <w:tcPr>
            <w:tcW w:w="0" w:type="dxa"/>
            <w:vAlign w:val="bottom"/>
          </w:tcPr>
          <w:p>
            <w:pPr>
              <w:spacing w:after="0"/>
              <w:rPr>
                <w:sz w:val="1"/>
                <w:szCs w:val="1"/>
                <w:color w:val="auto"/>
              </w:rPr>
            </w:pPr>
          </w:p>
        </w:tc>
      </w:tr>
      <w:tr>
        <w:trPr>
          <w:trHeight w:val="172"/>
        </w:trPr>
        <w:tc>
          <w:tcPr>
            <w:tcW w:w="320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Aziz Megji</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2"/>
              </w:rPr>
              <w:t>125,209</w:t>
            </w:r>
            <w:r>
              <w:rPr>
                <w:rFonts w:ascii="Times New Roman" w:cs="Times New Roman" w:eastAsia="Times New Roman" w:hAnsi="Times New Roman"/>
                <w:sz w:val="22"/>
                <w:szCs w:val="22"/>
                <w:color w:val="auto"/>
                <w:w w:val="92"/>
                <w:vertAlign w:val="superscript"/>
              </w:rPr>
              <w:t>(1)</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14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6"/>
              </w:rPr>
              <w:t>Adopted</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23, 2026</w:t>
            </w:r>
          </w:p>
        </w:tc>
        <w:tc>
          <w:tcPr>
            <w:tcW w:w="1060" w:type="dxa"/>
            <w:vAlign w:val="bottom"/>
          </w:tcPr>
          <w:p>
            <w:pPr>
              <w:jc w:val="center"/>
              <w:ind w:right="18"/>
              <w:spacing w:after="0"/>
              <w:rPr>
                <w:sz w:val="20"/>
                <w:szCs w:val="20"/>
                <w:color w:val="auto"/>
              </w:rPr>
            </w:pPr>
            <w:r>
              <w:rPr>
                <w:rFonts w:ascii="Times New Roman" w:cs="Times New Roman" w:eastAsia="Times New Roman" w:hAnsi="Times New Roman"/>
                <w:sz w:val="18"/>
                <w:szCs w:val="18"/>
                <w:color w:val="auto"/>
                <w:w w:val="91"/>
              </w:rPr>
              <w:t>X</w:t>
            </w:r>
          </w:p>
        </w:tc>
        <w:tc>
          <w:tcPr>
            <w:tcW w:w="940" w:type="dxa"/>
            <w:vAlign w:val="bottom"/>
          </w:tcPr>
          <w:p>
            <w:pPr>
              <w:spacing w:after="0"/>
              <w:rPr>
                <w:sz w:val="20"/>
                <w:szCs w:val="20"/>
                <w:color w:val="auto"/>
              </w:rPr>
            </w:pPr>
          </w:p>
        </w:tc>
        <w:tc>
          <w:tcPr>
            <w:tcW w:w="1640" w:type="dxa"/>
            <w:vAlign w:val="bottom"/>
            <w:vMerge w:val="continue"/>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26, 2027</w:t>
            </w:r>
          </w:p>
        </w:tc>
        <w:tc>
          <w:tcPr>
            <w:tcW w:w="0" w:type="dxa"/>
            <w:vAlign w:val="bottom"/>
          </w:tcPr>
          <w:p>
            <w:pPr>
              <w:spacing w:after="0"/>
              <w:rPr>
                <w:sz w:val="1"/>
                <w:szCs w:val="1"/>
                <w:color w:val="auto"/>
              </w:rPr>
            </w:pPr>
          </w:p>
        </w:tc>
      </w:tr>
      <w:tr>
        <w:trPr>
          <w:trHeight w:val="172"/>
        </w:trPr>
        <w:tc>
          <w:tcPr>
            <w:tcW w:w="32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Dan Rogers</w:t>
            </w:r>
          </w:p>
        </w:tc>
        <w:tc>
          <w:tcPr>
            <w:tcW w:w="11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1,132,014</w:t>
            </w:r>
            <w:r>
              <w:rPr>
                <w:rFonts w:ascii="Times New Roman" w:cs="Times New Roman" w:eastAsia="Times New Roman" w:hAnsi="Times New Roman"/>
                <w:sz w:val="22"/>
                <w:szCs w:val="22"/>
                <w:color w:val="auto"/>
                <w:w w:val="94"/>
                <w:vertAlign w:val="superscript"/>
              </w:rPr>
              <w:t>(1)</w:t>
            </w: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1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6"/>
              </w:rPr>
              <w:t>Adopted</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March 31, 2026</w:t>
            </w:r>
          </w:p>
        </w:tc>
        <w:tc>
          <w:tcPr>
            <w:tcW w:w="1060" w:type="dxa"/>
            <w:vAlign w:val="bottom"/>
            <w:shd w:val="clear" w:color="auto" w:fill="CCEEFF"/>
          </w:tcPr>
          <w:p>
            <w:pPr>
              <w:jc w:val="center"/>
              <w:ind w:right="18"/>
              <w:spacing w:after="0"/>
              <w:rPr>
                <w:sz w:val="20"/>
                <w:szCs w:val="20"/>
                <w:color w:val="auto"/>
              </w:rPr>
            </w:pPr>
            <w:r>
              <w:rPr>
                <w:rFonts w:ascii="Times New Roman" w:cs="Times New Roman" w:eastAsia="Times New Roman" w:hAnsi="Times New Roman"/>
                <w:sz w:val="18"/>
                <w:szCs w:val="18"/>
                <w:color w:val="auto"/>
                <w:w w:val="91"/>
              </w:rPr>
              <w:t>X</w:t>
            </w:r>
          </w:p>
        </w:tc>
        <w:tc>
          <w:tcPr>
            <w:tcW w:w="940" w:type="dxa"/>
            <w:vAlign w:val="bottom"/>
            <w:shd w:val="clear" w:color="auto" w:fill="CCEEFF"/>
          </w:tcPr>
          <w:p>
            <w:pPr>
              <w:spacing w:after="0"/>
              <w:rPr>
                <w:sz w:val="20"/>
                <w:szCs w:val="20"/>
                <w:color w:val="auto"/>
              </w:rPr>
            </w:pPr>
          </w:p>
        </w:tc>
        <w:tc>
          <w:tcPr>
            <w:tcW w:w="1640" w:type="dxa"/>
            <w:vAlign w:val="bottom"/>
            <w:vMerge w:val="continue"/>
            <w:shd w:val="clear" w:color="auto" w:fill="CCEEFF"/>
          </w:tcPr>
          <w:p>
            <w:pPr>
              <w:spacing w:after="0"/>
              <w:rPr>
                <w:sz w:val="20"/>
                <w:szCs w:val="20"/>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10, 2027</w:t>
            </w:r>
          </w:p>
        </w:tc>
        <w:tc>
          <w:tcPr>
            <w:tcW w:w="0" w:type="dxa"/>
            <w:vAlign w:val="bottom"/>
          </w:tcPr>
          <w:p>
            <w:pPr>
              <w:spacing w:after="0"/>
              <w:rPr>
                <w:sz w:val="1"/>
                <w:szCs w:val="1"/>
                <w:color w:val="auto"/>
              </w:rPr>
            </w:pPr>
          </w:p>
        </w:tc>
      </w:tr>
      <w:tr>
        <w:trPr>
          <w:trHeight w:val="172"/>
        </w:trPr>
        <w:tc>
          <w:tcPr>
            <w:tcW w:w="320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Veronica Sosa</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2"/>
              </w:rPr>
              <w:t>101,938</w:t>
            </w:r>
            <w:r>
              <w:rPr>
                <w:rFonts w:ascii="Times New Roman" w:cs="Times New Roman" w:eastAsia="Times New Roman" w:hAnsi="Times New Roman"/>
                <w:sz w:val="22"/>
                <w:szCs w:val="22"/>
                <w:color w:val="auto"/>
                <w:w w:val="92"/>
                <w:vertAlign w:val="superscript"/>
              </w:rPr>
              <w:t>(1)</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Accounting Officer</w:t>
            </w:r>
          </w:p>
        </w:tc>
        <w:tc>
          <w:tcPr>
            <w:tcW w:w="114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6"/>
              </w:rPr>
              <w:t>Adopted</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23, 2026</w:t>
            </w:r>
          </w:p>
        </w:tc>
        <w:tc>
          <w:tcPr>
            <w:tcW w:w="1060" w:type="dxa"/>
            <w:vAlign w:val="bottom"/>
          </w:tcPr>
          <w:p>
            <w:pPr>
              <w:jc w:val="center"/>
              <w:ind w:right="18"/>
              <w:spacing w:after="0"/>
              <w:rPr>
                <w:sz w:val="20"/>
                <w:szCs w:val="20"/>
                <w:color w:val="auto"/>
              </w:rPr>
            </w:pPr>
            <w:r>
              <w:rPr>
                <w:rFonts w:ascii="Times New Roman" w:cs="Times New Roman" w:eastAsia="Times New Roman" w:hAnsi="Times New Roman"/>
                <w:sz w:val="18"/>
                <w:szCs w:val="18"/>
                <w:color w:val="auto"/>
                <w:w w:val="91"/>
              </w:rPr>
              <w:t>X</w:t>
            </w:r>
          </w:p>
        </w:tc>
        <w:tc>
          <w:tcPr>
            <w:tcW w:w="940" w:type="dxa"/>
            <w:vAlign w:val="bottom"/>
          </w:tcPr>
          <w:p>
            <w:pPr>
              <w:spacing w:after="0"/>
              <w:rPr>
                <w:sz w:val="21"/>
                <w:szCs w:val="21"/>
                <w:color w:val="auto"/>
              </w:rPr>
            </w:pPr>
          </w:p>
        </w:tc>
        <w:tc>
          <w:tcPr>
            <w:tcW w:w="1640" w:type="dxa"/>
            <w:vAlign w:val="bottom"/>
            <w:vMerge w:val="continue"/>
          </w:tcPr>
          <w:p>
            <w:pPr>
              <w:spacing w:after="0"/>
              <w:rPr>
                <w:sz w:val="21"/>
                <w:szCs w:val="21"/>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2027</w:t>
            </w:r>
          </w:p>
        </w:tc>
        <w:tc>
          <w:tcPr>
            <w:tcW w:w="0" w:type="dxa"/>
            <w:vAlign w:val="bottom"/>
          </w:tcPr>
          <w:p>
            <w:pPr>
              <w:spacing w:after="0"/>
              <w:rPr>
                <w:sz w:val="1"/>
                <w:szCs w:val="1"/>
                <w:color w:val="auto"/>
              </w:rPr>
            </w:pPr>
          </w:p>
        </w:tc>
      </w:tr>
    </w:tbl>
    <w:p>
      <w:pPr>
        <w:ind w:left="20"/>
        <w:spacing w:after="0" w:line="217" w:lineRule="auto"/>
        <w:rPr>
          <w:sz w:val="20"/>
          <w:szCs w:val="20"/>
          <w:color w:val="auto"/>
        </w:rPr>
      </w:pPr>
      <w:r>
        <w:rPr>
          <w:rFonts w:ascii="Times New Roman" w:cs="Times New Roman" w:eastAsia="Times New Roman" w:hAnsi="Times New Roman"/>
          <w:sz w:val="14"/>
          <w:szCs w:val="14"/>
          <w:color w:val="auto"/>
        </w:rPr>
        <w:t>* Intended to satisfy the affirmative defense of Rule 10b5-1(c).</w:t>
      </w:r>
    </w:p>
    <w:p>
      <w:pPr>
        <w:ind w:left="20"/>
        <w:spacing w:after="0"/>
        <w:rPr>
          <w:sz w:val="20"/>
          <w:szCs w:val="20"/>
          <w:color w:val="auto"/>
        </w:rPr>
      </w:pPr>
      <w:r>
        <w:rPr>
          <w:rFonts w:ascii="Times New Roman" w:cs="Times New Roman" w:eastAsia="Times New Roman" w:hAnsi="Times New Roman"/>
          <w:sz w:val="14"/>
          <w:szCs w:val="14"/>
          <w:color w:val="auto"/>
        </w:rPr>
        <w:t>** Not intended to satisfy the affirmative defense of Rule 10b5-1(c).</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0" w:lineRule="exact"/>
        <w:rPr>
          <w:sz w:val="20"/>
          <w:szCs w:val="20"/>
          <w:color w:val="auto"/>
        </w:rPr>
      </w:pPr>
    </w:p>
    <w:p>
      <w:pPr>
        <w:jc w:val="both"/>
        <w:ind w:left="320" w:hanging="314"/>
        <w:spacing w:after="0" w:line="254" w:lineRule="auto"/>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actual number of shares subject to the trading arrangement under the Rule 10b5-1 Plan is expected to be different due to (i) our withholding of certain shares to satisfy tax withholding obligations in connection with the vesting of restricted stock units, and/or (ii) the amount of restricted stock units acquired following determination of the achievement of pre-established financial performance goals.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documents listed in the Exhibit Index of this Quarterly Report on Form 10-Q are incorporated by reference or are filed with this Quarterly Report on Form 10-Q, in each case as indicated therein (numbered in accordance with Item 601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6"/>
        </w:trPr>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060" w:type="dxa"/>
            <w:vAlign w:val="bottom"/>
            <w:gridSpan w:val="2"/>
            <w:vMerge w:val="restart"/>
          </w:tcPr>
          <w:p>
            <w:pPr>
              <w:ind w:left="260"/>
              <w:spacing w:after="0" w:line="15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10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720" w:type="dxa"/>
            <w:vAlign w:val="bottom"/>
            <w:gridSpan w:val="18"/>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2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20" w:type="dxa"/>
            <w:vAlign w:val="bottom"/>
            <w:vMerge w:val="restart"/>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0" w:type="dxa"/>
            <w:vAlign w:val="bottom"/>
          </w:tcPr>
          <w:p>
            <w:pPr>
              <w:spacing w:after="0"/>
              <w:rPr>
                <w:sz w:val="1"/>
                <w:szCs w:val="1"/>
                <w:color w:val="auto"/>
              </w:rPr>
            </w:pPr>
          </w:p>
        </w:tc>
      </w:tr>
      <w:tr>
        <w:trPr>
          <w:trHeight w:val="191"/>
        </w:trPr>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720" w:type="dxa"/>
            <w:vAlign w:val="bottom"/>
            <w:gridSpan w:val="18"/>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940" w:type="dxa"/>
            <w:vAlign w:val="bottom"/>
            <w:tcBorders>
              <w:top w:val="single" w:sz="8" w:color="auto"/>
            </w:tcBorders>
          </w:tcPr>
          <w:p>
            <w:pPr>
              <w:ind w:left="20"/>
              <w:spacing w:after="0" w:line="145" w:lineRule="exact"/>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40" w:type="dxa"/>
            <w:vAlign w:val="bottom"/>
            <w:tcBorders>
              <w:top w:val="single" w:sz="8" w:color="auto"/>
            </w:tcBorders>
            <w:gridSpan w:val="20"/>
          </w:tcPr>
          <w:p>
            <w:pPr>
              <w:spacing w:after="0" w:line="145" w:lineRule="exact"/>
              <w:rPr>
                <w:rFonts w:ascii="Times New Roman" w:cs="Times New Roman" w:eastAsia="Times New Roman" w:hAnsi="Times New Roman"/>
                <w:sz w:val="14"/>
                <w:szCs w:val="14"/>
                <w:color w:val="0000FF"/>
              </w:rPr>
            </w:pPr>
            <w:hyperlink r:id="rId92">
              <w:r>
                <w:rPr>
                  <w:rFonts w:ascii="Times New Roman" w:cs="Times New Roman" w:eastAsia="Times New Roman" w:hAnsi="Times New Roman"/>
                  <w:sz w:val="14"/>
                  <w:szCs w:val="14"/>
                  <w:color w:val="0000FF"/>
                </w:rPr>
                <w:t>Restated Certificate of Incorporation of the Registrant.</w:t>
              </w:r>
            </w:hyperlink>
          </w:p>
        </w:tc>
        <w:tc>
          <w:tcPr>
            <w:tcW w:w="120" w:type="dxa"/>
            <w:vAlign w:val="bottom"/>
          </w:tcPr>
          <w:p>
            <w:pPr>
              <w:spacing w:after="0"/>
              <w:rPr>
                <w:sz w:val="12"/>
                <w:szCs w:val="12"/>
                <w:color w:val="auto"/>
              </w:rPr>
            </w:pPr>
          </w:p>
        </w:tc>
        <w:tc>
          <w:tcPr>
            <w:tcW w:w="78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8-K</w:t>
            </w:r>
          </w:p>
        </w:tc>
        <w:tc>
          <w:tcPr>
            <w:tcW w:w="10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w w:val="98"/>
              </w:rPr>
              <w:t>001-39495</w:t>
            </w:r>
          </w:p>
        </w:tc>
        <w:tc>
          <w:tcPr>
            <w:tcW w:w="8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center"/>
              <w:ind w:right="89"/>
              <w:spacing w:after="0" w:line="145" w:lineRule="exact"/>
              <w:rPr>
                <w:sz w:val="20"/>
                <w:szCs w:val="20"/>
                <w:color w:val="auto"/>
              </w:rPr>
            </w:pPr>
            <w:r>
              <w:rPr>
                <w:rFonts w:ascii="Times New Roman" w:cs="Times New Roman" w:eastAsia="Times New Roman" w:hAnsi="Times New Roman"/>
                <w:sz w:val="14"/>
                <w:szCs w:val="14"/>
                <w:color w:val="auto"/>
              </w:rPr>
              <w:t>September 21, 2020</w:t>
            </w:r>
          </w:p>
        </w:tc>
        <w:tc>
          <w:tcPr>
            <w:tcW w:w="0" w:type="dxa"/>
            <w:vAlign w:val="bottom"/>
          </w:tcPr>
          <w:p>
            <w:pPr>
              <w:spacing w:after="0"/>
              <w:rPr>
                <w:sz w:val="1"/>
                <w:szCs w:val="1"/>
                <w:color w:val="auto"/>
              </w:rPr>
            </w:pPr>
          </w:p>
        </w:tc>
      </w:tr>
      <w:tr>
        <w:trPr>
          <w:trHeight w:val="179"/>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tcBorders>
              <w:top w:val="single" w:sz="8" w:color="0000FF"/>
            </w:tcBorders>
            <w:gridSpan w:val="5"/>
          </w:tcPr>
          <w:p>
            <w:pPr>
              <w:spacing w:after="0"/>
              <w:rPr>
                <w:rFonts w:ascii="Times New Roman" w:cs="Times New Roman" w:eastAsia="Times New Roman" w:hAnsi="Times New Roman"/>
                <w:sz w:val="14"/>
                <w:szCs w:val="14"/>
                <w:color w:val="0000FF"/>
              </w:rPr>
            </w:pPr>
            <w:hyperlink r:id="rId93">
              <w:r>
                <w:rPr>
                  <w:rFonts w:ascii="Times New Roman" w:cs="Times New Roman" w:eastAsia="Times New Roman" w:hAnsi="Times New Roman"/>
                  <w:sz w:val="14"/>
                  <w:szCs w:val="14"/>
                  <w:color w:val="0000FF"/>
                </w:rPr>
                <w:t>Amended and Restated Bylaws of the Registrant.</w:t>
              </w:r>
            </w:hyperlink>
          </w:p>
        </w:tc>
        <w:tc>
          <w:tcPr>
            <w:tcW w:w="1880" w:type="dxa"/>
            <w:vAlign w:val="bottom"/>
            <w:gridSpan w:val="16"/>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001-39495</w:t>
            </w:r>
          </w:p>
        </w:tc>
        <w:tc>
          <w:tcPr>
            <w:tcW w:w="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9"/>
              </w:rPr>
              <w:t>December 12, 2023</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60" w:type="dxa"/>
            <w:vAlign w:val="bottom"/>
            <w:gridSpan w:val="21"/>
          </w:tcPr>
          <w:p>
            <w:pPr>
              <w:spacing w:after="0"/>
              <w:rPr>
                <w:rFonts w:ascii="Times New Roman" w:cs="Times New Roman" w:eastAsia="Times New Roman" w:hAnsi="Times New Roman"/>
                <w:sz w:val="14"/>
                <w:szCs w:val="14"/>
                <w:color w:val="0000FF"/>
              </w:rPr>
            </w:pPr>
            <w:hyperlink r:id="rId94">
              <w:r>
                <w:rPr>
                  <w:rFonts w:ascii="Times New Roman" w:cs="Times New Roman" w:eastAsia="Times New Roman" w:hAnsi="Times New Roman"/>
                  <w:sz w:val="14"/>
                  <w:szCs w:val="14"/>
                  <w:color w:val="0000FF"/>
                </w:rPr>
                <w:t>Fifth Amendment to Credit Agreement, dated February 26, 2026, by and among the</w:t>
              </w:r>
            </w:hyperlink>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001-39495</w:t>
            </w:r>
          </w:p>
        </w:tc>
        <w:tc>
          <w:tcPr>
            <w:tcW w:w="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9"/>
              </w:rPr>
              <w:t>March 2, 2026</w:t>
            </w:r>
          </w:p>
        </w:tc>
        <w:tc>
          <w:tcPr>
            <w:tcW w:w="0" w:type="dxa"/>
            <w:vAlign w:val="bottom"/>
          </w:tcPr>
          <w:p>
            <w:pPr>
              <w:spacing w:after="0"/>
              <w:rPr>
                <w:sz w:val="1"/>
                <w:szCs w:val="1"/>
                <w:color w:val="auto"/>
              </w:rPr>
            </w:pPr>
          </w:p>
        </w:tc>
      </w:tr>
      <w:tr>
        <w:trPr>
          <w:trHeight w:val="126"/>
        </w:trPr>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40" w:type="dxa"/>
            <w:vAlign w:val="bottom"/>
            <w:tcBorders>
              <w:top w:val="single" w:sz="8" w:color="0000FF"/>
            </w:tcBorders>
            <w:gridSpan w:val="19"/>
          </w:tcPr>
          <w:p>
            <w:pPr>
              <w:spacing w:after="0" w:line="126" w:lineRule="exact"/>
              <w:rPr>
                <w:rFonts w:ascii="Times New Roman" w:cs="Times New Roman" w:eastAsia="Times New Roman" w:hAnsi="Times New Roman"/>
                <w:sz w:val="14"/>
                <w:szCs w:val="14"/>
                <w:color w:val="0000FF"/>
              </w:rPr>
            </w:pPr>
            <w:hyperlink r:id="rId94">
              <w:r>
                <w:rPr>
                  <w:rFonts w:ascii="Times New Roman" w:cs="Times New Roman" w:eastAsia="Times New Roman" w:hAnsi="Times New Roman"/>
                  <w:sz w:val="14"/>
                  <w:szCs w:val="14"/>
                  <w:color w:val="0000FF"/>
                </w:rPr>
                <w:t>Registrant and Silicon Valley Bank, a division of First-Citizens Bank &amp; Trust</w:t>
              </w:r>
            </w:hyperlink>
          </w:p>
        </w:tc>
        <w:tc>
          <w:tcPr>
            <w:tcW w:w="220" w:type="dxa"/>
            <w:vAlign w:val="bottom"/>
            <w:gridSpan w:val="2"/>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380" w:type="dxa"/>
            <w:vAlign w:val="bottom"/>
            <w:tcBorders>
              <w:top w:val="single" w:sz="8" w:color="0000FF"/>
              <w:bottom w:val="single" w:sz="8" w:color="0000FF"/>
            </w:tcBorders>
            <w:gridSpan w:val="9"/>
          </w:tcPr>
          <w:p>
            <w:pPr>
              <w:spacing w:after="0" w:line="113" w:lineRule="exact"/>
              <w:rPr>
                <w:rFonts w:ascii="Times New Roman" w:cs="Times New Roman" w:eastAsia="Times New Roman" w:hAnsi="Times New Roman"/>
                <w:sz w:val="13"/>
                <w:szCs w:val="13"/>
                <w:color w:val="0000FF"/>
              </w:rPr>
            </w:pPr>
            <w:hyperlink r:id="rId94">
              <w:r>
                <w:rPr>
                  <w:rFonts w:ascii="Times New Roman" w:cs="Times New Roman" w:eastAsia="Times New Roman" w:hAnsi="Times New Roman"/>
                  <w:sz w:val="13"/>
                  <w:szCs w:val="13"/>
                  <w:color w:val="0000FF"/>
                </w:rPr>
                <w:t>Company, as the issuing lender, the swingline lender, administrative agent and</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gridSpan w:val="3"/>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20" w:type="dxa"/>
            <w:vAlign w:val="bottom"/>
            <w:gridSpan w:val="11"/>
          </w:tcPr>
          <w:p>
            <w:pPr>
              <w:spacing w:after="0" w:line="126" w:lineRule="exact"/>
              <w:rPr>
                <w:rFonts w:ascii="Times New Roman" w:cs="Times New Roman" w:eastAsia="Times New Roman" w:hAnsi="Times New Roman"/>
                <w:sz w:val="14"/>
                <w:szCs w:val="14"/>
                <w:color w:val="0000FF"/>
              </w:rPr>
            </w:pPr>
            <w:hyperlink r:id="rId94">
              <w:r>
                <w:rPr>
                  <w:rFonts w:ascii="Times New Roman" w:cs="Times New Roman" w:eastAsia="Times New Roman" w:hAnsi="Times New Roman"/>
                  <w:sz w:val="14"/>
                  <w:szCs w:val="14"/>
                  <w:color w:val="0000FF"/>
                </w:rPr>
                <w:t>collateral agent.</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gridSpan w:val="3"/>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60" w:type="dxa"/>
            <w:vAlign w:val="bottom"/>
            <w:gridSpan w:val="21"/>
          </w:tcPr>
          <w:p>
            <w:pPr>
              <w:spacing w:after="0"/>
              <w:rPr>
                <w:rFonts w:ascii="Times New Roman" w:cs="Times New Roman" w:eastAsia="Times New Roman" w:hAnsi="Times New Roman"/>
                <w:sz w:val="14"/>
                <w:szCs w:val="14"/>
                <w:color w:val="0000FF"/>
              </w:rPr>
            </w:pPr>
            <w:hyperlink r:id="rId95">
              <w:r>
                <w:rPr>
                  <w:rFonts w:ascii="Times New Roman" w:cs="Times New Roman" w:eastAsia="Times New Roman" w:hAnsi="Times New Roman"/>
                  <w:sz w:val="14"/>
                  <w:szCs w:val="14"/>
                  <w:color w:val="0000FF"/>
                </w:rPr>
                <w:t>Offer Letter between Aziz Megji and the Registrant, dated February 27, 2026.</w:t>
              </w:r>
            </w:hyperlink>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8-K/A</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001-39495</w:t>
            </w:r>
          </w:p>
        </w:tc>
        <w:tc>
          <w:tcPr>
            <w:tcW w:w="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9"/>
              </w:rPr>
              <w:t>March 2, 2026</w:t>
            </w:r>
          </w:p>
        </w:tc>
        <w:tc>
          <w:tcPr>
            <w:tcW w:w="0" w:type="dxa"/>
            <w:vAlign w:val="bottom"/>
          </w:tcPr>
          <w:p>
            <w:pPr>
              <w:spacing w:after="0"/>
              <w:rPr>
                <w:sz w:val="1"/>
                <w:szCs w:val="1"/>
                <w:color w:val="auto"/>
              </w:rPr>
            </w:pPr>
          </w:p>
        </w:tc>
      </w:tr>
      <w:tr>
        <w:trPr>
          <w:trHeight w:val="179"/>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0" w:type="dxa"/>
            <w:vAlign w:val="bottom"/>
            <w:tcBorders>
              <w:top w:val="single" w:sz="8" w:color="0000FF"/>
            </w:tcBorders>
            <w:gridSpan w:val="10"/>
          </w:tcPr>
          <w:p>
            <w:pPr>
              <w:spacing w:after="0"/>
              <w:rPr>
                <w:rFonts w:ascii="Times New Roman" w:cs="Times New Roman" w:eastAsia="Times New Roman" w:hAnsi="Times New Roman"/>
                <w:sz w:val="14"/>
                <w:szCs w:val="14"/>
                <w:color w:val="0000FF"/>
              </w:rPr>
            </w:pPr>
            <w:hyperlink r:id="rId96">
              <w:r>
                <w:rPr>
                  <w:rFonts w:ascii="Times New Roman" w:cs="Times New Roman" w:eastAsia="Times New Roman" w:hAnsi="Times New Roman"/>
                  <w:sz w:val="14"/>
                  <w:szCs w:val="14"/>
                  <w:color w:val="0000FF"/>
                </w:rPr>
                <w:t>Incentive Bonus Plan.</w:t>
              </w:r>
            </w:hyperlink>
          </w:p>
        </w:tc>
        <w:tc>
          <w:tcPr>
            <w:tcW w:w="560" w:type="dxa"/>
            <w:vAlign w:val="bottom"/>
            <w:gridSpan w:val="11"/>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001-39495</w:t>
            </w:r>
          </w:p>
        </w:tc>
        <w:tc>
          <w:tcPr>
            <w:tcW w:w="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March 13, 2026</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tcBorders>
              <w:bottom w:val="single" w:sz="8" w:color="0000FF"/>
            </w:tcBorders>
            <w:gridSpan w:val="7"/>
          </w:tcPr>
          <w:p>
            <w:pPr>
              <w:spacing w:after="0"/>
              <w:rPr>
                <w:rFonts w:ascii="Times New Roman" w:cs="Times New Roman" w:eastAsia="Times New Roman" w:hAnsi="Times New Roman"/>
                <w:sz w:val="14"/>
                <w:szCs w:val="14"/>
                <w:color w:val="0000FF"/>
              </w:rPr>
            </w:pPr>
            <w:hyperlink r:id="rId97">
              <w:r>
                <w:rPr>
                  <w:rFonts w:ascii="Times New Roman" w:cs="Times New Roman" w:eastAsia="Times New Roman" w:hAnsi="Times New Roman"/>
                  <w:sz w:val="14"/>
                  <w:szCs w:val="14"/>
                  <w:color w:val="0000FF"/>
                </w:rPr>
                <w:t>Amended Executive Severance and Change in Control Benefit Plan.</w:t>
              </w:r>
            </w:hyperlink>
          </w:p>
        </w:tc>
        <w:tc>
          <w:tcPr>
            <w:tcW w:w="1100" w:type="dxa"/>
            <w:vAlign w:val="bottom"/>
            <w:gridSpan w:val="14"/>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001-39495</w:t>
            </w:r>
          </w:p>
        </w:tc>
        <w:tc>
          <w:tcPr>
            <w:tcW w:w="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March 13, 2026</w:t>
            </w:r>
          </w:p>
        </w:tc>
        <w:tc>
          <w:tcPr>
            <w:tcW w:w="0" w:type="dxa"/>
            <w:vAlign w:val="bottom"/>
          </w:tcPr>
          <w:p>
            <w:pPr>
              <w:spacing w:after="0"/>
              <w:rPr>
                <w:sz w:val="1"/>
                <w:szCs w:val="1"/>
                <w:color w:val="auto"/>
              </w:rPr>
            </w:pPr>
          </w:p>
        </w:tc>
      </w:tr>
      <w:tr>
        <w:trPr>
          <w:trHeight w:val="179"/>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Second Amendment to Lease Agreement, by and between Swig 631 Folsom, LLC,</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80" w:type="dxa"/>
            <w:vAlign w:val="bottom"/>
            <w:tcBorders>
              <w:top w:val="single" w:sz="8" w:color="0000FF"/>
            </w:tcBorders>
            <w:gridSpan w:val="17"/>
          </w:tcPr>
          <w:p>
            <w:pPr>
              <w:spacing w:after="0" w:line="126" w:lineRule="exact"/>
              <w:rPr>
                <w:sz w:val="20"/>
                <w:szCs w:val="20"/>
                <w:color w:val="auto"/>
              </w:rPr>
            </w:pPr>
            <w:r>
              <w:rPr>
                <w:rFonts w:ascii="Times New Roman" w:cs="Times New Roman" w:eastAsia="Times New Roman" w:hAnsi="Times New Roman"/>
                <w:sz w:val="14"/>
                <w:szCs w:val="14"/>
                <w:color w:val="0000FF"/>
              </w:rPr>
              <w:t>SIC Holdings, LLC, and the Registrant, dated March 3, 2021.</w:t>
            </w:r>
          </w:p>
        </w:tc>
        <w:tc>
          <w:tcPr>
            <w:tcW w:w="20" w:type="dxa"/>
            <w:vAlign w:val="bottom"/>
          </w:tcPr>
          <w:p>
            <w:pPr>
              <w:spacing w:after="0"/>
              <w:rPr>
                <w:sz w:val="10"/>
                <w:szCs w:val="10"/>
                <w:color w:val="auto"/>
              </w:rPr>
            </w:pPr>
          </w:p>
        </w:tc>
        <w:tc>
          <w:tcPr>
            <w:tcW w:w="260" w:type="dxa"/>
            <w:vAlign w:val="bottom"/>
            <w:gridSpan w:val="3"/>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Third Amendment to Lease Agreement, by and between Swig 631 Folsom, LLC,</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80" w:type="dxa"/>
            <w:vAlign w:val="bottom"/>
            <w:tcBorders>
              <w:top w:val="single" w:sz="8" w:color="0000FF"/>
            </w:tcBorders>
            <w:gridSpan w:val="15"/>
          </w:tcPr>
          <w:p>
            <w:pPr>
              <w:spacing w:after="0" w:line="126" w:lineRule="exact"/>
              <w:rPr>
                <w:sz w:val="20"/>
                <w:szCs w:val="20"/>
                <w:color w:val="auto"/>
              </w:rPr>
            </w:pPr>
            <w:r>
              <w:rPr>
                <w:rFonts w:ascii="Times New Roman" w:cs="Times New Roman" w:eastAsia="Times New Roman" w:hAnsi="Times New Roman"/>
                <w:sz w:val="14"/>
                <w:szCs w:val="14"/>
                <w:color w:val="0000FF"/>
              </w:rPr>
              <w:t>SIC Holdings, LLC, and the Registrant, dated May 26, 2026.</w:t>
            </w:r>
          </w:p>
        </w:tc>
        <w:tc>
          <w:tcPr>
            <w:tcW w:w="8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60" w:type="dxa"/>
            <w:vAlign w:val="bottom"/>
            <w:gridSpan w:val="3"/>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120" w:type="dxa"/>
            <w:vAlign w:val="bottom"/>
            <w:gridSpan w:val="5"/>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Exchange Act Rules 13a-14(a)</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00" w:type="dxa"/>
            <w:vAlign w:val="bottom"/>
            <w:tcBorders>
              <w:top w:val="single" w:sz="8" w:color="0000FF"/>
            </w:tcBorders>
            <w:gridSpan w:val="18"/>
          </w:tcPr>
          <w:p>
            <w:pPr>
              <w:spacing w:after="0" w:line="126" w:lineRule="exact"/>
              <w:rPr>
                <w:sz w:val="20"/>
                <w:szCs w:val="20"/>
                <w:color w:val="auto"/>
              </w:rPr>
            </w:pPr>
            <w:r>
              <w:rPr>
                <w:rFonts w:ascii="Times New Roman" w:cs="Times New Roman" w:eastAsia="Times New Roman" w:hAnsi="Times New Roman"/>
                <w:sz w:val="14"/>
                <w:szCs w:val="14"/>
                <w:color w:val="0000FF"/>
              </w:rPr>
              <w:t>and 15d-14(a), as adopted pursuant to Section 302 of the Sarbanes-Oxley Act of</w:t>
            </w:r>
          </w:p>
        </w:tc>
        <w:tc>
          <w:tcPr>
            <w:tcW w:w="260" w:type="dxa"/>
            <w:vAlign w:val="bottom"/>
            <w:gridSpan w:val="3"/>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top w:val="single" w:sz="8" w:color="0000FF"/>
              <w:bottom w:val="single" w:sz="8" w:color="0000FF"/>
            </w:tcBorders>
          </w:tcPr>
          <w:p>
            <w:pPr>
              <w:spacing w:after="0" w:line="113" w:lineRule="exact"/>
              <w:rPr>
                <w:sz w:val="20"/>
                <w:szCs w:val="20"/>
                <w:color w:val="auto"/>
              </w:rPr>
            </w:pPr>
            <w:r>
              <w:rPr>
                <w:rFonts w:ascii="Times New Roman" w:cs="Times New Roman" w:eastAsia="Times New Roman" w:hAnsi="Times New Roman"/>
                <w:sz w:val="13"/>
                <w:szCs w:val="13"/>
                <w:color w:val="0000FF"/>
              </w:rPr>
              <w:t>2002.</w:t>
            </w:r>
          </w:p>
        </w:tc>
        <w:tc>
          <w:tcPr>
            <w:tcW w:w="580" w:type="dxa"/>
            <w:vAlign w:val="bottom"/>
            <w:tcBorders>
              <w:top w:val="single" w:sz="8" w:color="0000FF"/>
            </w:tcBorders>
          </w:tcPr>
          <w:p>
            <w:pPr>
              <w:spacing w:after="0"/>
              <w:rPr>
                <w:sz w:val="9"/>
                <w:szCs w:val="9"/>
                <w:color w:val="auto"/>
              </w:rPr>
            </w:pPr>
          </w:p>
        </w:tc>
        <w:tc>
          <w:tcPr>
            <w:tcW w:w="340" w:type="dxa"/>
            <w:vAlign w:val="bottom"/>
            <w:tcBorders>
              <w:top w:val="single" w:sz="8" w:color="0000FF"/>
            </w:tcBorders>
          </w:tcPr>
          <w:p>
            <w:pPr>
              <w:spacing w:after="0"/>
              <w:rPr>
                <w:sz w:val="9"/>
                <w:szCs w:val="9"/>
                <w:color w:val="auto"/>
              </w:rPr>
            </w:pPr>
          </w:p>
        </w:tc>
        <w:tc>
          <w:tcPr>
            <w:tcW w:w="154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360" w:type="dxa"/>
            <w:vAlign w:val="bottom"/>
            <w:tcBorders>
              <w:top w:val="single" w:sz="8" w:color="0000FF"/>
            </w:tcBorders>
          </w:tcPr>
          <w:p>
            <w:pPr>
              <w:spacing w:after="0"/>
              <w:rPr>
                <w:sz w:val="9"/>
                <w:szCs w:val="9"/>
                <w:color w:val="auto"/>
              </w:rPr>
            </w:pPr>
          </w:p>
        </w:tc>
        <w:tc>
          <w:tcPr>
            <w:tcW w:w="4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5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Exchange Act Rules 13a-14(a)</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tcBorders>
              <w:top w:val="single" w:sz="8" w:color="0000FF"/>
            </w:tcBorders>
            <w:gridSpan w:val="16"/>
          </w:tcPr>
          <w:p>
            <w:pPr>
              <w:spacing w:after="0" w:line="126" w:lineRule="exact"/>
              <w:rPr>
                <w:sz w:val="20"/>
                <w:szCs w:val="20"/>
                <w:color w:val="auto"/>
              </w:rPr>
            </w:pPr>
            <w:r>
              <w:rPr>
                <w:rFonts w:ascii="Times New Roman" w:cs="Times New Roman" w:eastAsia="Times New Roman" w:hAnsi="Times New Roman"/>
                <w:sz w:val="14"/>
                <w:szCs w:val="14"/>
                <w:color w:val="0000FF"/>
              </w:rPr>
              <w:t>and 15d-14(a), as adopted pursuant to Section 302 of the Sarbanes-Oxley Act of</w:t>
            </w:r>
          </w:p>
        </w:tc>
        <w:tc>
          <w:tcPr>
            <w:tcW w:w="300" w:type="dxa"/>
            <w:vAlign w:val="bottom"/>
            <w:gridSpan w:val="5"/>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top w:val="single" w:sz="8" w:color="0000FF"/>
              <w:bottom w:val="single" w:sz="8" w:color="0000FF"/>
            </w:tcBorders>
          </w:tcPr>
          <w:p>
            <w:pPr>
              <w:spacing w:after="0" w:line="113" w:lineRule="exact"/>
              <w:rPr>
                <w:sz w:val="20"/>
                <w:szCs w:val="20"/>
                <w:color w:val="auto"/>
              </w:rPr>
            </w:pPr>
            <w:r>
              <w:rPr>
                <w:rFonts w:ascii="Times New Roman" w:cs="Times New Roman" w:eastAsia="Times New Roman" w:hAnsi="Times New Roman"/>
                <w:sz w:val="13"/>
                <w:szCs w:val="13"/>
                <w:color w:val="0000FF"/>
              </w:rPr>
              <w:t>2002.</w:t>
            </w:r>
          </w:p>
        </w:tc>
        <w:tc>
          <w:tcPr>
            <w:tcW w:w="580" w:type="dxa"/>
            <w:vAlign w:val="bottom"/>
            <w:tcBorders>
              <w:top w:val="single" w:sz="8" w:color="0000FF"/>
            </w:tcBorders>
          </w:tcPr>
          <w:p>
            <w:pPr>
              <w:spacing w:after="0"/>
              <w:rPr>
                <w:sz w:val="9"/>
                <w:szCs w:val="9"/>
                <w:color w:val="auto"/>
              </w:rPr>
            </w:pPr>
          </w:p>
        </w:tc>
        <w:tc>
          <w:tcPr>
            <w:tcW w:w="340" w:type="dxa"/>
            <w:vAlign w:val="bottom"/>
            <w:tcBorders>
              <w:top w:val="single" w:sz="8" w:color="0000FF"/>
            </w:tcBorders>
          </w:tcPr>
          <w:p>
            <w:pPr>
              <w:spacing w:after="0"/>
              <w:rPr>
                <w:sz w:val="9"/>
                <w:szCs w:val="9"/>
                <w:color w:val="auto"/>
              </w:rPr>
            </w:pPr>
          </w:p>
        </w:tc>
        <w:tc>
          <w:tcPr>
            <w:tcW w:w="154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360" w:type="dxa"/>
            <w:vAlign w:val="bottom"/>
            <w:tcBorders>
              <w:top w:val="single" w:sz="8" w:color="0000FF"/>
            </w:tcBorders>
          </w:tcPr>
          <w:p>
            <w:pPr>
              <w:spacing w:after="0"/>
              <w:rPr>
                <w:sz w:val="9"/>
                <w:szCs w:val="9"/>
                <w:color w:val="auto"/>
              </w:rPr>
            </w:pPr>
          </w:p>
        </w:tc>
        <w:tc>
          <w:tcPr>
            <w:tcW w:w="4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5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20" w:type="dxa"/>
            <w:vAlign w:val="bottom"/>
          </w:tcPr>
          <w:p>
            <w:pPr>
              <w:spacing w:after="0"/>
              <w:rPr>
                <w:sz w:val="15"/>
                <w:szCs w:val="15"/>
                <w:color w:val="auto"/>
              </w:rPr>
            </w:pPr>
          </w:p>
        </w:tc>
        <w:tc>
          <w:tcPr>
            <w:tcW w:w="49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18 U.S.C. Section 1350, as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80" w:type="dxa"/>
            <w:vAlign w:val="bottom"/>
            <w:tcBorders>
              <w:top w:val="single" w:sz="8" w:color="0000FF"/>
              <w:bottom w:val="single" w:sz="8" w:color="0000FF"/>
            </w:tcBorders>
            <w:gridSpan w:val="8"/>
          </w:tcPr>
          <w:p>
            <w:pPr>
              <w:spacing w:after="0" w:line="126"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600" w:type="dxa"/>
            <w:vAlign w:val="bottom"/>
            <w:tcBorders>
              <w:top w:val="single" w:sz="8" w:color="0000FF"/>
            </w:tcBorders>
            <w:gridSpan w:val="5"/>
          </w:tcPr>
          <w:p>
            <w:pPr>
              <w:spacing w:after="0"/>
              <w:rPr>
                <w:sz w:val="10"/>
                <w:szCs w:val="10"/>
                <w:color w:val="auto"/>
              </w:rPr>
            </w:pPr>
          </w:p>
        </w:tc>
        <w:tc>
          <w:tcPr>
            <w:tcW w:w="480" w:type="dxa"/>
            <w:vAlign w:val="bottom"/>
            <w:gridSpan w:val="8"/>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32.2†</w:t>
            </w:r>
          </w:p>
        </w:tc>
        <w:tc>
          <w:tcPr>
            <w:tcW w:w="20" w:type="dxa"/>
            <w:vAlign w:val="bottom"/>
          </w:tcPr>
          <w:p>
            <w:pPr>
              <w:spacing w:after="0"/>
              <w:rPr>
                <w:sz w:val="14"/>
                <w:szCs w:val="14"/>
                <w:color w:val="auto"/>
              </w:rPr>
            </w:pPr>
          </w:p>
        </w:tc>
        <w:tc>
          <w:tcPr>
            <w:tcW w:w="49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U.S.C. Section 1350, as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40" w:type="dxa"/>
            <w:vAlign w:val="bottom"/>
            <w:tcBorders>
              <w:top w:val="single" w:sz="8" w:color="0000FF"/>
            </w:tcBorders>
            <w:gridSpan w:val="12"/>
          </w:tcPr>
          <w:p>
            <w:pPr>
              <w:spacing w:after="0" w:line="126"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520" w:type="dxa"/>
            <w:vAlign w:val="bottom"/>
            <w:gridSpan w:val="9"/>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16"/>
                <w:szCs w:val="16"/>
                <w:color w:val="auto"/>
              </w:rPr>
            </w:pPr>
          </w:p>
        </w:tc>
        <w:tc>
          <w:tcPr>
            <w:tcW w:w="38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auto"/>
              </w:rPr>
              <w:t>XBRL Instance Document</w:t>
            </w:r>
          </w:p>
        </w:tc>
        <w:tc>
          <w:tcPr>
            <w:tcW w:w="1100" w:type="dxa"/>
            <w:vAlign w:val="bottom"/>
            <w:gridSpan w:val="14"/>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7"/>
                <w:szCs w:val="17"/>
                <w:color w:val="auto"/>
              </w:rPr>
            </w:pPr>
          </w:p>
        </w:tc>
        <w:tc>
          <w:tcPr>
            <w:tcW w:w="496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17"/>
                <w:szCs w:val="17"/>
                <w:color w:val="auto"/>
              </w:rPr>
            </w:pPr>
          </w:p>
        </w:tc>
        <w:tc>
          <w:tcPr>
            <w:tcW w:w="496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7"/>
                <w:szCs w:val="17"/>
                <w:color w:val="auto"/>
              </w:rPr>
            </w:pPr>
          </w:p>
        </w:tc>
        <w:tc>
          <w:tcPr>
            <w:tcW w:w="496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20" w:type="dxa"/>
            <w:vAlign w:val="bottom"/>
          </w:tcPr>
          <w:p>
            <w:pPr>
              <w:spacing w:after="0"/>
              <w:rPr>
                <w:sz w:val="17"/>
                <w:szCs w:val="17"/>
                <w:color w:val="auto"/>
              </w:rPr>
            </w:pPr>
          </w:p>
        </w:tc>
        <w:tc>
          <w:tcPr>
            <w:tcW w:w="496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20" w:type="dxa"/>
            <w:vAlign w:val="bottom"/>
          </w:tcPr>
          <w:p>
            <w:pPr>
              <w:spacing w:after="0"/>
              <w:rPr>
                <w:sz w:val="17"/>
                <w:szCs w:val="17"/>
                <w:color w:val="auto"/>
              </w:rPr>
            </w:pPr>
          </w:p>
        </w:tc>
        <w:tc>
          <w:tcPr>
            <w:tcW w:w="496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080" w:right="5380" w:hanging="1056"/>
        <w:spacing w:after="0" w:line="251" w:lineRule="auto"/>
        <w:tabs>
          <w:tab w:leader="none" w:pos="10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cover page from the Registrant’s Quarterly Report on Form 10-Q for the quarter ended April 30, 2026, has been formatted in Inline XBRL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0"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5"/>
          <w:szCs w:val="15"/>
          <w:color w:val="auto"/>
        </w:rPr>
        <w:t>Filed herewith.</w:t>
      </w:r>
    </w:p>
    <w:p>
      <w:pPr>
        <w:spacing w:after="0" w:line="2"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5"/>
          <w:szCs w:val="15"/>
          <w:color w:val="auto"/>
        </w:rPr>
        <w:t>Indicates a management contract or compensatory plan or arrangement.</w:t>
      </w:r>
    </w:p>
    <w:p>
      <w:pPr>
        <w:spacing w:after="0" w:line="6" w:lineRule="exact"/>
        <w:rPr>
          <w:sz w:val="20"/>
          <w:szCs w:val="20"/>
          <w:color w:val="auto"/>
        </w:rPr>
      </w:pPr>
    </w:p>
    <w:p>
      <w:pPr>
        <w:ind w:left="320" w:hanging="314"/>
        <w:spacing w:after="0" w:line="264" w:lineRule="auto"/>
        <w:tabs>
          <w:tab w:leader="none" w:pos="254"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Exhibits 32.1 and 32.2 that accompany this Quarterly Report on Form 10-Q are not deemed filed with the SEC and are not to be incorporated by reference into any filing of the Registrant under the Securities Act of 1933, as amended, or the Exchange Act, whether made before or after the date of this Quarterly Report on Form 10-Q, irrespective of any general incorporation language contained in such filing</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82" w:name="page83"/>
    <w:bookmarkEnd w:id="82"/>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6"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233"/>
        </w:trPr>
        <w:tc>
          <w:tcPr>
            <w:tcW w:w="330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ASANA, INC.</w:t>
            </w:r>
          </w:p>
        </w:tc>
      </w:tr>
      <w:tr>
        <w:trPr>
          <w:trHeight w:val="489"/>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2026</w:t>
            </w:r>
          </w:p>
        </w:tc>
        <w:tc>
          <w:tcPr>
            <w:tcW w:w="26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 Rogers</w:t>
            </w:r>
          </w:p>
        </w:tc>
      </w:tr>
      <w:tr>
        <w:trPr>
          <w:trHeight w:val="213"/>
        </w:trPr>
        <w:tc>
          <w:tcPr>
            <w:tcW w:w="33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Rogers</w:t>
            </w:r>
          </w:p>
        </w:tc>
      </w:tr>
      <w:tr>
        <w:trPr>
          <w:trHeight w:val="223"/>
        </w:trPr>
        <w:tc>
          <w:tcPr>
            <w:tcW w:w="33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3"/>
        </w:trPr>
        <w:tc>
          <w:tcPr>
            <w:tcW w:w="33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7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2026</w:t>
            </w:r>
          </w:p>
        </w:tc>
        <w:tc>
          <w:tcPr>
            <w:tcW w:w="26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Aziz Megji</w:t>
            </w:r>
          </w:p>
        </w:tc>
      </w:tr>
      <w:tr>
        <w:trPr>
          <w:trHeight w:val="213"/>
        </w:trPr>
        <w:tc>
          <w:tcPr>
            <w:tcW w:w="33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Aziz Megji</w:t>
            </w:r>
          </w:p>
        </w:tc>
      </w:tr>
      <w:tr>
        <w:trPr>
          <w:trHeight w:val="223"/>
        </w:trPr>
        <w:tc>
          <w:tcPr>
            <w:tcW w:w="33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3"/>
        </w:trPr>
        <w:tc>
          <w:tcPr>
            <w:tcW w:w="33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888"/>
        </w:trPr>
        <w:tc>
          <w:tcPr>
            <w:tcW w:w="3300" w:type="dxa"/>
            <w:vAlign w:val="bottom"/>
          </w:tcPr>
          <w:p>
            <w:pPr>
              <w:spacing w:after="0"/>
              <w:rPr>
                <w:sz w:val="24"/>
                <w:szCs w:val="24"/>
                <w:color w:val="auto"/>
              </w:rPr>
            </w:pPr>
          </w:p>
        </w:tc>
        <w:tc>
          <w:tcPr>
            <w:tcW w:w="262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77</w:t>
            </w:r>
          </w:p>
        </w:tc>
        <w:tc>
          <w:tcPr>
            <w:tcW w:w="5080" w:type="dxa"/>
            <w:vAlign w:val="bottom"/>
          </w:tcPr>
          <w:p>
            <w:pPr>
              <w:spacing w:after="0"/>
              <w:rPr>
                <w:sz w:val="24"/>
                <w:szCs w:val="24"/>
                <w:color w:val="auto"/>
              </w:rPr>
            </w:pPr>
          </w:p>
        </w:tc>
      </w:tr>
    </w:tbl>
    <w:p>
      <w:pPr>
        <w:sectPr>
          <w:pgSz w:w="11900" w:h="16838" w:orient="portrait"/>
          <w:cols w:equalWidth="0" w:num="1">
            <w:col w:w="11340"/>
          </w:cols>
          <w:pgMar w:left="320" w:top="1232" w:right="2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9"/>
          <w:szCs w:val="19"/>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b w:val="1"/>
          <w:bCs w:val="1"/>
          <w:color w:val="231F20"/>
        </w:rPr>
        <w:t>SECOND AMENDMENT</w:t>
      </w:r>
    </w:p>
    <w:p>
      <w:pPr>
        <w:spacing w:after="0" w:line="166" w:lineRule="exact"/>
        <w:rPr>
          <w:sz w:val="20"/>
          <w:szCs w:val="20"/>
          <w:color w:val="auto"/>
        </w:rPr>
      </w:pPr>
    </w:p>
    <w:p>
      <w:pPr>
        <w:jc w:val="both"/>
        <w:ind w:right="320" w:firstLine="635"/>
        <w:spacing w:after="0" w:line="275" w:lineRule="auto"/>
        <w:rPr>
          <w:sz w:val="20"/>
          <w:szCs w:val="20"/>
          <w:color w:val="auto"/>
        </w:rPr>
      </w:pPr>
      <w:r>
        <w:rPr>
          <w:rFonts w:ascii="Times New Roman" w:cs="Times New Roman" w:eastAsia="Times New Roman" w:hAnsi="Times New Roman"/>
          <w:sz w:val="19"/>
          <w:szCs w:val="19"/>
          <w:b w:val="1"/>
          <w:bCs w:val="1"/>
          <w:color w:val="231F20"/>
        </w:rPr>
        <w:t xml:space="preserve">THIS SECOND AMENDMENT </w:t>
      </w:r>
      <w:r>
        <w:rPr>
          <w:rFonts w:ascii="Times New Roman" w:cs="Times New Roman" w:eastAsia="Times New Roman" w:hAnsi="Times New Roman"/>
          <w:sz w:val="19"/>
          <w:szCs w:val="19"/>
          <w:color w:val="231F20"/>
        </w:rPr>
        <w:t>(the “</w:t>
      </w:r>
      <w:r>
        <w:rPr>
          <w:rFonts w:ascii="Times New Roman" w:cs="Times New Roman" w:eastAsia="Times New Roman" w:hAnsi="Times New Roman"/>
          <w:sz w:val="19"/>
          <w:szCs w:val="19"/>
          <w:b w:val="1"/>
          <w:bCs w:val="1"/>
          <w:color w:val="231F20"/>
        </w:rPr>
        <w:t>Amendment</w:t>
      </w:r>
      <w:r>
        <w:rPr>
          <w:rFonts w:ascii="Times New Roman" w:cs="Times New Roman" w:eastAsia="Times New Roman" w:hAnsi="Times New Roman"/>
          <w:sz w:val="19"/>
          <w:szCs w:val="19"/>
          <w:color w:val="231F20"/>
        </w:rPr>
        <w:t>”) is made and entered into as of March 3, 2021 (the “</w:t>
      </w:r>
      <w:r>
        <w:rPr>
          <w:rFonts w:ascii="Times New Roman" w:cs="Times New Roman" w:eastAsia="Times New Roman" w:hAnsi="Times New Roman"/>
          <w:sz w:val="19"/>
          <w:szCs w:val="19"/>
          <w:b w:val="1"/>
          <w:bCs w:val="1"/>
          <w:color w:val="231F20"/>
        </w:rPr>
        <w:t>Effective Date</w:t>
      </w:r>
      <w:r>
        <w:rPr>
          <w:rFonts w:ascii="Times New Roman" w:cs="Times New Roman" w:eastAsia="Times New Roman" w:hAnsi="Times New Roman"/>
          <w:sz w:val="19"/>
          <w:szCs w:val="19"/>
          <w:color w:val="231F20"/>
        </w:rPr>
        <w:t>’),</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 xml:space="preserve">by and between </w:t>
      </w:r>
      <w:r>
        <w:rPr>
          <w:rFonts w:ascii="Times New Roman" w:cs="Times New Roman" w:eastAsia="Times New Roman" w:hAnsi="Times New Roman"/>
          <w:sz w:val="19"/>
          <w:szCs w:val="19"/>
          <w:b w:val="1"/>
          <w:bCs w:val="1"/>
          <w:color w:val="231F20"/>
        </w:rPr>
        <w:t>SWIG 631 FOLSOM, LLC, a Delaware limited liability company, and SIC HOLDINGS, LLC, a Delaware</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b w:val="1"/>
          <w:bCs w:val="1"/>
          <w:color w:val="231F20"/>
        </w:rPr>
        <w:t xml:space="preserve">limited liability company </w:t>
      </w:r>
      <w:r>
        <w:rPr>
          <w:rFonts w:ascii="Times New Roman" w:cs="Times New Roman" w:eastAsia="Times New Roman" w:hAnsi="Times New Roman"/>
          <w:sz w:val="19"/>
          <w:szCs w:val="19"/>
          <w:color w:val="231F20"/>
        </w:rPr>
        <w:t>(“</w:t>
      </w:r>
      <w:r>
        <w:rPr>
          <w:rFonts w:ascii="Times New Roman" w:cs="Times New Roman" w:eastAsia="Times New Roman" w:hAnsi="Times New Roman"/>
          <w:sz w:val="19"/>
          <w:szCs w:val="19"/>
          <w:b w:val="1"/>
          <w:bCs w:val="1"/>
          <w:color w:val="231F20"/>
        </w:rPr>
        <w:t>Landlord</w:t>
      </w:r>
      <w:r>
        <w:rPr>
          <w:rFonts w:ascii="Times New Roman" w:cs="Times New Roman" w:eastAsia="Times New Roman" w:hAnsi="Times New Roman"/>
          <w:sz w:val="19"/>
          <w:szCs w:val="19"/>
          <w:color w:val="231F20"/>
        </w:rPr>
        <w:t>”), and</w:t>
      </w:r>
      <w:r>
        <w:rPr>
          <w:rFonts w:ascii="Times New Roman" w:cs="Times New Roman" w:eastAsia="Times New Roman" w:hAnsi="Times New Roman"/>
          <w:sz w:val="19"/>
          <w:szCs w:val="19"/>
          <w:b w:val="1"/>
          <w:bCs w:val="1"/>
          <w:color w:val="231F20"/>
        </w:rPr>
        <w:t xml:space="preserve"> ASANA, INC., a Delaware corporation </w:t>
      </w:r>
      <w:r>
        <w:rPr>
          <w:rFonts w:ascii="Times New Roman" w:cs="Times New Roman" w:eastAsia="Times New Roman" w:hAnsi="Times New Roman"/>
          <w:sz w:val="19"/>
          <w:szCs w:val="19"/>
          <w:color w:val="231F20"/>
        </w:rPr>
        <w:t>(“</w:t>
      </w:r>
      <w:r>
        <w:rPr>
          <w:rFonts w:ascii="Times New Roman" w:cs="Times New Roman" w:eastAsia="Times New Roman" w:hAnsi="Times New Roman"/>
          <w:sz w:val="19"/>
          <w:szCs w:val="19"/>
          <w:b w:val="1"/>
          <w:bCs w:val="1"/>
          <w:color w:val="231F20"/>
        </w:rPr>
        <w:t>Tenant</w:t>
      </w:r>
      <w:r>
        <w:rPr>
          <w:rFonts w:ascii="Times New Roman" w:cs="Times New Roman" w:eastAsia="Times New Roman" w:hAnsi="Times New Roman"/>
          <w:sz w:val="19"/>
          <w:szCs w:val="19"/>
          <w:color w:val="231F20"/>
        </w:rPr>
        <w:t>”).</w:t>
      </w:r>
    </w:p>
    <w:p>
      <w:pPr>
        <w:spacing w:after="0" w:line="11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b w:val="1"/>
          <w:bCs w:val="1"/>
          <w:color w:val="231F20"/>
        </w:rPr>
        <w:t>RECITALS</w:t>
      </w:r>
    </w:p>
    <w:p>
      <w:pPr>
        <w:spacing w:after="0" w:line="179" w:lineRule="exact"/>
        <w:rPr>
          <w:sz w:val="20"/>
          <w:szCs w:val="20"/>
          <w:color w:val="auto"/>
        </w:rPr>
      </w:pPr>
    </w:p>
    <w:p>
      <w:pPr>
        <w:jc w:val="both"/>
        <w:ind w:left="640" w:right="320" w:hanging="637"/>
        <w:spacing w:after="0" w:line="265" w:lineRule="auto"/>
        <w:tabs>
          <w:tab w:leader="none" w:pos="630" w:val="left"/>
        </w:tabs>
        <w:numPr>
          <w:ilvl w:val="0"/>
          <w:numId w:val="2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Landlord and Tenant are parties to that certain lease dated February 22, 2019 (the “</w:t>
      </w:r>
      <w:r>
        <w:rPr>
          <w:rFonts w:ascii="Times New Roman" w:cs="Times New Roman" w:eastAsia="Times New Roman" w:hAnsi="Times New Roman"/>
          <w:sz w:val="19"/>
          <w:szCs w:val="19"/>
          <w:b w:val="1"/>
          <w:bCs w:val="1"/>
          <w:color w:val="231F20"/>
        </w:rPr>
        <w:t>Original Lease</w:t>
      </w:r>
      <w:r>
        <w:rPr>
          <w:rFonts w:ascii="Times New Roman" w:cs="Times New Roman" w:eastAsia="Times New Roman" w:hAnsi="Times New Roman"/>
          <w:sz w:val="19"/>
          <w:szCs w:val="19"/>
          <w:color w:val="231F20"/>
        </w:rPr>
        <w:t>”), as amended by that certain First Amendment dated February 21, 2020 (the “</w:t>
      </w:r>
      <w:r>
        <w:rPr>
          <w:rFonts w:ascii="Times New Roman" w:cs="Times New Roman" w:eastAsia="Times New Roman" w:hAnsi="Times New Roman"/>
          <w:sz w:val="19"/>
          <w:szCs w:val="19"/>
          <w:b w:val="1"/>
          <w:bCs w:val="1"/>
          <w:color w:val="231F20"/>
        </w:rPr>
        <w:t>First Amendment</w:t>
      </w:r>
      <w:r>
        <w:rPr>
          <w:rFonts w:ascii="Times New Roman" w:cs="Times New Roman" w:eastAsia="Times New Roman" w:hAnsi="Times New Roman"/>
          <w:sz w:val="19"/>
          <w:szCs w:val="19"/>
          <w:color w:val="231F20"/>
        </w:rPr>
        <w:t>” and together with the Original Lease, collectively, the “</w:t>
      </w:r>
      <w:r>
        <w:rPr>
          <w:rFonts w:ascii="Times New Roman" w:cs="Times New Roman" w:eastAsia="Times New Roman" w:hAnsi="Times New Roman"/>
          <w:sz w:val="19"/>
          <w:szCs w:val="19"/>
          <w:b w:val="1"/>
          <w:bCs w:val="1"/>
          <w:color w:val="231F20"/>
        </w:rPr>
        <w:t>Lease</w:t>
      </w:r>
      <w:r>
        <w:rPr>
          <w:rFonts w:ascii="Times New Roman" w:cs="Times New Roman" w:eastAsia="Times New Roman" w:hAnsi="Times New Roman"/>
          <w:sz w:val="19"/>
          <w:szCs w:val="19"/>
          <w:color w:val="231F20"/>
        </w:rPr>
        <w:t xml:space="preserve">”). Pursuant to the Lease, Landlord has leased to Tenant space containing approximately </w:t>
      </w:r>
      <w:r>
        <w:rPr>
          <w:rFonts w:ascii="Times New Roman" w:cs="Times New Roman" w:eastAsia="Times New Roman" w:hAnsi="Times New Roman"/>
          <w:sz w:val="19"/>
          <w:szCs w:val="19"/>
          <w:b w:val="1"/>
          <w:bCs w:val="1"/>
          <w:color w:val="231F20"/>
        </w:rPr>
        <w:t>265,890</w:t>
      </w:r>
      <w:r>
        <w:rPr>
          <w:rFonts w:ascii="Times New Roman" w:cs="Times New Roman" w:eastAsia="Times New Roman" w:hAnsi="Times New Roman"/>
          <w:sz w:val="19"/>
          <w:szCs w:val="19"/>
          <w:color w:val="231F20"/>
        </w:rPr>
        <w:t xml:space="preserve"> rentable square feet (the “</w:t>
      </w:r>
      <w:r>
        <w:rPr>
          <w:rFonts w:ascii="Times New Roman" w:cs="Times New Roman" w:eastAsia="Times New Roman" w:hAnsi="Times New Roman"/>
          <w:sz w:val="19"/>
          <w:szCs w:val="19"/>
          <w:b w:val="1"/>
          <w:bCs w:val="1"/>
          <w:color w:val="231F20"/>
        </w:rPr>
        <w:t>Premises</w:t>
      </w:r>
      <w:r>
        <w:rPr>
          <w:rFonts w:ascii="Times New Roman" w:cs="Times New Roman" w:eastAsia="Times New Roman" w:hAnsi="Times New Roman"/>
          <w:sz w:val="19"/>
          <w:szCs w:val="19"/>
          <w:color w:val="231F20"/>
        </w:rPr>
        <w:t>”) on the ground, second, third, fourth, fifth, sixth, seventh, eighth, ninth, tenth, eleventh and twelfth floor(s) and rooftop terrace of the building located at 633 Folsom Street, San Francisco, California (the “</w:t>
      </w:r>
      <w:r>
        <w:rPr>
          <w:rFonts w:ascii="Times New Roman" w:cs="Times New Roman" w:eastAsia="Times New Roman" w:hAnsi="Times New Roman"/>
          <w:sz w:val="19"/>
          <w:szCs w:val="19"/>
          <w:b w:val="1"/>
          <w:bCs w:val="1"/>
          <w:color w:val="231F20"/>
        </w:rPr>
        <w:t>Building</w:t>
      </w:r>
      <w:r>
        <w:rPr>
          <w:rFonts w:ascii="Times New Roman" w:cs="Times New Roman" w:eastAsia="Times New Roman" w:hAnsi="Times New Roman"/>
          <w:sz w:val="19"/>
          <w:szCs w:val="19"/>
          <w:color w:val="231F20"/>
        </w:rPr>
        <w:t>”).</w:t>
      </w:r>
    </w:p>
    <w:p>
      <w:pPr>
        <w:spacing w:after="0" w:line="109" w:lineRule="exact"/>
        <w:rPr>
          <w:rFonts w:ascii="Times New Roman" w:cs="Times New Roman" w:eastAsia="Times New Roman" w:hAnsi="Times New Roman"/>
          <w:sz w:val="19"/>
          <w:szCs w:val="19"/>
          <w:color w:val="231F20"/>
        </w:rPr>
      </w:pPr>
    </w:p>
    <w:p>
      <w:pPr>
        <w:ind w:left="640" w:hanging="638"/>
        <w:spacing w:after="0"/>
        <w:tabs>
          <w:tab w:leader="none" w:pos="640" w:val="left"/>
        </w:tabs>
        <w:numPr>
          <w:ilvl w:val="0"/>
          <w:numId w:val="2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Tenant and Landlord mutually desire that the Lease be amended on and subject to the following terms and conditions.</w:t>
      </w:r>
    </w:p>
    <w:p>
      <w:pPr>
        <w:spacing w:after="0" w:line="175" w:lineRule="exact"/>
        <w:rPr>
          <w:sz w:val="20"/>
          <w:szCs w:val="20"/>
          <w:color w:val="auto"/>
        </w:rPr>
      </w:pPr>
    </w:p>
    <w:p>
      <w:pPr>
        <w:ind w:right="320" w:firstLine="636"/>
        <w:spacing w:after="0" w:line="304" w:lineRule="auto"/>
        <w:rPr>
          <w:sz w:val="20"/>
          <w:szCs w:val="20"/>
          <w:color w:val="auto"/>
        </w:rPr>
      </w:pPr>
      <w:r>
        <w:rPr>
          <w:rFonts w:ascii="Times New Roman" w:cs="Times New Roman" w:eastAsia="Times New Roman" w:hAnsi="Times New Roman"/>
          <w:sz w:val="19"/>
          <w:szCs w:val="19"/>
          <w:b w:val="1"/>
          <w:bCs w:val="1"/>
          <w:color w:val="231F20"/>
        </w:rPr>
        <w:t xml:space="preserve">NOW, THEREFORE, </w:t>
      </w:r>
      <w:r>
        <w:rPr>
          <w:rFonts w:ascii="Times New Roman" w:cs="Times New Roman" w:eastAsia="Times New Roman" w:hAnsi="Times New Roman"/>
          <w:sz w:val="19"/>
          <w:szCs w:val="19"/>
          <w:color w:val="231F20"/>
        </w:rPr>
        <w:t>in consideration of the mutual covenants and agreements herein contained and other good and valuable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consideration, the receipt and sufficiency of which are hereby acknowledged, Landlord and Tenant agree as follows:</w:t>
      </w:r>
    </w:p>
    <w:p>
      <w:pPr>
        <w:spacing w:after="0" w:line="69" w:lineRule="exact"/>
        <w:rPr>
          <w:sz w:val="20"/>
          <w:szCs w:val="20"/>
          <w:color w:val="auto"/>
        </w:rPr>
      </w:pPr>
    </w:p>
    <w:p>
      <w:pPr>
        <w:ind w:left="640" w:hanging="637"/>
        <w:spacing w:after="0"/>
        <w:tabs>
          <w:tab w:leader="none" w:pos="640" w:val="left"/>
        </w:tabs>
        <w:numPr>
          <w:ilvl w:val="0"/>
          <w:numId w:val="2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b w:val="1"/>
          <w:bCs w:val="1"/>
          <w:u w:val="single" w:color="auto"/>
          <w:color w:val="231F20"/>
        </w:rPr>
        <w:t>Grease Interceptor Room; First Floor Gas Items and Basement Grease Interceptor</w:t>
      </w:r>
      <w:r>
        <w:rPr>
          <w:rFonts w:ascii="Times New Roman" w:cs="Times New Roman" w:eastAsia="Times New Roman" w:hAnsi="Times New Roman"/>
          <w:sz w:val="19"/>
          <w:szCs w:val="19"/>
          <w:b w:val="1"/>
          <w:bCs w:val="1"/>
          <w:color w:val="231F20"/>
        </w:rPr>
        <w:t>.</w:t>
      </w:r>
    </w:p>
    <w:p>
      <w:pPr>
        <w:spacing w:after="0" w:line="183" w:lineRule="exact"/>
        <w:rPr>
          <w:sz w:val="20"/>
          <w:szCs w:val="20"/>
          <w:color w:val="auto"/>
        </w:rPr>
      </w:pPr>
    </w:p>
    <w:p>
      <w:pPr>
        <w:jc w:val="both"/>
        <w:ind w:left="1260" w:right="320" w:hanging="636"/>
        <w:spacing w:after="0" w:line="273" w:lineRule="auto"/>
        <w:tabs>
          <w:tab w:leader="none" w:pos="1240" w:val="left"/>
        </w:tabs>
        <w:rPr>
          <w:sz w:val="20"/>
          <w:szCs w:val="20"/>
          <w:color w:val="auto"/>
        </w:rPr>
      </w:pPr>
      <w:r>
        <w:rPr>
          <w:rFonts w:ascii="Times New Roman" w:cs="Times New Roman" w:eastAsia="Times New Roman" w:hAnsi="Times New Roman"/>
          <w:sz w:val="19"/>
          <w:szCs w:val="19"/>
          <w:color w:val="231F20"/>
        </w:rPr>
        <w:t>1.1</w:t>
      </w:r>
      <w:r>
        <w:rPr>
          <w:sz w:val="20"/>
          <w:szCs w:val="20"/>
          <w:color w:val="auto"/>
        </w:rPr>
        <w:tab/>
      </w:r>
      <w:r>
        <w:rPr>
          <w:rFonts w:ascii="Times New Roman" w:cs="Times New Roman" w:eastAsia="Times New Roman" w:hAnsi="Times New Roman"/>
          <w:sz w:val="19"/>
          <w:szCs w:val="19"/>
          <w:color w:val="231F20"/>
        </w:rPr>
        <w:t>Landlord and Tenant hereby acknowledge and agree that the San Francisco Department of Building Inspection withheld consent to Tenant’s installation of its grease interceptor (the “</w:t>
      </w:r>
      <w:r>
        <w:rPr>
          <w:rFonts w:ascii="Times New Roman" w:cs="Times New Roman" w:eastAsia="Times New Roman" w:hAnsi="Times New Roman"/>
          <w:sz w:val="19"/>
          <w:szCs w:val="19"/>
          <w:b w:val="1"/>
          <w:bCs w:val="1"/>
          <w:color w:val="231F20"/>
        </w:rPr>
        <w:t>Grease Interceptor</w:t>
      </w:r>
      <w:r>
        <w:rPr>
          <w:rFonts w:ascii="Times New Roman" w:cs="Times New Roman" w:eastAsia="Times New Roman" w:hAnsi="Times New Roman"/>
          <w:sz w:val="19"/>
          <w:szCs w:val="19"/>
          <w:color w:val="231F20"/>
        </w:rPr>
        <w:t>”) in the basement level of the Building and, accordingly, Section 1.6 of the First Amendment is hereby deleted and replaced with the following:</w:t>
      </w:r>
    </w:p>
    <w:p>
      <w:pPr>
        <w:spacing w:after="0" w:line="116" w:lineRule="exact"/>
        <w:rPr>
          <w:sz w:val="20"/>
          <w:szCs w:val="20"/>
          <w:color w:val="auto"/>
        </w:rPr>
      </w:pPr>
    </w:p>
    <w:p>
      <w:pPr>
        <w:jc w:val="both"/>
        <w:ind w:left="1920" w:right="940"/>
        <w:spacing w:after="0" w:line="258" w:lineRule="auto"/>
        <w:rPr>
          <w:sz w:val="20"/>
          <w:szCs w:val="20"/>
          <w:color w:val="auto"/>
        </w:rPr>
      </w:pPr>
      <w:r>
        <w:rPr>
          <w:rFonts w:ascii="Times New Roman" w:cs="Times New Roman" w:eastAsia="Times New Roman" w:hAnsi="Times New Roman"/>
          <w:sz w:val="19"/>
          <w:szCs w:val="19"/>
          <w:color w:val="231F20"/>
        </w:rPr>
        <w:t>“Subject to the terms and conditions of this Amendment, as an accommodation to Tenant and until the Fitness Center is closed and no longer open and operating at the Building, and in no event beyond the Term of the Lease, Landlord shall permit Tenant to use, in connection with the Permitted Use related to the Cafeteria (subclauses (i) and (ii) below, collectively, the “</w:t>
      </w:r>
      <w:r>
        <w:rPr>
          <w:rFonts w:ascii="Times New Roman" w:cs="Times New Roman" w:eastAsia="Times New Roman" w:hAnsi="Times New Roman"/>
          <w:sz w:val="19"/>
          <w:szCs w:val="19"/>
          <w:b w:val="1"/>
          <w:bCs w:val="1"/>
          <w:color w:val="231F20"/>
        </w:rPr>
        <w:t>First Floor Gas Items</w:t>
      </w:r>
      <w:r>
        <w:rPr>
          <w:rFonts w:ascii="Times New Roman" w:cs="Times New Roman" w:eastAsia="Times New Roman" w:hAnsi="Times New Roman"/>
          <w:sz w:val="19"/>
          <w:szCs w:val="19"/>
          <w:color w:val="231F20"/>
        </w:rPr>
        <w:t>”): (i) the separate Pacific, Gas &amp; Electric gas line providing gas service for the previously planned retail tenant use on the first floor of the Building, and (ii) the gas supply from such separate Pacific, Gas &amp; Electric gas line described in clause (i). In the event that any work related to any of the First Floor Gas Items delays or otherwise interferes with the planning and/or construction of the Fitness Center (a “</w:t>
      </w:r>
      <w:r>
        <w:rPr>
          <w:rFonts w:ascii="Times New Roman" w:cs="Times New Roman" w:eastAsia="Times New Roman" w:hAnsi="Times New Roman"/>
          <w:sz w:val="19"/>
          <w:szCs w:val="19"/>
          <w:b w:val="1"/>
          <w:bCs w:val="1"/>
          <w:color w:val="231F20"/>
        </w:rPr>
        <w:t>Tenant Fitness</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b w:val="1"/>
          <w:bCs w:val="1"/>
          <w:color w:val="231F20"/>
        </w:rPr>
        <w:t>Center Delay</w:t>
      </w:r>
      <w:r>
        <w:rPr>
          <w:rFonts w:ascii="Times New Roman" w:cs="Times New Roman" w:eastAsia="Times New Roman" w:hAnsi="Times New Roman"/>
          <w:sz w:val="19"/>
          <w:szCs w:val="19"/>
          <w:color w:val="231F20"/>
        </w:rPr>
        <w:t>”), Tenant’s obligation to commence paying the Base Membership Fee shall not be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delayed and Tenant shall commence such payments at the time Tenant’s obligation to make such payments would have commenced but for such delay provided that, within two (2) Business Days of the date Landlord has actual knowledge of a Tenant Fitness Center Delay, Landlord shall notify Tenant of such Tenant Fitness Center Delay (which notification may be written or oral). If Landlord fails to provide such notice to Tenant, the Tenant Fitness Center Delay shall toll until the time Landlord tenders such notice to Tenant.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231F20"/>
        </w:rPr>
        <w:t>1</w:t>
      </w:r>
    </w:p>
    <w:p>
      <w:pPr>
        <w:sectPr>
          <w:pgSz w:w="11900" w:h="16838" w:orient="portrait"/>
          <w:cols w:equalWidth="0" w:num="1">
            <w:col w:w="10920"/>
          </w:cols>
          <w:pgMar w:left="640" w:top="338"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9"/>
          <w:szCs w:val="19"/>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1440" w:right="940"/>
        <w:spacing w:after="0" w:line="264" w:lineRule="auto"/>
        <w:rPr>
          <w:sz w:val="20"/>
          <w:szCs w:val="20"/>
          <w:color w:val="auto"/>
        </w:rPr>
      </w:pPr>
      <w:r>
        <w:rPr>
          <w:rFonts w:ascii="Times New Roman" w:cs="Times New Roman" w:eastAsia="Times New Roman" w:hAnsi="Times New Roman"/>
          <w:sz w:val="19"/>
          <w:szCs w:val="19"/>
          <w:color w:val="231F20"/>
        </w:rPr>
        <w:t>In the event Tenant fails to timely pay to Landlord the Base Membership Fee, Tenant, at its sole cost and expense, shall, within the time periods described herein and following notice from Landlord (“</w:t>
      </w:r>
      <w:r>
        <w:rPr>
          <w:rFonts w:ascii="Times New Roman" w:cs="Times New Roman" w:eastAsia="Times New Roman" w:hAnsi="Times New Roman"/>
          <w:sz w:val="19"/>
          <w:szCs w:val="19"/>
          <w:b w:val="1"/>
          <w:bCs w:val="1"/>
          <w:color w:val="231F20"/>
        </w:rPr>
        <w:t>First Floor Restoration Notice</w:t>
      </w:r>
      <w:r>
        <w:rPr>
          <w:rFonts w:ascii="Times New Roman" w:cs="Times New Roman" w:eastAsia="Times New Roman" w:hAnsi="Times New Roman"/>
          <w:sz w:val="19"/>
          <w:szCs w:val="19"/>
          <w:color w:val="231F20"/>
        </w:rPr>
        <w:t>”), cease using the First Floor Gas Items and obtain directly from the utility provider, at Tenant’s sole cost and expense, sufficient gas for Tenant to conduct its business at the Premises for the Permitted Use (including for the use of the Cafeteria).</w:t>
      </w:r>
    </w:p>
    <w:p>
      <w:pPr>
        <w:spacing w:after="0" w:line="176" w:lineRule="exact"/>
        <w:rPr>
          <w:sz w:val="20"/>
          <w:szCs w:val="20"/>
          <w:color w:val="auto"/>
        </w:rPr>
      </w:pPr>
    </w:p>
    <w:p>
      <w:pPr>
        <w:jc w:val="both"/>
        <w:ind w:left="1440" w:right="940"/>
        <w:spacing w:after="0" w:line="261" w:lineRule="auto"/>
        <w:rPr>
          <w:sz w:val="20"/>
          <w:szCs w:val="20"/>
          <w:color w:val="auto"/>
        </w:rPr>
      </w:pPr>
      <w:r>
        <w:rPr>
          <w:rFonts w:ascii="Times New Roman" w:cs="Times New Roman" w:eastAsia="Times New Roman" w:hAnsi="Times New Roman"/>
          <w:sz w:val="19"/>
          <w:szCs w:val="19"/>
          <w:color w:val="231F20"/>
        </w:rPr>
        <w:t>If Landlord terminates Tenant’s Fitness Member’s right to use the Fitness Center pursuant to Section 1.3 of the First Amendment, Landlord’s termination notice described in Section 1.3 of the First Amendment shall be deemed a “First Floor Restoration Notice” and Tenant shall cease to use the gas line and gas supply as set forth above within thirty (30) days of the date such notice is tendered to Tenant. In any event, on or before the expiration or earlier termination of the Term of the Lease, Tenant shall cease using the gas line and gas supply and remove any equipment, fixtures, or improvements installed at the Building in connection with any of the foregoing and restore the affected portions of the Building to the condition existing prior to the installation, use and removal thereof, normal wear and tear excepted.</w:t>
      </w:r>
    </w:p>
    <w:p>
      <w:pPr>
        <w:spacing w:after="0" w:line="200" w:lineRule="exact"/>
        <w:rPr>
          <w:sz w:val="20"/>
          <w:szCs w:val="20"/>
          <w:color w:val="auto"/>
        </w:rPr>
      </w:pPr>
    </w:p>
    <w:p>
      <w:pPr>
        <w:spacing w:after="0" w:line="245" w:lineRule="exact"/>
        <w:rPr>
          <w:sz w:val="20"/>
          <w:szCs w:val="20"/>
          <w:color w:val="auto"/>
        </w:rPr>
      </w:pPr>
    </w:p>
    <w:p>
      <w:pPr>
        <w:jc w:val="both"/>
        <w:ind w:left="1440" w:right="960"/>
        <w:spacing w:after="0" w:line="264" w:lineRule="auto"/>
        <w:rPr>
          <w:sz w:val="20"/>
          <w:szCs w:val="20"/>
          <w:color w:val="auto"/>
        </w:rPr>
      </w:pPr>
      <w:r>
        <w:rPr>
          <w:rFonts w:ascii="Times New Roman" w:cs="Times New Roman" w:eastAsia="Times New Roman" w:hAnsi="Times New Roman"/>
          <w:sz w:val="19"/>
          <w:szCs w:val="19"/>
          <w:color w:val="231F20"/>
        </w:rPr>
        <w:t>Tenant shall perform all installation and removal work (if applicable) in connection with Tenant’s use of the First Floor Gas Items in compliance with all applicable Laws, in a good and workmanlike manner and otherwise in accordance with the terms and conditions of the Lease. All such work shall be at Tenant’s sole cost and expense.</w:t>
      </w:r>
    </w:p>
    <w:p>
      <w:pPr>
        <w:spacing w:after="0" w:line="205" w:lineRule="exact"/>
        <w:rPr>
          <w:sz w:val="20"/>
          <w:szCs w:val="20"/>
          <w:color w:val="auto"/>
        </w:rPr>
      </w:pPr>
    </w:p>
    <w:p>
      <w:pPr>
        <w:jc w:val="both"/>
        <w:ind w:left="1440" w:right="960"/>
        <w:spacing w:after="0" w:line="300" w:lineRule="auto"/>
        <w:rPr>
          <w:sz w:val="20"/>
          <w:szCs w:val="20"/>
          <w:color w:val="auto"/>
        </w:rPr>
      </w:pPr>
      <w:r>
        <w:rPr>
          <w:rFonts w:ascii="Times New Roman" w:cs="Times New Roman" w:eastAsia="Times New Roman" w:hAnsi="Times New Roman"/>
          <w:sz w:val="19"/>
          <w:szCs w:val="19"/>
          <w:color w:val="231F20"/>
        </w:rPr>
        <w:t>Tenant’s indemnity obligations set forth in the Lease shall apply to Tenant’s use of the First Floor Gas Items.</w:t>
      </w:r>
    </w:p>
    <w:p>
      <w:pPr>
        <w:spacing w:after="0" w:line="143" w:lineRule="exact"/>
        <w:rPr>
          <w:sz w:val="20"/>
          <w:szCs w:val="20"/>
          <w:color w:val="auto"/>
        </w:rPr>
      </w:pPr>
    </w:p>
    <w:p>
      <w:pPr>
        <w:jc w:val="both"/>
        <w:ind w:left="1440" w:right="940"/>
        <w:spacing w:after="0" w:line="260" w:lineRule="auto"/>
        <w:rPr>
          <w:sz w:val="20"/>
          <w:szCs w:val="20"/>
          <w:color w:val="auto"/>
        </w:rPr>
      </w:pPr>
      <w:r>
        <w:rPr>
          <w:rFonts w:ascii="Times New Roman" w:cs="Times New Roman" w:eastAsia="Times New Roman" w:hAnsi="Times New Roman"/>
          <w:sz w:val="19"/>
          <w:szCs w:val="19"/>
          <w:color w:val="231F20"/>
        </w:rPr>
        <w:t>Except as otherwise expressly provided in this Amendment, so long as Tenant complies with Landlord’s rules and regulations applicable to the First Floor Gas Items as well as the terms and conditions of the Lease and this Amendment related thereto, and further so long as Tenant is operating the Cafeteria, (i) in the event the Fitness Center is no longer operational, or (ii) if Tenant fails to exercise its right to extend the term of the Fitness Center Period pursuant to Section 1.5 of the First Amendment, and so long as Landlord does not determine in Landlord’s sole discretion that the replacement tenant(s) for the Fitness Center space may require the use of gas service thereto, Tenant may continue to use the First Floor Gas Items. If Landlord determines in its sole discretion that the replacement tenant(s) may require such gas service, Landlord shall provide written notice to Tenant and no later than one hundred eighty (180) days from the date Landlord tenders such notice to Tenant, Tenant shall cease using the First Floor Gas Items.”</w:t>
      </w:r>
    </w:p>
    <w:p>
      <w:pPr>
        <w:spacing w:after="0" w:line="363" w:lineRule="exact"/>
        <w:rPr>
          <w:sz w:val="20"/>
          <w:szCs w:val="20"/>
          <w:color w:val="auto"/>
        </w:rPr>
      </w:pPr>
    </w:p>
    <w:p>
      <w:pPr>
        <w:jc w:val="both"/>
        <w:ind w:left="540" w:right="320" w:hanging="794"/>
        <w:spacing w:after="0" w:line="273" w:lineRule="auto"/>
        <w:tabs>
          <w:tab w:leader="none" w:pos="520" w:val="left"/>
        </w:tabs>
        <w:rPr>
          <w:sz w:val="20"/>
          <w:szCs w:val="20"/>
          <w:color w:val="auto"/>
        </w:rPr>
      </w:pPr>
      <w:r>
        <w:rPr>
          <w:rFonts w:ascii="Times New Roman" w:cs="Times New Roman" w:eastAsia="Times New Roman" w:hAnsi="Times New Roman"/>
          <w:sz w:val="19"/>
          <w:szCs w:val="19"/>
          <w:color w:val="231F20"/>
        </w:rPr>
        <w:t>1.2</w:t>
        <w:tab/>
        <w:t>Subject to the terms and conditions of the Lease, Tenant’s Grease Interceptor may be installed at a specific location to be approved by Landlord in its reasonable discretion and within the Premises located on the first floor of the Building in accordance with the terms and conditions of the Lease. The parties acknowledge that Landlord has approved</w:t>
      </w:r>
    </w:p>
    <w:p>
      <w:pPr>
        <w:spacing w:after="0" w:line="200" w:lineRule="exact"/>
        <w:rPr>
          <w:sz w:val="20"/>
          <w:szCs w:val="20"/>
          <w:color w:val="auto"/>
        </w:rPr>
      </w:pPr>
    </w:p>
    <w:p>
      <w:pPr>
        <w:spacing w:after="0" w:line="26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9"/>
          <w:szCs w:val="19"/>
          <w:color w:val="231F20"/>
        </w:rPr>
        <w:t>2</w:t>
      </w:r>
    </w:p>
    <w:p>
      <w:pPr>
        <w:sectPr>
          <w:pgSz w:w="11900" w:h="16838" w:orient="portrait"/>
          <w:cols w:equalWidth="0" w:num="1">
            <w:col w:w="10440"/>
          </w:cols>
          <w:pgMar w:left="1120" w:top="338"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9"/>
          <w:szCs w:val="19"/>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231F20"/>
        </w:rPr>
        <w:t>installation of the Grease Interceptor adjacent to Tenant’s food service elevator (in Room 0122B).</w:t>
      </w:r>
    </w:p>
    <w:p>
      <w:pPr>
        <w:spacing w:after="0" w:line="200" w:lineRule="exact"/>
        <w:rPr>
          <w:sz w:val="20"/>
          <w:szCs w:val="20"/>
          <w:color w:val="auto"/>
        </w:rPr>
      </w:pPr>
    </w:p>
    <w:p>
      <w:pPr>
        <w:spacing w:after="0" w:line="280" w:lineRule="exact"/>
        <w:rPr>
          <w:sz w:val="20"/>
          <w:szCs w:val="20"/>
          <w:color w:val="auto"/>
        </w:rPr>
      </w:pPr>
    </w:p>
    <w:p>
      <w:pPr>
        <w:ind w:left="640" w:hanging="636"/>
        <w:spacing w:after="0"/>
        <w:tabs>
          <w:tab w:leader="none" w:pos="640" w:val="left"/>
        </w:tabs>
        <w:numPr>
          <w:ilvl w:val="0"/>
          <w:numId w:val="2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b w:val="1"/>
          <w:bCs w:val="1"/>
          <w:u w:val="single" w:color="auto"/>
          <w:color w:val="231F20"/>
        </w:rPr>
        <w:t>Tenant Refrigeration Rack</w:t>
      </w:r>
      <w:r>
        <w:rPr>
          <w:rFonts w:ascii="Times New Roman" w:cs="Times New Roman" w:eastAsia="Times New Roman" w:hAnsi="Times New Roman"/>
          <w:sz w:val="19"/>
          <w:szCs w:val="19"/>
          <w:b w:val="1"/>
          <w:bCs w:val="1"/>
          <w:color w:val="231F20"/>
        </w:rPr>
        <w:t>.</w:t>
      </w:r>
    </w:p>
    <w:p>
      <w:pPr>
        <w:spacing w:after="0" w:line="183" w:lineRule="exact"/>
        <w:rPr>
          <w:rFonts w:ascii="Times New Roman" w:cs="Times New Roman" w:eastAsia="Times New Roman" w:hAnsi="Times New Roman"/>
          <w:sz w:val="19"/>
          <w:szCs w:val="19"/>
          <w:color w:val="231F20"/>
        </w:rPr>
      </w:pPr>
    </w:p>
    <w:p>
      <w:pPr>
        <w:ind w:left="1260" w:right="320" w:hanging="636"/>
        <w:spacing w:after="0" w:line="259" w:lineRule="auto"/>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2.1Concurrently with Tenant’s construction of the Tenant Improvements at the Building, Tenant, at its sole cost and expense and subject to the terms of the Lease, as amended, shall be permitted to install in the Generator Area (as defined below in Section 3), up to one (1) refrigeration rack (the “</w:t>
      </w:r>
      <w:r>
        <w:rPr>
          <w:rFonts w:ascii="Times New Roman" w:cs="Times New Roman" w:eastAsia="Times New Roman" w:hAnsi="Times New Roman"/>
          <w:sz w:val="19"/>
          <w:szCs w:val="19"/>
          <w:b w:val="1"/>
          <w:bCs w:val="1"/>
          <w:color w:val="231F20"/>
        </w:rPr>
        <w:t>Refrigeration Rack</w:t>
      </w:r>
      <w:r>
        <w:rPr>
          <w:rFonts w:ascii="Times New Roman" w:cs="Times New Roman" w:eastAsia="Times New Roman" w:hAnsi="Times New Roman"/>
          <w:sz w:val="19"/>
          <w:szCs w:val="19"/>
          <w:color w:val="231F20"/>
        </w:rPr>
        <w:t>”) and shall at the time of such installation construct a chain link fence reasonably acceptable to Landlord (the “</w:t>
      </w:r>
      <w:r>
        <w:rPr>
          <w:rFonts w:ascii="Times New Roman" w:cs="Times New Roman" w:eastAsia="Times New Roman" w:hAnsi="Times New Roman"/>
          <w:sz w:val="19"/>
          <w:szCs w:val="19"/>
          <w:b w:val="1"/>
          <w:bCs w:val="1"/>
          <w:color w:val="231F20"/>
        </w:rPr>
        <w:t>Fence</w:t>
      </w:r>
      <w:r>
        <w:rPr>
          <w:rFonts w:ascii="Times New Roman" w:cs="Times New Roman" w:eastAsia="Times New Roman" w:hAnsi="Times New Roman"/>
          <w:sz w:val="19"/>
          <w:szCs w:val="19"/>
          <w:color w:val="231F20"/>
        </w:rPr>
        <w:t xml:space="preserve">”) separating the Refrigeration Rack in the Generator Area. The long end of the Refrigeration Rack shall abut the trash enclosure. The height of the Refrigeration Rack (including any pad height) shall not exceed the height of the concrete masonry unit wall (approximately 12 feet). The Refrigeration Rack and Fence shall be installed at the locations depicted on </w:t>
      </w:r>
      <w:r>
        <w:rPr>
          <w:rFonts w:ascii="Times New Roman" w:cs="Times New Roman" w:eastAsia="Times New Roman" w:hAnsi="Times New Roman"/>
          <w:sz w:val="19"/>
          <w:szCs w:val="19"/>
          <w:b w:val="1"/>
          <w:bCs w:val="1"/>
          <w:color w:val="231F20"/>
        </w:rPr>
        <w:t>Exhibit A-1</w:t>
      </w:r>
      <w:r>
        <w:rPr>
          <w:rFonts w:ascii="Times New Roman" w:cs="Times New Roman" w:eastAsia="Times New Roman" w:hAnsi="Times New Roman"/>
          <w:sz w:val="19"/>
          <w:szCs w:val="19"/>
          <w:color w:val="231F20"/>
        </w:rPr>
        <w:t xml:space="preserve"> attached to this Amendment. Landlord reserves the right, at Landlord’s sole cost and expense, upon reasonable advance notice to Tenant, to relocate over a weekend the Refrigeration Rack as reasonably necessary during the Term to a location reasonably acceptable to Tenant. Any such construction and installation under this Section 3, including, without limitation, access to the Generator Area, shall be scheduled and coordinated with Landlord. In no event shall Tenant access or interfere with any property at or about the Generator Area (including, without limitation, the Building emergency generator) other than the Refrigeration Rack and Fence.</w:t>
      </w:r>
    </w:p>
    <w:p>
      <w:pPr>
        <w:spacing w:after="0" w:line="114" w:lineRule="exact"/>
        <w:rPr>
          <w:rFonts w:ascii="Times New Roman" w:cs="Times New Roman" w:eastAsia="Times New Roman" w:hAnsi="Times New Roman"/>
          <w:sz w:val="19"/>
          <w:szCs w:val="19"/>
          <w:color w:val="231F20"/>
        </w:rPr>
      </w:pPr>
    </w:p>
    <w:p>
      <w:pPr>
        <w:ind w:left="1260" w:right="320" w:hanging="636"/>
        <w:spacing w:after="0" w:line="260" w:lineRule="auto"/>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2.2Tenant shall be solely responsible for obtaining, at Tenant’s sole cost and expense, all permits, licenses and other approvals required by applicable laws for the installation, maintenance, repair and removal of the Fence and the Refrigeration Rack and shall promptly provide a copy of the same to Landlord as a condition to Tenant’s right to install, maintain or remove the Fence and the Refrigeration Rack, as applicable. Tenant shall keep the Refrigeration Rack and the Fence at all times in good working order and repair at Tenant’s sole cost and expense. On or prior to the expiration or earlier termination date of the Lease, and except to the extent otherwise directed in writing from Landlord no later than sixty (60) days prior to the expiration of the Lease, Tenant shall remove the Refrigeration Rack and Fence from the Building and restore the affected portions of the Building to the condition existing prior to the installation thereof. Further, if Landlord so notifies Tenant in writing, Tenant shall also remove the Additional Entry Door (defined below in Section 2.3) and restore the affected portion of the Building to the condition existing prior to the construction thereof. If Tenant fails to remove such items and/or perform any required restoration work, Landlord shall be entitled to do so, at Tenant’s cost (which costs shall be reimbursed to Landlord as rent within five (5) days following written demand).</w:t>
      </w:r>
    </w:p>
    <w:p>
      <w:pPr>
        <w:spacing w:after="0" w:line="101" w:lineRule="exact"/>
        <w:rPr>
          <w:rFonts w:ascii="Times New Roman" w:cs="Times New Roman" w:eastAsia="Times New Roman" w:hAnsi="Times New Roman"/>
          <w:sz w:val="19"/>
          <w:szCs w:val="19"/>
          <w:color w:val="231F20"/>
        </w:rPr>
      </w:pPr>
    </w:p>
    <w:p>
      <w:pPr>
        <w:ind w:left="1260" w:right="300" w:hanging="636"/>
        <w:spacing w:after="0" w:line="221" w:lineRule="auto"/>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auto"/>
        </w:rPr>
        <w:t>2.3</w:t>
      </w:r>
      <w:r>
        <w:rPr>
          <w:rFonts w:ascii="Times New Roman" w:cs="Times New Roman" w:eastAsia="Times New Roman" w:hAnsi="Times New Roman"/>
          <w:sz w:val="19"/>
          <w:szCs w:val="19"/>
          <w:color w:val="231F20"/>
        </w:rPr>
        <w:t>Tenant’s plans and permit application for the Fence and the Refrigeration Rack shall be tendered to Landlord for review and approval prior to submission. At Landlord’s request, Tenant shall construct, at its sole cost and expense, a separate entry door to the Generator Area (the “Additional Entry Door”), which Additional Entry Door shall be used by Tenant to access the Refrigeration Rack. Tenant shall not commence construction of the Additional Entry Door until notified in writing by Landlord and once so notified, shall promptly apply for all required permits and approval for the construction thereof and shall use good faith, commercially reasonable effort to obtain such permits and approvals on a timely basis. Tenant shall commence construction of the Additional Entry Door within a reasonable period following receipt of the required permits and approvals. In the event Landlord requires the construction of the Additional Entry Door, Tenant shall prosecute to completion the construction of the Additional Entry Door diligently and in</w:t>
      </w:r>
    </w:p>
    <w:p>
      <w:pPr>
        <w:spacing w:after="0" w:line="200" w:lineRule="exact"/>
        <w:rPr>
          <w:sz w:val="20"/>
          <w:szCs w:val="20"/>
          <w:color w:val="auto"/>
        </w:rPr>
      </w:pPr>
    </w:p>
    <w:p>
      <w:pPr>
        <w:spacing w:after="0" w:line="26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231F20"/>
        </w:rPr>
        <w:t>3</w:t>
      </w:r>
    </w:p>
    <w:p>
      <w:pPr>
        <w:sectPr>
          <w:pgSz w:w="11900" w:h="16838" w:orient="portrait"/>
          <w:cols w:equalWidth="0" w:num="1">
            <w:col w:w="10920"/>
          </w:cols>
          <w:pgMar w:left="640" w:top="338"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9"/>
          <w:szCs w:val="19"/>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80" w:right="320"/>
        <w:spacing w:after="0" w:line="230" w:lineRule="auto"/>
        <w:rPr>
          <w:sz w:val="20"/>
          <w:szCs w:val="20"/>
          <w:color w:val="auto"/>
        </w:rPr>
      </w:pPr>
      <w:r>
        <w:rPr>
          <w:rFonts w:ascii="Times New Roman" w:cs="Times New Roman" w:eastAsia="Times New Roman" w:hAnsi="Times New Roman"/>
          <w:sz w:val="19"/>
          <w:szCs w:val="19"/>
          <w:color w:val="231F20"/>
        </w:rPr>
        <w:t>good faith. Tenant’s construction of the Additional Entry Door shall comply with the terms and conditions of the Lease, as amended. In the event Tenant fails to obtain the required permits and approvals or otherwise fails to construct the</w:t>
      </w:r>
    </w:p>
    <w:p>
      <w:pPr>
        <w:spacing w:after="0" w:line="1" w:lineRule="exact"/>
        <w:rPr>
          <w:sz w:val="20"/>
          <w:szCs w:val="20"/>
          <w:color w:val="auto"/>
        </w:rPr>
      </w:pPr>
    </w:p>
    <w:p>
      <w:pPr>
        <w:ind w:left="1280" w:right="320"/>
        <w:spacing w:after="0" w:line="211" w:lineRule="auto"/>
        <w:rPr>
          <w:sz w:val="20"/>
          <w:szCs w:val="20"/>
          <w:color w:val="auto"/>
        </w:rPr>
      </w:pPr>
      <w:r>
        <w:rPr>
          <w:rFonts w:ascii="Times New Roman" w:cs="Times New Roman" w:eastAsia="Times New Roman" w:hAnsi="Times New Roman"/>
          <w:sz w:val="19"/>
          <w:szCs w:val="19"/>
          <w:color w:val="231F20"/>
        </w:rPr>
        <w:t>Additional Entry Door within a reasonable time given the then-applicable circumstances, Landlord may provide a written notice to Tenant notifying Tenant of such failure and if Tenant does not promptly commence or re-commence</w:t>
      </w:r>
    </w:p>
    <w:p>
      <w:pPr>
        <w:ind w:left="1280" w:right="320"/>
        <w:spacing w:after="0" w:line="211" w:lineRule="auto"/>
        <w:rPr>
          <w:sz w:val="20"/>
          <w:szCs w:val="20"/>
          <w:color w:val="auto"/>
        </w:rPr>
      </w:pPr>
      <w:r>
        <w:rPr>
          <w:rFonts w:ascii="Times New Roman" w:cs="Times New Roman" w:eastAsia="Times New Roman" w:hAnsi="Times New Roman"/>
          <w:sz w:val="19"/>
          <w:szCs w:val="19"/>
          <w:color w:val="231F20"/>
        </w:rPr>
        <w:t>the process for the planning and construction of the Additional Entry Door (as applicable) within ten (10) business days of Landlord’s delivery of such notice to Tenant, and/or fails to prosecute the same diligently and in good faith to</w:t>
      </w:r>
    </w:p>
    <w:p>
      <w:pPr>
        <w:ind w:left="1280"/>
        <w:spacing w:after="0" w:line="218" w:lineRule="auto"/>
        <w:rPr>
          <w:sz w:val="20"/>
          <w:szCs w:val="20"/>
          <w:color w:val="auto"/>
        </w:rPr>
      </w:pPr>
      <w:r>
        <w:rPr>
          <w:rFonts w:ascii="Times New Roman" w:cs="Times New Roman" w:eastAsia="Times New Roman" w:hAnsi="Times New Roman"/>
          <w:sz w:val="19"/>
          <w:szCs w:val="19"/>
          <w:color w:val="231F20"/>
        </w:rPr>
        <w:t>completion within a reasonable time not to exceed sixty (60) days from the date Tenant obtains the required permits and</w:t>
      </w:r>
    </w:p>
    <w:p>
      <w:pPr>
        <w:ind w:left="1280" w:right="320"/>
        <w:spacing w:after="0" w:line="211" w:lineRule="auto"/>
        <w:rPr>
          <w:sz w:val="20"/>
          <w:szCs w:val="20"/>
          <w:color w:val="auto"/>
        </w:rPr>
      </w:pPr>
      <w:r>
        <w:rPr>
          <w:rFonts w:ascii="Times New Roman" w:cs="Times New Roman" w:eastAsia="Times New Roman" w:hAnsi="Times New Roman"/>
          <w:sz w:val="19"/>
          <w:szCs w:val="19"/>
          <w:color w:val="231F20"/>
        </w:rPr>
        <w:t>approvals, the Landlord may complete such Additional Entry Door construction at Tenant’s sole cost and expense and Tenant shall reimburse Landlord the reasonable, out of pocket costs and expenses incurred by Landlord in performing</w:t>
      </w:r>
    </w:p>
    <w:p>
      <w:pPr>
        <w:ind w:left="1280"/>
        <w:spacing w:after="0" w:line="218" w:lineRule="auto"/>
        <w:rPr>
          <w:sz w:val="20"/>
          <w:szCs w:val="20"/>
          <w:color w:val="auto"/>
        </w:rPr>
      </w:pPr>
      <w:r>
        <w:rPr>
          <w:rFonts w:ascii="Times New Roman" w:cs="Times New Roman" w:eastAsia="Times New Roman" w:hAnsi="Times New Roman"/>
          <w:sz w:val="19"/>
          <w:szCs w:val="19"/>
          <w:color w:val="231F20"/>
        </w:rPr>
        <w:t>such work, plus a ten percent (10%) administrative fee, which amounts Tenant shall tender to Landlord within ten (10)</w:t>
      </w:r>
    </w:p>
    <w:p>
      <w:pPr>
        <w:ind w:left="1280" w:right="320"/>
        <w:spacing w:after="0" w:line="228" w:lineRule="auto"/>
        <w:rPr>
          <w:sz w:val="20"/>
          <w:szCs w:val="20"/>
          <w:color w:val="auto"/>
        </w:rPr>
      </w:pPr>
      <w:r>
        <w:rPr>
          <w:rFonts w:ascii="Times New Roman" w:cs="Times New Roman" w:eastAsia="Times New Roman" w:hAnsi="Times New Roman"/>
          <w:sz w:val="19"/>
          <w:szCs w:val="19"/>
          <w:color w:val="231F20"/>
        </w:rPr>
        <w:t>business days of written demand therefor (which demand shall include reasonable documented evidence of such actual costs and expenses).</w:t>
      </w:r>
    </w:p>
    <w:p>
      <w:pPr>
        <w:spacing w:after="0" w:line="119" w:lineRule="exact"/>
        <w:rPr>
          <w:sz w:val="20"/>
          <w:szCs w:val="20"/>
          <w:color w:val="auto"/>
        </w:rPr>
      </w:pPr>
    </w:p>
    <w:p>
      <w:pPr>
        <w:jc w:val="both"/>
        <w:ind w:left="1260" w:right="320" w:hanging="636"/>
        <w:spacing w:after="0" w:line="260" w:lineRule="auto"/>
        <w:tabs>
          <w:tab w:leader="none" w:pos="1240" w:val="left"/>
        </w:tabs>
        <w:rPr>
          <w:sz w:val="20"/>
          <w:szCs w:val="20"/>
          <w:color w:val="auto"/>
        </w:rPr>
      </w:pPr>
      <w:r>
        <w:rPr>
          <w:rFonts w:ascii="Times New Roman" w:cs="Times New Roman" w:eastAsia="Times New Roman" w:hAnsi="Times New Roman"/>
          <w:sz w:val="19"/>
          <w:szCs w:val="19"/>
          <w:color w:val="231F20"/>
        </w:rPr>
        <w:t>2.4</w:t>
      </w:r>
      <w:r>
        <w:rPr>
          <w:sz w:val="20"/>
          <w:szCs w:val="20"/>
          <w:color w:val="auto"/>
        </w:rPr>
        <w:tab/>
      </w:r>
      <w:r>
        <w:rPr>
          <w:rFonts w:ascii="Times New Roman" w:cs="Times New Roman" w:eastAsia="Times New Roman" w:hAnsi="Times New Roman"/>
          <w:sz w:val="19"/>
          <w:szCs w:val="19"/>
          <w:color w:val="231F20"/>
        </w:rPr>
        <w:t>Tenant shall be directly responsible for the cost of all electricity consumed in connection with the Refrigeration Rack and for the cost and performance of installing a sub-meter to measure such electrical consumption if required by Landlord. Neither Landlord nor any Landlord Parties shall be liable to Tenant for any stoppages or shortages of electrical power furnished to the Refrigeration Rack because of any act, omission or requirement of the public utility serving the Building, or the act or omission of any other party or their respective agents, employees or contractors, or for any other cause beyond the reasonable control of Landlord, and Tenant shall not be entitled to any rental abatement for any such stoppage or shortage of electrical power. Neither Landlord nor its agents shall have any responsibility or liability for the conduct or safety of any of Tenant's representatives, repair, maintenance and engineering personnel while in or on any part of the Building or the Generator Area. If for any reason, the use of the Refrigeration Rack and/or any appurtenances shall result in an increase in the amount of the premiums for any of Landlord’s insurance coverage, then Tenant shall be liable for the full amount of any such increase. Landlord shall not be liable for any theft or damage to the Refrigeration Rack, it being understood that Tenant shall use the Generator Area at its own risk.</w:t>
      </w:r>
    </w:p>
    <w:p>
      <w:pPr>
        <w:spacing w:after="0" w:line="115" w:lineRule="exact"/>
        <w:rPr>
          <w:sz w:val="20"/>
          <w:szCs w:val="20"/>
          <w:color w:val="auto"/>
        </w:rPr>
      </w:pPr>
    </w:p>
    <w:p>
      <w:pPr>
        <w:jc w:val="both"/>
        <w:ind w:left="1260" w:right="320" w:hanging="636"/>
        <w:spacing w:after="0" w:line="269" w:lineRule="auto"/>
        <w:tabs>
          <w:tab w:leader="none" w:pos="1240" w:val="left"/>
        </w:tabs>
        <w:rPr>
          <w:sz w:val="20"/>
          <w:szCs w:val="20"/>
          <w:color w:val="auto"/>
        </w:rPr>
      </w:pPr>
      <w:r>
        <w:rPr>
          <w:rFonts w:ascii="Times New Roman" w:cs="Times New Roman" w:eastAsia="Times New Roman" w:hAnsi="Times New Roman"/>
          <w:sz w:val="19"/>
          <w:szCs w:val="19"/>
          <w:color w:val="231F20"/>
        </w:rPr>
        <w:t>2.5</w:t>
      </w:r>
      <w:r>
        <w:rPr>
          <w:sz w:val="20"/>
          <w:szCs w:val="20"/>
          <w:color w:val="auto"/>
        </w:rPr>
        <w:tab/>
      </w:r>
      <w:r>
        <w:rPr>
          <w:rFonts w:ascii="Times New Roman" w:cs="Times New Roman" w:eastAsia="Times New Roman" w:hAnsi="Times New Roman"/>
          <w:sz w:val="19"/>
          <w:szCs w:val="19"/>
          <w:color w:val="231F20"/>
        </w:rPr>
        <w:t>Tenant shall insure the Refrigeration Rack in the same manner and at the same coverage amounts that Tenant insures its personal property at the Premises. Tenant’s indemnity obligation set forth in the Lease shall apply to Tenant’s construction and installation at Generator Area as well as to Tenant’s access to and use of (including repair, maintenance and removal activities) Generator Area.</w:t>
      </w:r>
    </w:p>
    <w:p>
      <w:pPr>
        <w:spacing w:after="0" w:line="116" w:lineRule="exact"/>
        <w:rPr>
          <w:sz w:val="20"/>
          <w:szCs w:val="20"/>
          <w:color w:val="auto"/>
        </w:rPr>
      </w:pPr>
    </w:p>
    <w:p>
      <w:pPr>
        <w:jc w:val="both"/>
        <w:ind w:left="640" w:right="300" w:hanging="637"/>
        <w:spacing w:after="0" w:line="262" w:lineRule="auto"/>
        <w:tabs>
          <w:tab w:leader="none" w:pos="640" w:val="left"/>
        </w:tabs>
        <w:numPr>
          <w:ilvl w:val="0"/>
          <w:numId w:val="2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b w:val="1"/>
          <w:bCs w:val="1"/>
          <w:u w:val="single" w:color="auto"/>
          <w:color w:val="231F20"/>
        </w:rPr>
        <w:t>Generator</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Upon the full execution and delivery of this Amendment, Landlord, in consideration of the sum of $1.00 and other</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 xml:space="preserve">valuable consideration, shall execute and deliver to Tenant a bill of sale in the form attached hereto as </w:t>
      </w:r>
      <w:r>
        <w:rPr>
          <w:rFonts w:ascii="Times New Roman" w:cs="Times New Roman" w:eastAsia="Times New Roman" w:hAnsi="Times New Roman"/>
          <w:sz w:val="19"/>
          <w:szCs w:val="19"/>
          <w:b w:val="1"/>
          <w:bCs w:val="1"/>
          <w:color w:val="231F20"/>
        </w:rPr>
        <w:t>Exhibit B</w:t>
      </w:r>
      <w:r>
        <w:rPr>
          <w:rFonts w:ascii="Times New Roman" w:cs="Times New Roman" w:eastAsia="Times New Roman" w:hAnsi="Times New Roman"/>
          <w:sz w:val="19"/>
          <w:szCs w:val="19"/>
          <w:color w:val="231F20"/>
        </w:rPr>
        <w:t xml:space="preserve"> to transfer, sell and convey without representation or warranty (other than it owns the same free and clear of any liens) an existing Kohler 200 KW supplemental generator (the “</w:t>
      </w:r>
      <w:r>
        <w:rPr>
          <w:rFonts w:ascii="Times New Roman" w:cs="Times New Roman" w:eastAsia="Times New Roman" w:hAnsi="Times New Roman"/>
          <w:sz w:val="19"/>
          <w:szCs w:val="19"/>
          <w:b w:val="1"/>
          <w:bCs w:val="1"/>
          <w:color w:val="231F20"/>
        </w:rPr>
        <w:t>Generator</w:t>
      </w:r>
      <w:r>
        <w:rPr>
          <w:rFonts w:ascii="Times New Roman" w:cs="Times New Roman" w:eastAsia="Times New Roman" w:hAnsi="Times New Roman"/>
          <w:sz w:val="19"/>
          <w:szCs w:val="19"/>
          <w:color w:val="231F20"/>
        </w:rPr>
        <w:t>”) and associated above ground fuel tank (the “</w:t>
      </w:r>
      <w:r>
        <w:rPr>
          <w:rFonts w:ascii="Times New Roman" w:cs="Times New Roman" w:eastAsia="Times New Roman" w:hAnsi="Times New Roman"/>
          <w:sz w:val="19"/>
          <w:szCs w:val="19"/>
          <w:b w:val="1"/>
          <w:bCs w:val="1"/>
          <w:color w:val="231F20"/>
        </w:rPr>
        <w:t>Tank</w:t>
      </w:r>
      <w:r>
        <w:rPr>
          <w:rFonts w:ascii="Times New Roman" w:cs="Times New Roman" w:eastAsia="Times New Roman" w:hAnsi="Times New Roman"/>
          <w:sz w:val="19"/>
          <w:szCs w:val="19"/>
          <w:color w:val="231F20"/>
        </w:rPr>
        <w:t xml:space="preserve">”) located on Level 1 at the eastern edge of the Building as more particularly shown on </w:t>
      </w:r>
      <w:r>
        <w:rPr>
          <w:rFonts w:ascii="Times New Roman" w:cs="Times New Roman" w:eastAsia="Times New Roman" w:hAnsi="Times New Roman"/>
          <w:sz w:val="19"/>
          <w:szCs w:val="19"/>
          <w:b w:val="1"/>
          <w:bCs w:val="1"/>
          <w:color w:val="231F20"/>
        </w:rPr>
        <w:t>Exhibit A-2</w:t>
      </w:r>
      <w:r>
        <w:rPr>
          <w:rFonts w:ascii="Times New Roman" w:cs="Times New Roman" w:eastAsia="Times New Roman" w:hAnsi="Times New Roman"/>
          <w:sz w:val="19"/>
          <w:szCs w:val="19"/>
          <w:color w:val="231F20"/>
        </w:rPr>
        <w:t xml:space="preserve"> attached hereto (the “</w:t>
      </w:r>
      <w:r>
        <w:rPr>
          <w:rFonts w:ascii="Times New Roman" w:cs="Times New Roman" w:eastAsia="Times New Roman" w:hAnsi="Times New Roman"/>
          <w:sz w:val="19"/>
          <w:szCs w:val="19"/>
          <w:b w:val="1"/>
          <w:bCs w:val="1"/>
          <w:color w:val="231F20"/>
        </w:rPr>
        <w:t>Generator Area</w:t>
      </w:r>
      <w:r>
        <w:rPr>
          <w:rFonts w:ascii="Times New Roman" w:cs="Times New Roman" w:eastAsia="Times New Roman" w:hAnsi="Times New Roman"/>
          <w:sz w:val="19"/>
          <w:szCs w:val="19"/>
          <w:color w:val="231F20"/>
        </w:rPr>
        <w:t>”) and an assignment of Landlord’s permit to operate the same (to the extent assignable). Tenant shall have the right to use the Generator and Tank to provide backup additional electrical capacity to the Premises during the Term, subject to the following terms and conditions:</w:t>
      </w:r>
    </w:p>
    <w:p>
      <w:pPr>
        <w:spacing w:after="0" w:line="335" w:lineRule="exact"/>
        <w:rPr>
          <w:rFonts w:ascii="Times New Roman" w:cs="Times New Roman" w:eastAsia="Times New Roman" w:hAnsi="Times New Roman"/>
          <w:sz w:val="19"/>
          <w:szCs w:val="19"/>
          <w:color w:val="231F20"/>
        </w:rPr>
      </w:pPr>
    </w:p>
    <w:p>
      <w:pPr>
        <w:ind w:left="1260" w:right="300" w:hanging="636"/>
        <w:spacing w:after="0" w:line="238" w:lineRule="auto"/>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auto"/>
        </w:rPr>
        <w:t>3.1</w:t>
      </w:r>
      <w:r>
        <w:rPr>
          <w:rFonts w:ascii="Times New Roman" w:cs="Times New Roman" w:eastAsia="Times New Roman" w:hAnsi="Times New Roman"/>
          <w:sz w:val="19"/>
          <w:szCs w:val="19"/>
          <w:color w:val="231F20"/>
        </w:rPr>
        <w:t>Tenant acknowledges that the Generator was installed by a prior owner of the Building and that Landlord makes no representation or warranty as to the fitness of the Generator for Tenant’s proposed use thereof, or the condition of the Generator or the compliance thereof with applicable laws. Tenant acknowledges that Tenant shall use the Generator at</w:t>
      </w:r>
    </w:p>
    <w:p>
      <w:pPr>
        <w:spacing w:after="0" w:line="200" w:lineRule="exact"/>
        <w:rPr>
          <w:sz w:val="20"/>
          <w:szCs w:val="20"/>
          <w:color w:val="auto"/>
        </w:rPr>
      </w:pPr>
    </w:p>
    <w:p>
      <w:pPr>
        <w:spacing w:after="0" w:line="26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231F20"/>
        </w:rPr>
        <w:t>4</w:t>
      </w:r>
    </w:p>
    <w:p>
      <w:pPr>
        <w:sectPr>
          <w:pgSz w:w="11900" w:h="16838" w:orient="portrait"/>
          <w:cols w:equalWidth="0" w:num="1">
            <w:col w:w="10920"/>
          </w:cols>
          <w:pgMar w:left="640" w:top="338"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9"/>
          <w:szCs w:val="19"/>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231F20"/>
        </w:rPr>
        <w:t>Tenant’s sole risk and that Landlord shall have no liability to Tenant in connection therewith.</w:t>
      </w:r>
    </w:p>
    <w:p>
      <w:pPr>
        <w:spacing w:after="0" w:line="200" w:lineRule="exact"/>
        <w:rPr>
          <w:sz w:val="20"/>
          <w:szCs w:val="20"/>
          <w:color w:val="auto"/>
        </w:rPr>
      </w:pPr>
    </w:p>
    <w:p>
      <w:pPr>
        <w:spacing w:after="0" w:line="257" w:lineRule="exact"/>
        <w:rPr>
          <w:sz w:val="20"/>
          <w:szCs w:val="20"/>
          <w:color w:val="auto"/>
        </w:rPr>
      </w:pPr>
    </w:p>
    <w:p>
      <w:pPr>
        <w:jc w:val="both"/>
        <w:ind w:left="640" w:right="320"/>
        <w:spacing w:after="0" w:line="263" w:lineRule="auto"/>
        <w:rPr>
          <w:sz w:val="20"/>
          <w:szCs w:val="20"/>
          <w:color w:val="auto"/>
        </w:rPr>
      </w:pPr>
      <w:r>
        <w:rPr>
          <w:rFonts w:ascii="Times New Roman" w:cs="Times New Roman" w:eastAsia="Times New Roman" w:hAnsi="Times New Roman"/>
          <w:sz w:val="19"/>
          <w:szCs w:val="19"/>
          <w:color w:val="231F20"/>
        </w:rPr>
        <w:t>TENANT ACKNOWLEDGES AND AGREES THAT, TO THE FULLEST EXTENT PERMITTED BY LAW, LANDLORD SHALL NOT BE RESPONSIBLE FOR ANY LOSS OR DAMAGE TO TENANT OR TENANT'S PROPERTY ARISING FROM OR RELATED TO TENANT'S USE OF THE GENERATOR AND/OR THE TANK OR EXERCISE OF ANY RIGHTS UNDER THIS SECTION 3.1, EXCEPT TO THE EXTENT SUCH LOSS OR DAMAGE RESULTS FROM THE GROSS NEGLIGENCE OR WILLFUL MISCONDUCT OF LANDLORD, ITS AGENTS, EMPLOYEES OR PROPERTY MANAGER.</w:t>
      </w:r>
    </w:p>
    <w:p>
      <w:pPr>
        <w:spacing w:after="0" w:line="127" w:lineRule="exact"/>
        <w:rPr>
          <w:sz w:val="20"/>
          <w:szCs w:val="20"/>
          <w:color w:val="auto"/>
        </w:rPr>
      </w:pPr>
    </w:p>
    <w:p>
      <w:pPr>
        <w:jc w:val="both"/>
        <w:ind w:left="620" w:right="320" w:hanging="636"/>
        <w:spacing w:after="0" w:line="258" w:lineRule="auto"/>
        <w:tabs>
          <w:tab w:leader="none" w:pos="600" w:val="left"/>
        </w:tabs>
        <w:rPr>
          <w:sz w:val="20"/>
          <w:szCs w:val="20"/>
          <w:color w:val="auto"/>
        </w:rPr>
      </w:pPr>
      <w:r>
        <w:rPr>
          <w:rFonts w:ascii="Times New Roman" w:cs="Times New Roman" w:eastAsia="Times New Roman" w:hAnsi="Times New Roman"/>
          <w:sz w:val="19"/>
          <w:szCs w:val="19"/>
          <w:color w:val="231F20"/>
        </w:rPr>
        <w:t>3.2</w:t>
      </w:r>
      <w:r>
        <w:rPr>
          <w:sz w:val="20"/>
          <w:szCs w:val="20"/>
          <w:color w:val="auto"/>
        </w:rPr>
        <w:tab/>
      </w:r>
      <w:r>
        <w:rPr>
          <w:rFonts w:ascii="Times New Roman" w:cs="Times New Roman" w:eastAsia="Times New Roman" w:hAnsi="Times New Roman"/>
          <w:sz w:val="19"/>
          <w:szCs w:val="19"/>
          <w:color w:val="231F20"/>
        </w:rPr>
        <w:t>Tenant's right to use the Generator shall be subject to Landlord's reasonable approval of the manner in which any new or additional cables are run to and from the Generator to the Premises and the measures that will be taken to eliminate any unusual or unreasonable vibrations or sound disturbances from the operation of the Generator (as the same is reasonably determined by Landlord in its good faith, prudent business judgement), which may include, without limitation, any necessary 2 hour rated enclosures or sound installation, as reasonably required by Landlord. If Landlord or Tenant determines that the Generator installation was defective, prior to any use of the Generator, Tenant shall cure the defects at Tenant’s sole cost. Tenant shall be solely responsible for obtaining all necessary governmental and regulatory approvals and for the cost of operating, maintaining and removing the Generator and Tank. Tenant shall not operate the Generator or Tank until Tenant has obtained and submitted to Landlord copies of all required governmental and quasi-governmental permits, licenses and authorizations, which approvals are necessary for the operation of the Generator and Tank (including any paperwork necessary to transfer any current permits from Landlord to Tenant). In addition to, and without limiting Tenant’s obligations under the Lease, Tenant shall comply with all applicable environmental and fire prevention laws pertaining to Tenant’s use of the Generator. Tenant shall also be responsible for the cost of all utilities consumed in the operation of the Generators and Tanks.</w:t>
      </w:r>
    </w:p>
    <w:p>
      <w:pPr>
        <w:spacing w:after="0" w:line="117" w:lineRule="exact"/>
        <w:rPr>
          <w:sz w:val="20"/>
          <w:szCs w:val="20"/>
          <w:color w:val="auto"/>
        </w:rPr>
      </w:pPr>
    </w:p>
    <w:p>
      <w:pPr>
        <w:jc w:val="both"/>
        <w:ind w:left="620" w:right="320" w:hanging="636"/>
        <w:spacing w:after="0" w:line="223" w:lineRule="auto"/>
        <w:tabs>
          <w:tab w:leader="none" w:pos="600" w:val="left"/>
        </w:tabs>
        <w:rPr>
          <w:sz w:val="20"/>
          <w:szCs w:val="20"/>
          <w:color w:val="auto"/>
        </w:rPr>
      </w:pPr>
      <w:r>
        <w:rPr>
          <w:rFonts w:ascii="Times New Roman" w:cs="Times New Roman" w:eastAsia="Times New Roman" w:hAnsi="Times New Roman"/>
          <w:sz w:val="19"/>
          <w:szCs w:val="19"/>
          <w:color w:val="auto"/>
        </w:rPr>
        <w:t>3.3</w:t>
      </w:r>
      <w:r>
        <w:rPr>
          <w:sz w:val="20"/>
          <w:szCs w:val="20"/>
          <w:color w:val="auto"/>
        </w:rPr>
        <w:tab/>
      </w:r>
      <w:r>
        <w:rPr>
          <w:rFonts w:ascii="Times New Roman" w:cs="Times New Roman" w:eastAsia="Times New Roman" w:hAnsi="Times New Roman"/>
          <w:sz w:val="19"/>
          <w:szCs w:val="19"/>
          <w:color w:val="231F20"/>
        </w:rPr>
        <w:t>Tenant shall be responsible for assuring that the operation, cleanliness, maintenance and removal of the Generator and the Tank and the appurtenances shall in no way damage any portion of the Building. To the maximum extent permitted</w:t>
      </w:r>
    </w:p>
    <w:p>
      <w:pPr>
        <w:ind w:left="640"/>
        <w:spacing w:after="0" w:line="218" w:lineRule="auto"/>
        <w:rPr>
          <w:sz w:val="20"/>
          <w:szCs w:val="20"/>
          <w:color w:val="auto"/>
        </w:rPr>
      </w:pPr>
      <w:r>
        <w:rPr>
          <w:rFonts w:ascii="Times New Roman" w:cs="Times New Roman" w:eastAsia="Times New Roman" w:hAnsi="Times New Roman"/>
          <w:sz w:val="19"/>
          <w:szCs w:val="19"/>
          <w:color w:val="231F20"/>
        </w:rPr>
        <w:t>by law, the Generator and the Tank and all appurtenances thereto shall be at the sole risk of Tenant, and Landlord shall</w:t>
      </w:r>
    </w:p>
    <w:p>
      <w:pPr>
        <w:spacing w:after="0" w:line="1" w:lineRule="exact"/>
        <w:rPr>
          <w:sz w:val="20"/>
          <w:szCs w:val="20"/>
          <w:color w:val="auto"/>
        </w:rPr>
      </w:pPr>
    </w:p>
    <w:p>
      <w:pPr>
        <w:ind w:left="640" w:right="320"/>
        <w:spacing w:after="0" w:line="211" w:lineRule="auto"/>
        <w:rPr>
          <w:sz w:val="20"/>
          <w:szCs w:val="20"/>
          <w:color w:val="auto"/>
        </w:rPr>
      </w:pPr>
      <w:r>
        <w:rPr>
          <w:rFonts w:ascii="Times New Roman" w:cs="Times New Roman" w:eastAsia="Times New Roman" w:hAnsi="Times New Roman"/>
          <w:sz w:val="19"/>
          <w:szCs w:val="19"/>
          <w:color w:val="231F20"/>
        </w:rPr>
        <w:t>have no liability to Tenant if the Generator, the Tank or any appurtenances are damaged for any reason. Tenant agrees to be responsible for any damage caused to the Building in connection with the maintenance or operation of the Generator</w:t>
      </w:r>
    </w:p>
    <w:p>
      <w:pPr>
        <w:ind w:left="640"/>
        <w:spacing w:after="0" w:line="218" w:lineRule="auto"/>
        <w:rPr>
          <w:sz w:val="20"/>
          <w:szCs w:val="20"/>
          <w:color w:val="auto"/>
        </w:rPr>
      </w:pPr>
      <w:r>
        <w:rPr>
          <w:rFonts w:ascii="Times New Roman" w:cs="Times New Roman" w:eastAsia="Times New Roman" w:hAnsi="Times New Roman"/>
          <w:sz w:val="19"/>
          <w:szCs w:val="19"/>
          <w:color w:val="231F20"/>
        </w:rPr>
        <w:t>and, in accordance with the terms of Article 11 of the Lease, except to the extent such loss or damage results from the</w:t>
      </w:r>
    </w:p>
    <w:p>
      <w:pPr>
        <w:ind w:left="640" w:right="320"/>
        <w:spacing w:after="0" w:line="211" w:lineRule="auto"/>
        <w:rPr>
          <w:sz w:val="20"/>
          <w:szCs w:val="20"/>
          <w:color w:val="auto"/>
        </w:rPr>
      </w:pPr>
      <w:r>
        <w:rPr>
          <w:rFonts w:ascii="Times New Roman" w:cs="Times New Roman" w:eastAsia="Times New Roman" w:hAnsi="Times New Roman"/>
          <w:sz w:val="19"/>
          <w:szCs w:val="19"/>
          <w:color w:val="231F20"/>
        </w:rPr>
        <w:t>negligence or willful misconduct of Landlord or any of the Landlord Parties, to indemnify, defend and hold Landlord and the Landlord Parties harmless from all liabilities, obligations, damages, penalties, claims, costs, charges and</w:t>
      </w:r>
    </w:p>
    <w:p>
      <w:pPr>
        <w:ind w:left="640"/>
        <w:spacing w:after="0" w:line="218" w:lineRule="auto"/>
        <w:rPr>
          <w:sz w:val="20"/>
          <w:szCs w:val="20"/>
          <w:color w:val="auto"/>
        </w:rPr>
      </w:pPr>
      <w:r>
        <w:rPr>
          <w:rFonts w:ascii="Times New Roman" w:cs="Times New Roman" w:eastAsia="Times New Roman" w:hAnsi="Times New Roman"/>
          <w:sz w:val="19"/>
          <w:szCs w:val="19"/>
          <w:color w:val="231F20"/>
        </w:rPr>
        <w:t>expenses, including, without limitation, reasonable architects' and attorneys' fees (if and to the extent permitted by law),</w:t>
      </w:r>
    </w:p>
    <w:p>
      <w:pPr>
        <w:jc w:val="both"/>
        <w:ind w:left="640" w:right="320"/>
        <w:spacing w:after="0" w:line="211" w:lineRule="auto"/>
        <w:rPr>
          <w:sz w:val="20"/>
          <w:szCs w:val="20"/>
          <w:color w:val="auto"/>
        </w:rPr>
      </w:pPr>
      <w:r>
        <w:rPr>
          <w:rFonts w:ascii="Times New Roman" w:cs="Times New Roman" w:eastAsia="Times New Roman" w:hAnsi="Times New Roman"/>
          <w:sz w:val="19"/>
          <w:szCs w:val="19"/>
          <w:color w:val="231F20"/>
        </w:rPr>
        <w:t>which may be imposed upon, incurred by, or asserted against Landlord or any of the Landlord Parties in connection with the maintenance or operation by Tenant or Tenant’s agents or contractors of the Generator and the Tank, including,</w:t>
      </w:r>
    </w:p>
    <w:p>
      <w:pPr>
        <w:ind w:left="640"/>
        <w:spacing w:after="0" w:line="218" w:lineRule="auto"/>
        <w:rPr>
          <w:sz w:val="20"/>
          <w:szCs w:val="20"/>
          <w:color w:val="auto"/>
        </w:rPr>
      </w:pPr>
      <w:r>
        <w:rPr>
          <w:rFonts w:ascii="Times New Roman" w:cs="Times New Roman" w:eastAsia="Times New Roman" w:hAnsi="Times New Roman"/>
          <w:sz w:val="19"/>
          <w:szCs w:val="19"/>
          <w:color w:val="231F20"/>
        </w:rPr>
        <w:t>without limitation, any environmental and hazardous materials claims. Tenant shall at all times insure the Generator in</w:t>
      </w:r>
    </w:p>
    <w:p>
      <w:pPr>
        <w:ind w:left="640" w:right="320"/>
        <w:spacing w:after="0" w:line="211" w:lineRule="auto"/>
        <w:rPr>
          <w:sz w:val="20"/>
          <w:szCs w:val="20"/>
          <w:color w:val="auto"/>
        </w:rPr>
      </w:pPr>
      <w:r>
        <w:rPr>
          <w:rFonts w:ascii="Times New Roman" w:cs="Times New Roman" w:eastAsia="Times New Roman" w:hAnsi="Times New Roman"/>
          <w:sz w:val="19"/>
          <w:szCs w:val="19"/>
          <w:color w:val="231F20"/>
        </w:rPr>
        <w:t>the same manner it insures its personal property under the Lease. In addition to, and without limiting Tenant’s obligations under the Lease, Tenant covenants and agrees that the use of the Generator and the Tank and appurtenances</w:t>
      </w:r>
    </w:p>
    <w:p>
      <w:pPr>
        <w:ind w:left="640"/>
        <w:spacing w:after="0" w:line="218" w:lineRule="auto"/>
        <w:rPr>
          <w:sz w:val="20"/>
          <w:szCs w:val="20"/>
          <w:color w:val="auto"/>
        </w:rPr>
      </w:pPr>
      <w:r>
        <w:rPr>
          <w:rFonts w:ascii="Times New Roman" w:cs="Times New Roman" w:eastAsia="Times New Roman" w:hAnsi="Times New Roman"/>
          <w:sz w:val="19"/>
          <w:szCs w:val="19"/>
          <w:color w:val="231F20"/>
        </w:rPr>
        <w:t>shall not adversely affect the insurance coverage for the Building (or if there is an increase in the cost of any such</w:t>
      </w:r>
    </w:p>
    <w:p>
      <w:pPr>
        <w:ind w:left="640" w:right="320"/>
        <w:spacing w:after="0" w:line="228" w:lineRule="auto"/>
        <w:rPr>
          <w:sz w:val="20"/>
          <w:szCs w:val="20"/>
          <w:color w:val="auto"/>
        </w:rPr>
      </w:pPr>
      <w:r>
        <w:rPr>
          <w:rFonts w:ascii="Times New Roman" w:cs="Times New Roman" w:eastAsia="Times New Roman" w:hAnsi="Times New Roman"/>
          <w:sz w:val="19"/>
          <w:szCs w:val="19"/>
          <w:color w:val="231F20"/>
        </w:rPr>
        <w:t>insurance, Tenant shall be solely liable for the same). If for any reason, the use of the Generator, the Tank and/or the appurtenances shall result in an increase in the amount of</w:t>
      </w:r>
    </w:p>
    <w:p>
      <w:pPr>
        <w:spacing w:after="0" w:line="200" w:lineRule="exact"/>
        <w:rPr>
          <w:sz w:val="20"/>
          <w:szCs w:val="20"/>
          <w:color w:val="auto"/>
        </w:rPr>
      </w:pPr>
    </w:p>
    <w:p>
      <w:pPr>
        <w:spacing w:after="0" w:line="26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9"/>
          <w:szCs w:val="19"/>
          <w:color w:val="231F20"/>
        </w:rPr>
        <w:t>5</w:t>
      </w:r>
    </w:p>
    <w:p>
      <w:pPr>
        <w:sectPr>
          <w:pgSz w:w="11900" w:h="16838" w:orient="portrait"/>
          <w:cols w:equalWidth="0" w:num="1">
            <w:col w:w="10280"/>
          </w:cols>
          <w:pgMar w:left="1280" w:top="338"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9"/>
          <w:szCs w:val="19"/>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231F20"/>
        </w:rPr>
        <w:t>the premiums for such coverage, then Tenant shall be liable for the full amount of any such increase.</w:t>
      </w:r>
    </w:p>
    <w:p>
      <w:pPr>
        <w:spacing w:after="0" w:line="166" w:lineRule="exact"/>
        <w:rPr>
          <w:sz w:val="20"/>
          <w:szCs w:val="20"/>
          <w:color w:val="auto"/>
        </w:rPr>
      </w:pPr>
    </w:p>
    <w:p>
      <w:pPr>
        <w:jc w:val="both"/>
        <w:ind w:left="1260" w:right="300" w:hanging="636"/>
        <w:spacing w:after="0" w:line="258" w:lineRule="auto"/>
        <w:tabs>
          <w:tab w:leader="none" w:pos="1240" w:val="left"/>
        </w:tabs>
        <w:rPr>
          <w:sz w:val="20"/>
          <w:szCs w:val="20"/>
          <w:color w:val="auto"/>
        </w:rPr>
      </w:pPr>
      <w:r>
        <w:rPr>
          <w:rFonts w:ascii="Times New Roman" w:cs="Times New Roman" w:eastAsia="Times New Roman" w:hAnsi="Times New Roman"/>
          <w:sz w:val="19"/>
          <w:szCs w:val="19"/>
          <w:color w:val="231F20"/>
        </w:rPr>
        <w:t>3.4</w:t>
      </w:r>
      <w:r>
        <w:rPr>
          <w:sz w:val="20"/>
          <w:szCs w:val="20"/>
          <w:color w:val="auto"/>
        </w:rPr>
        <w:tab/>
      </w:r>
      <w:r>
        <w:rPr>
          <w:rFonts w:ascii="Times New Roman" w:cs="Times New Roman" w:eastAsia="Times New Roman" w:hAnsi="Times New Roman"/>
          <w:sz w:val="19"/>
          <w:szCs w:val="19"/>
          <w:color w:val="231F20"/>
        </w:rPr>
        <w:t>Tenant shall be responsible for the operation, cleanliness, maintenance and, in the event Tenant elects to replace the Generator at any time during the Term (as the same may be extended), removal of the Generator and the Tank and the appurtenances thereto all of which shall be removed by Tenant at its own expense in the event Tenant elects to replace the Generator. Tenant shall repair any damage caused by any such removal, including the patching of any holes to match, as closely as possible, the color surrounding the area where the Generator, Tank and appurtenances were attached. In any event, such replacement generator shall be substantially similar to the current Generator in physical size and height and shall comply with the terms and conditions set forth in this Amendment, subject to Landlord’s reasonable approval. Such maintenance and operation shall be performed in a manner to avoid any unreasonable interference with any other tenants or Landlord. Tenant shall take the Generator, Tank and Generator Area “as is” in the condition in which the Generator and Tank are in as of the date of this Amendment, without any obligation on the part of Landlord to prepare or construct the Generator, Tank or Generator Area for Tenant’s use. Without limiting the foregoing, Landlord makes no warranties or representations to Tenant as to the suitability of the Generator Area for the operation of the Generator or the Tank. Tenant shall have no right to make any changes, alterations, additions, decorations or other improvements to the Generator or Tank or Generator Area without Landlord’s prior written consent, which shall not be unreasonably withheld. Tenant agrees to maintain the Generator and the Tank in good condition and repair during the Term and any extension thereof.</w:t>
      </w:r>
    </w:p>
    <w:p>
      <w:pPr>
        <w:spacing w:after="0" w:line="373" w:lineRule="exact"/>
        <w:rPr>
          <w:sz w:val="20"/>
          <w:szCs w:val="20"/>
          <w:color w:val="auto"/>
        </w:rPr>
      </w:pPr>
    </w:p>
    <w:p>
      <w:pPr>
        <w:jc w:val="both"/>
        <w:ind w:left="1260" w:right="320" w:hanging="636"/>
        <w:spacing w:after="0" w:line="261" w:lineRule="auto"/>
        <w:tabs>
          <w:tab w:leader="none" w:pos="1240" w:val="left"/>
        </w:tabs>
        <w:rPr>
          <w:sz w:val="20"/>
          <w:szCs w:val="20"/>
          <w:color w:val="auto"/>
        </w:rPr>
      </w:pPr>
      <w:r>
        <w:rPr>
          <w:rFonts w:ascii="Times New Roman" w:cs="Times New Roman" w:eastAsia="Times New Roman" w:hAnsi="Times New Roman"/>
          <w:sz w:val="19"/>
          <w:szCs w:val="19"/>
          <w:color w:val="231F20"/>
        </w:rPr>
        <w:t>3.5</w:t>
      </w:r>
      <w:r>
        <w:rPr>
          <w:sz w:val="20"/>
          <w:szCs w:val="20"/>
          <w:color w:val="auto"/>
        </w:rPr>
        <w:tab/>
      </w:r>
      <w:r>
        <w:rPr>
          <w:rFonts w:ascii="Times New Roman" w:cs="Times New Roman" w:eastAsia="Times New Roman" w:hAnsi="Times New Roman"/>
          <w:sz w:val="19"/>
          <w:szCs w:val="19"/>
          <w:color w:val="231F20"/>
        </w:rPr>
        <w:t>Tenant shall have access to the Generator and the Tank and the Generator Area for the purpose of repairing, maintaining, using and removing the Generator and the Tank. Tenant shall be permitted to use the Generator Area solely for the maintenance and operation of the Generator and the Tank, and the Generator, Tank and Generator Area are solely for the benefit of Tenant and its assignees and subtenants of the Premises. All electricity generated by the Generator may only be consumed by Tenant and its assignees and subtenants of the Premises in the Premises. Landlord shall have no obligation to provide any services, including, without limitation, electric current or fuel, to the Generator Area. Tenant shall have no right to sublet the Generator Area or to assign its interest hereunder except together with an assignment of the Lease or sublease of the Premises.</w:t>
      </w:r>
    </w:p>
    <w:p>
      <w:pPr>
        <w:spacing w:after="0" w:line="109" w:lineRule="exact"/>
        <w:rPr>
          <w:sz w:val="20"/>
          <w:szCs w:val="20"/>
          <w:color w:val="auto"/>
        </w:rPr>
      </w:pPr>
    </w:p>
    <w:p>
      <w:pPr>
        <w:ind w:left="640" w:hanging="636"/>
        <w:spacing w:after="0"/>
        <w:tabs>
          <w:tab w:leader="none" w:pos="640" w:val="left"/>
        </w:tabs>
        <w:numPr>
          <w:ilvl w:val="0"/>
          <w:numId w:val="2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b w:val="1"/>
          <w:bCs w:val="1"/>
          <w:u w:val="single" w:color="auto"/>
          <w:color w:val="231F20"/>
        </w:rPr>
        <w:t>Miscellaneous.</w:t>
      </w:r>
    </w:p>
    <w:p>
      <w:pPr>
        <w:spacing w:after="0" w:line="179" w:lineRule="exact"/>
        <w:rPr>
          <w:rFonts w:ascii="Times New Roman" w:cs="Times New Roman" w:eastAsia="Times New Roman" w:hAnsi="Times New Roman"/>
          <w:sz w:val="19"/>
          <w:szCs w:val="19"/>
          <w:color w:val="231F20"/>
        </w:rPr>
      </w:pPr>
    </w:p>
    <w:p>
      <w:pPr>
        <w:ind w:left="1260" w:right="320" w:hanging="636"/>
        <w:spacing w:after="0" w:line="261" w:lineRule="auto"/>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 xml:space="preserve">4.1This Amendment, including </w:t>
      </w:r>
      <w:r>
        <w:rPr>
          <w:rFonts w:ascii="Times New Roman" w:cs="Times New Roman" w:eastAsia="Times New Roman" w:hAnsi="Times New Roman"/>
          <w:sz w:val="19"/>
          <w:szCs w:val="19"/>
          <w:b w:val="1"/>
          <w:bCs w:val="1"/>
          <w:color w:val="231F20"/>
        </w:rPr>
        <w:t>Exhibit A-1</w:t>
      </w:r>
      <w:r>
        <w:rPr>
          <w:rFonts w:ascii="Times New Roman" w:cs="Times New Roman" w:eastAsia="Times New Roman" w:hAnsi="Times New Roman"/>
          <w:sz w:val="19"/>
          <w:szCs w:val="19"/>
          <w:color w:val="231F20"/>
        </w:rPr>
        <w:t xml:space="preserve"> (Location of Tenant’s Refrigeration Rack and Fence); </w:t>
      </w:r>
      <w:r>
        <w:rPr>
          <w:rFonts w:ascii="Times New Roman" w:cs="Times New Roman" w:eastAsia="Times New Roman" w:hAnsi="Times New Roman"/>
          <w:sz w:val="19"/>
          <w:szCs w:val="19"/>
          <w:b w:val="1"/>
          <w:bCs w:val="1"/>
          <w:color w:val="231F20"/>
        </w:rPr>
        <w:t>Exhibit A-2</w:t>
      </w:r>
      <w:r>
        <w:rPr>
          <w:rFonts w:ascii="Times New Roman" w:cs="Times New Roman" w:eastAsia="Times New Roman" w:hAnsi="Times New Roman"/>
          <w:sz w:val="19"/>
          <w:szCs w:val="19"/>
          <w:color w:val="231F20"/>
        </w:rPr>
        <w:t xml:space="preserve"> (Location of Tenant’s Generator Area); and </w:t>
      </w:r>
      <w:r>
        <w:rPr>
          <w:rFonts w:ascii="Times New Roman" w:cs="Times New Roman" w:eastAsia="Times New Roman" w:hAnsi="Times New Roman"/>
          <w:sz w:val="19"/>
          <w:szCs w:val="19"/>
          <w:b w:val="1"/>
          <w:bCs w:val="1"/>
          <w:color w:val="231F20"/>
        </w:rPr>
        <w:t>Exhibit B</w:t>
      </w:r>
      <w:r>
        <w:rPr>
          <w:rFonts w:ascii="Times New Roman" w:cs="Times New Roman" w:eastAsia="Times New Roman" w:hAnsi="Times New Roman"/>
          <w:sz w:val="19"/>
          <w:szCs w:val="19"/>
          <w:color w:val="231F20"/>
        </w:rPr>
        <w:t xml:space="preserve"> (Generator Bill of Sale), all attached hereto, sets forth the entire agreement between the parties with respect to the matters set forth herein. There have been no additional oral or written representations or agreements. Under no circumstances shall Tenant be entitled to any additional rent abatement, improvement allowance, leasehold improvements, or other work to the Premises, or any similar economic incentives that may have been provided Tenant in connection with entering into the Lease, unless specifically set forth in this Amendment.</w:t>
      </w:r>
    </w:p>
    <w:p>
      <w:pPr>
        <w:spacing w:after="0" w:line="116" w:lineRule="exact"/>
        <w:rPr>
          <w:rFonts w:ascii="Times New Roman" w:cs="Times New Roman" w:eastAsia="Times New Roman" w:hAnsi="Times New Roman"/>
          <w:sz w:val="19"/>
          <w:szCs w:val="19"/>
          <w:color w:val="231F20"/>
        </w:rPr>
      </w:pPr>
    </w:p>
    <w:p>
      <w:pPr>
        <w:ind w:left="1260" w:right="320" w:hanging="636"/>
        <w:spacing w:after="0" w:line="233" w:lineRule="auto"/>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auto"/>
        </w:rPr>
        <w:t>4.2</w:t>
      </w:r>
      <w:r>
        <w:rPr>
          <w:rFonts w:ascii="Times New Roman" w:cs="Times New Roman" w:eastAsia="Times New Roman" w:hAnsi="Times New Roman"/>
          <w:sz w:val="19"/>
          <w:szCs w:val="19"/>
          <w:color w:val="231F20"/>
        </w:rPr>
        <w:t>Except as herein modified or amended, the provisions, conditions and terms of the Lease shall remain unchanged and in full force and effect. In the case of any inconsistency between the provisions of the Lease and this Amendment, the provisions of this</w:t>
      </w:r>
    </w:p>
    <w:p>
      <w:pPr>
        <w:spacing w:after="0" w:line="200" w:lineRule="exact"/>
        <w:rPr>
          <w:sz w:val="20"/>
          <w:szCs w:val="20"/>
          <w:color w:val="auto"/>
        </w:rPr>
      </w:pPr>
    </w:p>
    <w:p>
      <w:pPr>
        <w:spacing w:after="0" w:line="26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231F20"/>
        </w:rPr>
        <w:t>6</w:t>
      </w:r>
    </w:p>
    <w:p>
      <w:pPr>
        <w:sectPr>
          <w:pgSz w:w="11900" w:h="16838" w:orient="portrait"/>
          <w:cols w:equalWidth="0" w:num="1">
            <w:col w:w="10920"/>
          </w:cols>
          <w:pgMar w:left="640" w:top="338"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9"/>
          <w:szCs w:val="19"/>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40" w:right="320"/>
        <w:spacing w:after="0" w:line="256" w:lineRule="auto"/>
        <w:rPr>
          <w:sz w:val="20"/>
          <w:szCs w:val="20"/>
          <w:color w:val="auto"/>
        </w:rPr>
      </w:pPr>
      <w:r>
        <w:rPr>
          <w:rFonts w:ascii="Times New Roman" w:cs="Times New Roman" w:eastAsia="Times New Roman" w:hAnsi="Times New Roman"/>
          <w:sz w:val="19"/>
          <w:szCs w:val="19"/>
          <w:color w:val="231F20"/>
        </w:rPr>
        <w:t>Amendment shall govern and control. The capitalized terms used in this Amendment shall have the same definitions as set forth in the Lease to the extent that such capitalized terms are defined therein and not redefined in this Amendment.</w:t>
      </w:r>
    </w:p>
    <w:p>
      <w:pPr>
        <w:spacing w:after="0" w:line="90" w:lineRule="exact"/>
        <w:rPr>
          <w:sz w:val="20"/>
          <w:szCs w:val="20"/>
          <w:color w:val="auto"/>
        </w:rPr>
      </w:pPr>
    </w:p>
    <w:p>
      <w:pPr>
        <w:jc w:val="both"/>
        <w:ind w:left="620" w:right="320" w:hanging="636"/>
        <w:spacing w:after="0" w:line="280" w:lineRule="auto"/>
        <w:tabs>
          <w:tab w:leader="none" w:pos="600" w:val="left"/>
        </w:tabs>
        <w:rPr>
          <w:sz w:val="20"/>
          <w:szCs w:val="20"/>
          <w:color w:val="auto"/>
        </w:rPr>
      </w:pPr>
      <w:r>
        <w:rPr>
          <w:rFonts w:ascii="Times New Roman" w:cs="Times New Roman" w:eastAsia="Times New Roman" w:hAnsi="Times New Roman"/>
          <w:sz w:val="19"/>
          <w:szCs w:val="19"/>
          <w:color w:val="231F20"/>
        </w:rPr>
        <w:t>4.3</w:t>
      </w:r>
      <w:r>
        <w:rPr>
          <w:sz w:val="20"/>
          <w:szCs w:val="20"/>
          <w:color w:val="auto"/>
        </w:rPr>
        <w:tab/>
      </w:r>
      <w:r>
        <w:rPr>
          <w:rFonts w:ascii="Times New Roman" w:cs="Times New Roman" w:eastAsia="Times New Roman" w:hAnsi="Times New Roman"/>
          <w:sz w:val="19"/>
          <w:szCs w:val="19"/>
          <w:color w:val="231F20"/>
        </w:rPr>
        <w:t>Submission of this Amendment by Landlord is not an offer to enter into this Amendment but rather is a solicitation for such an offer by Tenant. Landlord shall not be bound by this Amendment until Landlord has executed and delivered the same to Tenant.</w:t>
      </w:r>
    </w:p>
    <w:p>
      <w:pPr>
        <w:spacing w:after="0" w:line="97" w:lineRule="exact"/>
        <w:rPr>
          <w:sz w:val="20"/>
          <w:szCs w:val="20"/>
          <w:color w:val="auto"/>
        </w:rPr>
      </w:pPr>
    </w:p>
    <w:p>
      <w:pPr>
        <w:jc w:val="both"/>
        <w:ind w:left="620" w:right="320" w:hanging="636"/>
        <w:spacing w:after="0" w:line="273" w:lineRule="auto"/>
        <w:tabs>
          <w:tab w:leader="none" w:pos="600" w:val="left"/>
        </w:tabs>
        <w:rPr>
          <w:sz w:val="20"/>
          <w:szCs w:val="20"/>
          <w:color w:val="auto"/>
        </w:rPr>
      </w:pPr>
      <w:r>
        <w:rPr>
          <w:rFonts w:ascii="Times New Roman" w:cs="Times New Roman" w:eastAsia="Times New Roman" w:hAnsi="Times New Roman"/>
          <w:sz w:val="19"/>
          <w:szCs w:val="19"/>
          <w:color w:val="231F20"/>
        </w:rPr>
        <w:t>4.4</w:t>
      </w:r>
      <w:r>
        <w:rPr>
          <w:sz w:val="20"/>
          <w:szCs w:val="20"/>
          <w:color w:val="auto"/>
        </w:rPr>
        <w:tab/>
      </w:r>
      <w:r>
        <w:rPr>
          <w:rFonts w:ascii="Times New Roman" w:cs="Times New Roman" w:eastAsia="Times New Roman" w:hAnsi="Times New Roman"/>
          <w:sz w:val="19"/>
          <w:szCs w:val="19"/>
          <w:color w:val="231F20"/>
        </w:rPr>
        <w:t>Tenant hereby represents to Landlord that Tenant has dealt with no broker in connection with this Amendment. Tenant agrees to indemnify and hold Landlord and the Landlord Parties harmless from all claims of any brokers claiming to have represented Tenant in connection with this Amendment.</w:t>
      </w:r>
    </w:p>
    <w:p>
      <w:pPr>
        <w:spacing w:after="0" w:line="116" w:lineRule="exact"/>
        <w:rPr>
          <w:sz w:val="20"/>
          <w:szCs w:val="20"/>
          <w:color w:val="auto"/>
        </w:rPr>
      </w:pPr>
    </w:p>
    <w:p>
      <w:pPr>
        <w:jc w:val="both"/>
        <w:ind w:left="620" w:right="320" w:hanging="636"/>
        <w:spacing w:after="0" w:line="273" w:lineRule="auto"/>
        <w:tabs>
          <w:tab w:leader="none" w:pos="600" w:val="left"/>
        </w:tabs>
        <w:rPr>
          <w:sz w:val="20"/>
          <w:szCs w:val="20"/>
          <w:color w:val="auto"/>
        </w:rPr>
      </w:pPr>
      <w:r>
        <w:rPr>
          <w:rFonts w:ascii="Times New Roman" w:cs="Times New Roman" w:eastAsia="Times New Roman" w:hAnsi="Times New Roman"/>
          <w:sz w:val="19"/>
          <w:szCs w:val="19"/>
          <w:color w:val="231F20"/>
        </w:rPr>
        <w:t>4.5</w:t>
      </w:r>
      <w:r>
        <w:rPr>
          <w:sz w:val="20"/>
          <w:szCs w:val="20"/>
          <w:color w:val="auto"/>
        </w:rPr>
        <w:tab/>
      </w:r>
      <w:r>
        <w:rPr>
          <w:rFonts w:ascii="Times New Roman" w:cs="Times New Roman" w:eastAsia="Times New Roman" w:hAnsi="Times New Roman"/>
          <w:sz w:val="19"/>
          <w:szCs w:val="19"/>
          <w:color w:val="231F20"/>
        </w:rPr>
        <w:t>At Landlord’s option, this Amendment shall be of no force and effect unless and until accepted by any guarantors of the Lease, who by signing below shall agree that their guaranty shall apply to the Lease as amended herein, unless such requirement is waived by Landlord in writing.</w:t>
      </w:r>
    </w:p>
    <w:p>
      <w:pPr>
        <w:spacing w:after="0" w:line="1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color w:val="231F20"/>
        </w:rPr>
        <w:t>4.6</w:t>
      </w:r>
      <w:r>
        <w:rPr>
          <w:sz w:val="20"/>
          <w:szCs w:val="20"/>
          <w:color w:val="auto"/>
        </w:rPr>
        <w:tab/>
      </w:r>
      <w:r>
        <w:rPr>
          <w:rFonts w:ascii="Times New Roman" w:cs="Times New Roman" w:eastAsia="Times New Roman" w:hAnsi="Times New Roman"/>
          <w:sz w:val="19"/>
          <w:szCs w:val="19"/>
          <w:color w:val="231F20"/>
        </w:rPr>
        <w:t>Paragraph 34.L, Paragraph U, Paragraph W and Paragraph 34.X of the Original Lease shall apply to this Amendment.</w:t>
      </w:r>
    </w:p>
    <w:p>
      <w:pPr>
        <w:spacing w:after="0" w:line="16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color w:val="231F20"/>
        </w:rPr>
        <w:t>4.7</w:t>
      </w:r>
      <w:r>
        <w:rPr>
          <w:sz w:val="20"/>
          <w:szCs w:val="20"/>
          <w:color w:val="auto"/>
        </w:rPr>
        <w:tab/>
      </w:r>
      <w:r>
        <w:rPr>
          <w:rFonts w:ascii="Times New Roman" w:cs="Times New Roman" w:eastAsia="Times New Roman" w:hAnsi="Times New Roman"/>
          <w:sz w:val="19"/>
          <w:szCs w:val="19"/>
          <w:color w:val="231F20"/>
        </w:rPr>
        <w:t>The parties hereto consent and agree that this Amendment may be signed and/or transmitted by facsimile, e-mail of a</w:t>
      </w:r>
    </w:p>
    <w:p>
      <w:pPr>
        <w:spacing w:after="0" w:line="35" w:lineRule="exact"/>
        <w:rPr>
          <w:sz w:val="20"/>
          <w:szCs w:val="20"/>
          <w:color w:val="auto"/>
        </w:rPr>
      </w:pPr>
    </w:p>
    <w:p>
      <w:pPr>
        <w:jc w:val="both"/>
        <w:ind w:left="640" w:right="320"/>
        <w:spacing w:after="0" w:line="256" w:lineRule="auto"/>
        <w:rPr>
          <w:sz w:val="20"/>
          <w:szCs w:val="20"/>
          <w:color w:val="auto"/>
        </w:rPr>
      </w:pPr>
      <w:r>
        <w:rPr>
          <w:rFonts w:ascii="Times New Roman" w:cs="Times New Roman" w:eastAsia="Times New Roman" w:hAnsi="Times New Roman"/>
          <w:sz w:val="19"/>
          <w:szCs w:val="19"/>
          <w:color w:val="231F20"/>
        </w:rPr>
        <w:t>.pdf document or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(1) to the extent a party signs this Amendment using electronic signature technology, by clicking “SIGN”, such party is signing this Amendment electronically, and</w:t>
      </w:r>
    </w:p>
    <w:p>
      <w:pPr>
        <w:spacing w:after="0" w:line="1" w:lineRule="exact"/>
        <w:rPr>
          <w:sz w:val="20"/>
          <w:szCs w:val="20"/>
          <w:color w:val="auto"/>
        </w:rPr>
      </w:pPr>
    </w:p>
    <w:p>
      <w:pPr>
        <w:ind w:left="640" w:right="320" w:hanging="5"/>
        <w:spacing w:after="0" w:line="283" w:lineRule="auto"/>
        <w:tabs>
          <w:tab w:leader="none" w:pos="924" w:val="left"/>
        </w:tabs>
        <w:numPr>
          <w:ilvl w:val="0"/>
          <w:numId w:val="2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electronic signatures appearing on this Amendment shall be treated, for purposes of validity, enforceability and admissibility, the same as handwritten signatures.</w:t>
      </w:r>
    </w:p>
    <w:p>
      <w:pPr>
        <w:spacing w:after="0" w:line="93" w:lineRule="exact"/>
        <w:rPr>
          <w:sz w:val="20"/>
          <w:szCs w:val="20"/>
          <w:color w:val="auto"/>
        </w:rPr>
      </w:pPr>
    </w:p>
    <w:p>
      <w:pPr>
        <w:jc w:val="both"/>
        <w:ind w:left="620" w:right="320" w:hanging="636"/>
        <w:spacing w:after="0" w:line="273" w:lineRule="auto"/>
        <w:tabs>
          <w:tab w:leader="none" w:pos="600" w:val="left"/>
        </w:tabs>
        <w:rPr>
          <w:sz w:val="20"/>
          <w:szCs w:val="20"/>
          <w:color w:val="auto"/>
        </w:rPr>
      </w:pPr>
      <w:r>
        <w:rPr>
          <w:rFonts w:ascii="Times New Roman" w:cs="Times New Roman" w:eastAsia="Times New Roman" w:hAnsi="Times New Roman"/>
          <w:sz w:val="19"/>
          <w:szCs w:val="19"/>
          <w:color w:val="231F20"/>
        </w:rPr>
        <w:t>4.8</w:t>
      </w:r>
      <w:r>
        <w:rPr>
          <w:sz w:val="20"/>
          <w:szCs w:val="20"/>
          <w:color w:val="auto"/>
        </w:rPr>
        <w:tab/>
      </w:r>
      <w:r>
        <w:rPr>
          <w:rFonts w:ascii="Times New Roman" w:cs="Times New Roman" w:eastAsia="Times New Roman" w:hAnsi="Times New Roman"/>
          <w:sz w:val="19"/>
          <w:szCs w:val="19"/>
          <w:color w:val="231F20"/>
        </w:rPr>
        <w:t>Landlord represents that it has received the consent to this Amendment from the holders of all deeds of trust encumbering the Building and shall deliver a copy of such consent to Tenant concurrently with Landlord’s execution of this Amendment.</w:t>
      </w:r>
    </w:p>
    <w:p>
      <w:pPr>
        <w:spacing w:after="0" w:line="200" w:lineRule="exact"/>
        <w:rPr>
          <w:sz w:val="20"/>
          <w:szCs w:val="20"/>
          <w:color w:val="auto"/>
        </w:rPr>
      </w:pPr>
    </w:p>
    <w:p>
      <w:pPr>
        <w:spacing w:after="0" w:line="32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i w:val="1"/>
          <w:iCs w:val="1"/>
          <w:color w:val="231F20"/>
        </w:rPr>
        <w:t>[signatures on following page]</w:t>
      </w:r>
    </w:p>
    <w:p>
      <w:pPr>
        <w:spacing w:after="0" w:line="200" w:lineRule="exact"/>
        <w:rPr>
          <w:sz w:val="20"/>
          <w:szCs w:val="20"/>
          <w:color w:val="auto"/>
        </w:rPr>
      </w:pPr>
    </w:p>
    <w:p>
      <w:pPr>
        <w:spacing w:after="0" w:line="32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9"/>
          <w:szCs w:val="19"/>
          <w:color w:val="231F20"/>
        </w:rPr>
        <w:t>7</w:t>
      </w:r>
    </w:p>
    <w:p>
      <w:pPr>
        <w:sectPr>
          <w:pgSz w:w="11900" w:h="16838" w:orient="portrait"/>
          <w:cols w:equalWidth="0" w:num="1">
            <w:col w:w="10280"/>
          </w:cols>
          <w:pgMar w:left="1280" w:top="338"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9"/>
          <w:szCs w:val="19"/>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9"/>
          <w:szCs w:val="19"/>
          <w:b w:val="1"/>
          <w:bCs w:val="1"/>
          <w:color w:val="231F20"/>
        </w:rPr>
        <w:t>IN WITNESS WHEREOF</w:t>
      </w:r>
      <w:r>
        <w:rPr>
          <w:rFonts w:ascii="Times New Roman" w:cs="Times New Roman" w:eastAsia="Times New Roman" w:hAnsi="Times New Roman"/>
          <w:sz w:val="19"/>
          <w:szCs w:val="19"/>
          <w:color w:val="231F20"/>
        </w:rPr>
        <w:t>, Landlord and Tenant have entered into and executed this Amendment as of the date first written</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253"/>
        </w:trPr>
        <w:tc>
          <w:tcPr>
            <w:tcW w:w="5000" w:type="dxa"/>
            <w:vAlign w:val="bottom"/>
          </w:tcPr>
          <w:p>
            <w:pPr>
              <w:spacing w:after="0"/>
              <w:rPr>
                <w:sz w:val="20"/>
                <w:szCs w:val="20"/>
                <w:color w:val="auto"/>
              </w:rPr>
            </w:pPr>
            <w:r>
              <w:rPr>
                <w:rFonts w:ascii="Times New Roman" w:cs="Times New Roman" w:eastAsia="Times New Roman" w:hAnsi="Times New Roman"/>
                <w:sz w:val="19"/>
                <w:szCs w:val="19"/>
                <w:color w:val="231F20"/>
              </w:rPr>
              <w:t>above.</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6"/>
        </w:trPr>
        <w:tc>
          <w:tcPr>
            <w:tcW w:w="500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231F20"/>
              </w:rPr>
              <w:t>LANDLORD:  TENANT:</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000" w:type="dxa"/>
            <w:vAlign w:val="bottom"/>
            <w:vMerge w:val="restart"/>
          </w:tcPr>
          <w:p>
            <w:pPr>
              <w:ind w:left="100"/>
              <w:spacing w:after="0"/>
              <w:rPr>
                <w:sz w:val="20"/>
                <w:szCs w:val="20"/>
                <w:color w:val="auto"/>
              </w:rPr>
            </w:pPr>
            <w:r>
              <w:rPr>
                <w:rFonts w:ascii="Times New Roman" w:cs="Times New Roman" w:eastAsia="Times New Roman" w:hAnsi="Times New Roman"/>
                <w:sz w:val="19"/>
                <w:szCs w:val="19"/>
                <w:b w:val="1"/>
                <w:bCs w:val="1"/>
                <w:color w:val="231F20"/>
              </w:rPr>
              <w:t>SWIG 631 FOLSOM, LLC,</w:t>
            </w:r>
          </w:p>
        </w:tc>
        <w:tc>
          <w:tcPr>
            <w:tcW w:w="2280" w:type="dxa"/>
            <w:vAlign w:val="bottom"/>
          </w:tcPr>
          <w:p>
            <w:pPr>
              <w:ind w:left="320"/>
              <w:spacing w:after="0"/>
              <w:rPr>
                <w:sz w:val="20"/>
                <w:szCs w:val="20"/>
                <w:color w:val="auto"/>
              </w:rPr>
            </w:pPr>
            <w:r>
              <w:rPr>
                <w:rFonts w:ascii="Times New Roman" w:cs="Times New Roman" w:eastAsia="Times New Roman" w:hAnsi="Times New Roman"/>
                <w:sz w:val="19"/>
                <w:szCs w:val="19"/>
                <w:b w:val="1"/>
                <w:bCs w:val="1"/>
                <w:color w:val="231F20"/>
              </w:rPr>
              <w:t>ASANA, INC.,</w:t>
            </w:r>
          </w:p>
        </w:tc>
        <w:tc>
          <w:tcPr>
            <w:tcW w:w="0" w:type="dxa"/>
            <w:vAlign w:val="bottom"/>
          </w:tcPr>
          <w:p>
            <w:pPr>
              <w:spacing w:after="0"/>
              <w:rPr>
                <w:sz w:val="1"/>
                <w:szCs w:val="1"/>
                <w:color w:val="auto"/>
              </w:rPr>
            </w:pPr>
          </w:p>
        </w:tc>
      </w:tr>
      <w:tr>
        <w:trPr>
          <w:trHeight w:val="79"/>
        </w:trPr>
        <w:tc>
          <w:tcPr>
            <w:tcW w:w="5000" w:type="dxa"/>
            <w:vAlign w:val="bottom"/>
            <w:vMerge w:val="continue"/>
          </w:tcPr>
          <w:p>
            <w:pPr>
              <w:spacing w:after="0"/>
              <w:rPr>
                <w:sz w:val="6"/>
                <w:szCs w:val="6"/>
                <w:color w:val="auto"/>
              </w:rPr>
            </w:pPr>
          </w:p>
        </w:tc>
        <w:tc>
          <w:tcPr>
            <w:tcW w:w="2280" w:type="dxa"/>
            <w:vAlign w:val="bottom"/>
            <w:vMerge w:val="restart"/>
          </w:tcPr>
          <w:p>
            <w:pPr>
              <w:ind w:left="320"/>
              <w:spacing w:after="0"/>
              <w:rPr>
                <w:sz w:val="20"/>
                <w:szCs w:val="20"/>
                <w:color w:val="auto"/>
              </w:rPr>
            </w:pPr>
            <w:r>
              <w:rPr>
                <w:rFonts w:ascii="Times New Roman" w:cs="Times New Roman" w:eastAsia="Times New Roman" w:hAnsi="Times New Roman"/>
                <w:sz w:val="19"/>
                <w:szCs w:val="19"/>
                <w:b w:val="1"/>
                <w:bCs w:val="1"/>
                <w:color w:val="231F20"/>
              </w:rPr>
              <w:t>a Delaware corporation</w:t>
            </w:r>
          </w:p>
        </w:tc>
        <w:tc>
          <w:tcPr>
            <w:tcW w:w="0" w:type="dxa"/>
            <w:vAlign w:val="bottom"/>
          </w:tcPr>
          <w:p>
            <w:pPr>
              <w:spacing w:after="0"/>
              <w:rPr>
                <w:sz w:val="1"/>
                <w:szCs w:val="1"/>
                <w:color w:val="auto"/>
              </w:rPr>
            </w:pPr>
          </w:p>
        </w:tc>
      </w:tr>
      <w:tr>
        <w:trPr>
          <w:trHeight w:val="178"/>
        </w:trPr>
        <w:tc>
          <w:tcPr>
            <w:tcW w:w="5000" w:type="dxa"/>
            <w:vAlign w:val="bottom"/>
            <w:vMerge w:val="restart"/>
          </w:tcPr>
          <w:p>
            <w:pPr>
              <w:ind w:left="100"/>
              <w:spacing w:after="0"/>
              <w:rPr>
                <w:sz w:val="20"/>
                <w:szCs w:val="20"/>
                <w:color w:val="auto"/>
              </w:rPr>
            </w:pPr>
            <w:r>
              <w:rPr>
                <w:rFonts w:ascii="Times New Roman" w:cs="Times New Roman" w:eastAsia="Times New Roman" w:hAnsi="Times New Roman"/>
                <w:sz w:val="19"/>
                <w:szCs w:val="19"/>
                <w:b w:val="1"/>
                <w:bCs w:val="1"/>
                <w:color w:val="231F20"/>
              </w:rPr>
              <w:t>a Delaware limited liability company</w:t>
            </w:r>
          </w:p>
        </w:tc>
        <w:tc>
          <w:tcPr>
            <w:tcW w:w="2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5000" w:type="dxa"/>
            <w:vAlign w:val="bottom"/>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3"/>
        </w:trPr>
        <w:tc>
          <w:tcPr>
            <w:tcW w:w="5000" w:type="dxa"/>
            <w:vAlign w:val="bottom"/>
          </w:tcPr>
          <w:p>
            <w:pPr>
              <w:ind w:left="420"/>
              <w:spacing w:after="0"/>
              <w:rPr>
                <w:sz w:val="20"/>
                <w:szCs w:val="20"/>
                <w:color w:val="auto"/>
              </w:rPr>
            </w:pPr>
            <w:r>
              <w:rPr>
                <w:rFonts w:ascii="Times New Roman" w:cs="Times New Roman" w:eastAsia="Times New Roman" w:hAnsi="Times New Roman"/>
                <w:sz w:val="19"/>
                <w:szCs w:val="19"/>
                <w:color w:val="231F20"/>
              </w:rPr>
              <w:t>By: The Swig Company, LLC,</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00" w:type="dxa"/>
            <w:vAlign w:val="bottom"/>
          </w:tcPr>
          <w:p>
            <w:pPr>
              <w:ind w:left="820"/>
              <w:spacing w:after="0"/>
              <w:rPr>
                <w:sz w:val="20"/>
                <w:szCs w:val="20"/>
                <w:color w:val="auto"/>
              </w:rPr>
            </w:pPr>
            <w:r>
              <w:rPr>
                <w:rFonts w:ascii="Times New Roman" w:cs="Times New Roman" w:eastAsia="Times New Roman" w:hAnsi="Times New Roman"/>
                <w:sz w:val="19"/>
                <w:szCs w:val="19"/>
                <w:color w:val="231F20"/>
              </w:rPr>
              <w:t>a Delaware limited liability company, as Property</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000" w:type="dxa"/>
            <w:vAlign w:val="bottom"/>
          </w:tcPr>
          <w:p>
            <w:pPr>
              <w:ind w:left="820"/>
              <w:spacing w:after="0"/>
              <w:rPr>
                <w:sz w:val="20"/>
                <w:szCs w:val="20"/>
                <w:color w:val="auto"/>
              </w:rPr>
            </w:pPr>
            <w:r>
              <w:rPr>
                <w:rFonts w:ascii="Times New Roman" w:cs="Times New Roman" w:eastAsia="Times New Roman" w:hAnsi="Times New Roman"/>
                <w:sz w:val="19"/>
                <w:szCs w:val="19"/>
                <w:color w:val="231F20"/>
              </w:rPr>
              <w:t>Manager</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8" w:right="339" w:bottom="1440" w:gutter="0" w:footer="0" w:header="0"/>
        </w:sectPr>
      </w:pPr>
    </w:p>
    <w:p>
      <w:pPr>
        <w:spacing w:after="0" w:line="120" w:lineRule="exact"/>
        <w:rPr>
          <w:sz w:val="20"/>
          <w:szCs w:val="20"/>
          <w:color w:val="auto"/>
        </w:rPr>
      </w:pPr>
    </w:p>
    <w:tbl>
      <w:tblPr>
        <w:tblLayout w:type="fixed"/>
        <w:tblInd w:w="420" w:type="dxa"/>
        <w:tblCellMar>
          <w:top w:w="0" w:type="dxa"/>
          <w:left w:w="0" w:type="dxa"/>
          <w:bottom w:w="0" w:type="dxa"/>
          <w:right w:w="0" w:type="dxa"/>
        </w:tblCellMar>
      </w:tblPr>
      <w:tr>
        <w:trPr>
          <w:trHeight w:val="218"/>
        </w:trPr>
        <w:tc>
          <w:tcPr>
            <w:tcW w:w="194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By: /s/ Deborah Boyer</w:t>
            </w:r>
          </w:p>
        </w:tc>
        <w:tc>
          <w:tcPr>
            <w:tcW w:w="254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231F20"/>
              </w:rPr>
              <w:t>By: /s/ Dustin Moskovitz</w:t>
            </w:r>
          </w:p>
        </w:tc>
      </w:tr>
      <w:tr>
        <w:trPr>
          <w:trHeight w:val="20"/>
        </w:trPr>
        <w:tc>
          <w:tcPr>
            <w:tcW w:w="280" w:type="dxa"/>
            <w:vAlign w:val="bottom"/>
          </w:tcPr>
          <w:p>
            <w:pPr>
              <w:spacing w:after="0" w:line="20" w:lineRule="exact"/>
              <w:rPr>
                <w:sz w:val="1"/>
                <w:szCs w:val="1"/>
                <w:color w:val="auto"/>
              </w:rPr>
            </w:pPr>
          </w:p>
        </w:tc>
        <w:tc>
          <w:tcPr>
            <w:tcW w:w="1660" w:type="dxa"/>
            <w:vAlign w:val="bottom"/>
            <w:shd w:val="clear" w:color="auto" w:fill="231F2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shd w:val="clear" w:color="auto" w:fill="231F20"/>
          </w:tcPr>
          <w:p>
            <w:pPr>
              <w:spacing w:after="0" w:line="20" w:lineRule="exact"/>
              <w:rPr>
                <w:sz w:val="1"/>
                <w:szCs w:val="1"/>
                <w:color w:val="auto"/>
              </w:rPr>
            </w:pPr>
          </w:p>
        </w:tc>
      </w:tr>
      <w:tr>
        <w:trPr>
          <w:trHeight w:val="449"/>
        </w:trPr>
        <w:tc>
          <w:tcPr>
            <w:tcW w:w="194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 xml:space="preserve">Name: </w:t>
            </w:r>
            <w:r>
              <w:rPr>
                <w:rFonts w:ascii="Times New Roman" w:cs="Times New Roman" w:eastAsia="Times New Roman" w:hAnsi="Times New Roman"/>
                <w:sz w:val="19"/>
                <w:szCs w:val="19"/>
                <w:color w:val="000000"/>
              </w:rPr>
              <w:t>Deborah Boyer</w:t>
            </w: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231F20"/>
              </w:rPr>
              <w:t>Name: Dustin Moskovitz</w:t>
            </w:r>
          </w:p>
        </w:tc>
      </w:tr>
    </w:tbl>
    <w:p>
      <w:pPr>
        <w:spacing w:after="0" w:line="197" w:lineRule="exact"/>
        <w:rPr>
          <w:sz w:val="20"/>
          <w:szCs w:val="20"/>
          <w:color w:val="auto"/>
        </w:rPr>
      </w:pPr>
    </w:p>
    <w:p>
      <w:pPr>
        <w:ind w:left="420"/>
        <w:spacing w:after="0"/>
        <w:tabs>
          <w:tab w:leader="none" w:pos="1000" w:val="left"/>
        </w:tabs>
        <w:rPr>
          <w:sz w:val="20"/>
          <w:szCs w:val="20"/>
          <w:color w:val="auto"/>
        </w:rPr>
      </w:pPr>
      <w:r>
        <w:rPr>
          <w:rFonts w:ascii="Times New Roman" w:cs="Times New Roman" w:eastAsia="Times New Roman" w:hAnsi="Times New Roman"/>
          <w:sz w:val="19"/>
          <w:szCs w:val="19"/>
          <w:color w:val="231F20"/>
        </w:rPr>
        <w:t>Title:</w:t>
        <w:tab/>
        <w:t>Executive Vice President</w:t>
      </w:r>
    </w:p>
    <w:p>
      <w:pPr>
        <w:spacing w:after="0" w:line="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231F20"/>
        </w:rPr>
        <w:t>Director of Innovation and Community Impact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231F20"/>
        </w:rPr>
        <w:t xml:space="preserve">Dated: </w:t>
      </w:r>
      <w:r>
        <w:rPr>
          <w:rFonts w:ascii="Times New Roman" w:cs="Times New Roman" w:eastAsia="Times New Roman" w:hAnsi="Times New Roman"/>
          <w:sz w:val="19"/>
          <w:szCs w:val="19"/>
          <w:color w:val="000000"/>
        </w:rPr>
        <w:t>3/3/2021</w:t>
      </w:r>
    </w:p>
    <w:p>
      <w:pPr>
        <w:spacing w:after="0" w:line="3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b w:val="1"/>
          <w:bCs w:val="1"/>
          <w:color w:val="231F20"/>
        </w:rPr>
        <w:t>SIC HOLDINGS, LLC,</w:t>
      </w:r>
    </w:p>
    <w:p>
      <w:pPr>
        <w:spacing w:after="0" w:line="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b w:val="1"/>
          <w:bCs w:val="1"/>
          <w:color w:val="231F20"/>
        </w:rPr>
        <w:t>a Delaware limited liability company</w:t>
      </w:r>
    </w:p>
    <w:p>
      <w:pPr>
        <w:spacing w:after="0" w:line="21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231F20"/>
        </w:rPr>
        <w:t>By: The Swig Company, LLC,</w:t>
      </w:r>
    </w:p>
    <w:p>
      <w:pPr>
        <w:spacing w:after="0" w:line="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231F20"/>
        </w:rPr>
        <w:t>a Delaware limited liability company, as Property</w:t>
      </w:r>
    </w:p>
    <w:p>
      <w:pPr>
        <w:spacing w:after="0" w:line="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231F20"/>
        </w:rPr>
        <w:t>Manager</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231F20"/>
        </w:rPr>
        <w:t>By: /s/ Debora Boyer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-5715</wp:posOffset>
            </wp:positionV>
            <wp:extent cx="965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965835" cy="8255"/>
                    </a:xfrm>
                    <a:prstGeom prst="rect">
                      <a:avLst/>
                    </a:prstGeom>
                    <a:noFill/>
                  </pic:spPr>
                </pic:pic>
              </a:graphicData>
            </a:graphic>
          </wp:anchor>
        </w:drawing>
      </w:r>
    </w:p>
    <w:p>
      <w:pPr>
        <w:spacing w:after="0" w:line="2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231F20"/>
        </w:rPr>
        <w:t>Name: Deborah Boyer</w:t>
      </w:r>
    </w:p>
    <w:p>
      <w:pPr>
        <w:spacing w:after="0" w:line="259" w:lineRule="exact"/>
        <w:rPr>
          <w:sz w:val="20"/>
          <w:szCs w:val="20"/>
          <w:color w:val="auto"/>
        </w:rPr>
      </w:pPr>
    </w:p>
    <w:p>
      <w:pPr>
        <w:ind w:left="420"/>
        <w:spacing w:after="0"/>
        <w:tabs>
          <w:tab w:leader="none" w:pos="1000" w:val="left"/>
        </w:tabs>
        <w:rPr>
          <w:sz w:val="20"/>
          <w:szCs w:val="20"/>
          <w:color w:val="auto"/>
        </w:rPr>
      </w:pPr>
      <w:r>
        <w:rPr>
          <w:rFonts w:ascii="Times New Roman" w:cs="Times New Roman" w:eastAsia="Times New Roman" w:hAnsi="Times New Roman"/>
          <w:sz w:val="19"/>
          <w:szCs w:val="19"/>
          <w:color w:val="231F20"/>
        </w:rPr>
        <w:t>Title:</w:t>
        <w:tab/>
        <w:t>Executive Vice President</w:t>
      </w:r>
    </w:p>
    <w:p>
      <w:pPr>
        <w:spacing w:after="0" w:line="3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231F20"/>
        </w:rPr>
        <w:t>Director of Innovation and Community Impact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Dated: 3/3/2021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Title: CEO</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Dated: 3/3/2021</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By: /s/ Dustin Moskovitz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-5715</wp:posOffset>
            </wp:positionV>
            <wp:extent cx="12814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DUSTIN MOSKOVITZ,</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an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Dated: 3/3/2021</w:t>
      </w:r>
    </w:p>
    <w:p>
      <w:pPr>
        <w:spacing w:after="0" w:line="200" w:lineRule="exact"/>
        <w:rPr>
          <w:sz w:val="20"/>
          <w:szCs w:val="20"/>
          <w:color w:val="auto"/>
        </w:rPr>
      </w:pPr>
    </w:p>
    <w:p>
      <w:pPr>
        <w:sectPr>
          <w:pgSz w:w="11900" w:h="16838" w:orient="portrait"/>
          <w:cols w:equalWidth="0" w:num="2">
            <w:col w:w="5000" w:space="720"/>
            <w:col w:w="5520"/>
          </w:cols>
          <w:pgMar w:left="320" w:top="3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8</w:t>
      </w:r>
    </w:p>
    <w:p>
      <w:pPr>
        <w:sectPr>
          <w:pgSz w:w="11900" w:h="16838" w:orient="portrait"/>
          <w:cols w:equalWidth="0" w:num="1">
            <w:col w:w="11240"/>
          </w:cols>
          <w:pgMar w:left="320" w:top="338" w:right="339" w:bottom="1440" w:gutter="0" w:footer="0" w:header="0"/>
          <w:type w:val="continuous"/>
        </w:sectPr>
      </w:pPr>
    </w:p>
    <w:bookmarkStart w:id="91" w:name="page92"/>
    <w:bookmarkEnd w:id="91"/>
    <w:p>
      <w:pPr>
        <w:jc w:val="right"/>
        <w:spacing w:after="0"/>
        <w:rPr>
          <w:sz w:val="20"/>
          <w:szCs w:val="20"/>
          <w:color w:val="auto"/>
        </w:rPr>
      </w:pPr>
      <w:r>
        <w:rPr>
          <w:rFonts w:ascii="Times New Roman" w:cs="Times New Roman" w:eastAsia="Times New Roman" w:hAnsi="Times New Roman"/>
          <w:sz w:val="19"/>
          <w:szCs w:val="19"/>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THIRD AMENDMENT</w:t>
      </w:r>
    </w:p>
    <w:p>
      <w:pPr>
        <w:spacing w:after="0" w:line="166" w:lineRule="exact"/>
        <w:rPr>
          <w:sz w:val="20"/>
          <w:szCs w:val="20"/>
          <w:color w:val="auto"/>
        </w:rPr>
      </w:pPr>
    </w:p>
    <w:p>
      <w:pPr>
        <w:jc w:val="both"/>
        <w:ind w:right="300" w:firstLine="635"/>
        <w:spacing w:after="0" w:line="271" w:lineRule="auto"/>
        <w:rPr>
          <w:sz w:val="20"/>
          <w:szCs w:val="20"/>
          <w:color w:val="auto"/>
        </w:rPr>
      </w:pPr>
      <w:r>
        <w:rPr>
          <w:rFonts w:ascii="Times New Roman" w:cs="Times New Roman" w:eastAsia="Times New Roman" w:hAnsi="Times New Roman"/>
          <w:sz w:val="19"/>
          <w:szCs w:val="19"/>
          <w:b w:val="1"/>
          <w:bCs w:val="1"/>
          <w:color w:val="auto"/>
        </w:rPr>
        <w:t xml:space="preserve">THIS THIRD AMENDMENT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color w:val="auto"/>
        </w:rPr>
        <w:t>Amendment</w:t>
      </w:r>
      <w:r>
        <w:rPr>
          <w:rFonts w:ascii="Times New Roman" w:cs="Times New Roman" w:eastAsia="Times New Roman" w:hAnsi="Times New Roman"/>
          <w:sz w:val="19"/>
          <w:szCs w:val="19"/>
          <w:color w:val="auto"/>
        </w:rPr>
        <w:t>”) is made and entered into as of the date that is the later of Landlord’s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Tenant’s signature to this Amendment (the “</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xml:space="preserve">’), by and between </w:t>
      </w:r>
      <w:r>
        <w:rPr>
          <w:rFonts w:ascii="Times New Roman" w:cs="Times New Roman" w:eastAsia="Times New Roman" w:hAnsi="Times New Roman"/>
          <w:sz w:val="19"/>
          <w:szCs w:val="19"/>
          <w:b w:val="1"/>
          <w:bCs w:val="1"/>
          <w:color w:val="auto"/>
        </w:rPr>
        <w:t>SWIG 631 FOLSOM, LLC, a Delaware limited liability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company, and SIC HOLDINGS, LLC, a Delaware limited liability company </w:t>
      </w:r>
      <w:r>
        <w:rPr>
          <w:rFonts w:ascii="Times New Roman" w:cs="Times New Roman" w:eastAsia="Times New Roman" w:hAnsi="Times New Roman"/>
          <w:sz w:val="19"/>
          <w:szCs w:val="19"/>
          <w:color w:val="auto"/>
        </w:rPr>
        <w:t>(collectively, “</w:t>
      </w:r>
      <w:r>
        <w:rPr>
          <w:rFonts w:ascii="Times New Roman" w:cs="Times New Roman" w:eastAsia="Times New Roman" w:hAnsi="Times New Roman"/>
          <w:sz w:val="19"/>
          <w:szCs w:val="19"/>
          <w:b w:val="1"/>
          <w:bCs w:val="1"/>
          <w:color w:val="auto"/>
        </w:rPr>
        <w:t>Landlord</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b w:val="1"/>
          <w:bCs w:val="1"/>
          <w:color w:val="auto"/>
        </w:rPr>
        <w:t xml:space="preserve"> ASANA, INC., a Delaware corporation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Tenant</w:t>
      </w:r>
      <w:r>
        <w:rPr>
          <w:rFonts w:ascii="Times New Roman" w:cs="Times New Roman" w:eastAsia="Times New Roman" w:hAnsi="Times New Roman"/>
          <w:sz w:val="19"/>
          <w:szCs w:val="19"/>
          <w:color w:val="auto"/>
        </w:rPr>
        <w: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166" w:lineRule="exact"/>
        <w:rPr>
          <w:sz w:val="20"/>
          <w:szCs w:val="20"/>
          <w:color w:val="auto"/>
        </w:rPr>
      </w:pPr>
    </w:p>
    <w:p>
      <w:pPr>
        <w:jc w:val="both"/>
        <w:ind w:left="640" w:right="300" w:hanging="634"/>
        <w:spacing w:after="0" w:line="264" w:lineRule="auto"/>
        <w:tabs>
          <w:tab w:leader="none" w:pos="63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Landlord and Tenant are parties to that certain lease dated February 22, 2019 (the “</w:t>
      </w:r>
      <w:r>
        <w:rPr>
          <w:rFonts w:ascii="Times New Roman" w:cs="Times New Roman" w:eastAsia="Times New Roman" w:hAnsi="Times New Roman"/>
          <w:sz w:val="19"/>
          <w:szCs w:val="19"/>
          <w:b w:val="1"/>
          <w:bCs w:val="1"/>
          <w:color w:val="auto"/>
        </w:rPr>
        <w:t>Original Lease</w:t>
      </w:r>
      <w:r>
        <w:rPr>
          <w:rFonts w:ascii="Times New Roman" w:cs="Times New Roman" w:eastAsia="Times New Roman" w:hAnsi="Times New Roman"/>
          <w:sz w:val="19"/>
          <w:szCs w:val="19"/>
          <w:color w:val="auto"/>
        </w:rPr>
        <w:t>”), as amended by that certain First Amendment dated February 21, 2020 (the “</w:t>
      </w:r>
      <w:r>
        <w:rPr>
          <w:rFonts w:ascii="Times New Roman" w:cs="Times New Roman" w:eastAsia="Times New Roman" w:hAnsi="Times New Roman"/>
          <w:sz w:val="19"/>
          <w:szCs w:val="19"/>
          <w:b w:val="1"/>
          <w:bCs w:val="1"/>
          <w:color w:val="auto"/>
        </w:rPr>
        <w:t>First Amendment</w:t>
      </w:r>
      <w:r>
        <w:rPr>
          <w:rFonts w:ascii="Times New Roman" w:cs="Times New Roman" w:eastAsia="Times New Roman" w:hAnsi="Times New Roman"/>
          <w:sz w:val="19"/>
          <w:szCs w:val="19"/>
          <w:color w:val="auto"/>
        </w:rPr>
        <w:t>”), and that certain Second Amendment dated as of March 3, 2021 (the “</w:t>
      </w:r>
      <w:r>
        <w:rPr>
          <w:rFonts w:ascii="Times New Roman" w:cs="Times New Roman" w:eastAsia="Times New Roman" w:hAnsi="Times New Roman"/>
          <w:sz w:val="19"/>
          <w:szCs w:val="19"/>
          <w:b w:val="1"/>
          <w:bCs w:val="1"/>
          <w:color w:val="auto"/>
        </w:rPr>
        <w:t>Second Amendment</w:t>
      </w:r>
      <w:r>
        <w:rPr>
          <w:rFonts w:ascii="Times New Roman" w:cs="Times New Roman" w:eastAsia="Times New Roman" w:hAnsi="Times New Roman"/>
          <w:sz w:val="19"/>
          <w:szCs w:val="19"/>
          <w:color w:val="auto"/>
        </w:rPr>
        <w:t>” and together with the Original Lease and the First Amendment, collectively, the “</w:t>
      </w:r>
      <w:r>
        <w:rPr>
          <w:rFonts w:ascii="Times New Roman" w:cs="Times New Roman" w:eastAsia="Times New Roman" w:hAnsi="Times New Roman"/>
          <w:sz w:val="19"/>
          <w:szCs w:val="19"/>
          <w:b w:val="1"/>
          <w:bCs w:val="1"/>
          <w:color w:val="auto"/>
        </w:rPr>
        <w:t>Lease</w:t>
      </w:r>
      <w:r>
        <w:rPr>
          <w:rFonts w:ascii="Times New Roman" w:cs="Times New Roman" w:eastAsia="Times New Roman" w:hAnsi="Times New Roman"/>
          <w:sz w:val="19"/>
          <w:szCs w:val="19"/>
          <w:color w:val="auto"/>
        </w:rPr>
        <w:t xml:space="preserve">”). Pursuant to the Lease, Landlord has leased to Tenant space containing approximately </w:t>
      </w:r>
      <w:r>
        <w:rPr>
          <w:rFonts w:ascii="Times New Roman" w:cs="Times New Roman" w:eastAsia="Times New Roman" w:hAnsi="Times New Roman"/>
          <w:sz w:val="19"/>
          <w:szCs w:val="19"/>
          <w:b w:val="1"/>
          <w:bCs w:val="1"/>
          <w:color w:val="auto"/>
        </w:rPr>
        <w:t>265,890</w:t>
      </w:r>
      <w:r>
        <w:rPr>
          <w:rFonts w:ascii="Times New Roman" w:cs="Times New Roman" w:eastAsia="Times New Roman" w:hAnsi="Times New Roman"/>
          <w:sz w:val="19"/>
          <w:szCs w:val="19"/>
          <w:color w:val="auto"/>
        </w:rPr>
        <w:t xml:space="preserve"> rentable square feet (the “</w:t>
      </w:r>
      <w:r>
        <w:rPr>
          <w:rFonts w:ascii="Times New Roman" w:cs="Times New Roman" w:eastAsia="Times New Roman" w:hAnsi="Times New Roman"/>
          <w:sz w:val="19"/>
          <w:szCs w:val="19"/>
          <w:b w:val="1"/>
          <w:bCs w:val="1"/>
          <w:color w:val="auto"/>
        </w:rPr>
        <w:t>Premises</w:t>
      </w:r>
      <w:r>
        <w:rPr>
          <w:rFonts w:ascii="Times New Roman" w:cs="Times New Roman" w:eastAsia="Times New Roman" w:hAnsi="Times New Roman"/>
          <w:sz w:val="19"/>
          <w:szCs w:val="19"/>
          <w:color w:val="auto"/>
        </w:rPr>
        <w:t>”) on the ground, second, third, fourth, fifth, sixth, seventh, eighth, ninth, tenth, eleventh and twelfth floor(s) and rooftop terrace of the building located at 633 Folsom Street, San Francisco, California (the “</w:t>
      </w:r>
      <w:r>
        <w:rPr>
          <w:rFonts w:ascii="Times New Roman" w:cs="Times New Roman" w:eastAsia="Times New Roman" w:hAnsi="Times New Roman"/>
          <w:sz w:val="19"/>
          <w:szCs w:val="19"/>
          <w:b w:val="1"/>
          <w:bCs w:val="1"/>
          <w:color w:val="auto"/>
        </w:rPr>
        <w:t>Building</w:t>
      </w:r>
      <w:r>
        <w:rPr>
          <w:rFonts w:ascii="Times New Roman" w:cs="Times New Roman" w:eastAsia="Times New Roman" w:hAnsi="Times New Roman"/>
          <w:sz w:val="19"/>
          <w:szCs w:val="19"/>
          <w:color w:val="auto"/>
        </w:rPr>
        <w:t>”).</w:t>
      </w:r>
    </w:p>
    <w:p>
      <w:pPr>
        <w:spacing w:after="0" w:line="121" w:lineRule="exact"/>
        <w:rPr>
          <w:rFonts w:ascii="Times New Roman" w:cs="Times New Roman" w:eastAsia="Times New Roman" w:hAnsi="Times New Roman"/>
          <w:sz w:val="19"/>
          <w:szCs w:val="19"/>
          <w:color w:val="auto"/>
        </w:rPr>
      </w:pPr>
    </w:p>
    <w:p>
      <w:pPr>
        <w:jc w:val="both"/>
        <w:ind w:left="640" w:right="320" w:hanging="634"/>
        <w:spacing w:after="0" w:line="287" w:lineRule="auto"/>
        <w:tabs>
          <w:tab w:leader="none" w:pos="633"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Fitness Center Period (as defined in Section 1.2 of the First Amendment) shall expire on September 30, 2026 (the “</w:t>
      </w:r>
      <w:r>
        <w:rPr>
          <w:rFonts w:ascii="Times New Roman" w:cs="Times New Roman" w:eastAsia="Times New Roman" w:hAnsi="Times New Roman"/>
          <w:sz w:val="19"/>
          <w:szCs w:val="19"/>
          <w:b w:val="1"/>
          <w:bCs w:val="1"/>
          <w:color w:val="auto"/>
        </w:rPr>
        <w:t>Prior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Fitness Center Period End Date</w:t>
      </w:r>
      <w:r>
        <w:rPr>
          <w:rFonts w:ascii="Times New Roman" w:cs="Times New Roman" w:eastAsia="Times New Roman" w:hAnsi="Times New Roman"/>
          <w:sz w:val="19"/>
          <w:szCs w:val="19"/>
          <w:color w:val="auto"/>
        </w:rPr>
        <w:t>”), and the parties desire to extend the Fitness Center Period, all on the following terms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conditions.</w:t>
      </w:r>
    </w:p>
    <w:p>
      <w:pPr>
        <w:spacing w:after="0" w:line="339" w:lineRule="exact"/>
        <w:rPr>
          <w:sz w:val="20"/>
          <w:szCs w:val="20"/>
          <w:color w:val="auto"/>
        </w:rPr>
      </w:pPr>
    </w:p>
    <w:p>
      <w:pPr>
        <w:ind w:right="320" w:firstLine="635"/>
        <w:spacing w:after="0" w:line="289" w:lineRule="auto"/>
        <w:rPr>
          <w:sz w:val="20"/>
          <w:szCs w:val="20"/>
          <w:color w:val="auto"/>
        </w:rPr>
      </w:pPr>
      <w:r>
        <w:rPr>
          <w:rFonts w:ascii="Times New Roman" w:cs="Times New Roman" w:eastAsia="Times New Roman" w:hAnsi="Times New Roman"/>
          <w:sz w:val="19"/>
          <w:szCs w:val="19"/>
          <w:b w:val="1"/>
          <w:bCs w:val="1"/>
          <w:color w:val="auto"/>
        </w:rPr>
        <w:t xml:space="preserve">NOW, THEREFORE, </w:t>
      </w:r>
      <w:r>
        <w:rPr>
          <w:rFonts w:ascii="Times New Roman" w:cs="Times New Roman" w:eastAsia="Times New Roman" w:hAnsi="Times New Roman"/>
          <w:sz w:val="19"/>
          <w:szCs w:val="19"/>
          <w:color w:val="auto"/>
        </w:rPr>
        <w:t>in consideration of the mutual covenants and agreements herein contained and other good and valuable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consideration, the receipt and sufficiency of which are hereby acknowledged, Landlord and Tenant agree as follows:</w:t>
      </w:r>
    </w:p>
    <w:p>
      <w:pPr>
        <w:spacing w:after="0" w:line="97" w:lineRule="exact"/>
        <w:rPr>
          <w:sz w:val="20"/>
          <w:szCs w:val="20"/>
          <w:color w:val="auto"/>
        </w:rPr>
      </w:pPr>
    </w:p>
    <w:p>
      <w:pPr>
        <w:jc w:val="both"/>
        <w:ind w:left="640" w:right="300" w:hanging="634"/>
        <w:spacing w:after="0" w:line="265" w:lineRule="auto"/>
        <w:tabs>
          <w:tab w:leader="none" w:pos="64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Extension of Fitness Center Period.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Fitness Center Period is hereby extended for a period of twenty-four (24) months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expire on September 30, 2028 (the “</w:t>
      </w:r>
      <w:r>
        <w:rPr>
          <w:rFonts w:ascii="Times New Roman" w:cs="Times New Roman" w:eastAsia="Times New Roman" w:hAnsi="Times New Roman"/>
          <w:sz w:val="19"/>
          <w:szCs w:val="19"/>
          <w:b w:val="1"/>
          <w:bCs w:val="1"/>
          <w:color w:val="auto"/>
        </w:rPr>
        <w:t>Extended Fitness Center Period End Date</w:t>
      </w:r>
      <w:r>
        <w:rPr>
          <w:rFonts w:ascii="Times New Roman" w:cs="Times New Roman" w:eastAsia="Times New Roman" w:hAnsi="Times New Roman"/>
          <w:sz w:val="19"/>
          <w:szCs w:val="19"/>
          <w:color w:val="auto"/>
        </w:rPr>
        <w:t>”). That portion of the Fitness Center Period commencing on the date immediately following the Prior Fitness Center Period End Date (i.e., October 1, 2026) (the “</w:t>
      </w:r>
      <w:r>
        <w:rPr>
          <w:rFonts w:ascii="Times New Roman" w:cs="Times New Roman" w:eastAsia="Times New Roman" w:hAnsi="Times New Roman"/>
          <w:sz w:val="19"/>
          <w:szCs w:val="19"/>
          <w:b w:val="1"/>
          <w:bCs w:val="1"/>
          <w:color w:val="auto"/>
        </w:rPr>
        <w:t>Fitness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Center Period Extension Date</w:t>
      </w:r>
      <w:r>
        <w:rPr>
          <w:rFonts w:ascii="Times New Roman" w:cs="Times New Roman" w:eastAsia="Times New Roman" w:hAnsi="Times New Roman"/>
          <w:sz w:val="19"/>
          <w:szCs w:val="19"/>
          <w:color w:val="auto"/>
        </w:rPr>
        <w:t>”) and ending on the Extended Fitness Center Period End Date shall be referred to herein as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Extended Fitness Center Period</w:t>
      </w:r>
      <w:r>
        <w:rPr>
          <w:rFonts w:ascii="Times New Roman" w:cs="Times New Roman" w:eastAsia="Times New Roman" w:hAnsi="Times New Roman"/>
          <w:sz w:val="19"/>
          <w:szCs w:val="19"/>
          <w:color w:val="auto"/>
        </w:rPr>
        <w:t>”.</w:t>
      </w:r>
    </w:p>
    <w:p>
      <w:pPr>
        <w:spacing w:after="0" w:line="118" w:lineRule="exact"/>
        <w:rPr>
          <w:rFonts w:ascii="Times New Roman" w:cs="Times New Roman" w:eastAsia="Times New Roman" w:hAnsi="Times New Roman"/>
          <w:sz w:val="19"/>
          <w:szCs w:val="19"/>
          <w:color w:val="auto"/>
        </w:rPr>
      </w:pPr>
    </w:p>
    <w:p>
      <w:pPr>
        <w:jc w:val="both"/>
        <w:ind w:left="640" w:right="300" w:hanging="634"/>
        <w:spacing w:after="0" w:line="275" w:lineRule="auto"/>
        <w:tabs>
          <w:tab w:leader="none" w:pos="64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Base Membership Fee.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of the Fitness Center Period Extension Date, the Base Membership Fee (as defined in Section 1.3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First Amendment) payable by Tenant for use of the Fitness Center by Fitness Members (as defined in Section 1.2 of the First Amendment) during the Extended Fitness Center Period is the following:</w:t>
      </w:r>
    </w:p>
    <w:p>
      <w:pPr>
        <w:spacing w:after="0" w:line="223" w:lineRule="exact"/>
        <w:rPr>
          <w:sz w:val="20"/>
          <w:szCs w:val="20"/>
          <w:color w:val="auto"/>
        </w:rPr>
      </w:pPr>
    </w:p>
    <w:tbl>
      <w:tblPr>
        <w:tblLayout w:type="fixed"/>
        <w:tblInd w:w="650" w:type="dxa"/>
        <w:tblCellMar>
          <w:top w:w="0" w:type="dxa"/>
          <w:left w:w="0" w:type="dxa"/>
          <w:bottom w:w="0" w:type="dxa"/>
          <w:right w:w="0" w:type="dxa"/>
        </w:tblCellMar>
      </w:tblPr>
      <w:tr>
        <w:trPr>
          <w:trHeight w:val="336"/>
        </w:trPr>
        <w:tc>
          <w:tcPr>
            <w:tcW w:w="44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Period</w:t>
            </w:r>
          </w:p>
        </w:tc>
        <w:tc>
          <w:tcPr>
            <w:tcW w:w="4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Monthly Base Membership Fee</w:t>
            </w:r>
          </w:p>
        </w:tc>
      </w:tr>
      <w:tr>
        <w:trPr>
          <w:trHeight w:val="41"/>
        </w:trPr>
        <w:tc>
          <w:tcPr>
            <w:tcW w:w="44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52"/>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10/1/2026 – 9/30/2027</w:t>
            </w:r>
          </w:p>
        </w:tc>
        <w:tc>
          <w:tcPr>
            <w:tcW w:w="4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$67,574.00</w:t>
            </w:r>
          </w:p>
        </w:tc>
      </w:tr>
      <w:tr>
        <w:trPr>
          <w:trHeight w:val="252"/>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10/1/2027 – 9/30/2028</w:t>
            </w:r>
          </w:p>
        </w:tc>
        <w:tc>
          <w:tcPr>
            <w:tcW w:w="4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$69,263.35</w:t>
            </w:r>
          </w:p>
        </w:tc>
      </w:tr>
    </w:tbl>
    <w:p>
      <w:pPr>
        <w:spacing w:after="0" w:line="176" w:lineRule="exact"/>
        <w:rPr>
          <w:sz w:val="20"/>
          <w:szCs w:val="20"/>
          <w:color w:val="auto"/>
        </w:rPr>
      </w:pPr>
    </w:p>
    <w:p>
      <w:pPr>
        <w:jc w:val="both"/>
        <w:ind w:left="640" w:right="320"/>
        <w:spacing w:after="0" w:line="261" w:lineRule="auto"/>
        <w:rPr>
          <w:sz w:val="20"/>
          <w:szCs w:val="20"/>
          <w:color w:val="auto"/>
        </w:rPr>
      </w:pPr>
      <w:r>
        <w:rPr>
          <w:rFonts w:ascii="Times New Roman" w:cs="Times New Roman" w:eastAsia="Times New Roman" w:hAnsi="Times New Roman"/>
          <w:sz w:val="19"/>
          <w:szCs w:val="19"/>
          <w:color w:val="auto"/>
        </w:rPr>
        <w:t>Such Base Membership Fee shall be payable by Tenant in accordance with the terms of Section 1.3 of the First Amendment. Notwithstanding anything in the Lease, as amended hereby, to the contrary, so long as Tenant is not in default under the Lease, as amended hereby, beyond any applicable notice and cure periods, Tenant shall be entitled to an abatement of the Base Membership Fee as follows: (i) in the monthly amount of $67,574.00 for the months of October and November of 2026; and (ii) in the monthly amount of $69,263.35 for the months of October and November of 2027 (each period during which Tenant is entitled to receive an abatement of the Base Membership Fee hereunder is hereinafter referred to as a “</w:t>
      </w:r>
      <w:r>
        <w:rPr>
          <w:rFonts w:ascii="Times New Roman" w:cs="Times New Roman" w:eastAsia="Times New Roman" w:hAnsi="Times New Roman"/>
          <w:sz w:val="19"/>
          <w:szCs w:val="19"/>
          <w:b w:val="1"/>
          <w:bCs w:val="1"/>
          <w:color w:val="auto"/>
        </w:rPr>
        <w:t>Rent Abatement Period</w:t>
      </w:r>
      <w:r>
        <w:rPr>
          <w:rFonts w:ascii="Times New Roman" w:cs="Times New Roman" w:eastAsia="Times New Roman" w:hAnsi="Times New Roman"/>
          <w:sz w:val="19"/>
          <w:szCs w:val="19"/>
          <w:color w:val="auto"/>
        </w:rPr>
        <w:t>”). The maximum total amount of the Base Membership Fee abated in accordance with the foregoing</w:t>
      </w:r>
    </w:p>
    <w:p>
      <w:pPr>
        <w:spacing w:after="0" w:line="200" w:lineRule="exact"/>
        <w:rPr>
          <w:sz w:val="20"/>
          <w:szCs w:val="20"/>
          <w:color w:val="auto"/>
        </w:rPr>
      </w:pPr>
    </w:p>
    <w:p>
      <w:pPr>
        <w:spacing w:after="0" w:line="2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576"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9"/>
          <w:szCs w:val="19"/>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640" w:right="300"/>
        <w:spacing w:after="0" w:line="261" w:lineRule="auto"/>
        <w:rPr>
          <w:sz w:val="20"/>
          <w:szCs w:val="20"/>
          <w:color w:val="auto"/>
        </w:rPr>
      </w:pPr>
      <w:r>
        <w:rPr>
          <w:rFonts w:ascii="Times New Roman" w:cs="Times New Roman" w:eastAsia="Times New Roman" w:hAnsi="Times New Roman"/>
          <w:sz w:val="19"/>
          <w:szCs w:val="19"/>
          <w:color w:val="auto"/>
        </w:rPr>
        <w:t>shall equal $273,674.70 (the “</w:t>
      </w:r>
      <w:r>
        <w:rPr>
          <w:rFonts w:ascii="Times New Roman" w:cs="Times New Roman" w:eastAsia="Times New Roman" w:hAnsi="Times New Roman"/>
          <w:sz w:val="19"/>
          <w:szCs w:val="19"/>
          <w:b w:val="1"/>
          <w:bCs w:val="1"/>
          <w:color w:val="auto"/>
        </w:rPr>
        <w:t>Abated Base Membership Fee</w:t>
      </w:r>
      <w:r>
        <w:rPr>
          <w:rFonts w:ascii="Times New Roman" w:cs="Times New Roman" w:eastAsia="Times New Roman" w:hAnsi="Times New Roman"/>
          <w:sz w:val="19"/>
          <w:szCs w:val="19"/>
          <w:color w:val="auto"/>
        </w:rPr>
        <w:t>”). If Tenant defaults under the Lease, as amended hereby, beyond applicable notice and cure periods at any time during a Rent Abatement Period and fails to cure such default within any applicable cure period under the Lease, as amended hereby, then Tenant’s right to receive the Abated Base Membership Fee shall toll (and Tenant shall be required to pay the Base Membership Fee in full during such period of any Tenant default) until Tenant has cured, to Landlord’s reasonable satisfaction, such default and at such time Tenant shall be entitled to receive any unapplied portion of the Abated Base Membership Fee until fully applied. Only the Base Membership Fee shall be abated pursuant to this Section, as more particularly described herein, and all other Rent and other costs and charges specified in the Lease (including, without limitation, all Base Monthly Rental, Increased Expenses and Increased Taxes) shall remain as due and payable pursuant to the provisions of the Lease, as amended hereby.</w:t>
      </w:r>
    </w:p>
    <w:p>
      <w:pPr>
        <w:spacing w:after="0" w:line="118" w:lineRule="exact"/>
        <w:rPr>
          <w:sz w:val="20"/>
          <w:szCs w:val="20"/>
          <w:color w:val="auto"/>
        </w:rPr>
      </w:pPr>
    </w:p>
    <w:p>
      <w:pPr>
        <w:ind w:left="640" w:hanging="634"/>
        <w:spacing w:after="0"/>
        <w:tabs>
          <w:tab w:leader="none" w:pos="64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[Intentionally Omitted]</w:t>
      </w:r>
    </w:p>
    <w:p>
      <w:pPr>
        <w:spacing w:after="0" w:line="175" w:lineRule="exact"/>
        <w:rPr>
          <w:rFonts w:ascii="Times New Roman" w:cs="Times New Roman" w:eastAsia="Times New Roman" w:hAnsi="Times New Roman"/>
          <w:sz w:val="19"/>
          <w:szCs w:val="19"/>
          <w:color w:val="auto"/>
        </w:rPr>
      </w:pPr>
    </w:p>
    <w:p>
      <w:pPr>
        <w:jc w:val="both"/>
        <w:ind w:left="640" w:right="300" w:hanging="634"/>
        <w:spacing w:after="0" w:line="260" w:lineRule="auto"/>
        <w:tabs>
          <w:tab w:leader="none" w:pos="64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Fitness Center Period Extension.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Notwithstanding anything to the contrary contained in the Lease, as amended hereby, Tenant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have one (1) remaining option to request that the Fitness Center Period be extended through the Expiration Date (i.e., October 31, 2033) pursuant to Section 1.5 of the First Amendment (it being agreed, for the avoidance of doubt, that if Tenant does not timely and validly request such extension in writing in accordance with Section 1.5 of the First Amendment, then the terms of said Section 1.5 regarding Tenant’s obligation to pay the Reimbursement Amount, as defined therein, shall apply, and Tenant's rights to continue using the gas line shall be as set forth in Section 1.1 of the Second Amendment. Accordingly, Section 1.5 of the First Amendment is hereby amended as follows: (i) the reference therein to “for one (1) additional period of sixty (60) months” is hereby deleted in its entirety and replaced with “through October 31, 2033”, and (ii) all references therein to the “Fitness Center Period” are hereby amended to mean and refer to the “Extended Fitness Center Period”.</w:t>
      </w:r>
    </w:p>
    <w:p>
      <w:pPr>
        <w:spacing w:after="0" w:line="122" w:lineRule="exact"/>
        <w:rPr>
          <w:rFonts w:ascii="Times New Roman" w:cs="Times New Roman" w:eastAsia="Times New Roman" w:hAnsi="Times New Roman"/>
          <w:sz w:val="19"/>
          <w:szCs w:val="19"/>
          <w:color w:val="auto"/>
        </w:rPr>
      </w:pPr>
    </w:p>
    <w:p>
      <w:pPr>
        <w:ind w:left="640" w:hanging="634"/>
        <w:spacing w:after="0"/>
        <w:tabs>
          <w:tab w:leader="none" w:pos="64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Miscellaneous.</w:t>
      </w:r>
    </w:p>
    <w:p>
      <w:pPr>
        <w:spacing w:after="0" w:line="179" w:lineRule="exact"/>
        <w:rPr>
          <w:rFonts w:ascii="Times New Roman" w:cs="Times New Roman" w:eastAsia="Times New Roman" w:hAnsi="Times New Roman"/>
          <w:sz w:val="19"/>
          <w:szCs w:val="19"/>
          <w:color w:val="auto"/>
        </w:rPr>
      </w:pPr>
    </w:p>
    <w:p>
      <w:pPr>
        <w:jc w:val="right"/>
        <w:ind w:left="1260" w:right="320" w:hanging="636"/>
        <w:spacing w:after="0" w:line="26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5.1This Amendment, including </w:t>
      </w:r>
      <w:r>
        <w:rPr>
          <w:rFonts w:ascii="Times New Roman" w:cs="Times New Roman" w:eastAsia="Times New Roman" w:hAnsi="Times New Roman"/>
          <w:sz w:val="19"/>
          <w:szCs w:val="19"/>
          <w:b w:val="1"/>
          <w:bCs w:val="1"/>
          <w:color w:val="auto"/>
        </w:rPr>
        <w:t>Exhibit A</w:t>
      </w:r>
      <w:r>
        <w:rPr>
          <w:rFonts w:ascii="Times New Roman" w:cs="Times New Roman" w:eastAsia="Times New Roman" w:hAnsi="Times New Roman"/>
          <w:sz w:val="19"/>
          <w:szCs w:val="19"/>
          <w:color w:val="auto"/>
        </w:rPr>
        <w:t xml:space="preserve"> (Outline and Location of Boardroom) attached hereto, sets forth the entire agreement between the parties with respect to the matters set forth herein. There have been no additional oral or written representations or agreements. Under no circumstances shall Tenant be entitled to any additional rent abatement, improvement allowance, leasehold improvements, or other work to the Premises, or any similar economic incentives that may have been provided Tenant in connection with entering into the Lease, unless specifically set forth in this Amendment.</w:t>
      </w:r>
    </w:p>
    <w:p>
      <w:pPr>
        <w:spacing w:after="0" w:line="122" w:lineRule="exact"/>
        <w:rPr>
          <w:rFonts w:ascii="Times New Roman" w:cs="Times New Roman" w:eastAsia="Times New Roman" w:hAnsi="Times New Roman"/>
          <w:sz w:val="19"/>
          <w:szCs w:val="19"/>
          <w:color w:val="auto"/>
        </w:rPr>
      </w:pPr>
    </w:p>
    <w:p>
      <w:pPr>
        <w:ind w:left="1260" w:right="320" w:hanging="636"/>
        <w:spacing w:after="0" w:line="26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5.2Except as herein modified or amended, the provisions, conditions and terms of the Lease shall remain unchanged and in full force and effect. In the case of any inconsistency between the provisions of the Lease and this Amendment, the provisions of this Amendment shall govern and control. The capitalized terms used in this Amendment shall have the same definitions as set forth in the Lease to the extent that such capitalized terms are defined therein and not redefined in this Amendment.</w:t>
      </w:r>
    </w:p>
    <w:p>
      <w:pPr>
        <w:spacing w:after="0" w:line="125" w:lineRule="exact"/>
        <w:rPr>
          <w:rFonts w:ascii="Times New Roman" w:cs="Times New Roman" w:eastAsia="Times New Roman" w:hAnsi="Times New Roman"/>
          <w:sz w:val="19"/>
          <w:szCs w:val="19"/>
          <w:color w:val="auto"/>
        </w:rPr>
      </w:pPr>
    </w:p>
    <w:p>
      <w:pPr>
        <w:ind w:left="1260" w:right="320" w:hanging="636"/>
        <w:spacing w:after="0" w:line="27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5.3Submission of this Amendment by Landlord is not an offer to enter into this Amendment but rather is a solicitation for such an offer by Tenant. Landlord shall not be bound by this Amendment until Landlord has executed and delivered the same to Tenant.</w:t>
      </w:r>
    </w:p>
    <w:p>
      <w:pPr>
        <w:spacing w:after="0" w:line="102" w:lineRule="exact"/>
        <w:rPr>
          <w:rFonts w:ascii="Times New Roman" w:cs="Times New Roman" w:eastAsia="Times New Roman" w:hAnsi="Times New Roman"/>
          <w:sz w:val="19"/>
          <w:szCs w:val="19"/>
          <w:color w:val="auto"/>
        </w:rPr>
      </w:pPr>
    </w:p>
    <w:p>
      <w:pPr>
        <w:ind w:left="1260" w:right="320" w:hanging="636"/>
        <w:spacing w:after="0" w:line="23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5.4Tenant hereby represents to Landlord that Tenant has dealt with no broker in connection with this Amendment. Tenant agrees to indemnify and hold Landlord and the Landlord Parties harmless from all claims of any brokers claiming to have represented Tenant in connection with this Amendment.</w:t>
      </w: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576"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9"/>
          <w:szCs w:val="19"/>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20" w:right="320" w:hanging="635"/>
        <w:spacing w:after="0" w:line="273" w:lineRule="auto"/>
        <w:tabs>
          <w:tab w:leader="none" w:pos="600" w:val="left"/>
        </w:tabs>
        <w:rPr>
          <w:sz w:val="20"/>
          <w:szCs w:val="20"/>
          <w:color w:val="auto"/>
        </w:rPr>
      </w:pPr>
      <w:r>
        <w:rPr>
          <w:rFonts w:ascii="Times New Roman" w:cs="Times New Roman" w:eastAsia="Times New Roman" w:hAnsi="Times New Roman"/>
          <w:sz w:val="19"/>
          <w:szCs w:val="19"/>
          <w:color w:val="auto"/>
        </w:rPr>
        <w:t>5.5</w:t>
      </w:r>
      <w:r>
        <w:rPr>
          <w:sz w:val="20"/>
          <w:szCs w:val="20"/>
          <w:color w:val="auto"/>
        </w:rPr>
        <w:tab/>
      </w:r>
      <w:r>
        <w:rPr>
          <w:rFonts w:ascii="Times New Roman" w:cs="Times New Roman" w:eastAsia="Times New Roman" w:hAnsi="Times New Roman"/>
          <w:sz w:val="19"/>
          <w:szCs w:val="19"/>
          <w:color w:val="auto"/>
        </w:rPr>
        <w:t>At Landlord’s option, this Amendment shall be of no force and effect unless and until accepted by any guarantors of the Lease, who by signing below shall agree that their guaranty shall apply to the Lease as amended herein, unless such requirement is waived by Landlord in writing.</w:t>
      </w:r>
    </w:p>
    <w:p>
      <w:pPr>
        <w:spacing w:after="0" w:line="116" w:lineRule="exact"/>
        <w:rPr>
          <w:sz w:val="20"/>
          <w:szCs w:val="20"/>
          <w:color w:val="auto"/>
        </w:rPr>
      </w:pPr>
    </w:p>
    <w:p>
      <w:pPr>
        <w:jc w:val="both"/>
        <w:ind w:left="620" w:right="300" w:hanging="635"/>
        <w:spacing w:after="0" w:line="300" w:lineRule="auto"/>
        <w:tabs>
          <w:tab w:leader="none" w:pos="600" w:val="left"/>
        </w:tabs>
        <w:rPr>
          <w:sz w:val="20"/>
          <w:szCs w:val="20"/>
          <w:color w:val="auto"/>
        </w:rPr>
      </w:pPr>
      <w:r>
        <w:rPr>
          <w:rFonts w:ascii="Times New Roman" w:cs="Times New Roman" w:eastAsia="Times New Roman" w:hAnsi="Times New Roman"/>
          <w:sz w:val="19"/>
          <w:szCs w:val="19"/>
          <w:color w:val="auto"/>
        </w:rPr>
        <w:t>5.6</w:t>
      </w:r>
      <w:r>
        <w:rPr>
          <w:sz w:val="20"/>
          <w:szCs w:val="20"/>
          <w:color w:val="auto"/>
        </w:rPr>
        <w:tab/>
      </w:r>
      <w:r>
        <w:rPr>
          <w:rFonts w:ascii="Times New Roman" w:cs="Times New Roman" w:eastAsia="Times New Roman" w:hAnsi="Times New Roman"/>
          <w:sz w:val="19"/>
          <w:szCs w:val="19"/>
          <w:color w:val="auto"/>
        </w:rPr>
        <w:t>Paragraph 34.L, Paragraph 34.U, Paragraph 34.W and Paragraph 34.X of the Original Lease are all restated in their entireties as of the Effective Date and shall apply to this Amendment.</w:t>
      </w:r>
    </w:p>
    <w:p>
      <w:pPr>
        <w:spacing w:after="0" w:line="73" w:lineRule="exact"/>
        <w:rPr>
          <w:sz w:val="20"/>
          <w:szCs w:val="20"/>
          <w:color w:val="auto"/>
        </w:rPr>
      </w:pPr>
    </w:p>
    <w:p>
      <w:pPr>
        <w:jc w:val="both"/>
        <w:ind w:left="620" w:right="320" w:hanging="635"/>
        <w:spacing w:after="0" w:line="264" w:lineRule="auto"/>
        <w:tabs>
          <w:tab w:leader="none" w:pos="600" w:val="left"/>
        </w:tabs>
        <w:rPr>
          <w:sz w:val="20"/>
          <w:szCs w:val="20"/>
          <w:color w:val="auto"/>
        </w:rPr>
      </w:pPr>
      <w:r>
        <w:rPr>
          <w:rFonts w:ascii="Times New Roman" w:cs="Times New Roman" w:eastAsia="Times New Roman" w:hAnsi="Times New Roman"/>
          <w:sz w:val="19"/>
          <w:szCs w:val="19"/>
          <w:color w:val="auto"/>
        </w:rPr>
        <w:t>5.7</w:t>
      </w:r>
      <w:r>
        <w:rPr>
          <w:sz w:val="20"/>
          <w:szCs w:val="20"/>
          <w:color w:val="auto"/>
        </w:rPr>
        <w:tab/>
      </w:r>
      <w:r>
        <w:rPr>
          <w:rFonts w:ascii="Times New Roman" w:cs="Times New Roman" w:eastAsia="Times New Roman" w:hAnsi="Times New Roman"/>
          <w:sz w:val="19"/>
          <w:szCs w:val="19"/>
          <w:color w:val="auto"/>
        </w:rPr>
        <w:t>Each party to this Lease (the “</w:t>
      </w:r>
      <w:r>
        <w:rPr>
          <w:rFonts w:ascii="Times New Roman" w:cs="Times New Roman" w:eastAsia="Times New Roman" w:hAnsi="Times New Roman"/>
          <w:sz w:val="19"/>
          <w:szCs w:val="19"/>
          <w:b w:val="1"/>
          <w:bCs w:val="1"/>
          <w:color w:val="auto"/>
        </w:rPr>
        <w:t>representing party</w:t>
      </w:r>
      <w:r>
        <w:rPr>
          <w:rFonts w:ascii="Times New Roman" w:cs="Times New Roman" w:eastAsia="Times New Roman" w:hAnsi="Times New Roman"/>
          <w:sz w:val="19"/>
          <w:szCs w:val="19"/>
          <w:color w:val="auto"/>
        </w:rPr>
        <w:t>”) represents and warrants to the other party that this Lease was negotiated in the English language and that, in connection with its trade or business, the representing party negotiates and deals with third parties primarily in the English language. Tenant represents and warrants to Landlord that Tenant (a) does not do business as a restaurant with fewer than ten employees, (b) is not a nonprofit organization with fewer than 20 employees, (c) is not a sole proprietorship or business entity with five or fewer employees (including the owner, whether part-time or full-time), and (d) generally has sufficient access to loans, equity, or other financial capital to enter into this Lease and to conduct its business.</w:t>
      </w:r>
    </w:p>
    <w:p>
      <w:pPr>
        <w:spacing w:after="0" w:line="351" w:lineRule="exact"/>
        <w:rPr>
          <w:sz w:val="20"/>
          <w:szCs w:val="20"/>
          <w:color w:val="auto"/>
        </w:rPr>
      </w:pPr>
    </w:p>
    <w:p>
      <w:pPr>
        <w:jc w:val="both"/>
        <w:ind w:left="620" w:right="320" w:hanging="635"/>
        <w:spacing w:after="0" w:line="263" w:lineRule="auto"/>
        <w:tabs>
          <w:tab w:leader="none" w:pos="600" w:val="left"/>
        </w:tabs>
        <w:rPr>
          <w:sz w:val="20"/>
          <w:szCs w:val="20"/>
          <w:color w:val="auto"/>
        </w:rPr>
      </w:pPr>
      <w:r>
        <w:rPr>
          <w:rFonts w:ascii="Times New Roman" w:cs="Times New Roman" w:eastAsia="Times New Roman" w:hAnsi="Times New Roman"/>
          <w:sz w:val="19"/>
          <w:szCs w:val="19"/>
          <w:color w:val="auto"/>
        </w:rPr>
        <w:t>5.8</w:t>
      </w:r>
      <w:r>
        <w:rPr>
          <w:sz w:val="20"/>
          <w:szCs w:val="20"/>
          <w:color w:val="auto"/>
        </w:rPr>
        <w:tab/>
      </w:r>
      <w:r>
        <w:rPr>
          <w:rFonts w:ascii="Times New Roman" w:cs="Times New Roman" w:eastAsia="Times New Roman" w:hAnsi="Times New Roman"/>
          <w:sz w:val="19"/>
          <w:szCs w:val="19"/>
          <w:color w:val="auto"/>
        </w:rPr>
        <w:t>The parties hereto consent and agree that this Amendment may be signed and/or transmitted by facsimile, e-mail of a .pdf document or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(1) to the extent a party signs this Amendment using electronic signature technology, by clicking “SIGN”, such party is signing this Amendment electronically, and (2) the electronic signatures appearing on this Amendment shall be treated, for purposes of validity, enforceability and admissibility, the same as handwritten signatures.</w:t>
      </w:r>
    </w:p>
    <w:p>
      <w:pPr>
        <w:spacing w:after="0" w:line="113" w:lineRule="exact"/>
        <w:rPr>
          <w:sz w:val="20"/>
          <w:szCs w:val="20"/>
          <w:color w:val="auto"/>
        </w:rPr>
      </w:pPr>
    </w:p>
    <w:p>
      <w:pPr>
        <w:jc w:val="both"/>
        <w:ind w:left="620" w:right="320" w:hanging="635"/>
        <w:spacing w:after="0" w:line="300" w:lineRule="auto"/>
        <w:tabs>
          <w:tab w:leader="none" w:pos="600" w:val="left"/>
        </w:tabs>
        <w:rPr>
          <w:sz w:val="20"/>
          <w:szCs w:val="20"/>
          <w:color w:val="auto"/>
        </w:rPr>
      </w:pPr>
      <w:r>
        <w:rPr>
          <w:rFonts w:ascii="Times New Roman" w:cs="Times New Roman" w:eastAsia="Times New Roman" w:hAnsi="Times New Roman"/>
          <w:sz w:val="19"/>
          <w:szCs w:val="19"/>
          <w:color w:val="auto"/>
        </w:rPr>
        <w:t>5.9</w:t>
      </w:r>
      <w:r>
        <w:rPr>
          <w:sz w:val="20"/>
          <w:szCs w:val="20"/>
          <w:color w:val="auto"/>
        </w:rPr>
        <w:tab/>
      </w:r>
      <w:r>
        <w:rPr>
          <w:rFonts w:ascii="Times New Roman" w:cs="Times New Roman" w:eastAsia="Times New Roman" w:hAnsi="Times New Roman"/>
          <w:sz w:val="19"/>
          <w:szCs w:val="19"/>
          <w:color w:val="auto"/>
        </w:rPr>
        <w:t>Landlord represents that it has received the consent to this Amendment from the holders of all deeds of trust encumbering the Building and shall deliver a copy of such consent to Tenant concurrently with Landlord’s execution of this Amendment.</w:t>
      </w:r>
    </w:p>
    <w:p>
      <w:pPr>
        <w:spacing w:after="0" w:line="200" w:lineRule="exact"/>
        <w:rPr>
          <w:sz w:val="20"/>
          <w:szCs w:val="20"/>
          <w:color w:val="auto"/>
        </w:rPr>
      </w:pPr>
    </w:p>
    <w:p>
      <w:pPr>
        <w:spacing w:after="0" w:line="29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9"/>
          <w:szCs w:val="19"/>
          <w:i w:val="1"/>
          <w:iCs w:val="1"/>
          <w:color w:val="auto"/>
        </w:rPr>
        <w:t>[signatures on following page]</w:t>
      </w:r>
    </w:p>
    <w:p>
      <w:pPr>
        <w:spacing w:after="0" w:line="200" w:lineRule="exact"/>
        <w:rPr>
          <w:sz w:val="20"/>
          <w:szCs w:val="20"/>
          <w:color w:val="auto"/>
        </w:rPr>
      </w:pPr>
    </w:p>
    <w:p>
      <w:pPr>
        <w:spacing w:after="0" w:line="32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0600"/>
          </w:cols>
          <w:pgMar w:left="960" w:top="576"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9"/>
          <w:szCs w:val="19"/>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Landlord and Tenant have entered into and executed this Amendment as of the Effective Date.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LANDLORD</w:t>
            </w:r>
          </w:p>
        </w:tc>
        <w:tc>
          <w:tcPr>
            <w:tcW w:w="3140" w:type="dxa"/>
            <w:vAlign w:val="bottom"/>
          </w:tcPr>
          <w:p>
            <w:pPr>
              <w:ind w:left="1180"/>
              <w:spacing w:after="0"/>
              <w:rPr>
                <w:sz w:val="20"/>
                <w:szCs w:val="20"/>
                <w:color w:val="auto"/>
              </w:rPr>
            </w:pPr>
            <w:r>
              <w:rPr>
                <w:rFonts w:ascii="Times New Roman" w:cs="Times New Roman" w:eastAsia="Times New Roman" w:hAnsi="Times New Roman"/>
                <w:sz w:val="19"/>
                <w:szCs w:val="19"/>
                <w:b w:val="1"/>
                <w:bCs w:val="1"/>
                <w:color w:val="auto"/>
              </w:rPr>
              <w:t>TENANT:</w:t>
            </w:r>
          </w:p>
        </w:tc>
        <w:tc>
          <w:tcPr>
            <w:tcW w:w="0" w:type="dxa"/>
            <w:vAlign w:val="bottom"/>
          </w:tcPr>
          <w:p>
            <w:pPr>
              <w:spacing w:after="0"/>
              <w:rPr>
                <w:sz w:val="1"/>
                <w:szCs w:val="1"/>
                <w:color w:val="auto"/>
              </w:rPr>
            </w:pPr>
          </w:p>
        </w:tc>
      </w:tr>
      <w:tr>
        <w:trPr>
          <w:trHeight w:val="225"/>
        </w:trPr>
        <w:tc>
          <w:tcPr>
            <w:tcW w:w="42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SWIG 631 FOLSOM, LLC,</w:t>
            </w:r>
          </w:p>
        </w:tc>
        <w:tc>
          <w:tcPr>
            <w:tcW w:w="3140" w:type="dxa"/>
            <w:vAlign w:val="bottom"/>
          </w:tcPr>
          <w:p>
            <w:pPr>
              <w:ind w:left="1180"/>
              <w:spacing w:after="0"/>
              <w:rPr>
                <w:sz w:val="20"/>
                <w:szCs w:val="20"/>
                <w:color w:val="auto"/>
              </w:rPr>
            </w:pPr>
            <w:r>
              <w:rPr>
                <w:rFonts w:ascii="Times New Roman" w:cs="Times New Roman" w:eastAsia="Times New Roman" w:hAnsi="Times New Roman"/>
                <w:sz w:val="19"/>
                <w:szCs w:val="19"/>
                <w:b w:val="1"/>
                <w:bCs w:val="1"/>
                <w:color w:val="auto"/>
              </w:rPr>
              <w:t>ASANA, INC.,</w:t>
            </w:r>
          </w:p>
        </w:tc>
        <w:tc>
          <w:tcPr>
            <w:tcW w:w="0" w:type="dxa"/>
            <w:vAlign w:val="bottom"/>
          </w:tcPr>
          <w:p>
            <w:pPr>
              <w:spacing w:after="0"/>
              <w:rPr>
                <w:sz w:val="1"/>
                <w:szCs w:val="1"/>
                <w:color w:val="auto"/>
              </w:rPr>
            </w:pPr>
          </w:p>
        </w:tc>
      </w:tr>
      <w:tr>
        <w:trPr>
          <w:trHeight w:val="79"/>
        </w:trPr>
        <w:tc>
          <w:tcPr>
            <w:tcW w:w="4240" w:type="dxa"/>
            <w:vAlign w:val="bottom"/>
            <w:vMerge w:val="continue"/>
          </w:tcPr>
          <w:p>
            <w:pPr>
              <w:spacing w:after="0"/>
              <w:rPr>
                <w:sz w:val="6"/>
                <w:szCs w:val="6"/>
                <w:color w:val="auto"/>
              </w:rPr>
            </w:pPr>
          </w:p>
        </w:tc>
        <w:tc>
          <w:tcPr>
            <w:tcW w:w="3140" w:type="dxa"/>
            <w:vAlign w:val="bottom"/>
            <w:vMerge w:val="restart"/>
          </w:tcPr>
          <w:p>
            <w:pPr>
              <w:ind w:left="1180"/>
              <w:spacing w:after="0"/>
              <w:rPr>
                <w:sz w:val="20"/>
                <w:szCs w:val="20"/>
                <w:color w:val="auto"/>
              </w:rPr>
            </w:pPr>
            <w:r>
              <w:rPr>
                <w:rFonts w:ascii="Times New Roman" w:cs="Times New Roman" w:eastAsia="Times New Roman" w:hAnsi="Times New Roman"/>
                <w:sz w:val="19"/>
                <w:szCs w:val="19"/>
                <w:b w:val="1"/>
                <w:bCs w:val="1"/>
                <w:color w:val="auto"/>
              </w:rPr>
              <w:t>a Delaware corporation</w:t>
            </w:r>
          </w:p>
        </w:tc>
        <w:tc>
          <w:tcPr>
            <w:tcW w:w="0" w:type="dxa"/>
            <w:vAlign w:val="bottom"/>
          </w:tcPr>
          <w:p>
            <w:pPr>
              <w:spacing w:after="0"/>
              <w:rPr>
                <w:sz w:val="1"/>
                <w:szCs w:val="1"/>
                <w:color w:val="auto"/>
              </w:rPr>
            </w:pPr>
          </w:p>
        </w:tc>
      </w:tr>
      <w:tr>
        <w:trPr>
          <w:trHeight w:val="178"/>
        </w:trPr>
        <w:tc>
          <w:tcPr>
            <w:tcW w:w="42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a Delaware limited liability company</w:t>
            </w:r>
          </w:p>
        </w:tc>
        <w:tc>
          <w:tcPr>
            <w:tcW w:w="3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240" w:type="dxa"/>
            <w:vAlign w:val="bottom"/>
            <w:vMerge w:val="continue"/>
          </w:tcPr>
          <w:p>
            <w:pPr>
              <w:spacing w:after="0"/>
              <w:rPr>
                <w:sz w:val="6"/>
                <w:szCs w:val="6"/>
                <w:color w:val="auto"/>
              </w:rPr>
            </w:pPr>
          </w:p>
        </w:tc>
        <w:tc>
          <w:tcPr>
            <w:tcW w:w="3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By: The Swig Company, LLC, a Delaware limited</w:t>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liability company, as Property Manager</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By: /s/ William Sandman</w:t>
            </w: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By: /s/ Aziz Megji</w:t>
            </w:r>
          </w:p>
        </w:tc>
      </w:tr>
      <w:tr>
        <w:trPr>
          <w:trHeight w:val="20"/>
        </w:trPr>
        <w:tc>
          <w:tcPr>
            <w:tcW w:w="3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r>
        <w:trPr>
          <w:trHeight w:val="502"/>
        </w:trPr>
        <w:tc>
          <w:tcPr>
            <w:tcW w:w="22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Name: William A. Sandman</w:t>
            </w: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Name: Aziz Megji</w:t>
            </w:r>
          </w:p>
        </w:tc>
      </w:tr>
    </w:tbl>
    <w:p>
      <w:pPr>
        <w:spacing w:after="0" w:line="200" w:lineRule="exact"/>
        <w:rPr>
          <w:sz w:val="20"/>
          <w:szCs w:val="20"/>
          <w:color w:val="auto"/>
        </w:rPr>
      </w:pPr>
    </w:p>
    <w:p>
      <w:pPr>
        <w:sectPr>
          <w:pgSz w:w="11900" w:h="16838" w:orient="portrait"/>
          <w:cols w:equalWidth="0" w:num="1">
            <w:col w:w="11240"/>
          </w:cols>
          <w:pgMar w:left="320" w:top="576" w:right="339" w:bottom="1440" w:gutter="0" w:footer="0" w:header="0"/>
        </w:sectPr>
      </w:pPr>
    </w:p>
    <w:p>
      <w:pPr>
        <w:spacing w:after="0" w:line="90" w:lineRule="exact"/>
        <w:rPr>
          <w:sz w:val="20"/>
          <w:szCs w:val="20"/>
          <w:color w:val="auto"/>
        </w:rPr>
      </w:pPr>
    </w:p>
    <w:p>
      <w:pPr>
        <w:ind w:left="620" w:right="900" w:hanging="603"/>
        <w:spacing w:after="0" w:line="300" w:lineRule="auto"/>
        <w:tabs>
          <w:tab w:leader="none" w:pos="600" w:val="left"/>
        </w:tabs>
        <w:rPr>
          <w:sz w:val="20"/>
          <w:szCs w:val="20"/>
          <w:color w:val="auto"/>
        </w:rPr>
      </w:pPr>
      <w:r>
        <w:rPr>
          <w:rFonts w:ascii="Times New Roman" w:cs="Times New Roman" w:eastAsia="Times New Roman" w:hAnsi="Times New Roman"/>
          <w:sz w:val="19"/>
          <w:szCs w:val="19"/>
          <w:color w:val="auto"/>
        </w:rPr>
        <w:t>Title:</w:t>
        <w:tab/>
        <w:t>Executive Vice President and Director of Asset Management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 May 26, 2026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SIC HOLDINGS, LLC,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 Delaware limited liability company</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By: The Swig Company, LLC,</w:t>
      </w:r>
    </w:p>
    <w:p>
      <w:pPr>
        <w:spacing w:after="0" w:line="2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9"/>
          <w:szCs w:val="19"/>
          <w:color w:val="auto"/>
        </w:rPr>
        <w:t>a Delaware limited liability company, as Property</w:t>
      </w:r>
    </w:p>
    <w:p>
      <w:pPr>
        <w:spacing w:after="0" w:line="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Manager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/s/ William Sandman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-5715</wp:posOffset>
            </wp:positionV>
            <wp:extent cx="11595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115951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William A. Sandman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 Chief Financial Officer</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 May 26, 2026</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GUARANTOR: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Dustin Moskovitz</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DUSTIN MOSKOVITZ,</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an individual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 May 26, 2026</w:t>
      </w:r>
    </w:p>
    <w:p>
      <w:pPr>
        <w:spacing w:after="0" w:line="1273" w:lineRule="exact"/>
        <w:rPr>
          <w:sz w:val="20"/>
          <w:szCs w:val="20"/>
          <w:color w:val="auto"/>
        </w:rPr>
      </w:pPr>
    </w:p>
    <w:p>
      <w:pPr>
        <w:sectPr>
          <w:pgSz w:w="11900" w:h="16838" w:orient="portrait"/>
          <w:cols w:equalWidth="0" w:num="2">
            <w:col w:w="4700" w:space="720"/>
            <w:col w:w="5820"/>
          </w:cols>
          <w:pgMar w:left="320" w:top="576" w:right="339" w:bottom="1440" w:gutter="0" w:footer="0" w:header="0"/>
          <w:type w:val="continuous"/>
        </w:sectPr>
      </w:pPr>
    </w:p>
    <w:p>
      <w:pPr>
        <w:spacing w:after="0" w:line="5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color w:val="auto"/>
        </w:rPr>
        <w:t>Title:</w:t>
        <w:tab/>
        <w:t>Executive Vice President and Director of Asset Management</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 May 26, 2026</w:t>
      </w:r>
    </w:p>
    <w:p>
      <w:pPr>
        <w:spacing w:after="0" w:line="200" w:lineRule="exact"/>
        <w:rPr>
          <w:sz w:val="20"/>
          <w:szCs w:val="20"/>
          <w:color w:val="auto"/>
        </w:rPr>
      </w:pPr>
    </w:p>
    <w:p>
      <w:pPr>
        <w:spacing w:after="0" w:line="3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576" w:right="339" w:bottom="1440" w:gutter="0" w:footer="0" w:header="0"/>
          <w:type w:val="continuous"/>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Rogers, certify that:</w:t>
      </w:r>
    </w:p>
    <w:p>
      <w:pPr>
        <w:spacing w:after="0" w:line="270" w:lineRule="exact"/>
        <w:rPr>
          <w:sz w:val="20"/>
          <w:szCs w:val="20"/>
          <w:color w:val="auto"/>
        </w:rPr>
      </w:pPr>
    </w:p>
    <w:p>
      <w:pPr>
        <w:ind w:left="200" w:hanging="194"/>
        <w:spacing w:after="0"/>
        <w:tabs>
          <w:tab w:leader="none" w:pos="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Asana, Inc.;</w:t>
      </w:r>
    </w:p>
    <w:p>
      <w:pPr>
        <w:spacing w:after="0" w:line="270" w:lineRule="exact"/>
        <w:rPr>
          <w:rFonts w:ascii="Times New Roman" w:cs="Times New Roman" w:eastAsia="Times New Roman" w:hAnsi="Times New Roman"/>
          <w:sz w:val="18"/>
          <w:szCs w:val="18"/>
          <w:color w:val="auto"/>
        </w:rPr>
      </w:pPr>
    </w:p>
    <w:p>
      <w:pPr>
        <w:ind w:left="480" w:right="500" w:hanging="474"/>
        <w:spacing w:after="0" w:line="244" w:lineRule="auto"/>
        <w:tabs>
          <w:tab w:leader="none" w:pos="18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3" w:lineRule="exact"/>
        <w:rPr>
          <w:rFonts w:ascii="Times New Roman" w:cs="Times New Roman" w:eastAsia="Times New Roman" w:hAnsi="Times New Roman"/>
          <w:sz w:val="18"/>
          <w:szCs w:val="18"/>
          <w:color w:val="auto"/>
        </w:rPr>
      </w:pPr>
    </w:p>
    <w:p>
      <w:pPr>
        <w:ind w:left="480" w:right="80" w:hanging="474"/>
        <w:spacing w:after="0" w:line="258" w:lineRule="auto"/>
        <w:tabs>
          <w:tab w:leader="none" w:pos="18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0" w:lineRule="exact"/>
        <w:rPr>
          <w:rFonts w:ascii="Times New Roman" w:cs="Times New Roman" w:eastAsia="Times New Roman" w:hAnsi="Times New Roman"/>
          <w:sz w:val="18"/>
          <w:szCs w:val="18"/>
          <w:color w:val="auto"/>
        </w:rPr>
      </w:pPr>
    </w:p>
    <w:p>
      <w:pPr>
        <w:ind w:left="200" w:hanging="194"/>
        <w:spacing w:after="0"/>
        <w:tabs>
          <w:tab w:leader="none" w:pos="2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w:t>
      </w:r>
    </w:p>
    <w:p>
      <w:pPr>
        <w:spacing w:after="0" w:line="10" w:lineRule="exact"/>
        <w:rPr>
          <w:rFonts w:ascii="Times New Roman" w:cs="Times New Roman" w:eastAsia="Times New Roman" w:hAnsi="Times New Roman"/>
          <w:sz w:val="17"/>
          <w:szCs w:val="17"/>
          <w:color w:val="auto"/>
        </w:rPr>
      </w:pPr>
    </w:p>
    <w:p>
      <w:pPr>
        <w:ind w:left="480" w:right="340"/>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Act Rules 13a-15(e) and 15d-15(e)) and internal control over financial reporting (as defined in Exchange Act Rules 13a-15(f) and15d-15(f)) for the registrant and have:</w:t>
      </w:r>
    </w:p>
    <w:p>
      <w:pPr>
        <w:spacing w:after="0" w:line="246" w:lineRule="exact"/>
        <w:rPr>
          <w:rFonts w:ascii="Times New Roman" w:cs="Times New Roman" w:eastAsia="Times New Roman" w:hAnsi="Times New Roman"/>
          <w:sz w:val="17"/>
          <w:szCs w:val="17"/>
          <w:color w:val="auto"/>
        </w:rPr>
      </w:pPr>
    </w:p>
    <w:p>
      <w:pPr>
        <w:ind w:left="880" w:right="60" w:hanging="477"/>
        <w:spacing w:after="0" w:line="244" w:lineRule="auto"/>
        <w:tabs>
          <w:tab w:leader="none" w:pos="65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3" w:lineRule="exact"/>
        <w:rPr>
          <w:rFonts w:ascii="Times New Roman" w:cs="Times New Roman" w:eastAsia="Times New Roman" w:hAnsi="Times New Roman"/>
          <w:sz w:val="18"/>
          <w:szCs w:val="18"/>
          <w:color w:val="auto"/>
        </w:rPr>
      </w:pPr>
    </w:p>
    <w:p>
      <w:pPr>
        <w:ind w:left="880" w:right="40" w:hanging="477"/>
        <w:spacing w:after="0" w:line="244" w:lineRule="auto"/>
        <w:tabs>
          <w:tab w:leader="none" w:pos="66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3" w:lineRule="exact"/>
        <w:rPr>
          <w:rFonts w:ascii="Times New Roman" w:cs="Times New Roman" w:eastAsia="Times New Roman" w:hAnsi="Times New Roman"/>
          <w:sz w:val="18"/>
          <w:szCs w:val="18"/>
          <w:color w:val="auto"/>
        </w:rPr>
      </w:pPr>
    </w:p>
    <w:p>
      <w:pPr>
        <w:ind w:left="880" w:right="120" w:hanging="477"/>
        <w:spacing w:after="0" w:line="258" w:lineRule="auto"/>
        <w:tabs>
          <w:tab w:leader="none" w:pos="65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0" w:lineRule="exact"/>
        <w:rPr>
          <w:rFonts w:ascii="Times New Roman" w:cs="Times New Roman" w:eastAsia="Times New Roman" w:hAnsi="Times New Roman"/>
          <w:sz w:val="18"/>
          <w:szCs w:val="18"/>
          <w:color w:val="auto"/>
        </w:rPr>
      </w:pPr>
    </w:p>
    <w:p>
      <w:pPr>
        <w:ind w:left="880" w:right="20" w:hanging="477"/>
        <w:spacing w:after="0" w:line="244" w:lineRule="auto"/>
        <w:tabs>
          <w:tab w:leader="none" w:pos="66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rFonts w:ascii="Times New Roman" w:cs="Times New Roman" w:eastAsia="Times New Roman" w:hAnsi="Times New Roman"/>
          <w:sz w:val="18"/>
          <w:szCs w:val="18"/>
          <w:color w:val="auto"/>
        </w:rPr>
      </w:pPr>
    </w:p>
    <w:p>
      <w:pPr>
        <w:ind w:left="560" w:right="500" w:hanging="554"/>
        <w:spacing w:after="0" w:line="258" w:lineRule="auto"/>
        <w:tabs>
          <w:tab w:leader="none" w:pos="18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0" w:lineRule="exact"/>
        <w:rPr>
          <w:rFonts w:ascii="Times New Roman" w:cs="Times New Roman" w:eastAsia="Times New Roman" w:hAnsi="Times New Roman"/>
          <w:sz w:val="18"/>
          <w:szCs w:val="18"/>
          <w:color w:val="auto"/>
        </w:rPr>
      </w:pPr>
    </w:p>
    <w:p>
      <w:pPr>
        <w:ind w:left="880" w:right="20" w:hanging="477"/>
        <w:spacing w:after="0" w:line="258" w:lineRule="auto"/>
        <w:tabs>
          <w:tab w:leader="none" w:pos="65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0" w:lineRule="exact"/>
        <w:rPr>
          <w:rFonts w:ascii="Times New Roman" w:cs="Times New Roman" w:eastAsia="Times New Roman" w:hAnsi="Times New Roman"/>
          <w:sz w:val="18"/>
          <w:szCs w:val="18"/>
          <w:color w:val="auto"/>
        </w:rPr>
      </w:pPr>
    </w:p>
    <w:p>
      <w:pPr>
        <w:ind w:left="880" w:right="80" w:hanging="477"/>
        <w:spacing w:after="0" w:line="258" w:lineRule="auto"/>
        <w:tabs>
          <w:tab w:leader="none" w:pos="66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4880" w:val="left"/>
          <w:tab w:leader="none" w:pos="6880" w:val="left"/>
        </w:tabs>
        <w:rPr>
          <w:sz w:val="20"/>
          <w:szCs w:val="20"/>
          <w:color w:val="auto"/>
        </w:rPr>
      </w:pPr>
      <w:r>
        <w:rPr>
          <w:rFonts w:ascii="Times New Roman" w:cs="Times New Roman" w:eastAsia="Times New Roman" w:hAnsi="Times New Roman"/>
          <w:sz w:val="18"/>
          <w:szCs w:val="18"/>
          <w:color w:val="auto"/>
        </w:rPr>
        <w:t>Date: May 28, 2026</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color w:val="auto"/>
        </w:rPr>
        <w:t>/s/ Daniel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3369310</wp:posOffset>
            </wp:positionH>
            <wp:positionV relativeFrom="paragraph">
              <wp:posOffset>41275</wp:posOffset>
            </wp:positionV>
            <wp:extent cx="28098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2809875" cy="8255"/>
                    </a:xfrm>
                    <a:prstGeom prst="rect">
                      <a:avLst/>
                    </a:prstGeom>
                    <a:noFill/>
                  </pic:spPr>
                </pic:pic>
              </a:graphicData>
            </a:graphic>
          </wp:anchor>
        </w:drawing>
      </w:r>
    </w:p>
    <w:p>
      <w:pPr>
        <w:spacing w:after="0" w:line="65" w:lineRule="exact"/>
        <w:rPr>
          <w:sz w:val="20"/>
          <w:szCs w:val="20"/>
          <w:color w:val="auto"/>
        </w:rPr>
      </w:pPr>
    </w:p>
    <w:p>
      <w:pPr>
        <w:jc w:val="center"/>
        <w:ind w:left="3780"/>
        <w:spacing w:after="0"/>
        <w:rPr>
          <w:sz w:val="20"/>
          <w:szCs w:val="20"/>
          <w:color w:val="auto"/>
        </w:rPr>
      </w:pPr>
      <w:r>
        <w:rPr>
          <w:rFonts w:ascii="Times New Roman" w:cs="Times New Roman" w:eastAsia="Times New Roman" w:hAnsi="Times New Roman"/>
          <w:sz w:val="18"/>
          <w:szCs w:val="18"/>
          <w:b w:val="1"/>
          <w:bCs w:val="1"/>
          <w:color w:val="auto"/>
        </w:rPr>
        <w:t>Daniel Rogers</w:t>
      </w:r>
    </w:p>
    <w:p>
      <w:pPr>
        <w:spacing w:after="0" w:line="71" w:lineRule="exact"/>
        <w:rPr>
          <w:sz w:val="20"/>
          <w:szCs w:val="20"/>
          <w:color w:val="auto"/>
        </w:rPr>
      </w:pPr>
    </w:p>
    <w:p>
      <w:pPr>
        <w:jc w:val="center"/>
        <w:ind w:left="37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755"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Aziz Megji, certify that:</w:t>
      </w:r>
    </w:p>
    <w:p>
      <w:pPr>
        <w:spacing w:after="0" w:line="217" w:lineRule="exact"/>
        <w:rPr>
          <w:sz w:val="20"/>
          <w:szCs w:val="20"/>
          <w:color w:val="auto"/>
        </w:rPr>
      </w:pPr>
    </w:p>
    <w:p>
      <w:pPr>
        <w:ind w:left="420" w:hanging="414"/>
        <w:spacing w:after="0"/>
        <w:tabs>
          <w:tab w:leader="none" w:pos="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Asana, Inc.;</w:t>
      </w:r>
    </w:p>
    <w:p>
      <w:pPr>
        <w:spacing w:after="0" w:line="217" w:lineRule="exact"/>
        <w:rPr>
          <w:rFonts w:ascii="Times New Roman" w:cs="Times New Roman" w:eastAsia="Times New Roman" w:hAnsi="Times New Roman"/>
          <w:sz w:val="18"/>
          <w:szCs w:val="18"/>
          <w:color w:val="auto"/>
        </w:rPr>
      </w:pPr>
    </w:p>
    <w:p>
      <w:pPr>
        <w:ind w:left="440" w:right="40" w:hanging="434"/>
        <w:spacing w:after="0" w:line="304" w:lineRule="auto"/>
        <w:tabs>
          <w:tab w:leader="none" w:pos="431"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7"/>
          <w:szCs w:val="17"/>
          <w:color w:val="auto"/>
        </w:rPr>
      </w:pPr>
    </w:p>
    <w:p>
      <w:pPr>
        <w:ind w:left="440" w:right="500" w:hanging="434"/>
        <w:spacing w:after="0" w:line="274" w:lineRule="auto"/>
        <w:tabs>
          <w:tab w:leader="none" w:pos="43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left="440" w:right="160" w:hanging="434"/>
        <w:spacing w:after="0" w:line="259" w:lineRule="auto"/>
        <w:tabs>
          <w:tab w:leader="none" w:pos="43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and15d-15(f)) for the registrant and have:</w:t>
      </w:r>
    </w:p>
    <w:p>
      <w:pPr>
        <w:spacing w:after="0" w:line="177" w:lineRule="exact"/>
        <w:rPr>
          <w:rFonts w:ascii="Times New Roman" w:cs="Times New Roman" w:eastAsia="Times New Roman" w:hAnsi="Times New Roman"/>
          <w:sz w:val="18"/>
          <w:szCs w:val="18"/>
          <w:color w:val="auto"/>
        </w:rPr>
      </w:pPr>
    </w:p>
    <w:p>
      <w:pPr>
        <w:jc w:val="both"/>
        <w:ind w:left="880" w:right="400" w:hanging="441"/>
        <w:spacing w:after="0" w:line="259" w:lineRule="auto"/>
        <w:tabs>
          <w:tab w:leader="none" w:pos="8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880" w:right="40" w:hanging="441"/>
        <w:spacing w:after="0" w:line="259" w:lineRule="auto"/>
        <w:tabs>
          <w:tab w:leader="none" w:pos="83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880" w:right="820" w:hanging="441"/>
        <w:spacing w:after="0" w:line="304" w:lineRule="auto"/>
        <w:tabs>
          <w:tab w:leader="none" w:pos="82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jc w:val="both"/>
        <w:ind w:left="880" w:hanging="441"/>
        <w:spacing w:after="0" w:line="259" w:lineRule="auto"/>
        <w:tabs>
          <w:tab w:leader="none" w:pos="83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440" w:right="260" w:hanging="434"/>
        <w:spacing w:after="0" w:line="274" w:lineRule="auto"/>
        <w:tabs>
          <w:tab w:leader="none" w:pos="43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880" w:right="320" w:hanging="441"/>
        <w:spacing w:after="0" w:line="274" w:lineRule="auto"/>
        <w:tabs>
          <w:tab w:leader="none" w:pos="81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880" w:right="280" w:hanging="441"/>
        <w:spacing w:after="0" w:line="274" w:lineRule="auto"/>
        <w:tabs>
          <w:tab w:leader="none" w:pos="8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tabs>
          <w:tab w:leader="none" w:pos="4880" w:val="left"/>
          <w:tab w:leader="none" w:pos="7040" w:val="left"/>
        </w:tabs>
        <w:rPr>
          <w:sz w:val="20"/>
          <w:szCs w:val="20"/>
          <w:color w:val="auto"/>
        </w:rPr>
      </w:pPr>
      <w:r>
        <w:rPr>
          <w:rFonts w:ascii="Times New Roman" w:cs="Times New Roman" w:eastAsia="Times New Roman" w:hAnsi="Times New Roman"/>
          <w:sz w:val="18"/>
          <w:szCs w:val="18"/>
          <w:color w:val="auto"/>
        </w:rPr>
        <w:t>Date: May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Aziz Megji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40005</wp:posOffset>
            </wp:positionV>
            <wp:extent cx="27768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2776855" cy="8255"/>
                    </a:xfrm>
                    <a:prstGeom prst="rect">
                      <a:avLst/>
                    </a:prstGeom>
                    <a:noFill/>
                  </pic:spPr>
                </pic:pic>
              </a:graphicData>
            </a:graphic>
          </wp:anchor>
        </w:drawing>
      </w:r>
    </w:p>
    <w:p>
      <w:pPr>
        <w:spacing w:after="0" w:line="63" w:lineRule="exact"/>
        <w:rPr>
          <w:sz w:val="20"/>
          <w:szCs w:val="20"/>
          <w:color w:val="auto"/>
        </w:rPr>
      </w:pPr>
    </w:p>
    <w:p>
      <w:pPr>
        <w:jc w:val="center"/>
        <w:ind w:left="3880"/>
        <w:spacing w:after="0"/>
        <w:rPr>
          <w:sz w:val="20"/>
          <w:szCs w:val="20"/>
          <w:color w:val="auto"/>
        </w:rPr>
      </w:pPr>
      <w:r>
        <w:rPr>
          <w:rFonts w:ascii="Times New Roman" w:cs="Times New Roman" w:eastAsia="Times New Roman" w:hAnsi="Times New Roman"/>
          <w:sz w:val="18"/>
          <w:szCs w:val="18"/>
          <w:b w:val="1"/>
          <w:bCs w:val="1"/>
          <w:color w:val="auto"/>
        </w:rPr>
        <w:t>Aziz Megji</w:t>
      </w:r>
    </w:p>
    <w:p>
      <w:pPr>
        <w:spacing w:after="0" w:line="71" w:lineRule="exact"/>
        <w:rPr>
          <w:sz w:val="20"/>
          <w:szCs w:val="20"/>
          <w:color w:val="auto"/>
        </w:rPr>
      </w:pPr>
    </w:p>
    <w:p>
      <w:pPr>
        <w:jc w:val="center"/>
        <w:ind w:left="38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755"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ind w:right="100" w:firstLine="433"/>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Asana, Inc. (the “Company”) on Form 10-Q for the period ended April 30, 2026 as filed with the Securities and Exchange Commission on the date hereof (the “Report”), I certify, pursuant to 18 U.S.C. § 1350, as adopted pursuant to § 906 of the Sarbanes-Oxley Act of 2002, that, to the best of my knowledge:</w:t>
      </w:r>
    </w:p>
    <w:p>
      <w:pPr>
        <w:spacing w:after="0" w:line="178" w:lineRule="exact"/>
        <w:rPr>
          <w:sz w:val="20"/>
          <w:szCs w:val="20"/>
          <w:color w:val="auto"/>
        </w:rPr>
      </w:pPr>
    </w:p>
    <w:p>
      <w:pPr>
        <w:ind w:left="820" w:hanging="381"/>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left="820" w:hanging="381"/>
        <w:spacing w:after="0"/>
        <w:tabs>
          <w:tab w:leader="none" w:pos="8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08" w:lineRule="exact"/>
        <w:rPr>
          <w:sz w:val="20"/>
          <w:szCs w:val="20"/>
          <w:color w:val="auto"/>
        </w:rPr>
      </w:pPr>
    </w:p>
    <w:p>
      <w:pPr>
        <w:ind w:left="20"/>
        <w:spacing w:after="0"/>
        <w:tabs>
          <w:tab w:leader="none" w:pos="4860" w:val="left"/>
          <w:tab w:leader="none" w:pos="6820" w:val="left"/>
        </w:tabs>
        <w:rPr>
          <w:sz w:val="20"/>
          <w:szCs w:val="20"/>
          <w:color w:val="auto"/>
        </w:rPr>
      </w:pPr>
      <w:r>
        <w:rPr>
          <w:rFonts w:ascii="Times New Roman" w:cs="Times New Roman" w:eastAsia="Times New Roman" w:hAnsi="Times New Roman"/>
          <w:sz w:val="18"/>
          <w:szCs w:val="18"/>
          <w:color w:val="auto"/>
        </w:rPr>
        <w:t>Date: May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3402965</wp:posOffset>
            </wp:positionH>
            <wp:positionV relativeFrom="paragraph">
              <wp:posOffset>40005</wp:posOffset>
            </wp:positionV>
            <wp:extent cx="26587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2658745" cy="8255"/>
                    </a:xfrm>
                    <a:prstGeom prst="rect">
                      <a:avLst/>
                    </a:prstGeom>
                    <a:noFill/>
                  </pic:spPr>
                </pic:pic>
              </a:graphicData>
            </a:graphic>
          </wp:anchor>
        </w:drawing>
      </w:r>
    </w:p>
    <w:p>
      <w:pPr>
        <w:spacing w:after="0" w:line="63"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8"/>
          <w:szCs w:val="18"/>
          <w:b w:val="1"/>
          <w:bCs w:val="1"/>
          <w:color w:val="auto"/>
        </w:rPr>
        <w:t>Daniel Rogers</w:t>
      </w:r>
    </w:p>
    <w:p>
      <w:pPr>
        <w:spacing w:after="0" w:line="71"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755"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ind w:right="100" w:firstLine="433"/>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Asana, Inc. (the “Company”) on Form 10-Q for the period ended April 30, 2026 as filed with the Securities and Exchange Commission on the date hereof (the “Report”), I certify, pursuant to 18 U.S.C. § 1350, as adopted pursuant to § 906 of the Sarbanes-Oxley Act of 2002, that, to the best of my knowledge:</w:t>
      </w:r>
    </w:p>
    <w:p>
      <w:pPr>
        <w:spacing w:after="0" w:line="178" w:lineRule="exact"/>
        <w:rPr>
          <w:sz w:val="20"/>
          <w:szCs w:val="20"/>
          <w:color w:val="auto"/>
        </w:rPr>
      </w:pPr>
    </w:p>
    <w:p>
      <w:pPr>
        <w:ind w:left="820" w:hanging="381"/>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left="820" w:hanging="381"/>
        <w:spacing w:after="0"/>
        <w:tabs>
          <w:tab w:leader="none" w:pos="8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08" w:lineRule="exact"/>
        <w:rPr>
          <w:sz w:val="20"/>
          <w:szCs w:val="20"/>
          <w:color w:val="auto"/>
        </w:rPr>
      </w:pPr>
    </w:p>
    <w:p>
      <w:pPr>
        <w:ind w:left="20"/>
        <w:spacing w:after="0"/>
        <w:tabs>
          <w:tab w:leader="none" w:pos="4860" w:val="left"/>
          <w:tab w:leader="none" w:pos="6920" w:val="left"/>
        </w:tabs>
        <w:rPr>
          <w:sz w:val="20"/>
          <w:szCs w:val="20"/>
          <w:color w:val="auto"/>
        </w:rPr>
      </w:pPr>
      <w:r>
        <w:rPr>
          <w:rFonts w:ascii="Times New Roman" w:cs="Times New Roman" w:eastAsia="Times New Roman" w:hAnsi="Times New Roman"/>
          <w:sz w:val="18"/>
          <w:szCs w:val="18"/>
          <w:color w:val="auto"/>
        </w:rPr>
        <w:t>Date: May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Aziz Megji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3402965</wp:posOffset>
            </wp:positionH>
            <wp:positionV relativeFrom="paragraph">
              <wp:posOffset>40005</wp:posOffset>
            </wp:positionV>
            <wp:extent cx="26587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2658745" cy="8255"/>
                    </a:xfrm>
                    <a:prstGeom prst="rect">
                      <a:avLst/>
                    </a:prstGeom>
                    <a:noFill/>
                  </pic:spPr>
                </pic:pic>
              </a:graphicData>
            </a:graphic>
          </wp:anchor>
        </w:drawing>
      </w:r>
    </w:p>
    <w:p>
      <w:pPr>
        <w:spacing w:after="0" w:line="63"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8"/>
          <w:szCs w:val="18"/>
          <w:b w:val="1"/>
          <w:bCs w:val="1"/>
          <w:color w:val="auto"/>
        </w:rPr>
        <w:t>Aziz Megji</w:t>
      </w:r>
    </w:p>
    <w:p>
      <w:pPr>
        <w:spacing w:after="0" w:line="71"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7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04"/>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1."/>
      <w:numFmt w:val="upperLetter"/>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2"/>
    </w:lvl>
  </w:abstractNum>
  <w:abstractNum w:abstractNumId="26">
    <w:nsid w:val="737B8DDC"/>
    <w:multiLevelType w:val="hybridMultilevel"/>
    <w:lvl w:ilvl="0">
      <w:lvlJc w:val="left"/>
      <w:lvlText w:val="%1."/>
      <w:numFmt w:val="decimal"/>
      <w:start w:val="3"/>
    </w:lvl>
  </w:abstractNum>
  <w:abstractNum w:abstractNumId="27">
    <w:nsid w:val="6CEAF087"/>
    <w:multiLevelType w:val="hybridMultilevel"/>
    <w:lvl w:ilvl="0">
      <w:lvlJc w:val="left"/>
      <w:lvlText w:val="%1."/>
      <w:numFmt w:val="decimal"/>
      <w:start w:val="4"/>
    </w:lvl>
  </w:abstractNum>
  <w:abstractNum w:abstractNumId="28">
    <w:nsid w:val="22221A70"/>
    <w:multiLevelType w:val="hybridMultilevel"/>
    <w:lvl w:ilvl="0">
      <w:lvlJc w:val="left"/>
      <w:lvlText w:val="(%1)"/>
      <w:numFmt w:val="decimal"/>
      <w:start w:val="2"/>
    </w:lvl>
  </w:abstractNum>
  <w:abstractNum w:abstractNumId="29">
    <w:nsid w:val="4516DDE9"/>
    <w:multiLevelType w:val="hybridMultilevel"/>
    <w:lvl w:ilvl="0">
      <w:lvlJc w:val="left"/>
      <w:lvlText w:val="%1."/>
      <w:numFmt w:val="upperLetter"/>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3"/>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92" Type="http://schemas.openxmlformats.org/officeDocument/2006/relationships/hyperlink" Target="https://www.sec.gov/Archives/edgar/data/1477720/000119312520250298/d98181dex31.htm" TargetMode="External"/><Relationship Id="rId93" Type="http://schemas.openxmlformats.org/officeDocument/2006/relationships/hyperlink" Target="https://www.sec.gov/Archives/edgar/data/1477720/000147772023000055/aex31xamendedandrestatedby.htm" TargetMode="External"/><Relationship Id="rId94" Type="http://schemas.openxmlformats.org/officeDocument/2006/relationships/hyperlink" Target="https://www.sec.gov/Archives/edgar/data/1477720/000147772026000012/exhibit101-fifthamendmentt.htm" TargetMode="External"/><Relationship Id="rId95" Type="http://schemas.openxmlformats.org/officeDocument/2006/relationships/hyperlink" Target="https://www.sec.gov/Archives/edgar/data/1477720/000162828026013212/exhibit101-offerlettermegji.htm" TargetMode="External"/><Relationship Id="rId96" Type="http://schemas.openxmlformats.org/officeDocument/2006/relationships/hyperlink" Target="https://www.sec.gov/Archives/edgar/data/1477720/000147772026000019/exhibit101-incentivebonusp.htm" TargetMode="External"/><Relationship Id="rId97" Type="http://schemas.openxmlformats.org/officeDocument/2006/relationships/hyperlink" Target="https://www.sec.gov/Archives/edgar/data/1477720/000147772026000019/exhibit102amendedexecutiv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2026-05-28T17:16:51Z</dcterms:created>
  <dcterms:modified xsi:type="dcterms:W3CDTF">2026-05-28T17:16:51Z</dcterms:modified>
</cp:coreProperties>
</file>