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3"/>
          <w:szCs w:val="13"/>
          <w:b w:val="1"/>
          <w:bCs w:val="1"/>
          <w:u w:val="single" w:color="auto"/>
          <w:color w:val="0000EE"/>
        </w:rPr>
      </w:pP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0"/>
          <w:szCs w:val="10"/>
          <w:b w:val="1"/>
          <w:bCs w:val="1"/>
          <w:color w:val="auto"/>
        </w:rPr>
        <w:t>As filed with the Securities and Exchange Commission on September 18, 2020.</w:t>
      </w:r>
    </w:p>
    <w:p>
      <w:pPr>
        <w:spacing w:after="0" w:line="4" w:lineRule="exact"/>
        <w:rPr>
          <w:sz w:val="24"/>
          <w:szCs w:val="24"/>
          <w:color w:val="auto"/>
        </w:rPr>
      </w:pPr>
    </w:p>
    <w:p>
      <w:pPr>
        <w:jc w:val="right"/>
        <w:ind w:right="559"/>
        <w:spacing w:after="0"/>
        <w:rPr>
          <w:sz w:val="20"/>
          <w:szCs w:val="20"/>
          <w:color w:val="auto"/>
        </w:rPr>
      </w:pPr>
      <w:r>
        <w:rPr>
          <w:rFonts w:ascii="Times New Roman" w:cs="Times New Roman" w:eastAsia="Times New Roman" w:hAnsi="Times New Roman"/>
          <w:sz w:val="10"/>
          <w:szCs w:val="10"/>
          <w:b w:val="1"/>
          <w:bCs w:val="1"/>
          <w:color w:val="auto"/>
        </w:rPr>
        <w:t>Registration No. 333-248303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1075690</wp:posOffset>
            </wp:positionH>
            <wp:positionV relativeFrom="paragraph">
              <wp:posOffset>40640</wp:posOffset>
            </wp:positionV>
            <wp:extent cx="502285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22850" cy="6350"/>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71755</wp:posOffset>
            </wp:positionV>
            <wp:extent cx="502285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22850" cy="6350"/>
                    </a:xfrm>
                    <a:prstGeom prst="rect">
                      <a:avLst/>
                    </a:prstGeom>
                    <a:noFill/>
                  </pic:spPr>
                </pic:pic>
              </a:graphicData>
            </a:graphic>
          </wp:anchor>
        </w:drawing>
      </w:r>
    </w:p>
    <w:p>
      <w:pPr>
        <w:spacing w:after="0" w:line="15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1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3057525</wp:posOffset>
            </wp:positionH>
            <wp:positionV relativeFrom="paragraph">
              <wp:posOffset>70485</wp:posOffset>
            </wp:positionV>
            <wp:extent cx="105283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2830" cy="6350"/>
                    </a:xfrm>
                    <a:prstGeom prst="rect">
                      <a:avLst/>
                    </a:prstGeom>
                    <a:noFill/>
                  </pic:spPr>
                </pic:pic>
              </a:graphicData>
            </a:graphic>
          </wp:anchor>
        </w:drawing>
      </w:r>
    </w:p>
    <w:p>
      <w:pPr>
        <w:spacing w:after="0" w:line="10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AMENDMENT NO. 2 TO</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REGISTRATION STATEMENT</w:t>
      </w: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Under</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3057525</wp:posOffset>
            </wp:positionH>
            <wp:positionV relativeFrom="paragraph">
              <wp:posOffset>81915</wp:posOffset>
            </wp:positionV>
            <wp:extent cx="105283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2830" cy="6350"/>
                    </a:xfrm>
                    <a:prstGeom prst="rect">
                      <a:avLst/>
                    </a:prstGeom>
                    <a:noFill/>
                  </pic:spPr>
                </pic:pic>
              </a:graphicData>
            </a:graphic>
          </wp:anchor>
        </w:drawing>
      </w:r>
    </w:p>
    <w:p>
      <w:pPr>
        <w:spacing w:after="0" w:line="11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22"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0"/>
          <w:szCs w:val="10"/>
          <w:b w:val="1"/>
          <w:bCs w:val="1"/>
          <w:color w:val="auto"/>
        </w:rPr>
        <w:t>(Exact name of registrant as specified in its charter)</w:t>
      </w:r>
    </w:p>
    <w:p>
      <w:pPr>
        <w:spacing w:after="0" w:line="29" w:lineRule="exact"/>
        <w:rPr>
          <w:sz w:val="24"/>
          <w:szCs w:val="24"/>
          <w:color w:val="auto"/>
        </w:rPr>
      </w:pPr>
    </w:p>
    <w:tbl>
      <w:tblPr>
        <w:tblLayout w:type="fixed"/>
        <w:tblInd w:w="2360" w:type="dxa"/>
        <w:tblCellMar>
          <w:top w:w="0" w:type="dxa"/>
          <w:left w:w="0" w:type="dxa"/>
          <w:bottom w:w="0" w:type="dxa"/>
          <w:right w:w="0" w:type="dxa"/>
        </w:tblCellMar>
      </w:tblPr>
      <w:tr>
        <w:trPr>
          <w:trHeight w:val="115"/>
        </w:trPr>
        <w:tc>
          <w:tcPr>
            <w:tcW w:w="2040" w:type="dxa"/>
            <w:vAlign w:val="bottom"/>
          </w:tcPr>
          <w:p>
            <w:pPr>
              <w:jc w:val="center"/>
              <w:ind w:right="648"/>
              <w:spacing w:after="0"/>
              <w:rPr>
                <w:sz w:val="20"/>
                <w:szCs w:val="20"/>
                <w:color w:val="auto"/>
              </w:rPr>
            </w:pPr>
            <w:r>
              <w:rPr>
                <w:rFonts w:ascii="Times New Roman" w:cs="Times New Roman" w:eastAsia="Times New Roman" w:hAnsi="Times New Roman"/>
                <w:sz w:val="10"/>
                <w:szCs w:val="10"/>
                <w:b w:val="1"/>
                <w:bCs w:val="1"/>
                <w:color w:val="auto"/>
              </w:rPr>
              <w:t>Delaware</w:t>
            </w:r>
          </w:p>
        </w:tc>
        <w:tc>
          <w:tcPr>
            <w:tcW w:w="2760" w:type="dxa"/>
            <w:vAlign w:val="bottom"/>
          </w:tcPr>
          <w:p>
            <w:pPr>
              <w:jc w:val="center"/>
              <w:ind w:right="68"/>
              <w:spacing w:after="0"/>
              <w:rPr>
                <w:sz w:val="20"/>
                <w:szCs w:val="20"/>
                <w:color w:val="auto"/>
              </w:rPr>
            </w:pPr>
            <w:r>
              <w:rPr>
                <w:rFonts w:ascii="Times New Roman" w:cs="Times New Roman" w:eastAsia="Times New Roman" w:hAnsi="Times New Roman"/>
                <w:sz w:val="10"/>
                <w:szCs w:val="10"/>
                <w:b w:val="1"/>
                <w:bCs w:val="1"/>
                <w:color w:val="auto"/>
                <w:w w:val="99"/>
              </w:rPr>
              <w:t>7372</w:t>
            </w:r>
          </w:p>
        </w:tc>
        <w:tc>
          <w:tcPr>
            <w:tcW w:w="1560" w:type="dxa"/>
            <w:vAlign w:val="bottom"/>
          </w:tcPr>
          <w:p>
            <w:pPr>
              <w:jc w:val="center"/>
              <w:ind w:left="728"/>
              <w:spacing w:after="0"/>
              <w:rPr>
                <w:sz w:val="20"/>
                <w:szCs w:val="20"/>
                <w:color w:val="auto"/>
              </w:rPr>
            </w:pPr>
            <w:r>
              <w:rPr>
                <w:rFonts w:ascii="Times New Roman" w:cs="Times New Roman" w:eastAsia="Times New Roman" w:hAnsi="Times New Roman"/>
                <w:sz w:val="10"/>
                <w:szCs w:val="10"/>
                <w:b w:val="1"/>
                <w:bCs w:val="1"/>
                <w:color w:val="auto"/>
              </w:rPr>
              <w:t>26-3912448</w:t>
            </w:r>
          </w:p>
        </w:tc>
      </w:tr>
      <w:tr>
        <w:trPr>
          <w:trHeight w:val="107"/>
        </w:trPr>
        <w:tc>
          <w:tcPr>
            <w:tcW w:w="2040" w:type="dxa"/>
            <w:vAlign w:val="bottom"/>
          </w:tcPr>
          <w:p>
            <w:pPr>
              <w:jc w:val="center"/>
              <w:ind w:right="648"/>
              <w:spacing w:after="0" w:line="107" w:lineRule="exact"/>
              <w:rPr>
                <w:sz w:val="20"/>
                <w:szCs w:val="20"/>
                <w:color w:val="auto"/>
              </w:rPr>
            </w:pPr>
            <w:r>
              <w:rPr>
                <w:rFonts w:ascii="Times New Roman" w:cs="Times New Roman" w:eastAsia="Times New Roman" w:hAnsi="Times New Roman"/>
                <w:sz w:val="10"/>
                <w:szCs w:val="10"/>
                <w:b w:val="1"/>
                <w:bCs w:val="1"/>
                <w:color w:val="auto"/>
              </w:rPr>
              <w:t>(State or other jurisdiction of</w:t>
            </w:r>
          </w:p>
        </w:tc>
        <w:tc>
          <w:tcPr>
            <w:tcW w:w="2760" w:type="dxa"/>
            <w:vAlign w:val="bottom"/>
          </w:tcPr>
          <w:p>
            <w:pPr>
              <w:jc w:val="center"/>
              <w:ind w:right="68"/>
              <w:spacing w:after="0" w:line="107" w:lineRule="exact"/>
              <w:rPr>
                <w:sz w:val="20"/>
                <w:szCs w:val="20"/>
                <w:color w:val="auto"/>
              </w:rPr>
            </w:pPr>
            <w:r>
              <w:rPr>
                <w:rFonts w:ascii="Times New Roman" w:cs="Times New Roman" w:eastAsia="Times New Roman" w:hAnsi="Times New Roman"/>
                <w:sz w:val="10"/>
                <w:szCs w:val="10"/>
                <w:b w:val="1"/>
                <w:bCs w:val="1"/>
                <w:color w:val="auto"/>
              </w:rPr>
              <w:t>(Primary standard industrial</w:t>
            </w:r>
          </w:p>
        </w:tc>
        <w:tc>
          <w:tcPr>
            <w:tcW w:w="1560" w:type="dxa"/>
            <w:vAlign w:val="bottom"/>
          </w:tcPr>
          <w:p>
            <w:pPr>
              <w:jc w:val="center"/>
              <w:ind w:left="748"/>
              <w:spacing w:after="0" w:line="107"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4"/>
        </w:trPr>
        <w:tc>
          <w:tcPr>
            <w:tcW w:w="2040" w:type="dxa"/>
            <w:vAlign w:val="bottom"/>
          </w:tcPr>
          <w:p>
            <w:pPr>
              <w:jc w:val="center"/>
              <w:ind w:right="648"/>
              <w:spacing w:after="0"/>
              <w:rPr>
                <w:sz w:val="20"/>
                <w:szCs w:val="20"/>
                <w:color w:val="auto"/>
              </w:rPr>
            </w:pPr>
            <w:r>
              <w:rPr>
                <w:rFonts w:ascii="Times New Roman" w:cs="Times New Roman" w:eastAsia="Times New Roman" w:hAnsi="Times New Roman"/>
                <w:sz w:val="10"/>
                <w:szCs w:val="10"/>
                <w:b w:val="1"/>
                <w:bCs w:val="1"/>
                <w:color w:val="auto"/>
              </w:rPr>
              <w:t>incorporation or organization)</w:t>
            </w:r>
          </w:p>
        </w:tc>
        <w:tc>
          <w:tcPr>
            <w:tcW w:w="2760" w:type="dxa"/>
            <w:vAlign w:val="bottom"/>
          </w:tcPr>
          <w:p>
            <w:pPr>
              <w:jc w:val="center"/>
              <w:ind w:right="48"/>
              <w:spacing w:after="0"/>
              <w:rPr>
                <w:sz w:val="20"/>
                <w:szCs w:val="20"/>
                <w:color w:val="auto"/>
              </w:rPr>
            </w:pPr>
            <w:r>
              <w:rPr>
                <w:rFonts w:ascii="Times New Roman" w:cs="Times New Roman" w:eastAsia="Times New Roman" w:hAnsi="Times New Roman"/>
                <w:sz w:val="10"/>
                <w:szCs w:val="10"/>
                <w:b w:val="1"/>
                <w:bCs w:val="1"/>
                <w:color w:val="auto"/>
              </w:rPr>
              <w:t>code number)</w:t>
            </w:r>
          </w:p>
        </w:tc>
        <w:tc>
          <w:tcPr>
            <w:tcW w:w="1560" w:type="dxa"/>
            <w:vAlign w:val="bottom"/>
          </w:tcPr>
          <w:p>
            <w:pPr>
              <w:jc w:val="center"/>
              <w:ind w:left="728"/>
              <w:spacing w:after="0"/>
              <w:rPr>
                <w:sz w:val="20"/>
                <w:szCs w:val="20"/>
                <w:color w:val="auto"/>
              </w:rPr>
            </w:pPr>
            <w:r>
              <w:rPr>
                <w:rFonts w:ascii="Times New Roman" w:cs="Times New Roman" w:eastAsia="Times New Roman" w:hAnsi="Times New Roman"/>
                <w:sz w:val="10"/>
                <w:szCs w:val="10"/>
                <w:b w:val="1"/>
                <w:bCs w:val="1"/>
                <w:color w:val="auto"/>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3057525</wp:posOffset>
            </wp:positionH>
            <wp:positionV relativeFrom="paragraph">
              <wp:posOffset>73025</wp:posOffset>
            </wp:positionV>
            <wp:extent cx="105283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2830" cy="6350"/>
                    </a:xfrm>
                    <a:prstGeom prst="rect">
                      <a:avLst/>
                    </a:prstGeom>
                    <a:noFill/>
                  </pic:spPr>
                </pic:pic>
              </a:graphicData>
            </a:graphic>
          </wp:anchor>
        </w:drawing>
      </w:r>
    </w:p>
    <w:p>
      <w:pPr>
        <w:spacing w:after="0" w:line="10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0"/>
          <w:szCs w:val="10"/>
          <w:b w:val="1"/>
          <w:bCs w:val="1"/>
          <w:color w:val="auto"/>
        </w:rPr>
        <w:t>1550 Bryant Street, Suite 200</w:t>
      </w:r>
    </w:p>
    <w:p>
      <w:pPr>
        <w:jc w:val="center"/>
        <w:ind w:right="-1120"/>
        <w:spacing w:after="0" w:line="230" w:lineRule="auto"/>
        <w:rPr>
          <w:sz w:val="20"/>
          <w:szCs w:val="20"/>
          <w:color w:val="auto"/>
        </w:rPr>
      </w:pPr>
      <w:r>
        <w:rPr>
          <w:rFonts w:ascii="Times New Roman" w:cs="Times New Roman" w:eastAsia="Times New Roman" w:hAnsi="Times New Roman"/>
          <w:sz w:val="10"/>
          <w:szCs w:val="10"/>
          <w:b w:val="1"/>
          <w:bCs w:val="1"/>
          <w:color w:val="auto"/>
        </w:rPr>
        <w:t>San Francisco, CA 94103</w:t>
      </w:r>
    </w:p>
    <w:p>
      <w:pPr>
        <w:jc w:val="center"/>
        <w:ind w:right="-1120"/>
        <w:spacing w:after="0" w:line="222" w:lineRule="auto"/>
        <w:rPr>
          <w:sz w:val="20"/>
          <w:szCs w:val="20"/>
          <w:color w:val="auto"/>
        </w:rPr>
      </w:pPr>
      <w:r>
        <w:rPr>
          <w:rFonts w:ascii="Times New Roman" w:cs="Times New Roman" w:eastAsia="Times New Roman" w:hAnsi="Times New Roman"/>
          <w:sz w:val="10"/>
          <w:szCs w:val="10"/>
          <w:b w:val="1"/>
          <w:bCs w:val="1"/>
          <w:color w:val="auto"/>
        </w:rPr>
        <w:t>(415) 525-3888</w:t>
      </w:r>
    </w:p>
    <w:p>
      <w:pPr>
        <w:jc w:val="center"/>
        <w:ind w:right="-1120"/>
        <w:spacing w:after="0"/>
        <w:rPr>
          <w:sz w:val="20"/>
          <w:szCs w:val="20"/>
          <w:color w:val="auto"/>
        </w:rPr>
      </w:pPr>
      <w:r>
        <w:rPr>
          <w:rFonts w:ascii="Times New Roman" w:cs="Times New Roman" w:eastAsia="Times New Roman" w:hAnsi="Times New Roman"/>
          <w:sz w:val="10"/>
          <w:szCs w:val="10"/>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3057525</wp:posOffset>
            </wp:positionH>
            <wp:positionV relativeFrom="paragraph">
              <wp:posOffset>71755</wp:posOffset>
            </wp:positionV>
            <wp:extent cx="105283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2830" cy="6350"/>
                    </a:xfrm>
                    <a:prstGeom prst="rect">
                      <a:avLst/>
                    </a:prstGeom>
                    <a:noFill/>
                  </pic:spPr>
                </pic:pic>
              </a:graphicData>
            </a:graphic>
          </wp:anchor>
        </w:drawing>
      </w:r>
    </w:p>
    <w:p>
      <w:pPr>
        <w:spacing w:after="0" w:line="10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0"/>
          <w:szCs w:val="10"/>
          <w:b w:val="1"/>
          <w:bCs w:val="1"/>
          <w:color w:val="auto"/>
        </w:rPr>
        <w:t>Dustin Moskovitz</w:t>
      </w:r>
    </w:p>
    <w:p>
      <w:pPr>
        <w:jc w:val="center"/>
        <w:ind w:right="-1120"/>
        <w:spacing w:after="0" w:line="230" w:lineRule="auto"/>
        <w:rPr>
          <w:sz w:val="20"/>
          <w:szCs w:val="20"/>
          <w:color w:val="auto"/>
        </w:rPr>
      </w:pPr>
      <w:r>
        <w:rPr>
          <w:rFonts w:ascii="Times New Roman" w:cs="Times New Roman" w:eastAsia="Times New Roman" w:hAnsi="Times New Roman"/>
          <w:sz w:val="10"/>
          <w:szCs w:val="10"/>
          <w:b w:val="1"/>
          <w:bCs w:val="1"/>
          <w:color w:val="auto"/>
        </w:rPr>
        <w:t>President, Chief Executive Officer, and Chair</w:t>
      </w:r>
    </w:p>
    <w:p>
      <w:pPr>
        <w:jc w:val="center"/>
        <w:ind w:right="-1120"/>
        <w:spacing w:after="0" w:line="222" w:lineRule="auto"/>
        <w:rPr>
          <w:sz w:val="20"/>
          <w:szCs w:val="20"/>
          <w:color w:val="auto"/>
        </w:rPr>
      </w:pPr>
      <w:r>
        <w:rPr>
          <w:rFonts w:ascii="Times New Roman" w:cs="Times New Roman" w:eastAsia="Times New Roman" w:hAnsi="Times New Roman"/>
          <w:sz w:val="10"/>
          <w:szCs w:val="10"/>
          <w:b w:val="1"/>
          <w:bCs w:val="1"/>
          <w:color w:val="auto"/>
        </w:rPr>
        <w:t>Asana, Inc.</w:t>
      </w:r>
    </w:p>
    <w:p>
      <w:pPr>
        <w:jc w:val="center"/>
        <w:ind w:right="-1120"/>
        <w:spacing w:after="0" w:line="223" w:lineRule="auto"/>
        <w:rPr>
          <w:sz w:val="20"/>
          <w:szCs w:val="20"/>
          <w:color w:val="auto"/>
        </w:rPr>
      </w:pPr>
      <w:r>
        <w:rPr>
          <w:rFonts w:ascii="Times New Roman" w:cs="Times New Roman" w:eastAsia="Times New Roman" w:hAnsi="Times New Roman"/>
          <w:sz w:val="10"/>
          <w:szCs w:val="10"/>
          <w:b w:val="1"/>
          <w:bCs w:val="1"/>
          <w:color w:val="auto"/>
        </w:rPr>
        <w:t>1550 Bryant Street, Suite 200</w:t>
      </w:r>
    </w:p>
    <w:p>
      <w:pPr>
        <w:jc w:val="center"/>
        <w:ind w:right="-1120"/>
        <w:spacing w:after="0" w:line="222" w:lineRule="auto"/>
        <w:rPr>
          <w:sz w:val="20"/>
          <w:szCs w:val="20"/>
          <w:color w:val="auto"/>
        </w:rPr>
      </w:pPr>
      <w:r>
        <w:rPr>
          <w:rFonts w:ascii="Times New Roman" w:cs="Times New Roman" w:eastAsia="Times New Roman" w:hAnsi="Times New Roman"/>
          <w:sz w:val="10"/>
          <w:szCs w:val="10"/>
          <w:b w:val="1"/>
          <w:bCs w:val="1"/>
          <w:color w:val="auto"/>
        </w:rPr>
        <w:t>San Francisco, CA 94103</w:t>
      </w:r>
    </w:p>
    <w:p>
      <w:pPr>
        <w:jc w:val="center"/>
        <w:ind w:right="-1120"/>
        <w:spacing w:after="0" w:line="223" w:lineRule="auto"/>
        <w:rPr>
          <w:sz w:val="20"/>
          <w:szCs w:val="20"/>
          <w:color w:val="auto"/>
        </w:rPr>
      </w:pPr>
      <w:r>
        <w:rPr>
          <w:rFonts w:ascii="Times New Roman" w:cs="Times New Roman" w:eastAsia="Times New Roman" w:hAnsi="Times New Roman"/>
          <w:sz w:val="10"/>
          <w:szCs w:val="10"/>
          <w:b w:val="1"/>
          <w:bCs w:val="1"/>
          <w:color w:val="auto"/>
        </w:rPr>
        <w:t>(415) 525-3888</w:t>
      </w:r>
    </w:p>
    <w:p>
      <w:pPr>
        <w:jc w:val="center"/>
        <w:ind w:right="-1120"/>
        <w:spacing w:after="0"/>
        <w:rPr>
          <w:sz w:val="20"/>
          <w:szCs w:val="20"/>
          <w:color w:val="auto"/>
        </w:rPr>
      </w:pPr>
      <w:r>
        <w:rPr>
          <w:rFonts w:ascii="Times New Roman" w:cs="Times New Roman" w:eastAsia="Times New Roman" w:hAnsi="Times New Roman"/>
          <w:sz w:val="10"/>
          <w:szCs w:val="10"/>
          <w:b w:val="1"/>
          <w:bCs w:val="1"/>
          <w:color w:val="auto"/>
        </w:rPr>
        <w:t>(Name, address, including zip code, and telephone number, including area code, of agent for service)</w:t>
      </w:r>
    </w:p>
    <w:p>
      <w:pPr>
        <w:spacing w:after="0" w:line="93" w:lineRule="exact"/>
        <w:rPr>
          <w:sz w:val="24"/>
          <w:szCs w:val="24"/>
          <w:color w:val="auto"/>
        </w:rPr>
      </w:pPr>
    </w:p>
    <w:tbl>
      <w:tblPr>
        <w:tblLayout w:type="fixed"/>
        <w:tblInd w:w="2560" w:type="dxa"/>
        <w:tblCellMar>
          <w:top w:w="0" w:type="dxa"/>
          <w:left w:w="0" w:type="dxa"/>
          <w:bottom w:w="0" w:type="dxa"/>
          <w:right w:w="0" w:type="dxa"/>
        </w:tblCellMar>
      </w:tblPr>
      <w:tr>
        <w:trPr>
          <w:trHeight w:val="146"/>
        </w:trPr>
        <w:tc>
          <w:tcPr>
            <w:tcW w:w="2260" w:type="dxa"/>
            <w:vAlign w:val="bottom"/>
          </w:tcPr>
          <w:p>
            <w:pPr>
              <w:spacing w:after="0"/>
              <w:rPr>
                <w:sz w:val="12"/>
                <w:szCs w:val="12"/>
                <w:color w:val="auto"/>
              </w:rPr>
            </w:pPr>
          </w:p>
        </w:tc>
        <w:tc>
          <w:tcPr>
            <w:tcW w:w="166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0"/>
                <w:szCs w:val="10"/>
                <w:b w:val="1"/>
                <w:bCs w:val="1"/>
                <w:i w:val="1"/>
                <w:iCs w:val="1"/>
                <w:color w:val="auto"/>
              </w:rPr>
              <w:t>Copies to:</w:t>
            </w:r>
          </w:p>
        </w:tc>
        <w:tc>
          <w:tcPr>
            <w:tcW w:w="48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08"/>
        </w:trPr>
        <w:tc>
          <w:tcPr>
            <w:tcW w:w="2260" w:type="dxa"/>
            <w:vAlign w:val="bottom"/>
          </w:tcPr>
          <w:p>
            <w:pPr>
              <w:jc w:val="center"/>
              <w:ind w:right="1248"/>
              <w:spacing w:after="0" w:line="108" w:lineRule="exact"/>
              <w:rPr>
                <w:sz w:val="20"/>
                <w:szCs w:val="20"/>
                <w:color w:val="auto"/>
              </w:rPr>
            </w:pPr>
            <w:r>
              <w:rPr>
                <w:rFonts w:ascii="Times New Roman" w:cs="Times New Roman" w:eastAsia="Times New Roman" w:hAnsi="Times New Roman"/>
                <w:sz w:val="10"/>
                <w:szCs w:val="10"/>
                <w:b w:val="1"/>
                <w:bCs w:val="1"/>
                <w:color w:val="auto"/>
              </w:rPr>
              <w:t>David J. Segre, Esq.</w:t>
            </w:r>
          </w:p>
        </w:tc>
        <w:tc>
          <w:tcPr>
            <w:tcW w:w="2140" w:type="dxa"/>
            <w:vAlign w:val="bottom"/>
            <w:gridSpan w:val="2"/>
          </w:tcPr>
          <w:p>
            <w:pPr>
              <w:jc w:val="center"/>
              <w:ind w:right="340"/>
              <w:spacing w:after="0" w:line="108" w:lineRule="exact"/>
              <w:rPr>
                <w:sz w:val="20"/>
                <w:szCs w:val="20"/>
                <w:color w:val="auto"/>
              </w:rPr>
            </w:pPr>
            <w:r>
              <w:rPr>
                <w:rFonts w:ascii="Times New Roman" w:cs="Times New Roman" w:eastAsia="Times New Roman" w:hAnsi="Times New Roman"/>
                <w:sz w:val="10"/>
                <w:szCs w:val="10"/>
                <w:b w:val="1"/>
                <w:bCs w:val="1"/>
                <w:color w:val="auto"/>
              </w:rPr>
              <w:t>Stephen J. Venuto, Esq.</w:t>
            </w:r>
          </w:p>
        </w:tc>
        <w:tc>
          <w:tcPr>
            <w:tcW w:w="2300" w:type="dxa"/>
            <w:vAlign w:val="bottom"/>
          </w:tcPr>
          <w:p>
            <w:pPr>
              <w:jc w:val="center"/>
              <w:ind w:left="408"/>
              <w:spacing w:after="0" w:line="108" w:lineRule="exact"/>
              <w:rPr>
                <w:sz w:val="20"/>
                <w:szCs w:val="20"/>
                <w:color w:val="auto"/>
              </w:rPr>
            </w:pPr>
            <w:r>
              <w:rPr>
                <w:rFonts w:ascii="Times New Roman" w:cs="Times New Roman" w:eastAsia="Times New Roman" w:hAnsi="Times New Roman"/>
                <w:sz w:val="10"/>
                <w:szCs w:val="10"/>
                <w:b w:val="1"/>
                <w:bCs w:val="1"/>
                <w:color w:val="auto"/>
              </w:rPr>
              <w:t>Eleanor Lacey, Esq.</w:t>
            </w:r>
          </w:p>
        </w:tc>
      </w:tr>
      <w:tr>
        <w:trPr>
          <w:trHeight w:val="107"/>
        </w:trPr>
        <w:tc>
          <w:tcPr>
            <w:tcW w:w="2260" w:type="dxa"/>
            <w:vAlign w:val="bottom"/>
          </w:tcPr>
          <w:p>
            <w:pPr>
              <w:jc w:val="center"/>
              <w:ind w:right="1268"/>
              <w:spacing w:after="0" w:line="107" w:lineRule="exact"/>
              <w:rPr>
                <w:sz w:val="20"/>
                <w:szCs w:val="20"/>
                <w:color w:val="auto"/>
              </w:rPr>
            </w:pPr>
            <w:r>
              <w:rPr>
                <w:rFonts w:ascii="Times New Roman" w:cs="Times New Roman" w:eastAsia="Times New Roman" w:hAnsi="Times New Roman"/>
                <w:sz w:val="10"/>
                <w:szCs w:val="10"/>
                <w:b w:val="1"/>
                <w:bCs w:val="1"/>
                <w:color w:val="auto"/>
              </w:rPr>
              <w:t>Jon C. Avina, Esq.</w:t>
            </w:r>
          </w:p>
        </w:tc>
        <w:tc>
          <w:tcPr>
            <w:tcW w:w="2140" w:type="dxa"/>
            <w:vAlign w:val="bottom"/>
            <w:gridSpan w:val="2"/>
          </w:tcPr>
          <w:p>
            <w:pPr>
              <w:jc w:val="center"/>
              <w:ind w:right="340"/>
              <w:spacing w:after="0" w:line="107" w:lineRule="exact"/>
              <w:rPr>
                <w:sz w:val="20"/>
                <w:szCs w:val="20"/>
                <w:color w:val="auto"/>
              </w:rPr>
            </w:pPr>
            <w:r>
              <w:rPr>
                <w:rFonts w:ascii="Times New Roman" w:cs="Times New Roman" w:eastAsia="Times New Roman" w:hAnsi="Times New Roman"/>
                <w:sz w:val="10"/>
                <w:szCs w:val="10"/>
                <w:b w:val="1"/>
                <w:bCs w:val="1"/>
                <w:color w:val="auto"/>
              </w:rPr>
              <w:t>William L. Hughes, Esq.</w:t>
            </w:r>
          </w:p>
        </w:tc>
        <w:tc>
          <w:tcPr>
            <w:tcW w:w="2300" w:type="dxa"/>
            <w:vAlign w:val="bottom"/>
          </w:tcPr>
          <w:p>
            <w:pPr>
              <w:jc w:val="center"/>
              <w:ind w:left="388"/>
              <w:spacing w:after="0" w:line="107" w:lineRule="exact"/>
              <w:rPr>
                <w:sz w:val="20"/>
                <w:szCs w:val="20"/>
                <w:color w:val="auto"/>
              </w:rPr>
            </w:pPr>
            <w:r>
              <w:rPr>
                <w:rFonts w:ascii="Times New Roman" w:cs="Times New Roman" w:eastAsia="Times New Roman" w:hAnsi="Times New Roman"/>
                <w:sz w:val="10"/>
                <w:szCs w:val="10"/>
                <w:b w:val="1"/>
                <w:bCs w:val="1"/>
                <w:color w:val="auto"/>
              </w:rPr>
              <w:t>General Counsel and Corporate Secretary</w:t>
            </w:r>
          </w:p>
        </w:tc>
      </w:tr>
      <w:tr>
        <w:trPr>
          <w:trHeight w:val="107"/>
        </w:trPr>
        <w:tc>
          <w:tcPr>
            <w:tcW w:w="2260" w:type="dxa"/>
            <w:vAlign w:val="bottom"/>
          </w:tcPr>
          <w:p>
            <w:pPr>
              <w:jc w:val="center"/>
              <w:ind w:right="1268"/>
              <w:spacing w:after="0" w:line="107" w:lineRule="exact"/>
              <w:rPr>
                <w:sz w:val="20"/>
                <w:szCs w:val="20"/>
                <w:color w:val="auto"/>
              </w:rPr>
            </w:pPr>
            <w:r>
              <w:rPr>
                <w:rFonts w:ascii="Times New Roman" w:cs="Times New Roman" w:eastAsia="Times New Roman" w:hAnsi="Times New Roman"/>
                <w:sz w:val="10"/>
                <w:szCs w:val="10"/>
                <w:b w:val="1"/>
                <w:bCs w:val="1"/>
                <w:color w:val="auto"/>
              </w:rPr>
              <w:t>Calise Y. Cheng, Esq.</w:t>
            </w:r>
          </w:p>
        </w:tc>
        <w:tc>
          <w:tcPr>
            <w:tcW w:w="2140" w:type="dxa"/>
            <w:vAlign w:val="bottom"/>
            <w:gridSpan w:val="2"/>
          </w:tcPr>
          <w:p>
            <w:pPr>
              <w:jc w:val="center"/>
              <w:ind w:right="340"/>
              <w:spacing w:after="0" w:line="107" w:lineRule="exact"/>
              <w:rPr>
                <w:sz w:val="20"/>
                <w:szCs w:val="20"/>
                <w:color w:val="auto"/>
              </w:rPr>
            </w:pPr>
            <w:r>
              <w:rPr>
                <w:rFonts w:ascii="Times New Roman" w:cs="Times New Roman" w:eastAsia="Times New Roman" w:hAnsi="Times New Roman"/>
                <w:sz w:val="10"/>
                <w:szCs w:val="10"/>
                <w:b w:val="1"/>
                <w:bCs w:val="1"/>
                <w:color w:val="auto"/>
              </w:rPr>
              <w:t>Niki Fang, Esq.</w:t>
            </w:r>
          </w:p>
        </w:tc>
        <w:tc>
          <w:tcPr>
            <w:tcW w:w="2300" w:type="dxa"/>
            <w:vAlign w:val="bottom"/>
          </w:tcPr>
          <w:p>
            <w:pPr>
              <w:jc w:val="center"/>
              <w:ind w:left="388"/>
              <w:spacing w:after="0" w:line="107" w:lineRule="exact"/>
              <w:rPr>
                <w:sz w:val="20"/>
                <w:szCs w:val="20"/>
                <w:color w:val="auto"/>
              </w:rPr>
            </w:pPr>
            <w:r>
              <w:rPr>
                <w:rFonts w:ascii="Times New Roman" w:cs="Times New Roman" w:eastAsia="Times New Roman" w:hAnsi="Times New Roman"/>
                <w:sz w:val="10"/>
                <w:szCs w:val="10"/>
                <w:b w:val="1"/>
                <w:bCs w:val="1"/>
                <w:color w:val="auto"/>
              </w:rPr>
              <w:t>Asana, Inc.</w:t>
            </w:r>
          </w:p>
        </w:tc>
      </w:tr>
      <w:tr>
        <w:trPr>
          <w:trHeight w:val="107"/>
        </w:trPr>
        <w:tc>
          <w:tcPr>
            <w:tcW w:w="2260" w:type="dxa"/>
            <w:vAlign w:val="bottom"/>
          </w:tcPr>
          <w:p>
            <w:pPr>
              <w:jc w:val="center"/>
              <w:ind w:right="1268"/>
              <w:spacing w:after="0" w:line="107" w:lineRule="exact"/>
              <w:rPr>
                <w:sz w:val="20"/>
                <w:szCs w:val="20"/>
                <w:color w:val="auto"/>
              </w:rPr>
            </w:pPr>
            <w:r>
              <w:rPr>
                <w:rFonts w:ascii="Times New Roman" w:cs="Times New Roman" w:eastAsia="Times New Roman" w:hAnsi="Times New Roman"/>
                <w:sz w:val="10"/>
                <w:szCs w:val="10"/>
                <w:b w:val="1"/>
                <w:bCs w:val="1"/>
                <w:color w:val="auto"/>
              </w:rPr>
              <w:t>Cooley LLP</w:t>
            </w:r>
          </w:p>
        </w:tc>
        <w:tc>
          <w:tcPr>
            <w:tcW w:w="2140" w:type="dxa"/>
            <w:vAlign w:val="bottom"/>
            <w:gridSpan w:val="2"/>
          </w:tcPr>
          <w:p>
            <w:pPr>
              <w:jc w:val="center"/>
              <w:ind w:right="320"/>
              <w:spacing w:after="0" w:line="107" w:lineRule="exact"/>
              <w:rPr>
                <w:sz w:val="20"/>
                <w:szCs w:val="20"/>
                <w:color w:val="auto"/>
              </w:rPr>
            </w:pPr>
            <w:r>
              <w:rPr>
                <w:rFonts w:ascii="Times New Roman" w:cs="Times New Roman" w:eastAsia="Times New Roman" w:hAnsi="Times New Roman"/>
                <w:sz w:val="10"/>
                <w:szCs w:val="10"/>
                <w:b w:val="1"/>
                <w:bCs w:val="1"/>
                <w:color w:val="auto"/>
              </w:rPr>
              <w:t>Orrick, Herrington &amp; Sutcliffe LLP</w:t>
            </w:r>
          </w:p>
        </w:tc>
        <w:tc>
          <w:tcPr>
            <w:tcW w:w="2300" w:type="dxa"/>
            <w:vAlign w:val="bottom"/>
          </w:tcPr>
          <w:p>
            <w:pPr>
              <w:jc w:val="center"/>
              <w:ind w:left="408"/>
              <w:spacing w:after="0" w:line="107" w:lineRule="exact"/>
              <w:rPr>
                <w:sz w:val="20"/>
                <w:szCs w:val="20"/>
                <w:color w:val="auto"/>
              </w:rPr>
            </w:pPr>
            <w:r>
              <w:rPr>
                <w:rFonts w:ascii="Times New Roman" w:cs="Times New Roman" w:eastAsia="Times New Roman" w:hAnsi="Times New Roman"/>
                <w:sz w:val="10"/>
                <w:szCs w:val="10"/>
                <w:b w:val="1"/>
                <w:bCs w:val="1"/>
                <w:color w:val="auto"/>
              </w:rPr>
              <w:t>1550 Bryant Street, Suite 200</w:t>
            </w:r>
          </w:p>
        </w:tc>
      </w:tr>
      <w:tr>
        <w:trPr>
          <w:trHeight w:val="107"/>
        </w:trPr>
        <w:tc>
          <w:tcPr>
            <w:tcW w:w="2260" w:type="dxa"/>
            <w:vAlign w:val="bottom"/>
          </w:tcPr>
          <w:p>
            <w:pPr>
              <w:jc w:val="center"/>
              <w:ind w:right="1268"/>
              <w:spacing w:after="0" w:line="107" w:lineRule="exact"/>
              <w:rPr>
                <w:sz w:val="20"/>
                <w:szCs w:val="20"/>
                <w:color w:val="auto"/>
              </w:rPr>
            </w:pPr>
            <w:r>
              <w:rPr>
                <w:rFonts w:ascii="Times New Roman" w:cs="Times New Roman" w:eastAsia="Times New Roman" w:hAnsi="Times New Roman"/>
                <w:sz w:val="10"/>
                <w:szCs w:val="10"/>
                <w:b w:val="1"/>
                <w:bCs w:val="1"/>
                <w:color w:val="auto"/>
              </w:rPr>
              <w:t>3175 Hanover Street</w:t>
            </w:r>
          </w:p>
        </w:tc>
        <w:tc>
          <w:tcPr>
            <w:tcW w:w="2140" w:type="dxa"/>
            <w:vAlign w:val="bottom"/>
            <w:gridSpan w:val="2"/>
          </w:tcPr>
          <w:p>
            <w:pPr>
              <w:jc w:val="center"/>
              <w:ind w:right="320"/>
              <w:spacing w:after="0" w:line="107" w:lineRule="exact"/>
              <w:rPr>
                <w:sz w:val="20"/>
                <w:szCs w:val="20"/>
                <w:color w:val="auto"/>
              </w:rPr>
            </w:pPr>
            <w:r>
              <w:rPr>
                <w:rFonts w:ascii="Times New Roman" w:cs="Times New Roman" w:eastAsia="Times New Roman" w:hAnsi="Times New Roman"/>
                <w:sz w:val="10"/>
                <w:szCs w:val="10"/>
                <w:b w:val="1"/>
                <w:bCs w:val="1"/>
                <w:color w:val="auto"/>
              </w:rPr>
              <w:t>1000 Marsh Road</w:t>
            </w:r>
          </w:p>
        </w:tc>
        <w:tc>
          <w:tcPr>
            <w:tcW w:w="2300" w:type="dxa"/>
            <w:vAlign w:val="bottom"/>
          </w:tcPr>
          <w:p>
            <w:pPr>
              <w:jc w:val="center"/>
              <w:ind w:left="388"/>
              <w:spacing w:after="0" w:line="107" w:lineRule="exact"/>
              <w:rPr>
                <w:sz w:val="20"/>
                <w:szCs w:val="20"/>
                <w:color w:val="auto"/>
              </w:rPr>
            </w:pPr>
            <w:r>
              <w:rPr>
                <w:rFonts w:ascii="Times New Roman" w:cs="Times New Roman" w:eastAsia="Times New Roman" w:hAnsi="Times New Roman"/>
                <w:sz w:val="10"/>
                <w:szCs w:val="10"/>
                <w:b w:val="1"/>
                <w:bCs w:val="1"/>
                <w:color w:val="auto"/>
              </w:rPr>
              <w:t>San Francisco, CA 94103</w:t>
            </w:r>
          </w:p>
        </w:tc>
      </w:tr>
      <w:tr>
        <w:trPr>
          <w:trHeight w:val="107"/>
        </w:trPr>
        <w:tc>
          <w:tcPr>
            <w:tcW w:w="2260" w:type="dxa"/>
            <w:vAlign w:val="bottom"/>
          </w:tcPr>
          <w:p>
            <w:pPr>
              <w:jc w:val="center"/>
              <w:ind w:right="1268"/>
              <w:spacing w:after="0" w:line="107" w:lineRule="exact"/>
              <w:rPr>
                <w:sz w:val="20"/>
                <w:szCs w:val="20"/>
                <w:color w:val="auto"/>
              </w:rPr>
            </w:pPr>
            <w:r>
              <w:rPr>
                <w:rFonts w:ascii="Times New Roman" w:cs="Times New Roman" w:eastAsia="Times New Roman" w:hAnsi="Times New Roman"/>
                <w:sz w:val="10"/>
                <w:szCs w:val="10"/>
                <w:b w:val="1"/>
                <w:bCs w:val="1"/>
                <w:color w:val="auto"/>
              </w:rPr>
              <w:t>Palo Alto, CA 94304</w:t>
            </w:r>
          </w:p>
        </w:tc>
        <w:tc>
          <w:tcPr>
            <w:tcW w:w="2140" w:type="dxa"/>
            <w:vAlign w:val="bottom"/>
            <w:gridSpan w:val="2"/>
          </w:tcPr>
          <w:p>
            <w:pPr>
              <w:jc w:val="center"/>
              <w:ind w:right="320"/>
              <w:spacing w:after="0" w:line="107" w:lineRule="exact"/>
              <w:rPr>
                <w:sz w:val="20"/>
                <w:szCs w:val="20"/>
                <w:color w:val="auto"/>
              </w:rPr>
            </w:pPr>
            <w:r>
              <w:rPr>
                <w:rFonts w:ascii="Times New Roman" w:cs="Times New Roman" w:eastAsia="Times New Roman" w:hAnsi="Times New Roman"/>
                <w:sz w:val="10"/>
                <w:szCs w:val="10"/>
                <w:b w:val="1"/>
                <w:bCs w:val="1"/>
                <w:color w:val="auto"/>
              </w:rPr>
              <w:t>Menlo Park, CA 94025</w:t>
            </w:r>
          </w:p>
        </w:tc>
        <w:tc>
          <w:tcPr>
            <w:tcW w:w="2300" w:type="dxa"/>
            <w:vAlign w:val="bottom"/>
          </w:tcPr>
          <w:p>
            <w:pPr>
              <w:jc w:val="center"/>
              <w:ind w:left="408"/>
              <w:spacing w:after="0" w:line="107" w:lineRule="exact"/>
              <w:rPr>
                <w:sz w:val="20"/>
                <w:szCs w:val="20"/>
                <w:color w:val="auto"/>
              </w:rPr>
            </w:pPr>
            <w:r>
              <w:rPr>
                <w:rFonts w:ascii="Times New Roman" w:cs="Times New Roman" w:eastAsia="Times New Roman" w:hAnsi="Times New Roman"/>
                <w:sz w:val="10"/>
                <w:szCs w:val="10"/>
                <w:b w:val="1"/>
                <w:bCs w:val="1"/>
                <w:color w:val="auto"/>
              </w:rPr>
              <w:t>(415) 525-3888</w:t>
            </w:r>
          </w:p>
        </w:tc>
      </w:tr>
      <w:tr>
        <w:trPr>
          <w:trHeight w:val="134"/>
        </w:trPr>
        <w:tc>
          <w:tcPr>
            <w:tcW w:w="2260" w:type="dxa"/>
            <w:vAlign w:val="bottom"/>
          </w:tcPr>
          <w:p>
            <w:pPr>
              <w:jc w:val="center"/>
              <w:ind w:right="1268"/>
              <w:spacing w:after="0"/>
              <w:rPr>
                <w:sz w:val="20"/>
                <w:szCs w:val="20"/>
                <w:color w:val="auto"/>
              </w:rPr>
            </w:pPr>
            <w:r>
              <w:rPr>
                <w:rFonts w:ascii="Times New Roman" w:cs="Times New Roman" w:eastAsia="Times New Roman" w:hAnsi="Times New Roman"/>
                <w:sz w:val="10"/>
                <w:szCs w:val="10"/>
                <w:b w:val="1"/>
                <w:bCs w:val="1"/>
                <w:color w:val="auto"/>
              </w:rPr>
              <w:t>(650) 843-5000</w:t>
            </w:r>
          </w:p>
        </w:tc>
        <w:tc>
          <w:tcPr>
            <w:tcW w:w="1660" w:type="dxa"/>
            <w:vAlign w:val="bottom"/>
          </w:tcPr>
          <w:p>
            <w:pPr>
              <w:jc w:val="center"/>
              <w:ind w:left="88"/>
              <w:spacing w:after="0"/>
              <w:rPr>
                <w:sz w:val="20"/>
                <w:szCs w:val="20"/>
                <w:color w:val="auto"/>
              </w:rPr>
            </w:pPr>
            <w:r>
              <w:rPr>
                <w:rFonts w:ascii="Times New Roman" w:cs="Times New Roman" w:eastAsia="Times New Roman" w:hAnsi="Times New Roman"/>
                <w:sz w:val="10"/>
                <w:szCs w:val="10"/>
                <w:b w:val="1"/>
                <w:bCs w:val="1"/>
                <w:color w:val="auto"/>
              </w:rPr>
              <w:t>(650) 614-7400</w:t>
            </w:r>
          </w:p>
        </w:tc>
        <w:tc>
          <w:tcPr>
            <w:tcW w:w="480" w:type="dxa"/>
            <w:vAlign w:val="bottom"/>
          </w:tcPr>
          <w:p>
            <w:pPr>
              <w:spacing w:after="0"/>
              <w:rPr>
                <w:sz w:val="11"/>
                <w:szCs w:val="11"/>
                <w:color w:val="auto"/>
              </w:rPr>
            </w:pPr>
          </w:p>
        </w:tc>
        <w:tc>
          <w:tcPr>
            <w:tcW w:w="2300" w:type="dxa"/>
            <w:vAlign w:val="bottom"/>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3057525</wp:posOffset>
            </wp:positionH>
            <wp:positionV relativeFrom="paragraph">
              <wp:posOffset>73025</wp:posOffset>
            </wp:positionV>
            <wp:extent cx="105283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2830" cy="6350"/>
                    </a:xfrm>
                    <a:prstGeom prst="rect">
                      <a:avLst/>
                    </a:prstGeom>
                    <a:noFill/>
                  </pic:spPr>
                </pic:pic>
              </a:graphicData>
            </a:graphic>
          </wp:anchor>
        </w:drawing>
      </w:r>
    </w:p>
    <w:p>
      <w:pPr>
        <w:spacing w:after="0" w:line="108"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0"/>
          <w:szCs w:val="10"/>
          <w:b w:val="1"/>
          <w:bCs w:val="1"/>
          <w:color w:val="auto"/>
        </w:rPr>
        <w:t xml:space="preserve">Approximate date of commencement of proposed sale to the public: </w:t>
      </w:r>
      <w:r>
        <w:rPr>
          <w:rFonts w:ascii="Times New Roman" w:cs="Times New Roman" w:eastAsia="Times New Roman" w:hAnsi="Times New Roman"/>
          <w:sz w:val="10"/>
          <w:szCs w:val="10"/>
          <w:color w:val="auto"/>
        </w:rPr>
        <w:t>As soon as practicable after the effective date of this registration statement.</w:t>
      </w:r>
    </w:p>
    <w:p>
      <w:pPr>
        <w:spacing w:after="0" w:line="23" w:lineRule="exact"/>
        <w:rPr>
          <w:sz w:val="24"/>
          <w:szCs w:val="24"/>
          <w:color w:val="auto"/>
        </w:rPr>
      </w:pPr>
    </w:p>
    <w:p>
      <w:pPr>
        <w:ind w:left="1680" w:right="779" w:firstLine="316"/>
        <w:spacing w:after="0" w:line="130" w:lineRule="exact"/>
        <w:rPr>
          <w:sz w:val="20"/>
          <w:szCs w:val="20"/>
          <w:color w:val="auto"/>
        </w:rPr>
      </w:pPr>
      <w:r>
        <w:rPr>
          <w:rFonts w:ascii="Times New Roman" w:cs="Times New Roman" w:eastAsia="Times New Roman" w:hAnsi="Times New Roman"/>
          <w:sz w:val="10"/>
          <w:szCs w:val="10"/>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0"/>
          <w:szCs w:val="10"/>
          <w:color w:val="auto"/>
        </w:rPr>
        <w:t>☒</w:t>
      </w:r>
    </w:p>
    <w:p>
      <w:pPr>
        <w:spacing w:after="0" w:line="2" w:lineRule="exact"/>
        <w:rPr>
          <w:sz w:val="24"/>
          <w:szCs w:val="24"/>
          <w:color w:val="auto"/>
        </w:rPr>
      </w:pPr>
    </w:p>
    <w:p>
      <w:pPr>
        <w:ind w:left="1680" w:right="759" w:firstLine="316"/>
        <w:spacing w:after="0" w:line="130" w:lineRule="exact"/>
        <w:rPr>
          <w:sz w:val="20"/>
          <w:szCs w:val="20"/>
          <w:color w:val="auto"/>
        </w:rPr>
      </w:pPr>
      <w:r>
        <w:rPr>
          <w:rFonts w:ascii="Times New Roman" w:cs="Times New Roman" w:eastAsia="Times New Roman" w:hAnsi="Times New Roman"/>
          <w:sz w:val="10"/>
          <w:szCs w:val="10"/>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1" w:lineRule="exact"/>
        <w:rPr>
          <w:sz w:val="24"/>
          <w:szCs w:val="24"/>
          <w:color w:val="auto"/>
        </w:rPr>
      </w:pPr>
    </w:p>
    <w:p>
      <w:pPr>
        <w:ind w:left="1680" w:right="639" w:firstLine="316"/>
        <w:spacing w:after="0" w:line="127" w:lineRule="exact"/>
        <w:rPr>
          <w:sz w:val="20"/>
          <w:szCs w:val="20"/>
          <w:color w:val="auto"/>
        </w:rPr>
      </w:pPr>
      <w:r>
        <w:rPr>
          <w:rFonts w:ascii="Times New Roman" w:cs="Times New Roman" w:eastAsia="Times New Roman" w:hAnsi="Times New Roman"/>
          <w:sz w:val="10"/>
          <w:szCs w:val="10"/>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1" w:lineRule="exact"/>
        <w:rPr>
          <w:sz w:val="24"/>
          <w:szCs w:val="24"/>
          <w:color w:val="auto"/>
        </w:rPr>
      </w:pPr>
    </w:p>
    <w:p>
      <w:pPr>
        <w:ind w:left="1680" w:right="639" w:firstLine="316"/>
        <w:spacing w:after="0" w:line="130" w:lineRule="exact"/>
        <w:rPr>
          <w:sz w:val="20"/>
          <w:szCs w:val="20"/>
          <w:color w:val="auto"/>
        </w:rPr>
      </w:pPr>
      <w:r>
        <w:rPr>
          <w:rFonts w:ascii="Times New Roman" w:cs="Times New Roman" w:eastAsia="Times New Roman" w:hAnsi="Times New Roman"/>
          <w:sz w:val="10"/>
          <w:szCs w:val="10"/>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2" w:lineRule="exact"/>
        <w:rPr>
          <w:sz w:val="24"/>
          <w:szCs w:val="24"/>
          <w:color w:val="auto"/>
        </w:rPr>
      </w:pPr>
    </w:p>
    <w:p>
      <w:pPr>
        <w:ind w:left="1680" w:right="639" w:firstLine="316"/>
        <w:spacing w:after="0" w:line="249" w:lineRule="auto"/>
        <w:rPr>
          <w:sz w:val="20"/>
          <w:szCs w:val="20"/>
          <w:color w:val="auto"/>
        </w:rPr>
      </w:pPr>
      <w:r>
        <w:rPr>
          <w:rFonts w:ascii="Times New Roman" w:cs="Times New Roman" w:eastAsia="Times New Roman" w:hAnsi="Times New Roman"/>
          <w:sz w:val="10"/>
          <w:szCs w:val="10"/>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tbl>
      <w:tblPr>
        <w:tblLayout w:type="fixed"/>
        <w:tblInd w:w="1680" w:type="dxa"/>
        <w:tblCellMar>
          <w:top w:w="0" w:type="dxa"/>
          <w:left w:w="0" w:type="dxa"/>
          <w:bottom w:w="0" w:type="dxa"/>
          <w:right w:w="0" w:type="dxa"/>
        </w:tblCellMar>
      </w:tblPr>
      <w:tr>
        <w:trPr>
          <w:trHeight w:val="125"/>
        </w:trPr>
        <w:tc>
          <w:tcPr>
            <w:tcW w:w="1080" w:type="dxa"/>
            <w:vAlign w:val="bottom"/>
          </w:tcPr>
          <w:p>
            <w:pPr>
              <w:spacing w:after="0"/>
              <w:rPr>
                <w:sz w:val="20"/>
                <w:szCs w:val="20"/>
                <w:color w:val="auto"/>
              </w:rPr>
            </w:pPr>
            <w:r>
              <w:rPr>
                <w:rFonts w:ascii="Times New Roman" w:cs="Times New Roman" w:eastAsia="Times New Roman" w:hAnsi="Times New Roman"/>
                <w:sz w:val="10"/>
                <w:szCs w:val="10"/>
                <w:color w:val="auto"/>
              </w:rPr>
              <w:t>Large accelerated filer</w:t>
            </w:r>
          </w:p>
        </w:tc>
        <w:tc>
          <w:tcPr>
            <w:tcW w:w="2740" w:type="dxa"/>
            <w:vAlign w:val="bottom"/>
          </w:tcPr>
          <w:p>
            <w:pPr>
              <w:ind w:left="140"/>
              <w:spacing w:after="0" w:line="101" w:lineRule="exact"/>
              <w:rPr>
                <w:sz w:val="20"/>
                <w:szCs w:val="20"/>
                <w:color w:val="auto"/>
              </w:rPr>
            </w:pPr>
            <w:r>
              <w:rPr>
                <w:rFonts w:ascii="MS PGothic" w:cs="MS PGothic" w:eastAsia="MS PGothic" w:hAnsi="MS PGothic"/>
                <w:sz w:val="10"/>
                <w:szCs w:val="10"/>
                <w:color w:val="auto"/>
              </w:rPr>
              <w:t>☐</w:t>
            </w:r>
          </w:p>
        </w:tc>
        <w:tc>
          <w:tcPr>
            <w:tcW w:w="3800" w:type="dxa"/>
            <w:vAlign w:val="bottom"/>
          </w:tcPr>
          <w:p>
            <w:pPr>
              <w:ind w:left="2520"/>
              <w:spacing w:after="0"/>
              <w:rPr>
                <w:sz w:val="20"/>
                <w:szCs w:val="20"/>
                <w:color w:val="auto"/>
              </w:rPr>
            </w:pPr>
            <w:r>
              <w:rPr>
                <w:rFonts w:ascii="Times New Roman" w:cs="Times New Roman" w:eastAsia="Times New Roman" w:hAnsi="Times New Roman"/>
                <w:sz w:val="10"/>
                <w:szCs w:val="10"/>
                <w:color w:val="auto"/>
              </w:rPr>
              <w:t>Accelerated filer</w:t>
            </w:r>
          </w:p>
        </w:tc>
        <w:tc>
          <w:tcPr>
            <w:tcW w:w="240" w:type="dxa"/>
            <w:vAlign w:val="bottom"/>
          </w:tcPr>
          <w:p>
            <w:pPr>
              <w:ind w:left="1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26"/>
        </w:trPr>
        <w:tc>
          <w:tcPr>
            <w:tcW w:w="1080" w:type="dxa"/>
            <w:vAlign w:val="bottom"/>
          </w:tcPr>
          <w:p>
            <w:pPr>
              <w:spacing w:after="0"/>
              <w:rPr>
                <w:sz w:val="20"/>
                <w:szCs w:val="20"/>
                <w:color w:val="auto"/>
              </w:rPr>
            </w:pPr>
            <w:r>
              <w:rPr>
                <w:rFonts w:ascii="Times New Roman" w:cs="Times New Roman" w:eastAsia="Times New Roman" w:hAnsi="Times New Roman"/>
                <w:sz w:val="10"/>
                <w:szCs w:val="10"/>
                <w:color w:val="auto"/>
              </w:rPr>
              <w:t>Non-accelerated filer</w:t>
            </w:r>
          </w:p>
        </w:tc>
        <w:tc>
          <w:tcPr>
            <w:tcW w:w="2740" w:type="dxa"/>
            <w:vAlign w:val="bottom"/>
          </w:tcPr>
          <w:p>
            <w:pPr>
              <w:ind w:left="140"/>
              <w:spacing w:after="0" w:line="101" w:lineRule="exact"/>
              <w:rPr>
                <w:sz w:val="20"/>
                <w:szCs w:val="20"/>
                <w:color w:val="auto"/>
              </w:rPr>
            </w:pPr>
            <w:r>
              <w:rPr>
                <w:rFonts w:ascii="MS PGothic" w:cs="MS PGothic" w:eastAsia="MS PGothic" w:hAnsi="MS PGothic"/>
                <w:sz w:val="10"/>
                <w:szCs w:val="10"/>
                <w:color w:val="auto"/>
              </w:rPr>
              <w:t>☒</w:t>
            </w:r>
          </w:p>
        </w:tc>
        <w:tc>
          <w:tcPr>
            <w:tcW w:w="3800" w:type="dxa"/>
            <w:vAlign w:val="bottom"/>
          </w:tcPr>
          <w:p>
            <w:pPr>
              <w:ind w:left="2520"/>
              <w:spacing w:after="0"/>
              <w:rPr>
                <w:sz w:val="20"/>
                <w:szCs w:val="20"/>
                <w:color w:val="auto"/>
              </w:rPr>
            </w:pPr>
            <w:r>
              <w:rPr>
                <w:rFonts w:ascii="Times New Roman" w:cs="Times New Roman" w:eastAsia="Times New Roman" w:hAnsi="Times New Roman"/>
                <w:sz w:val="10"/>
                <w:szCs w:val="10"/>
                <w:color w:val="auto"/>
              </w:rPr>
              <w:t>Smaller reporting company</w:t>
            </w:r>
          </w:p>
        </w:tc>
        <w:tc>
          <w:tcPr>
            <w:tcW w:w="240" w:type="dxa"/>
            <w:vAlign w:val="bottom"/>
          </w:tcPr>
          <w:p>
            <w:pPr>
              <w:ind w:left="1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60"/>
        </w:trPr>
        <w:tc>
          <w:tcPr>
            <w:tcW w:w="10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3800" w:type="dxa"/>
            <w:vAlign w:val="bottom"/>
          </w:tcPr>
          <w:p>
            <w:pPr>
              <w:ind w:left="2520"/>
              <w:spacing w:after="0"/>
              <w:rPr>
                <w:sz w:val="20"/>
                <w:szCs w:val="20"/>
                <w:color w:val="auto"/>
              </w:rPr>
            </w:pPr>
            <w:r>
              <w:rPr>
                <w:rFonts w:ascii="Times New Roman" w:cs="Times New Roman" w:eastAsia="Times New Roman" w:hAnsi="Times New Roman"/>
                <w:sz w:val="10"/>
                <w:szCs w:val="10"/>
                <w:color w:val="auto"/>
              </w:rPr>
              <w:t>Emerging growth company</w:t>
            </w:r>
          </w:p>
        </w:tc>
        <w:tc>
          <w:tcPr>
            <w:tcW w:w="240" w:type="dxa"/>
            <w:vAlign w:val="bottom"/>
          </w:tcPr>
          <w:p>
            <w:pPr>
              <w:ind w:left="140"/>
              <w:spacing w:after="0" w:line="101" w:lineRule="exact"/>
              <w:rPr>
                <w:sz w:val="20"/>
                <w:szCs w:val="20"/>
                <w:color w:val="auto"/>
              </w:rPr>
            </w:pPr>
            <w:r>
              <w:rPr>
                <w:rFonts w:ascii="MS PGothic" w:cs="MS PGothic" w:eastAsia="MS PGothic" w:hAnsi="MS PGothic"/>
                <w:sz w:val="10"/>
                <w:szCs w:val="10"/>
                <w:color w:val="auto"/>
                <w:w w:val="79"/>
              </w:rPr>
              <w:t>☒</w:t>
            </w:r>
          </w:p>
        </w:tc>
      </w:tr>
    </w:tbl>
    <w:p>
      <w:pPr>
        <w:ind w:left="1680" w:right="999" w:firstLine="316"/>
        <w:spacing w:after="0" w:line="126" w:lineRule="exact"/>
        <w:rPr>
          <w:sz w:val="20"/>
          <w:szCs w:val="20"/>
          <w:color w:val="auto"/>
        </w:rPr>
      </w:pPr>
      <w:r>
        <w:rPr>
          <w:rFonts w:ascii="Times New Roman" w:cs="Times New Roman" w:eastAsia="Times New Roman" w:hAnsi="Times New Roman"/>
          <w:sz w:val="10"/>
          <w:szCs w:val="10"/>
          <w:color w:val="auto"/>
        </w:rPr>
        <w:t xml:space="preserve">If an emerging growth company, indicate by checkmark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3057525</wp:posOffset>
            </wp:positionH>
            <wp:positionV relativeFrom="paragraph">
              <wp:posOffset>66040</wp:posOffset>
            </wp:positionV>
            <wp:extent cx="105283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52830" cy="6350"/>
                    </a:xfrm>
                    <a:prstGeom prst="rect">
                      <a:avLst/>
                    </a:prstGeom>
                    <a:noFill/>
                  </pic:spPr>
                </pic:pic>
              </a:graphicData>
            </a:graphic>
          </wp:anchor>
        </w:drawing>
      </w:r>
    </w:p>
    <w:p>
      <w:pPr>
        <w:spacing w:after="0" w:line="102"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2"/>
          <w:szCs w:val="12"/>
          <w:b w:val="1"/>
          <w:bCs w:val="1"/>
          <w:color w:val="auto"/>
        </w:rPr>
        <w:t>CALCULATION OF REGISTRATION FEE</w:t>
      </w:r>
    </w:p>
    <w:p>
      <w:pPr>
        <w:spacing w:after="0" w:line="57" w:lineRule="exact"/>
        <w:rPr>
          <w:sz w:val="24"/>
          <w:szCs w:val="24"/>
          <w:color w:val="auto"/>
        </w:rPr>
      </w:pPr>
    </w:p>
    <w:tbl>
      <w:tblPr>
        <w:tblLayout w:type="fixed"/>
        <w:tblInd w:w="168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3720" w:type="dxa"/>
            <w:vAlign w:val="bottom"/>
            <w:tcBorders>
              <w:top w:val="single" w:sz="8" w:color="auto"/>
              <w:right w:val="single" w:sz="8" w:color="auto"/>
            </w:tcBorders>
          </w:tcPr>
          <w:p>
            <w:pPr>
              <w:spacing w:after="0"/>
              <w:rPr>
                <w:sz w:val="10"/>
                <w:szCs w:val="10"/>
                <w:color w:val="auto"/>
              </w:rPr>
            </w:pPr>
          </w:p>
        </w:tc>
        <w:tc>
          <w:tcPr>
            <w:tcW w:w="800" w:type="dxa"/>
            <w:vAlign w:val="bottom"/>
            <w:tcBorders>
              <w:top w:val="single" w:sz="8" w:color="auto"/>
              <w:right w:val="single" w:sz="8" w:color="auto"/>
            </w:tcBorders>
          </w:tcPr>
          <w:p>
            <w:pPr>
              <w:spacing w:after="0"/>
              <w:rPr>
                <w:sz w:val="10"/>
                <w:szCs w:val="10"/>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Proposed Maximum</w:t>
            </w:r>
          </w:p>
        </w:tc>
        <w:tc>
          <w:tcPr>
            <w:tcW w:w="1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Proposed Maximum</w:t>
            </w:r>
          </w:p>
        </w:tc>
        <w:tc>
          <w:tcPr>
            <w:tcW w:w="10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20" w:type="dxa"/>
            <w:vAlign w:val="bottom"/>
            <w:tcBorders>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0"/>
                <w:szCs w:val="10"/>
                <w:b w:val="1"/>
                <w:bCs w:val="1"/>
                <w:color w:val="auto"/>
              </w:rPr>
              <w:t>Title of Securities To Be Registered</w:t>
            </w:r>
          </w:p>
        </w:tc>
        <w:tc>
          <w:tcPr>
            <w:tcW w:w="80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0"/>
                <w:szCs w:val="10"/>
                <w:b w:val="1"/>
                <w:bCs w:val="1"/>
                <w:color w:val="auto"/>
              </w:rPr>
              <w:t>Amount to be</w:t>
            </w:r>
          </w:p>
        </w:tc>
        <w:tc>
          <w:tcPr>
            <w:tcW w:w="118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0"/>
                <w:szCs w:val="10"/>
                <w:b w:val="1"/>
                <w:bCs w:val="1"/>
                <w:color w:val="auto"/>
              </w:rPr>
              <w:t>Offering Price</w:t>
            </w:r>
          </w:p>
        </w:tc>
        <w:tc>
          <w:tcPr>
            <w:tcW w:w="120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0"/>
                <w:szCs w:val="10"/>
                <w:b w:val="1"/>
                <w:bCs w:val="1"/>
                <w:color w:val="auto"/>
              </w:rPr>
              <w:t>Aggregate</w:t>
            </w:r>
          </w:p>
        </w:tc>
        <w:tc>
          <w:tcPr>
            <w:tcW w:w="1000" w:type="dxa"/>
            <w:vAlign w:val="bottom"/>
          </w:tcPr>
          <w:p>
            <w:pPr>
              <w:jc w:val="center"/>
              <w:ind w:left="8"/>
              <w:spacing w:after="0" w:line="114" w:lineRule="exact"/>
              <w:rPr>
                <w:sz w:val="20"/>
                <w:szCs w:val="20"/>
                <w:color w:val="auto"/>
              </w:rPr>
            </w:pPr>
            <w:r>
              <w:rPr>
                <w:rFonts w:ascii="Times New Roman" w:cs="Times New Roman" w:eastAsia="Times New Roman" w:hAnsi="Times New Roman"/>
                <w:sz w:val="10"/>
                <w:szCs w:val="10"/>
                <w:b w:val="1"/>
                <w:bCs w:val="1"/>
                <w:color w:val="auto"/>
              </w:rPr>
              <w:t>Amount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20" w:type="dxa"/>
            <w:vAlign w:val="bottom"/>
            <w:tcBorders>
              <w:bottom w:val="single" w:sz="8" w:color="auto"/>
              <w:right w:val="single" w:sz="8" w:color="auto"/>
            </w:tcBorders>
            <w:vMerge w:val="continue"/>
          </w:tcPr>
          <w:p>
            <w:pPr>
              <w:spacing w:after="0"/>
              <w:rPr>
                <w:sz w:val="10"/>
                <w:szCs w:val="10"/>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Registered</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Per Share</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Offering Price</w:t>
            </w:r>
            <w:r>
              <w:rPr>
                <w:rFonts w:ascii="Times New Roman" w:cs="Times New Roman" w:eastAsia="Times New Roman" w:hAnsi="Times New Roman"/>
                <w:sz w:val="8"/>
                <w:szCs w:val="8"/>
                <w:b w:val="1"/>
                <w:bCs w:val="1"/>
                <w:color w:val="auto"/>
              </w:rPr>
              <w:t>(1)</w:t>
            </w:r>
          </w:p>
        </w:tc>
        <w:tc>
          <w:tcPr>
            <w:tcW w:w="100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0"/>
                <w:szCs w:val="10"/>
                <w:b w:val="1"/>
                <w:bCs w:val="1"/>
                <w:color w:val="auto"/>
              </w:rPr>
              <w:t>Registration Fee</w:t>
            </w:r>
            <w:r>
              <w:rPr>
                <w:rFonts w:ascii="Times New Roman" w:cs="Times New Roman" w:eastAsia="Times New Roman" w:hAnsi="Times New Roman"/>
                <w:sz w:val="8"/>
                <w:szCs w:val="8"/>
                <w:b w:val="1"/>
                <w:bCs w:val="1"/>
                <w:color w:val="auto"/>
              </w:rPr>
              <w:t>(2)</w:t>
            </w:r>
          </w:p>
        </w:tc>
        <w:tc>
          <w:tcPr>
            <w:tcW w:w="0" w:type="dxa"/>
            <w:vAlign w:val="bottom"/>
          </w:tcPr>
          <w:p>
            <w:pPr>
              <w:spacing w:after="0"/>
              <w:rPr>
                <w:sz w:val="1"/>
                <w:szCs w:val="1"/>
                <w:color w:val="auto"/>
              </w:rPr>
            </w:pPr>
          </w:p>
        </w:tc>
      </w:tr>
      <w:tr>
        <w:trPr>
          <w:trHeight w:val="105"/>
        </w:trPr>
        <w:tc>
          <w:tcPr>
            <w:tcW w:w="20" w:type="dxa"/>
            <w:vAlign w:val="bottom"/>
            <w:tcBorders>
              <w:bottom w:val="single" w:sz="8" w:color="auto"/>
            </w:tcBorders>
          </w:tcPr>
          <w:p>
            <w:pPr>
              <w:spacing w:after="0"/>
              <w:rPr>
                <w:sz w:val="9"/>
                <w:szCs w:val="9"/>
                <w:color w:val="auto"/>
              </w:rPr>
            </w:pPr>
          </w:p>
        </w:tc>
        <w:tc>
          <w:tcPr>
            <w:tcW w:w="3720" w:type="dxa"/>
            <w:vAlign w:val="bottom"/>
            <w:tcBorders>
              <w:bottom w:val="single" w:sz="8" w:color="auto"/>
              <w:right w:val="single" w:sz="8" w:color="auto"/>
            </w:tcBorders>
          </w:tcPr>
          <w:p>
            <w:pPr>
              <w:spacing w:after="0" w:line="97" w:lineRule="exact"/>
              <w:rPr>
                <w:sz w:val="20"/>
                <w:szCs w:val="20"/>
                <w:color w:val="auto"/>
              </w:rPr>
            </w:pPr>
            <w:r>
              <w:rPr>
                <w:rFonts w:ascii="Times New Roman" w:cs="Times New Roman" w:eastAsia="Times New Roman" w:hAnsi="Times New Roman"/>
                <w:sz w:val="10"/>
                <w:szCs w:val="10"/>
                <w:color w:val="auto"/>
              </w:rPr>
              <w:t>Class A Common Stock, par value $0.00001 per share</w:t>
            </w:r>
          </w:p>
        </w:tc>
        <w:tc>
          <w:tcPr>
            <w:tcW w:w="800" w:type="dxa"/>
            <w:vAlign w:val="bottom"/>
            <w:tcBorders>
              <w:bottom w:val="single" w:sz="8" w:color="auto"/>
              <w:right w:val="single" w:sz="8" w:color="auto"/>
            </w:tcBorders>
          </w:tcPr>
          <w:p>
            <w:pPr>
              <w:jc w:val="center"/>
              <w:spacing w:after="0" w:line="97" w:lineRule="exact"/>
              <w:rPr>
                <w:sz w:val="20"/>
                <w:szCs w:val="20"/>
                <w:color w:val="auto"/>
              </w:rPr>
            </w:pPr>
            <w:r>
              <w:rPr>
                <w:rFonts w:ascii="Times New Roman" w:cs="Times New Roman" w:eastAsia="Times New Roman" w:hAnsi="Times New Roman"/>
                <w:sz w:val="10"/>
                <w:szCs w:val="10"/>
                <w:color w:val="auto"/>
              </w:rPr>
              <w:t>30,030,516</w:t>
            </w:r>
          </w:p>
        </w:tc>
        <w:tc>
          <w:tcPr>
            <w:tcW w:w="1180" w:type="dxa"/>
            <w:vAlign w:val="bottom"/>
            <w:tcBorders>
              <w:bottom w:val="single" w:sz="8" w:color="auto"/>
              <w:right w:val="single" w:sz="8" w:color="auto"/>
            </w:tcBorders>
          </w:tcPr>
          <w:p>
            <w:pPr>
              <w:jc w:val="center"/>
              <w:spacing w:after="0" w:line="97" w:lineRule="exact"/>
              <w:rPr>
                <w:sz w:val="20"/>
                <w:szCs w:val="20"/>
                <w:color w:val="auto"/>
              </w:rPr>
            </w:pPr>
            <w:r>
              <w:rPr>
                <w:rFonts w:ascii="Times New Roman" w:cs="Times New Roman" w:eastAsia="Times New Roman" w:hAnsi="Times New Roman"/>
                <w:sz w:val="10"/>
                <w:szCs w:val="10"/>
                <w:color w:val="auto"/>
              </w:rPr>
              <w:t>Not applicable</w:t>
            </w:r>
          </w:p>
        </w:tc>
        <w:tc>
          <w:tcPr>
            <w:tcW w:w="1200" w:type="dxa"/>
            <w:vAlign w:val="bottom"/>
            <w:tcBorders>
              <w:bottom w:val="single" w:sz="8" w:color="auto"/>
              <w:right w:val="single" w:sz="8" w:color="auto"/>
            </w:tcBorders>
          </w:tcPr>
          <w:p>
            <w:pPr>
              <w:jc w:val="center"/>
              <w:spacing w:after="0" w:line="97" w:lineRule="exact"/>
              <w:rPr>
                <w:sz w:val="20"/>
                <w:szCs w:val="20"/>
                <w:color w:val="auto"/>
              </w:rPr>
            </w:pPr>
            <w:r>
              <w:rPr>
                <w:rFonts w:ascii="Times New Roman" w:cs="Times New Roman" w:eastAsia="Times New Roman" w:hAnsi="Times New Roman"/>
                <w:sz w:val="10"/>
                <w:szCs w:val="10"/>
                <w:color w:val="auto"/>
              </w:rPr>
              <w:t>$15,654,109</w:t>
            </w:r>
          </w:p>
        </w:tc>
        <w:tc>
          <w:tcPr>
            <w:tcW w:w="1000" w:type="dxa"/>
            <w:vAlign w:val="bottom"/>
            <w:tcBorders>
              <w:bottom w:val="single" w:sz="8" w:color="auto"/>
            </w:tcBorders>
          </w:tcPr>
          <w:p>
            <w:pPr>
              <w:jc w:val="center"/>
              <w:ind w:left="8"/>
              <w:spacing w:after="0" w:line="97" w:lineRule="exact"/>
              <w:rPr>
                <w:sz w:val="20"/>
                <w:szCs w:val="20"/>
                <w:color w:val="auto"/>
              </w:rPr>
            </w:pPr>
            <w:r>
              <w:rPr>
                <w:rFonts w:ascii="Times New Roman" w:cs="Times New Roman" w:eastAsia="Times New Roman" w:hAnsi="Times New Roman"/>
                <w:sz w:val="10"/>
                <w:szCs w:val="10"/>
                <w:color w:val="auto"/>
              </w:rPr>
              <w:t>$2,032</w:t>
            </w:r>
          </w:p>
        </w:tc>
        <w:tc>
          <w:tcPr>
            <w:tcW w:w="0" w:type="dxa"/>
            <w:vAlign w:val="bottom"/>
          </w:tcPr>
          <w:p>
            <w:pPr>
              <w:spacing w:after="0"/>
              <w:rPr>
                <w:sz w:val="1"/>
                <w:szCs w:val="1"/>
                <w:color w:val="auto"/>
              </w:rPr>
            </w:pPr>
          </w:p>
        </w:tc>
      </w:tr>
    </w:tbl>
    <w:p>
      <w:pPr>
        <w:ind w:left="2000" w:right="639" w:hanging="311"/>
        <w:spacing w:after="0" w:line="225" w:lineRule="auto"/>
        <w:tabs>
          <w:tab w:leader="none" w:pos="2000" w:val="left"/>
        </w:tabs>
        <w:numPr>
          <w:ilvl w:val="0"/>
          <w:numId w:val="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Estimated solely for purposes of calculating the registration fee pursuant to Rule 457(a) of the Securities Act of 1933, as amended. Given that there is no proposed maximum offering price per share of Class A common stock, the registrant calculates the proposed maximum aggregate offering price, by analogy to Rule 457(f)(2), based on the book value of the Class A common stock the registrant registers, which will be calculated from its unaudited pro forma balance sheet as of July 31, 2020. Given that the registrant’s shares of Class A common stock are not traded on an exchange or over-the-counter, the registrant did not use the market prices of its Class A common stock in accordance with Rule 457(c).</w:t>
      </w:r>
    </w:p>
    <w:p>
      <w:pPr>
        <w:ind w:left="2000" w:hanging="311"/>
        <w:spacing w:after="0"/>
        <w:tabs>
          <w:tab w:leader="none" w:pos="2000" w:val="left"/>
        </w:tabs>
        <w:numPr>
          <w:ilvl w:val="0"/>
          <w:numId w:val="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registrant previously paid $2,596 of the registration fee with the initial filing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3057525</wp:posOffset>
            </wp:positionH>
            <wp:positionV relativeFrom="paragraph">
              <wp:posOffset>71755</wp:posOffset>
            </wp:positionV>
            <wp:extent cx="105283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52830" cy="6350"/>
                    </a:xfrm>
                    <a:prstGeom prst="rect">
                      <a:avLst/>
                    </a:prstGeom>
                    <a:noFill/>
                  </pic:spPr>
                </pic:pic>
              </a:graphicData>
            </a:graphic>
          </wp:anchor>
        </w:drawing>
      </w:r>
    </w:p>
    <w:p>
      <w:pPr>
        <w:spacing w:after="0" w:line="105" w:lineRule="exact"/>
        <w:rPr>
          <w:sz w:val="24"/>
          <w:szCs w:val="24"/>
          <w:color w:val="auto"/>
        </w:rPr>
      </w:pPr>
    </w:p>
    <w:p>
      <w:pPr>
        <w:ind w:left="1680" w:right="859" w:firstLine="316"/>
        <w:spacing w:after="0" w:line="242" w:lineRule="auto"/>
        <w:rPr>
          <w:sz w:val="20"/>
          <w:szCs w:val="20"/>
          <w:color w:val="auto"/>
        </w:rPr>
      </w:pPr>
      <w:r>
        <w:rPr>
          <w:rFonts w:ascii="Times New Roman" w:cs="Times New Roman" w:eastAsia="Times New Roman" w:hAnsi="Times New Roman"/>
          <w:sz w:val="10"/>
          <w:szCs w:val="10"/>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1075690</wp:posOffset>
            </wp:positionH>
            <wp:positionV relativeFrom="paragraph">
              <wp:posOffset>17780</wp:posOffset>
            </wp:positionV>
            <wp:extent cx="502285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22850" cy="6350"/>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48260</wp:posOffset>
            </wp:positionV>
            <wp:extent cx="502285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22850" cy="6350"/>
                    </a:xfrm>
                    <a:prstGeom prst="rect">
                      <a:avLst/>
                    </a:prstGeom>
                    <a:noFill/>
                  </pic:spPr>
                </pic:pic>
              </a:graphicData>
            </a:graphic>
          </wp:anchor>
        </w:drawing>
      </w:r>
    </w:p>
    <w:p>
      <w:pPr>
        <w:sectPr>
          <w:pgSz w:w="11900" w:h="16838" w:orient="portrait"/>
          <w:cols w:equalWidth="0" w:num="1">
            <w:col w:w="10159"/>
          </w:cols>
          <w:pgMar w:left="300" w:top="203" w:right="1440" w:bottom="1440" w:gutter="0" w:footer="0" w:header="0"/>
        </w:sectPr>
      </w:pPr>
    </w:p>
    <w:bookmarkStart w:id="1" w:name="page2"/>
    <w:bookmarkEnd w:id="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right="599"/>
        <w:spacing w:after="0" w:line="238" w:lineRule="auto"/>
        <w:rPr>
          <w:sz w:val="20"/>
          <w:szCs w:val="20"/>
          <w:color w:val="auto"/>
        </w:rPr>
      </w:pPr>
      <w:r>
        <w:rPr>
          <w:rFonts w:ascii="Times New Roman" w:cs="Times New Roman" w:eastAsia="Times New Roman" w:hAnsi="Times New Roman"/>
          <w:sz w:val="11"/>
          <w:szCs w:val="11"/>
          <w:b w:val="1"/>
          <w:bCs w:val="1"/>
          <w:color w:val="DE1A1E"/>
        </w:rPr>
        <w:t>The information in this prospectus is not complete and may be changed. The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7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i w:val="1"/>
          <w:iCs w:val="1"/>
          <w:color w:val="DE1A1E"/>
        </w:rPr>
        <w:t>PROSPECTUS (Subject to Completion)</w:t>
      </w:r>
    </w:p>
    <w:p>
      <w:pPr>
        <w:spacing w:after="0" w:line="2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i w:val="1"/>
          <w:iCs w:val="1"/>
          <w:color w:val="DE1A1E"/>
        </w:rPr>
        <w:t>Issued September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2595880</wp:posOffset>
            </wp:positionH>
            <wp:positionV relativeFrom="paragraph">
              <wp:posOffset>41275</wp:posOffset>
            </wp:positionV>
            <wp:extent cx="1976120" cy="393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76120" cy="393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i w:val="1"/>
          <w:iCs w:val="1"/>
          <w:color w:val="auto"/>
        </w:rPr>
        <w:t>30,030,516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3057525</wp:posOffset>
            </wp:positionH>
            <wp:positionV relativeFrom="paragraph">
              <wp:posOffset>118745</wp:posOffset>
            </wp:positionV>
            <wp:extent cx="105283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52830" cy="6350"/>
                    </a:xfrm>
                    <a:prstGeom prst="rect">
                      <a:avLst/>
                    </a:prstGeom>
                    <a:noFill/>
                  </pic:spPr>
                </pic:pic>
              </a:graphicData>
            </a:graphic>
          </wp:anchor>
        </w:drawing>
      </w:r>
    </w:p>
    <w:p>
      <w:pPr>
        <w:spacing w:after="0" w:line="238" w:lineRule="exact"/>
        <w:rPr>
          <w:sz w:val="20"/>
          <w:szCs w:val="20"/>
          <w:color w:val="auto"/>
        </w:rPr>
      </w:pPr>
    </w:p>
    <w:p>
      <w:pPr>
        <w:ind w:left="1680" w:right="599"/>
        <w:spacing w:after="0" w:line="255" w:lineRule="auto"/>
        <w:rPr>
          <w:sz w:val="20"/>
          <w:szCs w:val="20"/>
          <w:color w:val="auto"/>
        </w:rPr>
      </w:pPr>
      <w:r>
        <w:rPr>
          <w:rFonts w:ascii="Times New Roman" w:cs="Times New Roman" w:eastAsia="Times New Roman" w:hAnsi="Times New Roman"/>
          <w:sz w:val="13"/>
          <w:szCs w:val="13"/>
          <w:b w:val="1"/>
          <w:bCs w:val="1"/>
          <w:i w:val="1"/>
          <w:iCs w:val="1"/>
          <w:color w:val="auto"/>
        </w:rPr>
        <w:t>This prospectus relates to the registration of the resale of up to 30,030,516 shares of our Class A common stock by our stockholders identified in this prospectus, or the Registered Stockholders. Unlike an initial public offering, the resale by the Registered Stockholders is not being underwritten by any investment bank. The Registered Stockholders may, or may not, elect to sell their shares of Class A common stock covered by this prospectus, as and to the extent they may determine. Such sales, if any, will be made through brokerage transactions on the New York Stock Exchange, or the NYSE. See the section titled “Plan of Distribution.” We will not receive any proceeds from the sale of shares of Class A common stock by the Registered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3057525</wp:posOffset>
            </wp:positionH>
            <wp:positionV relativeFrom="paragraph">
              <wp:posOffset>100965</wp:posOffset>
            </wp:positionV>
            <wp:extent cx="105283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52830" cy="6350"/>
                    </a:xfrm>
                    <a:prstGeom prst="rect">
                      <a:avLst/>
                    </a:prstGeom>
                    <a:noFill/>
                  </pic:spPr>
                </pic:pic>
              </a:graphicData>
            </a:graphic>
          </wp:anchor>
        </w:drawing>
      </w:r>
    </w:p>
    <w:p>
      <w:pPr>
        <w:spacing w:after="0" w:line="21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We have two classes of common stock, Class A common stock and Class B common stock. The rights of holders of Class A common stock and</w:t>
      </w:r>
    </w:p>
    <w:p>
      <w:pPr>
        <w:spacing w:after="0" w:line="22" w:lineRule="exact"/>
        <w:rPr>
          <w:sz w:val="20"/>
          <w:szCs w:val="20"/>
          <w:color w:val="auto"/>
        </w:rPr>
      </w:pPr>
    </w:p>
    <w:p>
      <w:pPr>
        <w:ind w:left="1680" w:right="579"/>
        <w:spacing w:after="0" w:line="252" w:lineRule="auto"/>
        <w:rPr>
          <w:sz w:val="20"/>
          <w:szCs w:val="20"/>
          <w:color w:val="auto"/>
        </w:rPr>
      </w:pPr>
      <w:r>
        <w:rPr>
          <w:rFonts w:ascii="Times New Roman" w:cs="Times New Roman" w:eastAsia="Times New Roman" w:hAnsi="Times New Roman"/>
          <w:sz w:val="13"/>
          <w:szCs w:val="13"/>
          <w:b w:val="1"/>
          <w:bCs w:val="1"/>
          <w:i w:val="1"/>
          <w:iCs w:val="1"/>
          <w:color w:val="auto"/>
        </w:rPr>
        <w:t>Class B common stock are identical, except with respect to voting and conversion rights. Each share of Class A common stock is entitled to one vote. Each share of Class B common stock is entitled to 10 votes and is convertible at any time into one share of Class A common stock. As of July 31, 2020, the holders of our outstanding Class B common stock held approximately 98.8% of the voting power of our outstanding capital stock, with our directors and executive officers and their affiliates holding approximately 67.8%.</w:t>
      </w:r>
    </w:p>
    <w:p>
      <w:pPr>
        <w:spacing w:after="0" w:line="54" w:lineRule="exact"/>
        <w:rPr>
          <w:sz w:val="20"/>
          <w:szCs w:val="20"/>
          <w:color w:val="auto"/>
        </w:rPr>
      </w:pPr>
    </w:p>
    <w:p>
      <w:pPr>
        <w:ind w:left="1680" w:right="59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Prior to any sales of shares of Class A common stock, Registered Stockholders who hold Class B common stock must convert their shares of Class B common stock into shares of Class A common stock.</w:t>
      </w:r>
    </w:p>
    <w:p>
      <w:pPr>
        <w:spacing w:after="0" w:line="35" w:lineRule="exact"/>
        <w:rPr>
          <w:sz w:val="20"/>
          <w:szCs w:val="20"/>
          <w:color w:val="auto"/>
        </w:rPr>
      </w:pPr>
    </w:p>
    <w:p>
      <w:pPr>
        <w:ind w:left="1680" w:right="579"/>
        <w:spacing w:after="0" w:line="253" w:lineRule="auto"/>
        <w:rPr>
          <w:sz w:val="20"/>
          <w:szCs w:val="20"/>
          <w:color w:val="auto"/>
        </w:rPr>
      </w:pPr>
      <w:r>
        <w:rPr>
          <w:rFonts w:ascii="Times New Roman" w:cs="Times New Roman" w:eastAsia="Times New Roman" w:hAnsi="Times New Roman"/>
          <w:sz w:val="13"/>
          <w:szCs w:val="13"/>
          <w:b w:val="1"/>
          <w:bCs w:val="1"/>
          <w:i w:val="1"/>
          <w:iCs w:val="1"/>
          <w:color w:val="auto"/>
        </w:rPr>
        <w:t>No public market for our Class A common stock currently exists, and there is only a limited history of trading in our capital stock in private transactions. Based on information available to us, the low and high sales price per share of our capital stock for such private transactions during the period from February 1, 2020 through August 31, 2020 was $13.04 and $28.00, respectively. For more information, see the section titled “Sale Price History of Our Capital Stock.” Any recent trading prices in private transactions may have little or no relation to the opening trading price of our shares of Class A common stock on the NYSE or the subsequent trading price of our shares of Class A common stock on the NYSE. Further, the listing of our Class A common stock on the NYSE without underwriters is a novel method for commencing public trading in shares of our Class A common stock, and consequently, the trading volume and price of shares of our Class A common stock may be more volatile than if shares of our Class A common stock were initially listed in connection with an underwritten initial public offering.</w:t>
      </w:r>
    </w:p>
    <w:p>
      <w:pPr>
        <w:spacing w:after="0" w:line="58" w:lineRule="exact"/>
        <w:rPr>
          <w:sz w:val="20"/>
          <w:szCs w:val="20"/>
          <w:color w:val="auto"/>
        </w:rPr>
      </w:pPr>
    </w:p>
    <w:p>
      <w:pPr>
        <w:ind w:left="1680" w:right="659"/>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Based on information provided by the NYSE, the opening trading price of our Class A common stock on the NYSE will be determined by buy and sell orders collected by the NYSE from broker-dealers. Based on such orders, the designated market maker will determine an opening price for our Class A common stock in consultation with a financial advisor pursuant to applicable NYSE rules. For more information, see the section titled “Plan of Distribution.”</w:t>
      </w:r>
    </w:p>
    <w:p>
      <w:pPr>
        <w:spacing w:after="0" w:line="50" w:lineRule="exact"/>
        <w:rPr>
          <w:sz w:val="20"/>
          <w:szCs w:val="20"/>
          <w:color w:val="auto"/>
        </w:rPr>
      </w:pPr>
    </w:p>
    <w:p>
      <w:pPr>
        <w:ind w:left="1680" w:right="75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We have been approved to list our Class A common stock on the NYSE under the symbol “ASAN.” We expect our Class A common stock to begin trading on the NYSE on or about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3057525</wp:posOffset>
            </wp:positionH>
            <wp:positionV relativeFrom="paragraph">
              <wp:posOffset>88265</wp:posOffset>
            </wp:positionV>
            <wp:extent cx="105283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52830" cy="6350"/>
                    </a:xfrm>
                    <a:prstGeom prst="rect">
                      <a:avLst/>
                    </a:prstGeom>
                    <a:noFill/>
                  </pic:spPr>
                </pic:pic>
              </a:graphicData>
            </a:graphic>
          </wp:anchor>
        </w:drawing>
      </w:r>
    </w:p>
    <w:p>
      <w:pPr>
        <w:spacing w:after="0" w:line="186" w:lineRule="exact"/>
        <w:rPr>
          <w:sz w:val="20"/>
          <w:szCs w:val="20"/>
          <w:color w:val="auto"/>
        </w:rPr>
      </w:pPr>
    </w:p>
    <w:p>
      <w:pPr>
        <w:ind w:left="1680" w:right="9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are an “emerging growth company” as defined under the federal securities laws, and as such, we have elected to comply with reduced reporting requirements for this prospectus and may elect to do so in future filings.</w:t>
      </w:r>
    </w:p>
    <w:p>
      <w:pPr>
        <w:spacing w:after="0" w:line="23" w:lineRule="exact"/>
        <w:rPr>
          <w:sz w:val="20"/>
          <w:szCs w:val="20"/>
          <w:color w:val="auto"/>
        </w:rPr>
      </w:pPr>
    </w:p>
    <w:p>
      <w:pPr>
        <w:ind w:left="1680" w:right="939"/>
        <w:spacing w:after="0" w:line="286"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See the section titled “</w:t>
      </w:r>
      <w:hyperlink w:anchor="page20">
        <w:r>
          <w:rPr>
            <w:rFonts w:ascii="Times New Roman" w:cs="Times New Roman" w:eastAsia="Times New Roman" w:hAnsi="Times New Roman"/>
            <w:sz w:val="14"/>
            <w:szCs w:val="14"/>
            <w:b w:val="1"/>
            <w:bCs w:val="1"/>
            <w:i w:val="1"/>
            <w:iCs w:val="1"/>
            <w:u w:val="single" w:color="auto"/>
            <w:color w:val="0000EE"/>
          </w:rPr>
          <w:t>Risk Factors</w:t>
        </w:r>
      </w:hyperlink>
      <w:r>
        <w:rPr>
          <w:rFonts w:ascii="Times New Roman" w:cs="Times New Roman" w:eastAsia="Times New Roman" w:hAnsi="Times New Roman"/>
          <w:sz w:val="14"/>
          <w:szCs w:val="14"/>
          <w:b w:val="1"/>
          <w:bCs w:val="1"/>
          <w:i w:val="1"/>
          <w:iCs w:val="1"/>
          <w:color w:val="auto"/>
        </w:rPr>
        <w:t>” beginning on page 15 to read about factors you should consider before buying shares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3057525</wp:posOffset>
            </wp:positionH>
            <wp:positionV relativeFrom="paragraph">
              <wp:posOffset>89535</wp:posOffset>
            </wp:positionV>
            <wp:extent cx="105283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52830" cy="6350"/>
                    </a:xfrm>
                    <a:prstGeom prst="rect">
                      <a:avLst/>
                    </a:prstGeom>
                    <a:noFill/>
                  </pic:spPr>
                </pic:pic>
              </a:graphicData>
            </a:graphic>
          </wp:anchor>
        </w:drawing>
      </w:r>
    </w:p>
    <w:p>
      <w:pPr>
        <w:spacing w:after="0" w:line="191" w:lineRule="exact"/>
        <w:rPr>
          <w:sz w:val="20"/>
          <w:szCs w:val="20"/>
          <w:color w:val="auto"/>
        </w:rPr>
      </w:pPr>
    </w:p>
    <w:p>
      <w:pPr>
        <w:ind w:left="1680" w:right="77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3"/>
          <w:szCs w:val="13"/>
          <w:b w:val="1"/>
          <w:bCs w:val="1"/>
          <w:i w:val="1"/>
          <w:iCs w:val="1"/>
          <w:color w:val="auto"/>
        </w:rPr>
        <w:t>, 2020</w:t>
      </w:r>
    </w:p>
    <w:p>
      <w:pPr>
        <w:sectPr>
          <w:pgSz w:w="11900" w:h="16838" w:orient="portrait"/>
          <w:cols w:equalWidth="0" w:num="1">
            <w:col w:w="10159"/>
          </w:cols>
          <w:pgMar w:left="300" w:top="367" w:right="1440" w:bottom="1440" w:gutter="0" w:footer="0" w:header="0"/>
        </w:sectPr>
      </w:pPr>
    </w:p>
    <w:bookmarkStart w:id="2" w:name="page3"/>
    <w:bookmarkEnd w:id="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1063625</wp:posOffset>
            </wp:positionH>
            <wp:positionV relativeFrom="paragraph">
              <wp:posOffset>147955</wp:posOffset>
            </wp:positionV>
            <wp:extent cx="5047615" cy="65309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47615" cy="6530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FFFFFF"/>
        </w:rPr>
        <w:t>OUR MISSION Help humanity thrive by enabling the world’s teams to work together effortlessly. asana</w:t>
      </w:r>
    </w:p>
    <w:p>
      <w:pPr>
        <w:sectPr>
          <w:pgSz w:w="11900" w:h="16838" w:orient="portrait"/>
          <w:cols w:equalWidth="0" w:num="1">
            <w:col w:w="10159"/>
          </w:cols>
          <w:pgMar w:left="300" w:top="367" w:right="1440" w:bottom="1440" w:gutter="0" w:footer="0" w:header="0"/>
        </w:sectPr>
      </w:pPr>
    </w:p>
    <w:bookmarkStart w:id="3" w:name="page4"/>
    <w:bookmarkEnd w:id="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14870" cy="4259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870" cy="4259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FFFFFF"/>
        </w:rPr>
        <w:t>Asana helps teams orchest</w:t>
      </w:r>
      <w:r>
        <w:rPr>
          <w:rFonts w:ascii="Times New Roman" w:cs="Times New Roman" w:eastAsia="Times New Roman" w:hAnsi="Times New Roman"/>
          <w:sz w:val="18"/>
          <w:szCs w:val="18"/>
          <w:color w:val="FFFFFF"/>
          <w:vertAlign w:val="superscript"/>
        </w:rPr>
        <w:t>users</w:t>
      </w:r>
      <w:r>
        <w:rPr>
          <w:rFonts w:ascii="Times New Roman" w:cs="Times New Roman" w:eastAsia="Times New Roman" w:hAnsi="Times New Roman"/>
          <w:sz w:val="9"/>
          <w:szCs w:val="9"/>
          <w:color w:val="FFFFFF"/>
        </w:rPr>
        <w:t xml:space="preserve">ate their work so they can achieve </w:t>
      </w:r>
      <w:r>
        <w:rPr>
          <w:rFonts w:ascii="Times New Roman" w:cs="Times New Roman" w:eastAsia="Times New Roman" w:hAnsi="Times New Roman"/>
          <w:sz w:val="18"/>
          <w:szCs w:val="18"/>
          <w:color w:val="FFFFFF"/>
          <w:vertAlign w:val="superscript"/>
        </w:rPr>
        <w:t>their</w:t>
      </w:r>
      <w:r>
        <w:rPr>
          <w:rFonts w:ascii="Times New Roman" w:cs="Times New Roman" w:eastAsia="Times New Roman" w:hAnsi="Times New Roman"/>
          <w:sz w:val="9"/>
          <w:szCs w:val="9"/>
          <w:color w:val="FFFFFF"/>
        </w:rPr>
        <w:t xml:space="preserve"> missions, faster. Makes design accessible to everyone Unleash a superstar Launch new solutions for justice reform Build sustainable clothing company Reduce food waste 3.2M+ 75K+ 1.2M+ 190 free activated accounts</w:t>
      </w:r>
    </w:p>
    <w:p>
      <w:pPr>
        <w:spacing w:after="0"/>
        <w:tabs>
          <w:tab w:leader="none" w:pos="1100" w:val="left"/>
          <w:tab w:leader="none" w:pos="2520" w:val="left"/>
        </w:tabs>
        <w:rPr>
          <w:sz w:val="20"/>
          <w:szCs w:val="20"/>
          <w:color w:val="auto"/>
        </w:rPr>
      </w:pPr>
      <w:r>
        <w:rPr>
          <w:rFonts w:ascii="Times New Roman" w:cs="Times New Roman" w:eastAsia="Times New Roman" w:hAnsi="Times New Roman"/>
          <w:sz w:val="10"/>
          <w:szCs w:val="10"/>
          <w:color w:val="FFFFFF"/>
        </w:rPr>
        <w:t>paying customers paid</w:t>
      </w:r>
      <w:r>
        <w:rPr>
          <w:sz w:val="20"/>
          <w:szCs w:val="20"/>
          <w:color w:val="auto"/>
        </w:rPr>
        <w:tab/>
      </w:r>
      <w:r>
        <w:rPr>
          <w:rFonts w:ascii="Times New Roman" w:cs="Times New Roman" w:eastAsia="Times New Roman" w:hAnsi="Times New Roman"/>
          <w:sz w:val="10"/>
          <w:szCs w:val="10"/>
          <w:color w:val="FFFFFF"/>
        </w:rPr>
        <w:t>countries All metrics as of or for</w:t>
      </w:r>
      <w:r>
        <w:rPr>
          <w:sz w:val="20"/>
          <w:szCs w:val="20"/>
          <w:color w:val="auto"/>
        </w:rPr>
        <w:tab/>
      </w:r>
      <w:r>
        <w:rPr>
          <w:rFonts w:ascii="Times New Roman" w:cs="Times New Roman" w:eastAsia="Times New Roman" w:hAnsi="Times New Roman"/>
          <w:sz w:val="8"/>
          <w:szCs w:val="8"/>
          <w:color w:val="FFFFFF"/>
        </w:rPr>
        <w:t>year ended January 31, 2020</w:t>
      </w:r>
    </w:p>
    <w:p>
      <w:pPr>
        <w:sectPr>
          <w:pgSz w:w="11900" w:h="16838" w:orient="portrait"/>
          <w:cols w:equalWidth="0" w:num="1">
            <w:col w:w="11120"/>
          </w:cols>
          <w:pgMar w:left="300" w:top="367" w:right="479" w:bottom="1440" w:gutter="0" w:footer="0" w:header="0"/>
        </w:sectPr>
      </w:pPr>
    </w:p>
    <w:bookmarkStart w:id="4" w:name="page5"/>
    <w:bookmarkEnd w:id="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3"/>
          <w:szCs w:val="13"/>
          <w:b w:val="1"/>
          <w:bCs w:val="1"/>
          <w:color w:val="auto"/>
        </w:rPr>
        <w:t>TABLE OF CONTENTS</w:t>
      </w:r>
    </w:p>
    <w:p>
      <w:pPr>
        <w:spacing w:after="0" w:line="217" w:lineRule="exact"/>
        <w:rPr>
          <w:sz w:val="20"/>
          <w:szCs w:val="20"/>
          <w:color w:val="auto"/>
        </w:rPr>
      </w:pPr>
    </w:p>
    <w:tbl>
      <w:tblPr>
        <w:tblLayout w:type="fixed"/>
        <w:tblInd w:w="1700" w:type="dxa"/>
        <w:tblCellMar>
          <w:top w:w="0" w:type="dxa"/>
          <w:left w:w="0" w:type="dxa"/>
          <w:bottom w:w="0" w:type="dxa"/>
          <w:right w:w="0" w:type="dxa"/>
        </w:tblCellMar>
      </w:tblPr>
      <w:tr>
        <w:trPr>
          <w:trHeight w:val="123"/>
        </w:trPr>
        <w:tc>
          <w:tcPr>
            <w:tcW w:w="3500" w:type="dxa"/>
            <w:vAlign w:val="bottom"/>
            <w:gridSpan w:val="4"/>
            <w:vMerge w:val="restart"/>
          </w:tcPr>
          <w:p>
            <w:pPr>
              <w:spacing w:after="0"/>
              <w:rPr>
                <w:rFonts w:ascii="Times New Roman" w:cs="Times New Roman" w:eastAsia="Times New Roman" w:hAnsi="Times New Roman"/>
                <w:sz w:val="13"/>
                <w:szCs w:val="13"/>
                <w:u w:val="single" w:color="auto"/>
                <w:color w:val="0000EE"/>
              </w:rPr>
            </w:pPr>
            <w:hyperlink w:anchor="page6">
              <w:r>
                <w:rPr>
                  <w:rFonts w:ascii="Times New Roman" w:cs="Times New Roman" w:eastAsia="Times New Roman" w:hAnsi="Times New Roman"/>
                  <w:sz w:val="13"/>
                  <w:szCs w:val="13"/>
                  <w:u w:val="single" w:color="auto"/>
                  <w:color w:val="0000EE"/>
                </w:rPr>
                <w:t>About This Prospectus</w:t>
              </w:r>
            </w:hyperlink>
          </w:p>
        </w:tc>
        <w:tc>
          <w:tcPr>
            <w:tcW w:w="2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7"/>
              </w:rPr>
              <w:t>Page</w:t>
            </w:r>
          </w:p>
        </w:tc>
        <w:tc>
          <w:tcPr>
            <w:tcW w:w="3880" w:type="dxa"/>
            <w:vAlign w:val="bottom"/>
            <w:gridSpan w:val="5"/>
            <w:vMerge w:val="restart"/>
          </w:tcPr>
          <w:p>
            <w:pPr>
              <w:ind w:left="280"/>
              <w:spacing w:after="0"/>
              <w:rPr>
                <w:rFonts w:ascii="Times New Roman" w:cs="Times New Roman" w:eastAsia="Times New Roman" w:hAnsi="Times New Roman"/>
                <w:sz w:val="13"/>
                <w:szCs w:val="13"/>
                <w:u w:val="single" w:color="auto"/>
                <w:color w:val="0000EE"/>
              </w:rPr>
            </w:pPr>
            <w:hyperlink w:anchor="page128">
              <w:r>
                <w:rPr>
                  <w:rFonts w:ascii="Times New Roman" w:cs="Times New Roman" w:eastAsia="Times New Roman" w:hAnsi="Times New Roman"/>
                  <w:sz w:val="13"/>
                  <w:szCs w:val="13"/>
                  <w:u w:val="single" w:color="auto"/>
                  <w:color w:val="0000EE"/>
                </w:rPr>
                <w:t>Executive Compensation</w:t>
              </w:r>
            </w:hyperlink>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w w:val="97"/>
              </w:rPr>
              <w:t>Page</w:t>
            </w:r>
          </w:p>
        </w:tc>
        <w:tc>
          <w:tcPr>
            <w:tcW w:w="0" w:type="dxa"/>
            <w:vAlign w:val="bottom"/>
          </w:tcPr>
          <w:p>
            <w:pPr>
              <w:spacing w:after="0"/>
              <w:rPr>
                <w:sz w:val="1"/>
                <w:szCs w:val="1"/>
                <w:color w:val="auto"/>
              </w:rPr>
            </w:pPr>
          </w:p>
        </w:tc>
      </w:tr>
      <w:tr>
        <w:trPr>
          <w:trHeight w:val="132"/>
        </w:trPr>
        <w:tc>
          <w:tcPr>
            <w:tcW w:w="3500" w:type="dxa"/>
            <w:vAlign w:val="bottom"/>
            <w:gridSpan w:val="4"/>
            <w:vMerge w:val="continue"/>
          </w:tcPr>
          <w:p>
            <w:pPr>
              <w:spacing w:after="0"/>
              <w:rPr>
                <w:sz w:val="11"/>
                <w:szCs w:val="11"/>
                <w:color w:val="auto"/>
              </w:rPr>
            </w:pPr>
          </w:p>
        </w:tc>
        <w:tc>
          <w:tcPr>
            <w:tcW w:w="240" w:type="dxa"/>
            <w:vAlign w:val="bottom"/>
            <w:tcBorders>
              <w:top w:val="single" w:sz="8" w:color="auto"/>
            </w:tcBorders>
          </w:tcPr>
          <w:p>
            <w:pPr>
              <w:jc w:val="right"/>
              <w:spacing w:after="0" w:line="132" w:lineRule="exact"/>
              <w:rPr>
                <w:sz w:val="20"/>
                <w:szCs w:val="20"/>
                <w:color w:val="auto"/>
              </w:rPr>
            </w:pPr>
            <w:r>
              <w:rPr>
                <w:rFonts w:ascii="Times New Roman" w:cs="Times New Roman" w:eastAsia="Times New Roman" w:hAnsi="Times New Roman"/>
                <w:sz w:val="13"/>
                <w:szCs w:val="13"/>
                <w:color w:val="auto"/>
              </w:rPr>
              <w:t>1</w:t>
            </w:r>
          </w:p>
        </w:tc>
        <w:tc>
          <w:tcPr>
            <w:tcW w:w="3880" w:type="dxa"/>
            <w:vAlign w:val="bottom"/>
            <w:gridSpan w:val="5"/>
            <w:vMerge w:val="continue"/>
          </w:tcPr>
          <w:p>
            <w:pPr>
              <w:spacing w:after="0"/>
              <w:rPr>
                <w:sz w:val="11"/>
                <w:szCs w:val="11"/>
                <w:color w:val="auto"/>
              </w:rPr>
            </w:pPr>
          </w:p>
        </w:tc>
        <w:tc>
          <w:tcPr>
            <w:tcW w:w="220" w:type="dxa"/>
            <w:vAlign w:val="bottom"/>
            <w:tcBorders>
              <w:top w:val="single" w:sz="8" w:color="auto"/>
            </w:tcBorders>
          </w:tcPr>
          <w:p>
            <w:pPr>
              <w:jc w:val="right"/>
              <w:spacing w:after="0" w:line="132" w:lineRule="exact"/>
              <w:rPr>
                <w:sz w:val="20"/>
                <w:szCs w:val="20"/>
                <w:color w:val="auto"/>
              </w:rPr>
            </w:pPr>
            <w:r>
              <w:rPr>
                <w:rFonts w:ascii="Times New Roman" w:cs="Times New Roman" w:eastAsia="Times New Roman" w:hAnsi="Times New Roman"/>
                <w:sz w:val="13"/>
                <w:szCs w:val="13"/>
                <w:color w:val="auto"/>
              </w:rPr>
              <w:t>123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500" w:type="dxa"/>
            <w:vAlign w:val="bottom"/>
            <w:gridSpan w:val="4"/>
          </w:tcPr>
          <w:p>
            <w:pPr>
              <w:spacing w:after="0"/>
              <w:rPr>
                <w:rFonts w:ascii="Times New Roman" w:cs="Times New Roman" w:eastAsia="Times New Roman" w:hAnsi="Times New Roman"/>
                <w:sz w:val="13"/>
                <w:szCs w:val="13"/>
                <w:u w:val="single" w:color="auto"/>
                <w:color w:val="0000EE"/>
              </w:rPr>
            </w:pPr>
            <w:hyperlink w:anchor="page7">
              <w:r>
                <w:rPr>
                  <w:rFonts w:ascii="Times New Roman" w:cs="Times New Roman" w:eastAsia="Times New Roman" w:hAnsi="Times New Roman"/>
                  <w:sz w:val="13"/>
                  <w:szCs w:val="13"/>
                  <w:u w:val="single" w:color="auto"/>
                  <w:color w:val="0000EE"/>
                </w:rPr>
                <w:t>Prospectus Summary</w:t>
              </w:r>
            </w:hyperlink>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880" w:type="dxa"/>
            <w:vAlign w:val="bottom"/>
            <w:gridSpan w:val="5"/>
          </w:tcPr>
          <w:p>
            <w:pPr>
              <w:ind w:left="280"/>
              <w:spacing w:after="0"/>
              <w:rPr>
                <w:rFonts w:ascii="Times New Roman" w:cs="Times New Roman" w:eastAsia="Times New Roman" w:hAnsi="Times New Roman"/>
                <w:sz w:val="13"/>
                <w:szCs w:val="13"/>
                <w:u w:val="single" w:color="auto"/>
                <w:color w:val="0000EE"/>
              </w:rPr>
            </w:pPr>
            <w:hyperlink w:anchor="page139">
              <w:r>
                <w:rPr>
                  <w:rFonts w:ascii="Times New Roman" w:cs="Times New Roman" w:eastAsia="Times New Roman" w:hAnsi="Times New Roman"/>
                  <w:sz w:val="13"/>
                  <w:szCs w:val="13"/>
                  <w:u w:val="single" w:color="auto"/>
                  <w:color w:val="0000EE"/>
                </w:rPr>
                <w:t>Certain Relationships and Related Party Transactions</w:t>
              </w:r>
            </w:hyperlink>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134</w:t>
            </w:r>
          </w:p>
        </w:tc>
        <w:tc>
          <w:tcPr>
            <w:tcW w:w="0" w:type="dxa"/>
            <w:vAlign w:val="bottom"/>
          </w:tcPr>
          <w:p>
            <w:pPr>
              <w:spacing w:after="0"/>
              <w:rPr>
                <w:sz w:val="1"/>
                <w:szCs w:val="1"/>
                <w:color w:val="auto"/>
              </w:rPr>
            </w:pPr>
          </w:p>
        </w:tc>
      </w:tr>
      <w:tr>
        <w:trPr>
          <w:trHeight w:val="155"/>
        </w:trPr>
        <w:tc>
          <w:tcPr>
            <w:tcW w:w="3500" w:type="dxa"/>
            <w:vAlign w:val="bottom"/>
            <w:gridSpan w:val="4"/>
          </w:tcPr>
          <w:p>
            <w:pPr>
              <w:spacing w:after="0"/>
              <w:rPr>
                <w:rFonts w:ascii="Times New Roman" w:cs="Times New Roman" w:eastAsia="Times New Roman" w:hAnsi="Times New Roman"/>
                <w:sz w:val="13"/>
                <w:szCs w:val="13"/>
                <w:u w:val="single" w:color="auto"/>
                <w:color w:val="0000EE"/>
              </w:rPr>
            </w:pPr>
            <w:hyperlink w:anchor="page20">
              <w:r>
                <w:rPr>
                  <w:rFonts w:ascii="Times New Roman" w:cs="Times New Roman" w:eastAsia="Times New Roman" w:hAnsi="Times New Roman"/>
                  <w:sz w:val="13"/>
                  <w:szCs w:val="13"/>
                  <w:u w:val="single" w:color="auto"/>
                  <w:color w:val="0000EE"/>
                </w:rPr>
                <w:t>Risk Factors</w:t>
              </w:r>
            </w:hyperlink>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3880" w:type="dxa"/>
            <w:vAlign w:val="bottom"/>
            <w:gridSpan w:val="5"/>
          </w:tcPr>
          <w:p>
            <w:pPr>
              <w:ind w:left="280"/>
              <w:spacing w:after="0"/>
              <w:rPr>
                <w:rFonts w:ascii="Times New Roman" w:cs="Times New Roman" w:eastAsia="Times New Roman" w:hAnsi="Times New Roman"/>
                <w:sz w:val="13"/>
                <w:szCs w:val="13"/>
                <w:u w:val="single" w:color="auto"/>
                <w:color w:val="0000EE"/>
              </w:rPr>
            </w:pPr>
            <w:hyperlink w:anchor="page144">
              <w:r>
                <w:rPr>
                  <w:rFonts w:ascii="Times New Roman" w:cs="Times New Roman" w:eastAsia="Times New Roman" w:hAnsi="Times New Roman"/>
                  <w:sz w:val="13"/>
                  <w:szCs w:val="13"/>
                  <w:u w:val="single" w:color="auto"/>
                  <w:color w:val="0000EE"/>
                </w:rPr>
                <w:t>Principal and Registered Stockholders</w:t>
              </w:r>
            </w:hyperlink>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139</w:t>
            </w:r>
          </w:p>
        </w:tc>
        <w:tc>
          <w:tcPr>
            <w:tcW w:w="0" w:type="dxa"/>
            <w:vAlign w:val="bottom"/>
          </w:tcPr>
          <w:p>
            <w:pPr>
              <w:spacing w:after="0"/>
              <w:rPr>
                <w:sz w:val="1"/>
                <w:szCs w:val="1"/>
                <w:color w:val="auto"/>
              </w:rPr>
            </w:pPr>
          </w:p>
        </w:tc>
      </w:tr>
      <w:tr>
        <w:trPr>
          <w:trHeight w:val="155"/>
        </w:trPr>
        <w:tc>
          <w:tcPr>
            <w:tcW w:w="3500" w:type="dxa"/>
            <w:vAlign w:val="bottom"/>
            <w:gridSpan w:val="4"/>
          </w:tcPr>
          <w:p>
            <w:pPr>
              <w:spacing w:after="0"/>
              <w:rPr>
                <w:rFonts w:ascii="Times New Roman" w:cs="Times New Roman" w:eastAsia="Times New Roman" w:hAnsi="Times New Roman"/>
                <w:sz w:val="13"/>
                <w:szCs w:val="13"/>
                <w:u w:val="single" w:color="auto"/>
                <w:color w:val="0000EE"/>
              </w:rPr>
            </w:pPr>
            <w:hyperlink w:anchor="page55">
              <w:r>
                <w:rPr>
                  <w:rFonts w:ascii="Times New Roman" w:cs="Times New Roman" w:eastAsia="Times New Roman" w:hAnsi="Times New Roman"/>
                  <w:sz w:val="13"/>
                  <w:szCs w:val="13"/>
                  <w:u w:val="single" w:color="auto"/>
                  <w:color w:val="0000EE"/>
                </w:rPr>
                <w:t>Special Note Regarding Forward-Looking Statements</w:t>
              </w:r>
            </w:hyperlink>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3880" w:type="dxa"/>
            <w:vAlign w:val="bottom"/>
            <w:gridSpan w:val="5"/>
          </w:tcPr>
          <w:p>
            <w:pPr>
              <w:ind w:left="280"/>
              <w:spacing w:after="0"/>
              <w:rPr>
                <w:rFonts w:ascii="Times New Roman" w:cs="Times New Roman" w:eastAsia="Times New Roman" w:hAnsi="Times New Roman"/>
                <w:sz w:val="13"/>
                <w:szCs w:val="13"/>
                <w:u w:val="single" w:color="auto"/>
                <w:color w:val="0000EE"/>
              </w:rPr>
            </w:pPr>
            <w:hyperlink w:anchor="page147">
              <w:r>
                <w:rPr>
                  <w:rFonts w:ascii="Times New Roman" w:cs="Times New Roman" w:eastAsia="Times New Roman" w:hAnsi="Times New Roman"/>
                  <w:sz w:val="13"/>
                  <w:szCs w:val="13"/>
                  <w:u w:val="single" w:color="auto"/>
                  <w:color w:val="0000EE"/>
                </w:rPr>
                <w:t>Description of Capital Stock</w:t>
              </w:r>
            </w:hyperlink>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142</w:t>
            </w:r>
          </w:p>
        </w:tc>
        <w:tc>
          <w:tcPr>
            <w:tcW w:w="0" w:type="dxa"/>
            <w:vAlign w:val="bottom"/>
          </w:tcPr>
          <w:p>
            <w:pPr>
              <w:spacing w:after="0"/>
              <w:rPr>
                <w:sz w:val="1"/>
                <w:szCs w:val="1"/>
                <w:color w:val="auto"/>
              </w:rPr>
            </w:pPr>
          </w:p>
        </w:tc>
      </w:tr>
      <w:tr>
        <w:trPr>
          <w:trHeight w:val="155"/>
        </w:trPr>
        <w:tc>
          <w:tcPr>
            <w:tcW w:w="3500" w:type="dxa"/>
            <w:vAlign w:val="bottom"/>
            <w:gridSpan w:val="4"/>
          </w:tcPr>
          <w:p>
            <w:pPr>
              <w:spacing w:after="0"/>
              <w:rPr>
                <w:rFonts w:ascii="Times New Roman" w:cs="Times New Roman" w:eastAsia="Times New Roman" w:hAnsi="Times New Roman"/>
                <w:sz w:val="13"/>
                <w:szCs w:val="13"/>
                <w:u w:val="single" w:color="auto"/>
                <w:color w:val="0000EE"/>
              </w:rPr>
            </w:pPr>
            <w:hyperlink w:anchor="page57">
              <w:r>
                <w:rPr>
                  <w:rFonts w:ascii="Times New Roman" w:cs="Times New Roman" w:eastAsia="Times New Roman" w:hAnsi="Times New Roman"/>
                  <w:sz w:val="13"/>
                  <w:szCs w:val="13"/>
                  <w:u w:val="single" w:color="auto"/>
                  <w:color w:val="0000EE"/>
                </w:rPr>
                <w:t>Market, Industry and Other Data</w:t>
              </w:r>
            </w:hyperlink>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3880" w:type="dxa"/>
            <w:vAlign w:val="bottom"/>
            <w:gridSpan w:val="5"/>
          </w:tcPr>
          <w:p>
            <w:pPr>
              <w:ind w:left="280"/>
              <w:spacing w:after="0"/>
              <w:rPr>
                <w:rFonts w:ascii="Times New Roman" w:cs="Times New Roman" w:eastAsia="Times New Roman" w:hAnsi="Times New Roman"/>
                <w:sz w:val="13"/>
                <w:szCs w:val="13"/>
                <w:u w:val="single" w:color="auto"/>
                <w:color w:val="0000EE"/>
              </w:rPr>
            </w:pPr>
            <w:hyperlink w:anchor="page155">
              <w:r>
                <w:rPr>
                  <w:rFonts w:ascii="Times New Roman" w:cs="Times New Roman" w:eastAsia="Times New Roman" w:hAnsi="Times New Roman"/>
                  <w:sz w:val="13"/>
                  <w:szCs w:val="13"/>
                  <w:u w:val="single" w:color="auto"/>
                  <w:color w:val="0000EE"/>
                </w:rPr>
                <w:t>Shares Eligible For Future Sale</w:t>
              </w:r>
            </w:hyperlink>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150</w:t>
            </w:r>
          </w:p>
        </w:tc>
        <w:tc>
          <w:tcPr>
            <w:tcW w:w="0" w:type="dxa"/>
            <w:vAlign w:val="bottom"/>
          </w:tcPr>
          <w:p>
            <w:pPr>
              <w:spacing w:after="0"/>
              <w:rPr>
                <w:sz w:val="1"/>
                <w:szCs w:val="1"/>
                <w:color w:val="auto"/>
              </w:rPr>
            </w:pPr>
          </w:p>
        </w:tc>
      </w:tr>
      <w:tr>
        <w:trPr>
          <w:trHeight w:val="155"/>
        </w:trPr>
        <w:tc>
          <w:tcPr>
            <w:tcW w:w="3500" w:type="dxa"/>
            <w:vAlign w:val="bottom"/>
            <w:gridSpan w:val="4"/>
          </w:tcPr>
          <w:p>
            <w:pPr>
              <w:spacing w:after="0"/>
              <w:rPr>
                <w:rFonts w:ascii="Times New Roman" w:cs="Times New Roman" w:eastAsia="Times New Roman" w:hAnsi="Times New Roman"/>
                <w:sz w:val="13"/>
                <w:szCs w:val="13"/>
                <w:u w:val="single" w:color="auto"/>
                <w:color w:val="0000EE"/>
              </w:rPr>
            </w:pPr>
            <w:hyperlink w:anchor="page58">
              <w:r>
                <w:rPr>
                  <w:rFonts w:ascii="Times New Roman" w:cs="Times New Roman" w:eastAsia="Times New Roman" w:hAnsi="Times New Roman"/>
                  <w:sz w:val="13"/>
                  <w:szCs w:val="13"/>
                  <w:u w:val="single" w:color="auto"/>
                  <w:color w:val="0000EE"/>
                </w:rPr>
                <w:t>Use of Proceeds</w:t>
              </w:r>
            </w:hyperlink>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3880" w:type="dxa"/>
            <w:vAlign w:val="bottom"/>
            <w:gridSpan w:val="5"/>
          </w:tcPr>
          <w:p>
            <w:pPr>
              <w:ind w:left="280"/>
              <w:spacing w:after="0"/>
              <w:rPr>
                <w:rFonts w:ascii="Times New Roman" w:cs="Times New Roman" w:eastAsia="Times New Roman" w:hAnsi="Times New Roman"/>
                <w:sz w:val="13"/>
                <w:szCs w:val="13"/>
                <w:u w:val="single" w:color="auto"/>
                <w:color w:val="0000EE"/>
              </w:rPr>
            </w:pPr>
            <w:hyperlink w:anchor="page157">
              <w:r>
                <w:rPr>
                  <w:rFonts w:ascii="Times New Roman" w:cs="Times New Roman" w:eastAsia="Times New Roman" w:hAnsi="Times New Roman"/>
                  <w:sz w:val="13"/>
                  <w:szCs w:val="13"/>
                  <w:u w:val="single" w:color="auto"/>
                  <w:color w:val="0000EE"/>
                </w:rPr>
                <w:t>Sale Price History of Our Capital Stock</w:t>
              </w:r>
            </w:hyperlink>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152</w:t>
            </w:r>
          </w:p>
        </w:tc>
        <w:tc>
          <w:tcPr>
            <w:tcW w:w="0" w:type="dxa"/>
            <w:vAlign w:val="bottom"/>
          </w:tcPr>
          <w:p>
            <w:pPr>
              <w:spacing w:after="0"/>
              <w:rPr>
                <w:sz w:val="1"/>
                <w:szCs w:val="1"/>
                <w:color w:val="auto"/>
              </w:rPr>
            </w:pPr>
          </w:p>
        </w:tc>
      </w:tr>
      <w:tr>
        <w:trPr>
          <w:trHeight w:val="139"/>
        </w:trPr>
        <w:tc>
          <w:tcPr>
            <w:tcW w:w="3500" w:type="dxa"/>
            <w:vAlign w:val="bottom"/>
            <w:gridSpan w:val="4"/>
          </w:tcPr>
          <w:p>
            <w:pPr>
              <w:spacing w:after="0" w:line="139" w:lineRule="exact"/>
              <w:rPr>
                <w:rFonts w:ascii="Times New Roman" w:cs="Times New Roman" w:eastAsia="Times New Roman" w:hAnsi="Times New Roman"/>
                <w:sz w:val="13"/>
                <w:szCs w:val="13"/>
                <w:u w:val="single" w:color="auto"/>
                <w:color w:val="0000EE"/>
              </w:rPr>
            </w:pPr>
            <w:hyperlink w:anchor="page59">
              <w:r>
                <w:rPr>
                  <w:rFonts w:ascii="Times New Roman" w:cs="Times New Roman" w:eastAsia="Times New Roman" w:hAnsi="Times New Roman"/>
                  <w:sz w:val="13"/>
                  <w:szCs w:val="13"/>
                  <w:u w:val="single" w:color="auto"/>
                  <w:color w:val="0000EE"/>
                </w:rPr>
                <w:t>Dividend Policy</w:t>
              </w:r>
            </w:hyperlink>
          </w:p>
        </w:tc>
        <w:tc>
          <w:tcPr>
            <w:tcW w:w="24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54</w:t>
            </w:r>
          </w:p>
        </w:tc>
        <w:tc>
          <w:tcPr>
            <w:tcW w:w="280" w:type="dxa"/>
            <w:vAlign w:val="bottom"/>
          </w:tcPr>
          <w:p>
            <w:pPr>
              <w:spacing w:after="0"/>
              <w:rPr>
                <w:sz w:val="12"/>
                <w:szCs w:val="12"/>
                <w:color w:val="auto"/>
              </w:rPr>
            </w:pPr>
          </w:p>
        </w:tc>
        <w:tc>
          <w:tcPr>
            <w:tcW w:w="3320" w:type="dxa"/>
            <w:vAlign w:val="bottom"/>
            <w:tcBorders>
              <w:bottom w:val="single" w:sz="8" w:color="0000EE"/>
            </w:tcBorders>
            <w:gridSpan w:val="3"/>
          </w:tcPr>
          <w:p>
            <w:pPr>
              <w:spacing w:after="0" w:line="139" w:lineRule="exact"/>
              <w:rPr>
                <w:rFonts w:ascii="Times New Roman" w:cs="Times New Roman" w:eastAsia="Times New Roman" w:hAnsi="Times New Roman"/>
                <w:sz w:val="13"/>
                <w:szCs w:val="13"/>
                <w:color w:val="0000EE"/>
                <w:w w:val="98"/>
              </w:rPr>
            </w:pPr>
            <w:hyperlink w:anchor="page158">
              <w:r>
                <w:rPr>
                  <w:rFonts w:ascii="Times New Roman" w:cs="Times New Roman" w:eastAsia="Times New Roman" w:hAnsi="Times New Roman"/>
                  <w:sz w:val="13"/>
                  <w:szCs w:val="13"/>
                  <w:color w:val="0000EE"/>
                  <w:w w:val="98"/>
                </w:rPr>
                <w:t>Material U.S. Federal Income Tax Considerations For Non-U.S.</w:t>
              </w:r>
            </w:hyperlink>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00" w:type="dxa"/>
            <w:vAlign w:val="bottom"/>
            <w:gridSpan w:val="4"/>
          </w:tcPr>
          <w:p>
            <w:pPr>
              <w:spacing w:after="0" w:line="135" w:lineRule="exact"/>
              <w:rPr>
                <w:rFonts w:ascii="Times New Roman" w:cs="Times New Roman" w:eastAsia="Times New Roman" w:hAnsi="Times New Roman"/>
                <w:sz w:val="13"/>
                <w:szCs w:val="13"/>
                <w:u w:val="single" w:color="auto"/>
                <w:color w:val="0000EE"/>
              </w:rPr>
            </w:pPr>
            <w:hyperlink w:anchor="page60">
              <w:r>
                <w:rPr>
                  <w:rFonts w:ascii="Times New Roman" w:cs="Times New Roman" w:eastAsia="Times New Roman" w:hAnsi="Times New Roman"/>
                  <w:sz w:val="13"/>
                  <w:szCs w:val="13"/>
                  <w:u w:val="single" w:color="auto"/>
                  <w:color w:val="0000EE"/>
                </w:rPr>
                <w:t>Capitalization</w:t>
              </w:r>
            </w:hyperlink>
          </w:p>
        </w:tc>
        <w:tc>
          <w:tcPr>
            <w:tcW w:w="2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60" w:type="dxa"/>
            <w:vAlign w:val="bottom"/>
            <w:gridSpan w:val="3"/>
          </w:tcPr>
          <w:p>
            <w:pPr>
              <w:spacing w:after="0" w:line="135" w:lineRule="exact"/>
              <w:rPr>
                <w:rFonts w:ascii="Times New Roman" w:cs="Times New Roman" w:eastAsia="Times New Roman" w:hAnsi="Times New Roman"/>
                <w:sz w:val="13"/>
                <w:szCs w:val="13"/>
                <w:color w:val="0000EE"/>
              </w:rPr>
            </w:pPr>
            <w:hyperlink w:anchor="page158">
              <w:r>
                <w:rPr>
                  <w:rFonts w:ascii="Times New Roman" w:cs="Times New Roman" w:eastAsia="Times New Roman" w:hAnsi="Times New Roman"/>
                  <w:sz w:val="13"/>
                  <w:szCs w:val="13"/>
                  <w:color w:val="0000EE"/>
                </w:rPr>
                <w:t>Holders of Common Stock</w:t>
              </w:r>
            </w:hyperlink>
          </w:p>
        </w:tc>
        <w:tc>
          <w:tcPr>
            <w:tcW w:w="2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153</w:t>
            </w:r>
          </w:p>
        </w:tc>
        <w:tc>
          <w:tcPr>
            <w:tcW w:w="0" w:type="dxa"/>
            <w:vAlign w:val="bottom"/>
          </w:tcPr>
          <w:p>
            <w:pPr>
              <w:spacing w:after="0"/>
              <w:rPr>
                <w:sz w:val="1"/>
                <w:szCs w:val="1"/>
                <w:color w:val="auto"/>
              </w:rPr>
            </w:pPr>
          </w:p>
        </w:tc>
      </w:tr>
      <w:tr>
        <w:trPr>
          <w:trHeight w:val="20"/>
        </w:trPr>
        <w:tc>
          <w:tcPr>
            <w:tcW w:w="35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500" w:type="dxa"/>
            <w:vAlign w:val="bottom"/>
            <w:gridSpan w:val="4"/>
          </w:tcPr>
          <w:p>
            <w:pPr>
              <w:spacing w:after="0"/>
              <w:rPr>
                <w:rFonts w:ascii="Times New Roman" w:cs="Times New Roman" w:eastAsia="Times New Roman" w:hAnsi="Times New Roman"/>
                <w:sz w:val="13"/>
                <w:szCs w:val="13"/>
                <w:u w:val="single" w:color="auto"/>
                <w:color w:val="0000EE"/>
              </w:rPr>
            </w:pPr>
            <w:hyperlink w:anchor="page62">
              <w:r>
                <w:rPr>
                  <w:rFonts w:ascii="Times New Roman" w:cs="Times New Roman" w:eastAsia="Times New Roman" w:hAnsi="Times New Roman"/>
                  <w:sz w:val="13"/>
                  <w:szCs w:val="13"/>
                  <w:u w:val="single" w:color="auto"/>
                  <w:color w:val="0000EE"/>
                </w:rPr>
                <w:t>Selected Consolidated Financial Data</w:t>
              </w:r>
            </w:hyperlink>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3880" w:type="dxa"/>
            <w:vAlign w:val="bottom"/>
            <w:gridSpan w:val="5"/>
          </w:tcPr>
          <w:p>
            <w:pPr>
              <w:ind w:left="280"/>
              <w:spacing w:after="0"/>
              <w:rPr>
                <w:rFonts w:ascii="Times New Roman" w:cs="Times New Roman" w:eastAsia="Times New Roman" w:hAnsi="Times New Roman"/>
                <w:sz w:val="13"/>
                <w:szCs w:val="13"/>
                <w:u w:val="single" w:color="auto"/>
                <w:color w:val="0000EE"/>
              </w:rPr>
            </w:pPr>
            <w:hyperlink w:anchor="page162">
              <w:r>
                <w:rPr>
                  <w:rFonts w:ascii="Times New Roman" w:cs="Times New Roman" w:eastAsia="Times New Roman" w:hAnsi="Times New Roman"/>
                  <w:sz w:val="13"/>
                  <w:szCs w:val="13"/>
                  <w:u w:val="single" w:color="auto"/>
                  <w:color w:val="0000EE"/>
                </w:rPr>
                <w:t>Plan of Distribution</w:t>
              </w:r>
            </w:hyperlink>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157</w:t>
            </w:r>
          </w:p>
        </w:tc>
        <w:tc>
          <w:tcPr>
            <w:tcW w:w="0" w:type="dxa"/>
            <w:vAlign w:val="bottom"/>
          </w:tcPr>
          <w:p>
            <w:pPr>
              <w:spacing w:after="0"/>
              <w:rPr>
                <w:sz w:val="1"/>
                <w:szCs w:val="1"/>
                <w:color w:val="auto"/>
              </w:rPr>
            </w:pPr>
          </w:p>
        </w:tc>
      </w:tr>
      <w:tr>
        <w:trPr>
          <w:trHeight w:val="139"/>
        </w:trPr>
        <w:tc>
          <w:tcPr>
            <w:tcW w:w="3260" w:type="dxa"/>
            <w:vAlign w:val="bottom"/>
            <w:tcBorders>
              <w:bottom w:val="single" w:sz="8" w:color="0000EE"/>
            </w:tcBorders>
            <w:gridSpan w:val="3"/>
          </w:tcPr>
          <w:p>
            <w:pPr>
              <w:spacing w:after="0" w:line="139" w:lineRule="exact"/>
              <w:rPr>
                <w:rFonts w:ascii="Times New Roman" w:cs="Times New Roman" w:eastAsia="Times New Roman" w:hAnsi="Times New Roman"/>
                <w:sz w:val="13"/>
                <w:szCs w:val="13"/>
                <w:color w:val="0000EE"/>
                <w:w w:val="98"/>
              </w:rPr>
            </w:pPr>
            <w:hyperlink w:anchor="page64">
              <w:r>
                <w:rPr>
                  <w:rFonts w:ascii="Times New Roman" w:cs="Times New Roman" w:eastAsia="Times New Roman" w:hAnsi="Times New Roman"/>
                  <w:sz w:val="13"/>
                  <w:szCs w:val="13"/>
                  <w:color w:val="0000EE"/>
                  <w:w w:val="98"/>
                </w:rPr>
                <w:t>Management’s Discussion and Analysis of Financial Condition</w:t>
              </w:r>
            </w:hyperlink>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80" w:type="dxa"/>
            <w:vAlign w:val="bottom"/>
            <w:gridSpan w:val="5"/>
          </w:tcPr>
          <w:p>
            <w:pPr>
              <w:ind w:left="280"/>
              <w:spacing w:after="0" w:line="139" w:lineRule="exact"/>
              <w:rPr>
                <w:rFonts w:ascii="Times New Roman" w:cs="Times New Roman" w:eastAsia="Times New Roman" w:hAnsi="Times New Roman"/>
                <w:sz w:val="13"/>
                <w:szCs w:val="13"/>
                <w:u w:val="single" w:color="auto"/>
                <w:color w:val="0000EE"/>
              </w:rPr>
            </w:pPr>
            <w:hyperlink w:anchor="page164">
              <w:r>
                <w:rPr>
                  <w:rFonts w:ascii="Times New Roman" w:cs="Times New Roman" w:eastAsia="Times New Roman" w:hAnsi="Times New Roman"/>
                  <w:sz w:val="13"/>
                  <w:szCs w:val="13"/>
                  <w:u w:val="single" w:color="auto"/>
                  <w:color w:val="0000EE"/>
                </w:rPr>
                <w:t>Legal Matters</w:t>
              </w:r>
            </w:hyperlink>
          </w:p>
        </w:tc>
        <w:tc>
          <w:tcPr>
            <w:tcW w:w="240" w:type="dxa"/>
            <w:vAlign w:val="bottom"/>
            <w:gridSpan w:val="2"/>
          </w:tcPr>
          <w:p>
            <w:pPr>
              <w:jc w:val="right"/>
              <w:ind w:right="20"/>
              <w:spacing w:after="0" w:line="139" w:lineRule="exact"/>
              <w:rPr>
                <w:sz w:val="20"/>
                <w:szCs w:val="20"/>
                <w:color w:val="auto"/>
              </w:rPr>
            </w:pPr>
            <w:r>
              <w:rPr>
                <w:rFonts w:ascii="Times New Roman" w:cs="Times New Roman" w:eastAsia="Times New Roman" w:hAnsi="Times New Roman"/>
                <w:sz w:val="13"/>
                <w:szCs w:val="13"/>
                <w:color w:val="auto"/>
              </w:rPr>
              <w:t>159</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340" w:type="dxa"/>
            <w:vAlign w:val="bottom"/>
            <w:tcBorders>
              <w:bottom w:val="single" w:sz="8" w:color="0000EE"/>
            </w:tcBorders>
          </w:tcPr>
          <w:p>
            <w:pPr>
              <w:spacing w:after="0" w:line="135" w:lineRule="exact"/>
              <w:rPr>
                <w:rFonts w:ascii="Times New Roman" w:cs="Times New Roman" w:eastAsia="Times New Roman" w:hAnsi="Times New Roman"/>
                <w:sz w:val="13"/>
                <w:szCs w:val="13"/>
                <w:color w:val="0000EE"/>
                <w:w w:val="97"/>
              </w:rPr>
            </w:pPr>
            <w:hyperlink w:anchor="page64">
              <w:r>
                <w:rPr>
                  <w:rFonts w:ascii="Times New Roman" w:cs="Times New Roman" w:eastAsia="Times New Roman" w:hAnsi="Times New Roman"/>
                  <w:sz w:val="13"/>
                  <w:szCs w:val="13"/>
                  <w:color w:val="0000EE"/>
                  <w:w w:val="97"/>
                </w:rPr>
                <w:t>and Results of Operations</w:t>
              </w:r>
            </w:hyperlink>
          </w:p>
        </w:tc>
        <w:tc>
          <w:tcPr>
            <w:tcW w:w="2040" w:type="dxa"/>
            <w:vAlign w:val="bottom"/>
            <w:gridSpan w:val="2"/>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w:t>
            </w:r>
          </w:p>
        </w:tc>
        <w:tc>
          <w:tcPr>
            <w:tcW w:w="3880" w:type="dxa"/>
            <w:vAlign w:val="bottom"/>
            <w:gridSpan w:val="5"/>
          </w:tcPr>
          <w:p>
            <w:pPr>
              <w:ind w:left="280"/>
              <w:spacing w:after="0" w:line="135" w:lineRule="exact"/>
              <w:rPr>
                <w:rFonts w:ascii="Times New Roman" w:cs="Times New Roman" w:eastAsia="Times New Roman" w:hAnsi="Times New Roman"/>
                <w:sz w:val="13"/>
                <w:szCs w:val="13"/>
                <w:u w:val="single" w:color="auto"/>
                <w:color w:val="0000EE"/>
              </w:rPr>
            </w:pPr>
            <w:hyperlink w:anchor="page164">
              <w:r>
                <w:rPr>
                  <w:rFonts w:ascii="Times New Roman" w:cs="Times New Roman" w:eastAsia="Times New Roman" w:hAnsi="Times New Roman"/>
                  <w:sz w:val="13"/>
                  <w:szCs w:val="13"/>
                  <w:u w:val="single" w:color="auto"/>
                  <w:color w:val="0000EE"/>
                </w:rPr>
                <w:t>Experts</w:t>
              </w:r>
            </w:hyperlink>
          </w:p>
        </w:tc>
        <w:tc>
          <w:tcPr>
            <w:tcW w:w="2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159</w:t>
            </w:r>
          </w:p>
        </w:tc>
        <w:tc>
          <w:tcPr>
            <w:tcW w:w="0" w:type="dxa"/>
            <w:vAlign w:val="bottom"/>
          </w:tcPr>
          <w:p>
            <w:pPr>
              <w:spacing w:after="0"/>
              <w:rPr>
                <w:sz w:val="1"/>
                <w:szCs w:val="1"/>
                <w:color w:val="auto"/>
              </w:rPr>
            </w:pPr>
          </w:p>
        </w:tc>
      </w:tr>
      <w:tr>
        <w:trPr>
          <w:trHeight w:val="151"/>
        </w:trPr>
        <w:tc>
          <w:tcPr>
            <w:tcW w:w="3500" w:type="dxa"/>
            <w:vAlign w:val="bottom"/>
            <w:gridSpan w:val="4"/>
          </w:tcPr>
          <w:p>
            <w:pPr>
              <w:spacing w:after="0"/>
              <w:rPr>
                <w:rFonts w:ascii="Times New Roman" w:cs="Times New Roman" w:eastAsia="Times New Roman" w:hAnsi="Times New Roman"/>
                <w:sz w:val="13"/>
                <w:szCs w:val="13"/>
                <w:u w:val="single" w:color="auto"/>
                <w:color w:val="0000EE"/>
              </w:rPr>
            </w:pPr>
            <w:hyperlink w:anchor="page89">
              <w:r>
                <w:rPr>
                  <w:rFonts w:ascii="Times New Roman" w:cs="Times New Roman" w:eastAsia="Times New Roman" w:hAnsi="Times New Roman"/>
                  <w:sz w:val="13"/>
                  <w:szCs w:val="13"/>
                  <w:u w:val="single" w:color="auto"/>
                  <w:color w:val="0000EE"/>
                </w:rPr>
                <w:t>Letter from Our Co-Founders</w:t>
              </w:r>
            </w:hyperlink>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3880" w:type="dxa"/>
            <w:vAlign w:val="bottom"/>
            <w:gridSpan w:val="5"/>
          </w:tcPr>
          <w:p>
            <w:pPr>
              <w:ind w:left="280"/>
              <w:spacing w:after="0"/>
              <w:rPr>
                <w:rFonts w:ascii="Times New Roman" w:cs="Times New Roman" w:eastAsia="Times New Roman" w:hAnsi="Times New Roman"/>
                <w:sz w:val="13"/>
                <w:szCs w:val="13"/>
                <w:u w:val="single" w:color="auto"/>
                <w:color w:val="0000EE"/>
              </w:rPr>
            </w:pPr>
            <w:hyperlink w:anchor="page164">
              <w:r>
                <w:rPr>
                  <w:rFonts w:ascii="Times New Roman" w:cs="Times New Roman" w:eastAsia="Times New Roman" w:hAnsi="Times New Roman"/>
                  <w:sz w:val="13"/>
                  <w:szCs w:val="13"/>
                  <w:u w:val="single" w:color="auto"/>
                  <w:color w:val="0000EE"/>
                </w:rPr>
                <w:t>Where You Can Find Additional Information</w:t>
              </w:r>
            </w:hyperlink>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159</w:t>
            </w:r>
          </w:p>
        </w:tc>
        <w:tc>
          <w:tcPr>
            <w:tcW w:w="0" w:type="dxa"/>
            <w:vAlign w:val="bottom"/>
          </w:tcPr>
          <w:p>
            <w:pPr>
              <w:spacing w:after="0"/>
              <w:rPr>
                <w:sz w:val="1"/>
                <w:szCs w:val="1"/>
                <w:color w:val="auto"/>
              </w:rPr>
            </w:pPr>
          </w:p>
        </w:tc>
      </w:tr>
      <w:tr>
        <w:trPr>
          <w:trHeight w:val="155"/>
        </w:trPr>
        <w:tc>
          <w:tcPr>
            <w:tcW w:w="3500" w:type="dxa"/>
            <w:vAlign w:val="bottom"/>
            <w:gridSpan w:val="4"/>
          </w:tcPr>
          <w:p>
            <w:pPr>
              <w:spacing w:after="0"/>
              <w:rPr>
                <w:rFonts w:ascii="Times New Roman" w:cs="Times New Roman" w:eastAsia="Times New Roman" w:hAnsi="Times New Roman"/>
                <w:sz w:val="13"/>
                <w:szCs w:val="13"/>
                <w:u w:val="single" w:color="auto"/>
                <w:color w:val="0000EE"/>
              </w:rPr>
            </w:pPr>
            <w:hyperlink w:anchor="page94">
              <w:r>
                <w:rPr>
                  <w:rFonts w:ascii="Times New Roman" w:cs="Times New Roman" w:eastAsia="Times New Roman" w:hAnsi="Times New Roman"/>
                  <w:sz w:val="13"/>
                  <w:szCs w:val="13"/>
                  <w:u w:val="single" w:color="auto"/>
                  <w:color w:val="0000EE"/>
                </w:rPr>
                <w:t>Business</w:t>
              </w:r>
            </w:hyperlink>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3880" w:type="dxa"/>
            <w:vAlign w:val="bottom"/>
            <w:gridSpan w:val="5"/>
          </w:tcPr>
          <w:p>
            <w:pPr>
              <w:ind w:left="280"/>
              <w:spacing w:after="0"/>
              <w:rPr>
                <w:rFonts w:ascii="Times New Roman" w:cs="Times New Roman" w:eastAsia="Times New Roman" w:hAnsi="Times New Roman"/>
                <w:sz w:val="13"/>
                <w:szCs w:val="13"/>
                <w:u w:val="single" w:color="auto"/>
                <w:color w:val="0000EE"/>
              </w:rPr>
            </w:pPr>
            <w:hyperlink w:anchor="page165">
              <w:r>
                <w:rPr>
                  <w:rFonts w:ascii="Times New Roman" w:cs="Times New Roman" w:eastAsia="Times New Roman" w:hAnsi="Times New Roman"/>
                  <w:sz w:val="13"/>
                  <w:szCs w:val="13"/>
                  <w:u w:val="single" w:color="auto"/>
                  <w:color w:val="0000EE"/>
                </w:rPr>
                <w:t>Index to Consolidated Financial Statements</w:t>
              </w:r>
            </w:hyperlink>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F-1</w:t>
            </w:r>
          </w:p>
        </w:tc>
        <w:tc>
          <w:tcPr>
            <w:tcW w:w="0" w:type="dxa"/>
            <w:vAlign w:val="bottom"/>
          </w:tcPr>
          <w:p>
            <w:pPr>
              <w:spacing w:after="0"/>
              <w:rPr>
                <w:sz w:val="1"/>
                <w:szCs w:val="1"/>
                <w:color w:val="auto"/>
              </w:rPr>
            </w:pPr>
          </w:p>
        </w:tc>
      </w:tr>
      <w:tr>
        <w:trPr>
          <w:trHeight w:val="167"/>
        </w:trPr>
        <w:tc>
          <w:tcPr>
            <w:tcW w:w="3500" w:type="dxa"/>
            <w:vAlign w:val="bottom"/>
            <w:gridSpan w:val="4"/>
          </w:tcPr>
          <w:p>
            <w:pPr>
              <w:spacing w:after="0"/>
              <w:rPr>
                <w:rFonts w:ascii="Times New Roman" w:cs="Times New Roman" w:eastAsia="Times New Roman" w:hAnsi="Times New Roman"/>
                <w:sz w:val="13"/>
                <w:szCs w:val="13"/>
                <w:u w:val="single" w:color="auto"/>
                <w:color w:val="0000EE"/>
              </w:rPr>
            </w:pPr>
            <w:hyperlink w:anchor="page119">
              <w:r>
                <w:rPr>
                  <w:rFonts w:ascii="Times New Roman" w:cs="Times New Roman" w:eastAsia="Times New Roman" w:hAnsi="Times New Roman"/>
                  <w:sz w:val="13"/>
                  <w:szCs w:val="13"/>
                  <w:u w:val="single" w:color="auto"/>
                  <w:color w:val="0000EE"/>
                </w:rPr>
                <w:t>Management</w:t>
              </w:r>
            </w:hyperlink>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3057525</wp:posOffset>
            </wp:positionH>
            <wp:positionV relativeFrom="paragraph">
              <wp:posOffset>227965</wp:posOffset>
            </wp:positionV>
            <wp:extent cx="105283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52830" cy="635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1680" w:right="619" w:firstLine="316"/>
        <w:spacing w:after="0" w:line="253" w:lineRule="auto"/>
        <w:rPr>
          <w:sz w:val="20"/>
          <w:szCs w:val="20"/>
          <w:color w:val="auto"/>
        </w:rPr>
      </w:pPr>
      <w:r>
        <w:rPr>
          <w:rFonts w:ascii="Times New Roman" w:cs="Times New Roman" w:eastAsia="Times New Roman" w:hAnsi="Times New Roman"/>
          <w:sz w:val="13"/>
          <w:szCs w:val="13"/>
          <w:color w:val="auto"/>
        </w:rPr>
        <w:t>You should rely only on the information contained in this prospectus or contained in any free writing prospectus filed with the Securities and Exchange Commission, or the SEC. Neither we nor any of the Registered Stockholders have authorized anyone to provide any information or make any representations other than those contained in this prospectus or in any free writing prospectus we have prepared. We take no responsibility for, and can provide no assurance as to the reliability of, any other information that others may give you. The Registered Stockholders are offering to sell, and seeking offers to buy, shares of their Class A common stock only in jurisdictions where offers and sales are permitted. The information contained in this prospectus is accurate only as of the date of this prospectus, regardless of the time of delivery of this prospectus or of any sale of the Class A common stock. Our business, financial condition, results of operations, and prospects may have changed since such date.</w:t>
      </w:r>
    </w:p>
    <w:p>
      <w:pPr>
        <w:spacing w:after="0" w:line="136" w:lineRule="exact"/>
        <w:rPr>
          <w:sz w:val="20"/>
          <w:szCs w:val="20"/>
          <w:color w:val="auto"/>
        </w:rPr>
      </w:pPr>
    </w:p>
    <w:p>
      <w:pPr>
        <w:ind w:left="1680" w:right="579" w:firstLine="316"/>
        <w:spacing w:after="0" w:line="280" w:lineRule="auto"/>
        <w:rPr>
          <w:sz w:val="20"/>
          <w:szCs w:val="20"/>
          <w:color w:val="auto"/>
        </w:rPr>
      </w:pPr>
      <w:r>
        <w:rPr>
          <w:rFonts w:ascii="Times New Roman" w:cs="Times New Roman" w:eastAsia="Times New Roman" w:hAnsi="Times New Roman"/>
          <w:sz w:val="13"/>
          <w:szCs w:val="13"/>
          <w:b w:val="1"/>
          <w:bCs w:val="1"/>
          <w:color w:val="auto"/>
        </w:rPr>
        <w:t>Through and including , 2020 (the 25th day after the listing date of our Class A common stock), all dealers effecting transactions in these securities, whether or not participating in this offering, may be required to deliver a prospectus.</w:t>
      </w:r>
    </w:p>
    <w:p>
      <w:pPr>
        <w:spacing w:after="0" w:line="118" w:lineRule="exact"/>
        <w:rPr>
          <w:sz w:val="20"/>
          <w:szCs w:val="20"/>
          <w:color w:val="auto"/>
        </w:rPr>
      </w:pPr>
    </w:p>
    <w:p>
      <w:pPr>
        <w:ind w:left="1680" w:right="699" w:firstLine="316"/>
        <w:spacing w:after="0" w:line="258" w:lineRule="auto"/>
        <w:rPr>
          <w:sz w:val="20"/>
          <w:szCs w:val="20"/>
          <w:color w:val="auto"/>
        </w:rPr>
      </w:pPr>
      <w:r>
        <w:rPr>
          <w:rFonts w:ascii="Times New Roman" w:cs="Times New Roman" w:eastAsia="Times New Roman" w:hAnsi="Times New Roman"/>
          <w:sz w:val="13"/>
          <w:szCs w:val="13"/>
          <w:color w:val="auto"/>
        </w:rPr>
        <w:t>For investors outside of the United States, neither we nor any of the Registered Stockholders have done anything that would permit the use of or possession or distribution of this prospectus in any jurisdiction where action for that purpose is required, other than in the United States. You are required to inform yourselves about, and to observe any restrictions relating to, the offering of Class A common stock by the Registered Stockholders and the distribution of this prospectus outside of the United States.</w:t>
      </w:r>
    </w:p>
    <w:p>
      <w:pPr>
        <w:sectPr>
          <w:pgSz w:w="11900" w:h="16838" w:orient="portrait"/>
          <w:cols w:equalWidth="0" w:num="1">
            <w:col w:w="10159"/>
          </w:cols>
          <w:pgMar w:left="300" w:top="367" w:right="1440" w:bottom="1440" w:gutter="0" w:footer="0" w:header="0"/>
        </w:sectPr>
      </w:pPr>
    </w:p>
    <w:bookmarkStart w:id="5" w:name="page6"/>
    <w:bookmarkEnd w:id="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ABOUT THIS PROSPECTUS</w:t>
      </w:r>
    </w:p>
    <w:p>
      <w:pPr>
        <w:spacing w:after="0" w:line="163" w:lineRule="exact"/>
        <w:rPr>
          <w:sz w:val="20"/>
          <w:szCs w:val="20"/>
          <w:color w:val="auto"/>
        </w:rPr>
      </w:pPr>
    </w:p>
    <w:p>
      <w:pPr>
        <w:ind w:left="1680" w:right="639" w:firstLine="316"/>
        <w:spacing w:after="0" w:line="254" w:lineRule="auto"/>
        <w:rPr>
          <w:sz w:val="20"/>
          <w:szCs w:val="20"/>
          <w:color w:val="auto"/>
        </w:rPr>
      </w:pPr>
      <w:r>
        <w:rPr>
          <w:rFonts w:ascii="Times New Roman" w:cs="Times New Roman" w:eastAsia="Times New Roman" w:hAnsi="Times New Roman"/>
          <w:sz w:val="13"/>
          <w:szCs w:val="13"/>
          <w:color w:val="auto"/>
        </w:rPr>
        <w:t>This prospectus is a part of a registration statement on Form S-1 that we filed with the SEC using a “shelf” registration or continuous offering process. Under this shelf process, the Registered Stockholders may, from time to time, sell the Class A common stock covered by this prospectus in the manner described in the section titled “Plan of Distribution.” Additionally, we may provide a prospectus supplement to add information to, or update or change information contained in, this prospectus, including the section titled “Plan of Distribution.” You may obtain this information without charge by following the instructions under the section titled “Where You Can Find Additional Information” appearing elsewhere in this prospectus. You should read this prospectus and any prospectus supplement before deciding to invest in our Class A common stock</w:t>
      </w:r>
      <w:r>
        <w:rPr>
          <w:rFonts w:ascii="Times New Roman" w:cs="Times New Roman" w:eastAsia="Times New Roman" w:hAnsi="Times New Roman"/>
          <w:sz w:val="13"/>
          <w:szCs w:val="13"/>
          <w:i w:val="1"/>
          <w:iCs w:val="1"/>
          <w:color w:val="auto"/>
        </w:rPr>
        <w:t>.</w:t>
      </w:r>
    </w:p>
    <w:p>
      <w:pPr>
        <w:spacing w:after="0" w:line="13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Except as otherwise indicated, all information in this prospectus assumes:</w:t>
      </w:r>
    </w:p>
    <w:p>
      <w:pPr>
        <w:spacing w:after="0" w:line="93" w:lineRule="exact"/>
        <w:rPr>
          <w:sz w:val="20"/>
          <w:szCs w:val="20"/>
          <w:color w:val="auto"/>
        </w:rPr>
      </w:pPr>
    </w:p>
    <w:p>
      <w:pPr>
        <w:ind w:left="2380" w:right="859" w:hanging="381"/>
        <w:spacing w:after="0" w:line="277" w:lineRule="auto"/>
        <w:tabs>
          <w:tab w:leader="none" w:pos="23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reclassification of our Class A common stock and Class B common stock into Class B common stock and Class A common stock, respectively, which was effected on March 23, 2020, or the Reclassification;</w:t>
      </w:r>
    </w:p>
    <w:p>
      <w:pPr>
        <w:spacing w:after="0" w:line="52" w:lineRule="exact"/>
        <w:rPr>
          <w:rFonts w:ascii="Times New Roman" w:cs="Times New Roman" w:eastAsia="Times New Roman" w:hAnsi="Times New Roman"/>
          <w:sz w:val="13"/>
          <w:szCs w:val="13"/>
          <w:color w:val="auto"/>
        </w:rPr>
      </w:pPr>
    </w:p>
    <w:p>
      <w:pPr>
        <w:jc w:val="both"/>
        <w:ind w:left="2380" w:right="719" w:hanging="381"/>
        <w:spacing w:after="0" w:line="320" w:lineRule="auto"/>
        <w:tabs>
          <w:tab w:leader="none" w:pos="238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reduction of the voting power of the high-vote common stock (reclassified as Class B common stock) from 100 votes per share to 10 votes per share, which will occur in connection with the effectiveness of the registration statement of which this prospectus forms a part;</w:t>
      </w:r>
    </w:p>
    <w:p>
      <w:pPr>
        <w:spacing w:after="0" w:line="29" w:lineRule="exact"/>
        <w:rPr>
          <w:rFonts w:ascii="Times New Roman" w:cs="Times New Roman" w:eastAsia="Times New Roman" w:hAnsi="Times New Roman"/>
          <w:sz w:val="12"/>
          <w:szCs w:val="12"/>
          <w:color w:val="auto"/>
        </w:rPr>
      </w:pPr>
    </w:p>
    <w:p>
      <w:pPr>
        <w:ind w:left="2380" w:right="659" w:hanging="381"/>
        <w:spacing w:after="0" w:line="277" w:lineRule="auto"/>
        <w:tabs>
          <w:tab w:leader="none" w:pos="23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filing and effectiveness of our restated certificate of incorporation in Delaware and the adoption of our restated bylaws, each of which will occur in connection with the effectiveness of the registration statement of which this prospectus forms a part;</w:t>
      </w:r>
    </w:p>
    <w:p>
      <w:pPr>
        <w:spacing w:after="0" w:line="52" w:lineRule="exact"/>
        <w:rPr>
          <w:rFonts w:ascii="Times New Roman" w:cs="Times New Roman" w:eastAsia="Times New Roman" w:hAnsi="Times New Roman"/>
          <w:sz w:val="13"/>
          <w:szCs w:val="13"/>
          <w:color w:val="auto"/>
        </w:rPr>
      </w:pPr>
    </w:p>
    <w:p>
      <w:pPr>
        <w:ind w:left="2380" w:right="599" w:hanging="381"/>
        <w:spacing w:after="0" w:line="263" w:lineRule="auto"/>
        <w:tabs>
          <w:tab w:leader="none" w:pos="23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automatic conversion of all outstanding shares of our redeemable convertible preferred stock, or preferred stock, into an aggregate of 73,577,455 shares of our Class B common stock, the conversion of which will occur upon the effectiveness of the registration statement of which this prospectus forms a part;</w:t>
      </w:r>
    </w:p>
    <w:p>
      <w:pPr>
        <w:spacing w:after="0" w:line="61"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conversion of our 3.5% senior mandatory convertible promissory notes due 2025; and</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exercise of the outstanding options or vesting and settlement of the restricted stock units, or RSUs, described herein.</w:t>
      </w:r>
    </w:p>
    <w:p>
      <w:pPr>
        <w:spacing w:after="0" w:line="11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10159"/>
          </w:cols>
          <w:pgMar w:left="300" w:top="367" w:right="1440" w:bottom="1440" w:gutter="0" w:footer="0" w:header="0"/>
        </w:sectPr>
      </w:pPr>
    </w:p>
    <w:bookmarkStart w:id="6" w:name="page7"/>
    <w:bookmarkEnd w:id="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144780</wp:posOffset>
            </wp:positionV>
            <wp:extent cx="5029200" cy="42970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29200" cy="4297045"/>
                    </a:xfrm>
                    <a:prstGeom prst="rect">
                      <a:avLst/>
                    </a:prstGeom>
                    <a:noFill/>
                  </pic:spPr>
                </pic:pic>
              </a:graphicData>
            </a:graphic>
          </wp:anchor>
        </w:drawing>
      </w:r>
    </w:p>
    <w:p>
      <w:pPr>
        <w:spacing w:after="0" w:line="33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PROSPECTUS SUMMARY</w:t>
      </w:r>
    </w:p>
    <w:p>
      <w:pPr>
        <w:spacing w:after="0" w:line="161" w:lineRule="exact"/>
        <w:rPr>
          <w:sz w:val="20"/>
          <w:szCs w:val="20"/>
          <w:color w:val="auto"/>
        </w:rPr>
      </w:pPr>
    </w:p>
    <w:p>
      <w:pPr>
        <w:ind w:left="1820" w:right="799" w:firstLine="306"/>
        <w:spacing w:after="0" w:line="254" w:lineRule="auto"/>
        <w:rPr>
          <w:sz w:val="20"/>
          <w:szCs w:val="20"/>
          <w:color w:val="auto"/>
        </w:rPr>
      </w:pPr>
      <w:r>
        <w:rPr>
          <w:rFonts w:ascii="Times New Roman" w:cs="Times New Roman" w:eastAsia="Times New Roman" w:hAnsi="Times New Roman"/>
          <w:sz w:val="13"/>
          <w:szCs w:val="13"/>
          <w:i w:val="1"/>
          <w:iCs w:val="1"/>
          <w:color w:val="auto"/>
        </w:rPr>
        <w:t>This summary highlights information contained in greater detail elsewhere in this prospectus. This summary is not complete and does not contain all of the information you should consider in making your investment decision. You should read the entire prospectus carefully before making an investment in our Class A common stock. You should carefully consider, among other things, our consolidated financial statements and the sections titled “Risk Factors” and “Management’s Discussion and Analysis of Financial Condition and Results of Operations” included elsewhere in this prospectus before making an investment decision. Unless the context otherwise requires, the terms “Asana,” “the company,” “we,” “us,” and “our” in this prospectus refers to Asana, Inc. and its consolidated subsidiaries. Our fiscal year ends January 31, and references throughout this prospectus to a given fiscal year are to the 12 months ended on that date.</w:t>
      </w:r>
    </w:p>
    <w:p>
      <w:pPr>
        <w:spacing w:after="0" w:line="28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3"/>
          <w:szCs w:val="13"/>
          <w:b w:val="1"/>
          <w:bCs w:val="1"/>
          <w:color w:val="auto"/>
        </w:rPr>
        <w:t>ASANA, INC.</w:t>
      </w:r>
    </w:p>
    <w:p>
      <w:pPr>
        <w:spacing w:after="0" w:line="16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8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color w:val="auto"/>
        </w:rPr>
        <w:t>Our mission is to help humanity thrive by enabling the world’s teams to work together effortlessly.</w:t>
      </w:r>
    </w:p>
    <w:p>
      <w:pPr>
        <w:spacing w:after="0" w:line="161" w:lineRule="exact"/>
        <w:rPr>
          <w:sz w:val="20"/>
          <w:szCs w:val="20"/>
          <w:color w:val="auto"/>
        </w:rPr>
      </w:pPr>
    </w:p>
    <w:p>
      <w:pPr>
        <w:ind w:left="1820" w:right="859" w:firstLine="306"/>
        <w:spacing w:after="0" w:line="258" w:lineRule="auto"/>
        <w:rPr>
          <w:sz w:val="20"/>
          <w:szCs w:val="20"/>
          <w:color w:val="auto"/>
        </w:rPr>
      </w:pPr>
      <w:r>
        <w:rPr>
          <w:rFonts w:ascii="Times New Roman" w:cs="Times New Roman" w:eastAsia="Times New Roman" w:hAnsi="Times New Roman"/>
          <w:sz w:val="13"/>
          <w:szCs w:val="13"/>
          <w:color w:val="auto"/>
        </w:rPr>
        <w:t>Asana is a work management platform that helps teams orchestrate work, from daily tasks to cross-functional strategic initiatives. Over 82,000 paying customers use Asana to manage everything from product launches to marketing campaigns to organization-wide goal setting. Our platform adds structure to unstructured work, creating clarity, transparency, and accountability to everyone within an organization—individuals, team leads, and executives—so they understand exactly who is doing what, by when.</w:t>
      </w:r>
    </w:p>
    <w:p>
      <w:pPr>
        <w:spacing w:after="0" w:line="20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b w:val="1"/>
          <w:bCs w:val="1"/>
          <w:i w:val="1"/>
          <w:iCs w:val="1"/>
          <w:color w:val="auto"/>
        </w:rPr>
        <w:t>History</w:t>
      </w:r>
    </w:p>
    <w:p>
      <w:pPr>
        <w:spacing w:after="0" w:line="87" w:lineRule="exact"/>
        <w:rPr>
          <w:sz w:val="20"/>
          <w:szCs w:val="20"/>
          <w:color w:val="auto"/>
        </w:rPr>
      </w:pPr>
    </w:p>
    <w:p>
      <w:pPr>
        <w:jc w:val="both"/>
        <w:ind w:left="1820" w:right="759" w:firstLine="306"/>
        <w:spacing w:after="0" w:line="256" w:lineRule="auto"/>
        <w:rPr>
          <w:sz w:val="20"/>
          <w:szCs w:val="20"/>
          <w:color w:val="auto"/>
        </w:rPr>
      </w:pPr>
      <w:r>
        <w:rPr>
          <w:rFonts w:ascii="Times New Roman" w:cs="Times New Roman" w:eastAsia="Times New Roman" w:hAnsi="Times New Roman"/>
          <w:sz w:val="13"/>
          <w:szCs w:val="13"/>
          <w:color w:val="auto"/>
        </w:rPr>
        <w:t>We started Asana because our co-founders experienced firsthand the growing problem of work about work. While at Facebook, they saw the coordination challenges the company faced as it scaled. Instead of spending time on work that generated results, they were spending time in status meetings and long email threads trying to figure out who was responsible for what. They recognized the pain of work about work was universal to teams that need to coordinate their work effectively to achieve their objectives. Yet there were no products in the market that adequately addressed this pain. As a result of that frustration, they were inspired to create Asana to solve this problem for the world’s teams.</w:t>
      </w:r>
    </w:p>
    <w:p>
      <w:pPr>
        <w:spacing w:after="0" w:line="133" w:lineRule="exact"/>
        <w:rPr>
          <w:sz w:val="20"/>
          <w:szCs w:val="20"/>
          <w:color w:val="auto"/>
        </w:rPr>
      </w:pPr>
    </w:p>
    <w:p>
      <w:pPr>
        <w:ind w:left="1820" w:right="699" w:firstLine="306"/>
        <w:spacing w:after="0" w:line="320" w:lineRule="auto"/>
        <w:rPr>
          <w:sz w:val="20"/>
          <w:szCs w:val="20"/>
          <w:color w:val="auto"/>
        </w:rPr>
      </w:pPr>
      <w:r>
        <w:rPr>
          <w:rFonts w:ascii="Times New Roman" w:cs="Times New Roman" w:eastAsia="Times New Roman" w:hAnsi="Times New Roman"/>
          <w:sz w:val="12"/>
          <w:szCs w:val="12"/>
          <w:color w:val="auto"/>
        </w:rPr>
        <w:t>Since our inception, millions of teams in virtually every country around the world have used Asana. With Asana, users experience higher productivity, which has led to rapid adoption across teams, departments, and organizations. As of July 31, 2020, we had over 1.3 million paid users.</w:t>
      </w:r>
    </w:p>
    <w:p>
      <w:pPr>
        <w:spacing w:after="0" w:line="17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b w:val="1"/>
          <w:bCs w:val="1"/>
          <w:i w:val="1"/>
          <w:iCs w:val="1"/>
          <w:color w:val="auto"/>
        </w:rPr>
        <w:t>Teams Spend Too Much Time on Work About Work</w:t>
      </w:r>
    </w:p>
    <w:p>
      <w:pPr>
        <w:spacing w:after="0" w:line="87" w:lineRule="exact"/>
        <w:rPr>
          <w:sz w:val="20"/>
          <w:szCs w:val="20"/>
          <w:color w:val="auto"/>
        </w:rPr>
      </w:pPr>
    </w:p>
    <w:p>
      <w:pPr>
        <w:ind w:left="1820" w:right="739" w:firstLine="306"/>
        <w:spacing w:after="0" w:line="253" w:lineRule="auto"/>
        <w:rPr>
          <w:sz w:val="20"/>
          <w:szCs w:val="20"/>
          <w:color w:val="auto"/>
        </w:rPr>
      </w:pPr>
      <w:r>
        <w:rPr>
          <w:rFonts w:ascii="Times New Roman" w:cs="Times New Roman" w:eastAsia="Times New Roman" w:hAnsi="Times New Roman"/>
          <w:sz w:val="13"/>
          <w:szCs w:val="13"/>
          <w:color w:val="auto"/>
        </w:rPr>
        <w:t>Work continues to get harder to manage as organizations try to move faster to respond to changing market demands. Today, 60% of knowledge workers’ time is spent on work about work. At work, people face an overwhelming volume of communications from email and messaging applications, many of which are asking for status updates. These messages often go to multiple people, so there is limited clarity around what steps need to be taken, and by when, and limited accountability around who owns the action. As a result, requests go unanswered, and employees spend more time searching and responding to messages in an attempt to provide clarity and accountability to their teams. To minimize work about work, reduce chaos, and give individuals time back to focus on the work that matters, teams need a purpose-built solution for coordination.</w:t>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10159"/>
          </w:cols>
          <w:pgMar w:left="300" w:top="367" w:right="1440" w:bottom="1440" w:gutter="0" w:footer="0" w:header="0"/>
        </w:sectPr>
      </w:pPr>
    </w:p>
    <w:bookmarkStart w:id="7" w:name="page8"/>
    <w:bookmarkEnd w:id="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144780</wp:posOffset>
            </wp:positionV>
            <wp:extent cx="5029200" cy="42786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29200" cy="4278630"/>
                    </a:xfrm>
                    <a:prstGeom prst="rect">
                      <a:avLst/>
                    </a:prstGeom>
                    <a:noFill/>
                  </pic:spPr>
                </pic:pic>
              </a:graphicData>
            </a:graphic>
          </wp:anchor>
        </w:drawing>
      </w:r>
    </w:p>
    <w:p>
      <w:pPr>
        <w:spacing w:after="0" w:line="33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b w:val="1"/>
          <w:bCs w:val="1"/>
          <w:i w:val="1"/>
          <w:iCs w:val="1"/>
          <w:color w:val="auto"/>
        </w:rPr>
        <w:t>How Asana Helps Teams</w:t>
      </w:r>
    </w:p>
    <w:p>
      <w:pPr>
        <w:spacing w:after="0" w:line="87" w:lineRule="exact"/>
        <w:rPr>
          <w:sz w:val="20"/>
          <w:szCs w:val="20"/>
          <w:color w:val="auto"/>
        </w:rPr>
      </w:pPr>
    </w:p>
    <w:p>
      <w:pPr>
        <w:jc w:val="both"/>
        <w:ind w:left="1820" w:right="879" w:firstLine="306"/>
        <w:spacing w:after="0" w:line="263" w:lineRule="auto"/>
        <w:rPr>
          <w:sz w:val="20"/>
          <w:szCs w:val="20"/>
          <w:color w:val="auto"/>
        </w:rPr>
      </w:pPr>
      <w:r>
        <w:rPr>
          <w:rFonts w:ascii="Times New Roman" w:cs="Times New Roman" w:eastAsia="Times New Roman" w:hAnsi="Times New Roman"/>
          <w:sz w:val="13"/>
          <w:szCs w:val="13"/>
          <w:color w:val="auto"/>
        </w:rPr>
        <w:t>Asana is a system of record for work. This system collects and structures institutional knowledge about how past work was completed and provides a real-time plan and roadmap for current and future initiatives. Our platform is built on our proprietary, multi-dimensional data model, which we call the work graph. The work graph captures and associates:</w:t>
      </w:r>
    </w:p>
    <w:p>
      <w:pPr>
        <w:spacing w:after="0" w:line="61" w:lineRule="exact"/>
        <w:rPr>
          <w:sz w:val="20"/>
          <w:szCs w:val="20"/>
          <w:color w:val="auto"/>
        </w:rPr>
      </w:pPr>
    </w:p>
    <w:p>
      <w:pPr>
        <w:ind w:left="2480" w:hanging="359"/>
        <w:spacing w:after="0"/>
        <w:tabs>
          <w:tab w:leader="none" w:pos="24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units of work—tasks, projects, milestones, portfolios, and goals;</w:t>
      </w:r>
    </w:p>
    <w:p>
      <w:pPr>
        <w:spacing w:after="0" w:line="92" w:lineRule="exact"/>
        <w:rPr>
          <w:rFonts w:ascii="Times New Roman" w:cs="Times New Roman" w:eastAsia="Times New Roman" w:hAnsi="Times New Roman"/>
          <w:sz w:val="13"/>
          <w:szCs w:val="13"/>
          <w:color w:val="auto"/>
        </w:rPr>
      </w:pPr>
    </w:p>
    <w:p>
      <w:pPr>
        <w:ind w:left="2480" w:hanging="359"/>
        <w:spacing w:after="0"/>
        <w:tabs>
          <w:tab w:leader="none" w:pos="24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people responsible for executing those units of work;</w:t>
      </w:r>
    </w:p>
    <w:p>
      <w:pPr>
        <w:spacing w:after="0" w:line="92" w:lineRule="exact"/>
        <w:rPr>
          <w:rFonts w:ascii="Times New Roman" w:cs="Times New Roman" w:eastAsia="Times New Roman" w:hAnsi="Times New Roman"/>
          <w:sz w:val="13"/>
          <w:szCs w:val="13"/>
          <w:color w:val="auto"/>
        </w:rPr>
      </w:pPr>
    </w:p>
    <w:p>
      <w:pPr>
        <w:ind w:left="2480" w:hanging="359"/>
        <w:spacing w:after="0"/>
        <w:tabs>
          <w:tab w:leader="none" w:pos="24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processes in which work gets done—rules and templates;</w:t>
      </w:r>
    </w:p>
    <w:p>
      <w:pPr>
        <w:spacing w:after="0" w:line="92" w:lineRule="exact"/>
        <w:rPr>
          <w:rFonts w:ascii="Times New Roman" w:cs="Times New Roman" w:eastAsia="Times New Roman" w:hAnsi="Times New Roman"/>
          <w:sz w:val="13"/>
          <w:szCs w:val="13"/>
          <w:color w:val="auto"/>
        </w:rPr>
      </w:pPr>
    </w:p>
    <w:p>
      <w:pPr>
        <w:ind w:left="2480" w:hanging="359"/>
        <w:spacing w:after="0"/>
        <w:tabs>
          <w:tab w:leader="none" w:pos="24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information about that work—files, comments, status, and metadata; and</w:t>
      </w:r>
    </w:p>
    <w:p>
      <w:pPr>
        <w:spacing w:after="0" w:line="92" w:lineRule="exact"/>
        <w:rPr>
          <w:rFonts w:ascii="Times New Roman" w:cs="Times New Roman" w:eastAsia="Times New Roman" w:hAnsi="Times New Roman"/>
          <w:sz w:val="13"/>
          <w:szCs w:val="13"/>
          <w:color w:val="auto"/>
        </w:rPr>
      </w:pPr>
    </w:p>
    <w:p>
      <w:pPr>
        <w:ind w:left="2480" w:hanging="359"/>
        <w:spacing w:after="0"/>
        <w:tabs>
          <w:tab w:leader="none" w:pos="24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relationships across and within this data.</w:t>
      </w:r>
    </w:p>
    <w:p>
      <w:pPr>
        <w:spacing w:after="0" w:line="161" w:lineRule="exact"/>
        <w:rPr>
          <w:sz w:val="20"/>
          <w:szCs w:val="20"/>
          <w:color w:val="auto"/>
        </w:rPr>
      </w:pPr>
    </w:p>
    <w:p>
      <w:pPr>
        <w:ind w:left="1820" w:right="759" w:firstLine="306"/>
        <w:spacing w:after="0" w:line="286" w:lineRule="auto"/>
        <w:rPr>
          <w:sz w:val="20"/>
          <w:szCs w:val="20"/>
          <w:color w:val="auto"/>
        </w:rPr>
      </w:pPr>
      <w:r>
        <w:rPr>
          <w:rFonts w:ascii="Times New Roman" w:cs="Times New Roman" w:eastAsia="Times New Roman" w:hAnsi="Times New Roman"/>
          <w:sz w:val="12"/>
          <w:szCs w:val="12"/>
          <w:color w:val="auto"/>
        </w:rPr>
        <w:t>Our data model provides individuals, team leads, and executives with dynamic views into the work that is most relevant to them—across multiple people and projects—all based on the same underlying data in the work graph. Individuals can manage and prioritize their daily tasks and collaborate with team members on shared projects, gaining visibility into who is doing what, and when each piece of work is due. Team leads can plan work and optimize team workload across multiple projects, and executives can track progress towards company objectives in real time.</w:t>
      </w:r>
    </w:p>
    <w:p>
      <w:pPr>
        <w:spacing w:after="0" w:line="118" w:lineRule="exact"/>
        <w:rPr>
          <w:sz w:val="20"/>
          <w:szCs w:val="20"/>
          <w:color w:val="auto"/>
        </w:rPr>
      </w:pPr>
    </w:p>
    <w:p>
      <w:pPr>
        <w:ind w:left="1820" w:right="699" w:firstLine="306"/>
        <w:spacing w:after="0" w:line="258" w:lineRule="auto"/>
        <w:rPr>
          <w:sz w:val="20"/>
          <w:szCs w:val="20"/>
          <w:color w:val="auto"/>
        </w:rPr>
      </w:pPr>
      <w:r>
        <w:rPr>
          <w:rFonts w:ascii="Times New Roman" w:cs="Times New Roman" w:eastAsia="Times New Roman" w:hAnsi="Times New Roman"/>
          <w:sz w:val="13"/>
          <w:szCs w:val="13"/>
          <w:color w:val="auto"/>
        </w:rPr>
        <w:t>Asana is flexible and applicable to virtually any use case across departments and organizations of all sizes. We designed our platform to be easy to use and intuitive to all users, regardless of role or technical proficiency. Users can start a project within minutes and onboard team members seamlessly without external support. We allow users to work the way they want with the interface that is right for them, using tasks, lists, calendars, boards, timelines, and workload.</w:t>
      </w:r>
    </w:p>
    <w:p>
      <w:pPr>
        <w:spacing w:after="0" w:line="20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b w:val="1"/>
          <w:bCs w:val="1"/>
          <w:i w:val="1"/>
          <w:iCs w:val="1"/>
          <w:color w:val="auto"/>
        </w:rPr>
        <w:t>Our Business Model</w:t>
      </w:r>
    </w:p>
    <w:p>
      <w:pPr>
        <w:spacing w:after="0" w:line="87" w:lineRule="exact"/>
        <w:rPr>
          <w:sz w:val="20"/>
          <w:szCs w:val="20"/>
          <w:color w:val="auto"/>
        </w:rPr>
      </w:pPr>
    </w:p>
    <w:p>
      <w:pPr>
        <w:ind w:left="1820" w:right="719" w:firstLine="306"/>
        <w:spacing w:after="0" w:line="253" w:lineRule="auto"/>
        <w:rPr>
          <w:sz w:val="20"/>
          <w:szCs w:val="20"/>
          <w:color w:val="auto"/>
        </w:rPr>
      </w:pPr>
      <w:r>
        <w:rPr>
          <w:rFonts w:ascii="Times New Roman" w:cs="Times New Roman" w:eastAsia="Times New Roman" w:hAnsi="Times New Roman"/>
          <w:sz w:val="13"/>
          <w:szCs w:val="13"/>
          <w:color w:val="auto"/>
        </w:rPr>
        <w:t>Our hybrid self-service and direct sales model allows us to efficiently reach teams everywhere and then rapidly expand the use of our platform within their organizations. A majority of our paying customers initially adopt our platform through self-service and free trials. Once adopted, customers can expand through self-service or with the assistance of our direct sales team, which is focused on promoting new use cases of Asana. As customers realize the productivity benefits we provide, our platform often becomes critical to managing their work and achieving their objectives, which drives further adoption and expansion opportunities. This is evidenced by our dollar-based net retention rate, which generally increases with greater organizational spend. As of July 31, 2020, our dollar-based net retention rate within organizations spending $5,000 or more with us on an annualized basis was over 125%. Our dollar-based net retention rate within organizations spending $50,000 or more with us on an annualized basis was over 140%. Our overall dollar-based net retention rate as of July 31, 2020 was over 115%.</w:t>
      </w:r>
    </w:p>
    <w:p>
      <w:pPr>
        <w:spacing w:after="0" w:line="20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b w:val="1"/>
          <w:bCs w:val="1"/>
          <w:i w:val="1"/>
          <w:iCs w:val="1"/>
          <w:color w:val="auto"/>
        </w:rPr>
        <w:t>Our Company Culture</w:t>
      </w:r>
    </w:p>
    <w:p>
      <w:pPr>
        <w:spacing w:after="0" w:line="87" w:lineRule="exact"/>
        <w:rPr>
          <w:sz w:val="20"/>
          <w:szCs w:val="20"/>
          <w:color w:val="auto"/>
        </w:rPr>
      </w:pPr>
    </w:p>
    <w:p>
      <w:pPr>
        <w:ind w:left="1820" w:right="879" w:firstLine="306"/>
        <w:spacing w:after="0" w:line="256" w:lineRule="auto"/>
        <w:rPr>
          <w:sz w:val="20"/>
          <w:szCs w:val="20"/>
          <w:color w:val="auto"/>
        </w:rPr>
      </w:pPr>
      <w:r>
        <w:rPr>
          <w:rFonts w:ascii="Times New Roman" w:cs="Times New Roman" w:eastAsia="Times New Roman" w:hAnsi="Times New Roman"/>
          <w:sz w:val="13"/>
          <w:szCs w:val="13"/>
          <w:color w:val="auto"/>
        </w:rPr>
        <w:t>We believe that our company culture enables us to achieve our mission and is a core driver of our business success. We endeavor to make product, business, and people decisions that allow us to carry out our mission while staying true to our values. We are a mission-driven organization first and have designed our values, along with our programs and processes, to help us maximize the potential of every individual in our company. Our values and processes also give us credibility when we share best practices for teamwork in the market and allow us to build those practices into our solution.</w:t>
      </w:r>
    </w:p>
    <w:p>
      <w:pPr>
        <w:spacing w:after="0" w:line="200" w:lineRule="exact"/>
        <w:rPr>
          <w:sz w:val="20"/>
          <w:szCs w:val="20"/>
          <w:color w:val="auto"/>
        </w:rPr>
      </w:pPr>
    </w:p>
    <w:p>
      <w:pPr>
        <w:spacing w:after="0" w:line="24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10159"/>
          </w:cols>
          <w:pgMar w:left="300" w:top="367" w:right="1440" w:bottom="1440" w:gutter="0" w:footer="0" w:header="0"/>
        </w:sectPr>
      </w:pPr>
    </w:p>
    <w:bookmarkStart w:id="8" w:name="page9"/>
    <w:bookmarkEnd w:id="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144780</wp:posOffset>
            </wp:positionV>
            <wp:extent cx="5029200" cy="46602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029200" cy="4660265"/>
                    </a:xfrm>
                    <a:prstGeom prst="rect">
                      <a:avLst/>
                    </a:prstGeom>
                    <a:noFill/>
                  </pic:spPr>
                </pic:pic>
              </a:graphicData>
            </a:graphic>
          </wp:anchor>
        </w:drawing>
      </w:r>
    </w:p>
    <w:p>
      <w:pPr>
        <w:spacing w:after="0" w:line="33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b w:val="1"/>
          <w:bCs w:val="1"/>
          <w:i w:val="1"/>
          <w:iCs w:val="1"/>
          <w:color w:val="auto"/>
        </w:rPr>
        <w:t>Our Rapid Growth</w:t>
      </w:r>
    </w:p>
    <w:p>
      <w:pPr>
        <w:spacing w:after="0" w:line="87" w:lineRule="exact"/>
        <w:rPr>
          <w:sz w:val="20"/>
          <w:szCs w:val="20"/>
          <w:color w:val="auto"/>
        </w:rPr>
      </w:pPr>
    </w:p>
    <w:p>
      <w:pPr>
        <w:jc w:val="both"/>
        <w:ind w:left="1820" w:right="919" w:firstLine="306"/>
        <w:spacing w:after="0" w:line="258" w:lineRule="auto"/>
        <w:rPr>
          <w:sz w:val="20"/>
          <w:szCs w:val="20"/>
          <w:color w:val="auto"/>
        </w:rPr>
      </w:pPr>
      <w:r>
        <w:rPr>
          <w:rFonts w:ascii="Times New Roman" w:cs="Times New Roman" w:eastAsia="Times New Roman" w:hAnsi="Times New Roman"/>
          <w:sz w:val="13"/>
          <w:szCs w:val="13"/>
          <w:color w:val="auto"/>
        </w:rPr>
        <w:t>We have experienced rapid growth in recent periods. Our revenues were $76.8 million and $142.6 million for fiscal 2019 and fiscal 2020, respectively, representing growth of 86%. Our revenues were $61.1 million and $99.7 million for the six months ended July 31, 2019 and 2020, respectively. We had a net loss of $50.9 million and $118.6 million for fiscal 2019 and fiscal 2020, respectively, and $30.5 million and $76.9 million for the six months ended July 31, 2019 and 2020, respectively.</w:t>
      </w:r>
    </w:p>
    <w:p>
      <w:pPr>
        <w:spacing w:after="0" w:line="20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3"/>
          <w:szCs w:val="13"/>
          <w:b w:val="1"/>
          <w:bCs w:val="1"/>
          <w:color w:val="auto"/>
        </w:rPr>
        <w:t>Industry Background</w:t>
      </w:r>
    </w:p>
    <w:p>
      <w:pPr>
        <w:spacing w:after="0" w:line="15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b w:val="1"/>
          <w:bCs w:val="1"/>
          <w:i w:val="1"/>
          <w:iCs w:val="1"/>
          <w:color w:val="auto"/>
        </w:rPr>
        <w:t>Teams must be coordinated and move quickly to be successful</w:t>
      </w:r>
    </w:p>
    <w:p>
      <w:pPr>
        <w:spacing w:after="0" w:line="87" w:lineRule="exact"/>
        <w:rPr>
          <w:sz w:val="20"/>
          <w:szCs w:val="20"/>
          <w:color w:val="auto"/>
        </w:rPr>
      </w:pPr>
    </w:p>
    <w:p>
      <w:pPr>
        <w:ind w:left="1820" w:right="719" w:firstLine="306"/>
        <w:spacing w:after="0" w:line="256" w:lineRule="auto"/>
        <w:rPr>
          <w:sz w:val="20"/>
          <w:szCs w:val="20"/>
          <w:color w:val="auto"/>
        </w:rPr>
      </w:pPr>
      <w:r>
        <w:rPr>
          <w:rFonts w:ascii="Times New Roman" w:cs="Times New Roman" w:eastAsia="Times New Roman" w:hAnsi="Times New Roman"/>
          <w:sz w:val="13"/>
          <w:szCs w:val="13"/>
          <w:color w:val="auto"/>
        </w:rPr>
        <w:t>Teams today must navigate work that is increasingly cross-functional, matrixed, and distributed, while also moving quickly to meet the objectives of their organizations. Traditional hierarchical processes, where centralized managers make decisions and disseminate information down to team members, result in significant time passing before contributors have the clarity they need to execute. With product lifecycles now shorter than ever, organizations cannot afford slow, inefficient processes. Individuals and teams need to be empowered to make autonomous decisions aligned with organizational goals to ensure business agility.</w:t>
      </w:r>
    </w:p>
    <w:p>
      <w:pPr>
        <w:spacing w:after="0" w:line="2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b w:val="1"/>
          <w:bCs w:val="1"/>
          <w:i w:val="1"/>
          <w:iCs w:val="1"/>
          <w:color w:val="auto"/>
        </w:rPr>
        <w:t>Communication overload hurts productivity</w:t>
      </w:r>
    </w:p>
    <w:p>
      <w:pPr>
        <w:spacing w:after="0" w:line="87" w:lineRule="exact"/>
        <w:rPr>
          <w:sz w:val="20"/>
          <w:szCs w:val="20"/>
          <w:color w:val="auto"/>
        </w:rPr>
      </w:pPr>
    </w:p>
    <w:p>
      <w:pPr>
        <w:ind w:left="1820" w:right="839" w:firstLine="306"/>
        <w:spacing w:after="0" w:line="258" w:lineRule="auto"/>
        <w:rPr>
          <w:sz w:val="20"/>
          <w:szCs w:val="20"/>
          <w:color w:val="auto"/>
        </w:rPr>
      </w:pPr>
      <w:r>
        <w:rPr>
          <w:rFonts w:ascii="Times New Roman" w:cs="Times New Roman" w:eastAsia="Times New Roman" w:hAnsi="Times New Roman"/>
          <w:sz w:val="13"/>
          <w:szCs w:val="13"/>
          <w:color w:val="auto"/>
        </w:rPr>
        <w:t>Businesses have adopted a number of applications to improve communication such as Skype, WeChat, WhatsApp, Microsoft Teams, and Slack, among others. While these applications help teams communicate, they were not designed to provide a system of record to track and coordinate units of work or set up processes for rapid execution. The average knowledge worker receives 121 emails per day—70% of which are opened within six seconds. People have become prisoners to email and messaging applications, using their inboxes as makeshift to-do lists.</w:t>
      </w:r>
    </w:p>
    <w:p>
      <w:pPr>
        <w:spacing w:after="0" w:line="20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b w:val="1"/>
          <w:bCs w:val="1"/>
          <w:i w:val="1"/>
          <w:iCs w:val="1"/>
          <w:color w:val="auto"/>
        </w:rPr>
        <w:t>Teams spend more time coordinating work than actually doing work</w:t>
      </w:r>
    </w:p>
    <w:p>
      <w:pPr>
        <w:spacing w:after="0" w:line="87" w:lineRule="exact"/>
        <w:rPr>
          <w:sz w:val="20"/>
          <w:szCs w:val="20"/>
          <w:color w:val="auto"/>
        </w:rPr>
      </w:pPr>
    </w:p>
    <w:p>
      <w:pPr>
        <w:ind w:left="1820" w:right="839" w:firstLine="306"/>
        <w:spacing w:after="0" w:line="277" w:lineRule="auto"/>
        <w:rPr>
          <w:sz w:val="20"/>
          <w:szCs w:val="20"/>
          <w:color w:val="auto"/>
        </w:rPr>
      </w:pPr>
      <w:r>
        <w:rPr>
          <w:rFonts w:ascii="Times New Roman" w:cs="Times New Roman" w:eastAsia="Times New Roman" w:hAnsi="Times New Roman"/>
          <w:sz w:val="13"/>
          <w:szCs w:val="13"/>
          <w:color w:val="auto"/>
        </w:rPr>
        <w:t>Productivity gains can occur when individuals and teams have the opportunity to focus uninterrupted. However, employees spend less than half of their day on critical work. According to a survey conducted by McKinsey Global Institute of a broad set of knowledge workers:</w:t>
      </w:r>
    </w:p>
    <w:p>
      <w:pPr>
        <w:spacing w:after="0" w:line="52" w:lineRule="exact"/>
        <w:rPr>
          <w:sz w:val="20"/>
          <w:szCs w:val="20"/>
          <w:color w:val="auto"/>
        </w:rPr>
      </w:pPr>
    </w:p>
    <w:p>
      <w:pPr>
        <w:ind w:left="2480" w:hanging="359"/>
        <w:spacing w:after="0"/>
        <w:tabs>
          <w:tab w:leader="none" w:pos="24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28% of time is spent answering email;</w:t>
      </w:r>
    </w:p>
    <w:p>
      <w:pPr>
        <w:spacing w:after="0" w:line="92" w:lineRule="exact"/>
        <w:rPr>
          <w:rFonts w:ascii="Times New Roman" w:cs="Times New Roman" w:eastAsia="Times New Roman" w:hAnsi="Times New Roman"/>
          <w:sz w:val="13"/>
          <w:szCs w:val="13"/>
          <w:color w:val="auto"/>
        </w:rPr>
      </w:pPr>
    </w:p>
    <w:p>
      <w:pPr>
        <w:ind w:left="2480" w:hanging="359"/>
        <w:spacing w:after="0"/>
        <w:tabs>
          <w:tab w:leader="none" w:pos="24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19% of time is spent gathering information; and</w:t>
      </w:r>
    </w:p>
    <w:p>
      <w:pPr>
        <w:spacing w:after="0" w:line="92" w:lineRule="exact"/>
        <w:rPr>
          <w:rFonts w:ascii="Times New Roman" w:cs="Times New Roman" w:eastAsia="Times New Roman" w:hAnsi="Times New Roman"/>
          <w:sz w:val="13"/>
          <w:szCs w:val="13"/>
          <w:color w:val="auto"/>
        </w:rPr>
      </w:pPr>
    </w:p>
    <w:p>
      <w:pPr>
        <w:ind w:left="2480" w:hanging="359"/>
        <w:spacing w:after="0"/>
        <w:tabs>
          <w:tab w:leader="none" w:pos="24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14% of time is spent on internal communication.</w:t>
      </w:r>
    </w:p>
    <w:p>
      <w:pPr>
        <w:spacing w:after="0" w:line="23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b w:val="1"/>
          <w:bCs w:val="1"/>
          <w:i w:val="1"/>
          <w:iCs w:val="1"/>
          <w:color w:val="auto"/>
        </w:rPr>
        <w:t>Teams need more effective tools to orchestrate work</w:t>
      </w:r>
    </w:p>
    <w:p>
      <w:pPr>
        <w:spacing w:after="0" w:line="87" w:lineRule="exact"/>
        <w:rPr>
          <w:sz w:val="20"/>
          <w:szCs w:val="20"/>
          <w:color w:val="auto"/>
        </w:rPr>
      </w:pPr>
    </w:p>
    <w:p>
      <w:pPr>
        <w:ind w:left="1820" w:right="739" w:firstLine="306"/>
        <w:spacing w:after="0" w:line="256" w:lineRule="auto"/>
        <w:rPr>
          <w:sz w:val="20"/>
          <w:szCs w:val="20"/>
          <w:color w:val="auto"/>
        </w:rPr>
      </w:pPr>
      <w:r>
        <w:rPr>
          <w:rFonts w:ascii="Times New Roman" w:cs="Times New Roman" w:eastAsia="Times New Roman" w:hAnsi="Times New Roman"/>
          <w:sz w:val="13"/>
          <w:szCs w:val="13"/>
          <w:color w:val="auto"/>
        </w:rPr>
        <w:t>The primary methods for managing work today consist of a combination of spreadsheets and email, in addition to handwritten notes, calls, and meetings. Over time, communication tools (like email and messaging) and content applications (such as file sharing and storage services) have been repurposed for coordinating work because they are familiar and accessible. However, these tools lack the purpose-built functionality required for teams to collaboratively plan, manage, and execute work. Spreadsheets quickly become outdated, lack automation capabilities, and cannot provide multi-dimensional views of multiple projects or real-time insight. Email cannot build workflows, assign tasks, or track progress.</w:t>
      </w:r>
    </w:p>
    <w:p>
      <w:pPr>
        <w:spacing w:after="0" w:line="2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b w:val="1"/>
          <w:bCs w:val="1"/>
          <w:i w:val="1"/>
          <w:iCs w:val="1"/>
          <w:color w:val="auto"/>
        </w:rPr>
        <w:t>Clarity drives employee engagement that improves business results</w:t>
      </w:r>
    </w:p>
    <w:p>
      <w:pPr>
        <w:spacing w:after="0" w:line="87" w:lineRule="exact"/>
        <w:rPr>
          <w:sz w:val="20"/>
          <w:szCs w:val="20"/>
          <w:color w:val="auto"/>
        </w:rPr>
      </w:pPr>
    </w:p>
    <w:p>
      <w:pPr>
        <w:ind w:left="1820" w:right="999" w:firstLine="306"/>
        <w:spacing w:after="0" w:line="277" w:lineRule="auto"/>
        <w:rPr>
          <w:sz w:val="20"/>
          <w:szCs w:val="20"/>
          <w:color w:val="auto"/>
        </w:rPr>
      </w:pPr>
      <w:r>
        <w:rPr>
          <w:rFonts w:ascii="Times New Roman" w:cs="Times New Roman" w:eastAsia="Times New Roman" w:hAnsi="Times New Roman"/>
          <w:sz w:val="13"/>
          <w:szCs w:val="13"/>
          <w:color w:val="auto"/>
        </w:rPr>
        <w:t>Employee engagement—the extent to which employees are invested in their job and contribute the effort needed to do their job well—is critical to high-performing businesses. According to Gallup, organizations in the</w:t>
      </w:r>
    </w:p>
    <w:p>
      <w:pPr>
        <w:spacing w:after="0" w:line="200" w:lineRule="exact"/>
        <w:rPr>
          <w:sz w:val="20"/>
          <w:szCs w:val="20"/>
          <w:color w:val="auto"/>
        </w:rPr>
      </w:pPr>
    </w:p>
    <w:p>
      <w:pPr>
        <w:spacing w:after="0" w:line="2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10159"/>
          </w:cols>
          <w:pgMar w:left="300" w:top="367" w:right="1440" w:bottom="1440" w:gutter="0" w:footer="0" w:header="0"/>
        </w:sectPr>
      </w:pPr>
    </w:p>
    <w:bookmarkStart w:id="9" w:name="page10"/>
    <w:bookmarkEnd w:id="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144780</wp:posOffset>
            </wp:positionV>
            <wp:extent cx="5029200" cy="4610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29200" cy="4610735"/>
                    </a:xfrm>
                    <a:prstGeom prst="rect">
                      <a:avLst/>
                    </a:prstGeom>
                    <a:noFill/>
                  </pic:spPr>
                </pic:pic>
              </a:graphicData>
            </a:graphic>
          </wp:anchor>
        </w:drawing>
      </w:r>
    </w:p>
    <w:p>
      <w:pPr>
        <w:spacing w:after="0" w:line="336" w:lineRule="exact"/>
        <w:rPr>
          <w:sz w:val="20"/>
          <w:szCs w:val="20"/>
          <w:color w:val="auto"/>
        </w:rPr>
      </w:pPr>
    </w:p>
    <w:p>
      <w:pPr>
        <w:ind w:left="1820" w:right="839"/>
        <w:spacing w:after="0" w:line="258" w:lineRule="auto"/>
        <w:rPr>
          <w:sz w:val="20"/>
          <w:szCs w:val="20"/>
          <w:color w:val="auto"/>
        </w:rPr>
      </w:pPr>
      <w:r>
        <w:rPr>
          <w:rFonts w:ascii="Times New Roman" w:cs="Times New Roman" w:eastAsia="Times New Roman" w:hAnsi="Times New Roman"/>
          <w:sz w:val="13"/>
          <w:szCs w:val="13"/>
          <w:color w:val="auto"/>
        </w:rPr>
        <w:t>top quartile of employee engagement realize substantially better customer engagement, higher productivity, better retention, fewer accidents, and 21% higher profitability than organizations with low engagement. Individuals are more engaged at work when they have clarity. Clarity helps individuals better understand how their work connects to the organization’s objectives so they know where to focus and find their work more rewarding and engaging.</w:t>
      </w:r>
    </w:p>
    <w:p>
      <w:pPr>
        <w:spacing w:after="0" w:line="20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b w:val="1"/>
          <w:bCs w:val="1"/>
          <w:i w:val="1"/>
          <w:iCs w:val="1"/>
          <w:color w:val="auto"/>
        </w:rPr>
        <w:t>Organizations need new, purpose-built solutions for work management</w:t>
      </w:r>
    </w:p>
    <w:p>
      <w:pPr>
        <w:spacing w:after="0" w:line="87" w:lineRule="exact"/>
        <w:rPr>
          <w:sz w:val="20"/>
          <w:szCs w:val="20"/>
          <w:color w:val="auto"/>
        </w:rPr>
      </w:pPr>
    </w:p>
    <w:p>
      <w:pPr>
        <w:ind w:left="1820" w:right="739" w:firstLine="306"/>
        <w:spacing w:after="0" w:line="263" w:lineRule="auto"/>
        <w:rPr>
          <w:sz w:val="20"/>
          <w:szCs w:val="20"/>
          <w:color w:val="auto"/>
        </w:rPr>
      </w:pPr>
      <w:r>
        <w:rPr>
          <w:rFonts w:ascii="Times New Roman" w:cs="Times New Roman" w:eastAsia="Times New Roman" w:hAnsi="Times New Roman"/>
          <w:sz w:val="13"/>
          <w:szCs w:val="13"/>
          <w:color w:val="auto"/>
        </w:rPr>
        <w:t>Organizations need a work management solution that provides transparency, clarity, and accountability so that individuals and teams know— at any given time—what work needs to get done, by whom and by when. This solution needs to scale across people, projects, and portfolios of projects so individuals, team leads, and executives can understand and take action on opportunities and inefficiencies in real time.</w:t>
      </w:r>
    </w:p>
    <w:p>
      <w:pPr>
        <w:spacing w:after="0" w:line="12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color w:val="auto"/>
        </w:rPr>
        <w:t>Existing offerings fall short of delivering on these imperatives:</w:t>
      </w:r>
    </w:p>
    <w:p>
      <w:pPr>
        <w:spacing w:after="0" w:line="157" w:lineRule="exact"/>
        <w:rPr>
          <w:sz w:val="20"/>
          <w:szCs w:val="20"/>
          <w:color w:val="auto"/>
        </w:rPr>
      </w:pPr>
    </w:p>
    <w:p>
      <w:pPr>
        <w:ind w:left="1820" w:right="799" w:firstLine="306"/>
        <w:spacing w:after="0" w:line="327" w:lineRule="auto"/>
        <w:rPr>
          <w:sz w:val="20"/>
          <w:szCs w:val="20"/>
          <w:color w:val="auto"/>
        </w:rPr>
      </w:pPr>
      <w:r>
        <w:rPr>
          <w:rFonts w:ascii="Times New Roman" w:cs="Times New Roman" w:eastAsia="Times New Roman" w:hAnsi="Times New Roman"/>
          <w:sz w:val="12"/>
          <w:szCs w:val="12"/>
          <w:b w:val="1"/>
          <w:bCs w:val="1"/>
          <w:i w:val="1"/>
          <w:iCs w:val="1"/>
          <w:color w:val="auto"/>
        </w:rPr>
        <w:t>Spreadsheets and email</w:t>
      </w:r>
      <w:r>
        <w:rPr>
          <w:rFonts w:ascii="Times New Roman" w:cs="Times New Roman" w:eastAsia="Times New Roman" w:hAnsi="Times New Roman"/>
          <w:sz w:val="12"/>
          <w:szCs w:val="12"/>
          <w:color w:val="auto"/>
        </w:rPr>
        <w:t>. Spreadsheets and email lack the required capabilities to help teams effectively plan, manage, and orchestrate work</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at scale. Captured information quickly becomes out of date because it is not connected to the workstreams happening outside of these tools.</w:t>
      </w:r>
    </w:p>
    <w:p>
      <w:pPr>
        <w:spacing w:after="0" w:line="89" w:lineRule="exact"/>
        <w:rPr>
          <w:sz w:val="20"/>
          <w:szCs w:val="20"/>
          <w:color w:val="auto"/>
        </w:rPr>
      </w:pPr>
    </w:p>
    <w:p>
      <w:pPr>
        <w:ind w:left="1820" w:right="819" w:firstLine="306"/>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Legacy project management tools</w:t>
      </w:r>
      <w:r>
        <w:rPr>
          <w:rFonts w:ascii="Times New Roman" w:cs="Times New Roman" w:eastAsia="Times New Roman" w:hAnsi="Times New Roman"/>
          <w:sz w:val="13"/>
          <w:szCs w:val="13"/>
          <w:color w:val="auto"/>
        </w:rPr>
        <w:t>. Legacy project management tools are difficult for many users to adopt. These tools were primarily</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designed for dedicated project managers, not everyday users who often lack the skills to design a project, make customizations, or integrate third-party applications. Additionally, they create information silos because they are not linked to the underlying work and communications about that work.</w:t>
      </w:r>
    </w:p>
    <w:p>
      <w:pPr>
        <w:spacing w:after="0" w:line="128" w:lineRule="exact"/>
        <w:rPr>
          <w:sz w:val="20"/>
          <w:szCs w:val="20"/>
          <w:color w:val="auto"/>
        </w:rPr>
      </w:pPr>
    </w:p>
    <w:p>
      <w:pPr>
        <w:ind w:left="1820" w:right="919" w:firstLine="306"/>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Vertical applications</w:t>
      </w:r>
      <w:r>
        <w:rPr>
          <w:rFonts w:ascii="Times New Roman" w:cs="Times New Roman" w:eastAsia="Times New Roman" w:hAnsi="Times New Roman"/>
          <w:sz w:val="13"/>
          <w:szCs w:val="13"/>
          <w:color w:val="auto"/>
        </w:rPr>
        <w:t>. Vertical applications are purpose-built for specific use cases, such as software development, ticketing, and financial</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planning. These generally operate in departmental silos and are difficult to adapt to other use cases, either at all or without coding.</w:t>
      </w:r>
    </w:p>
    <w:p>
      <w:pPr>
        <w:spacing w:after="0" w:line="19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3"/>
          <w:szCs w:val="13"/>
          <w:b w:val="1"/>
          <w:bCs w:val="1"/>
          <w:color w:val="auto"/>
        </w:rPr>
        <w:t>Our Solution</w:t>
      </w:r>
    </w:p>
    <w:p>
      <w:pPr>
        <w:spacing w:after="0" w:line="85" w:lineRule="exact"/>
        <w:rPr>
          <w:sz w:val="20"/>
          <w:szCs w:val="20"/>
          <w:color w:val="auto"/>
        </w:rPr>
      </w:pPr>
    </w:p>
    <w:p>
      <w:pPr>
        <w:jc w:val="both"/>
        <w:ind w:left="1820" w:right="779" w:firstLine="306"/>
        <w:spacing w:after="0" w:line="263" w:lineRule="auto"/>
        <w:rPr>
          <w:sz w:val="20"/>
          <w:szCs w:val="20"/>
          <w:color w:val="auto"/>
        </w:rPr>
      </w:pPr>
      <w:r>
        <w:rPr>
          <w:rFonts w:ascii="Times New Roman" w:cs="Times New Roman" w:eastAsia="Times New Roman" w:hAnsi="Times New Roman"/>
          <w:sz w:val="13"/>
          <w:szCs w:val="13"/>
          <w:color w:val="auto"/>
        </w:rPr>
        <w:t>We provide a work management platform that enables individuals and teams to get work done faster while improving employee engagement by allowing everyone to see how their work—whether it is a task, process, project, or portfolio of projects—connects to the broader mission of an organization.</w:t>
      </w:r>
    </w:p>
    <w:p>
      <w:pPr>
        <w:spacing w:after="0" w:line="12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color w:val="auto"/>
        </w:rPr>
        <w:t>With Asana:</w:t>
      </w:r>
    </w:p>
    <w:p>
      <w:pPr>
        <w:spacing w:after="0" w:line="89" w:lineRule="exact"/>
        <w:rPr>
          <w:sz w:val="20"/>
          <w:szCs w:val="20"/>
          <w:color w:val="auto"/>
        </w:rPr>
      </w:pPr>
    </w:p>
    <w:p>
      <w:pPr>
        <w:ind w:left="2480" w:right="719" w:hanging="359"/>
        <w:spacing w:after="0" w:line="257" w:lineRule="auto"/>
        <w:tabs>
          <w:tab w:leader="none" w:pos="24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Individuals </w:t>
      </w:r>
      <w:r>
        <w:rPr>
          <w:rFonts w:ascii="Times New Roman" w:cs="Times New Roman" w:eastAsia="Times New Roman" w:hAnsi="Times New Roman"/>
          <w:sz w:val="13"/>
          <w:szCs w:val="13"/>
          <w:color w:val="auto"/>
        </w:rPr>
        <w:t>can manage and prioritize across each of their projects to maximize their effectiveness and reduce distractions. They can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see their own tasks, how their dependencies owned by teammates are tracking, and how their work contributes to the overall team and organization-wide goals. Individuals can collaborate with teammates and have visibility into each team member’s responsibilities and progress. When teammates operate off a single, real-time plan of record, they do not need to check in with each other for updates or sit through status meetings. This clarity reduces work about work and helps individuals get work done faster.</w:t>
      </w:r>
    </w:p>
    <w:p>
      <w:pPr>
        <w:spacing w:after="0" w:line="62" w:lineRule="exact"/>
        <w:rPr>
          <w:rFonts w:ascii="Times New Roman" w:cs="Times New Roman" w:eastAsia="Times New Roman" w:hAnsi="Times New Roman"/>
          <w:sz w:val="13"/>
          <w:szCs w:val="13"/>
          <w:color w:val="auto"/>
        </w:rPr>
      </w:pPr>
    </w:p>
    <w:p>
      <w:pPr>
        <w:ind w:left="2480" w:right="739" w:hanging="359"/>
        <w:spacing w:after="0" w:line="260" w:lineRule="auto"/>
        <w:tabs>
          <w:tab w:leader="none" w:pos="24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Team leads </w:t>
      </w:r>
      <w:r>
        <w:rPr>
          <w:rFonts w:ascii="Times New Roman" w:cs="Times New Roman" w:eastAsia="Times New Roman" w:hAnsi="Times New Roman"/>
          <w:sz w:val="13"/>
          <w:szCs w:val="13"/>
          <w:color w:val="auto"/>
        </w:rPr>
        <w:t>can manage work across a portfolio of projects or processes. Team leads see progress, bottlenecks, resource constraints,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and milestones without having to create work about work for teams to come up with this information in spreadsheets, email, or via a status meeting. When surprises or disruptions occur, it is easy for team leads to adjust the plan, reallocate resources, and communicate updates in real time.</w:t>
      </w:r>
    </w:p>
    <w:p>
      <w:pPr>
        <w:spacing w:after="0" w:line="59" w:lineRule="exact"/>
        <w:rPr>
          <w:rFonts w:ascii="Times New Roman" w:cs="Times New Roman" w:eastAsia="Times New Roman" w:hAnsi="Times New Roman"/>
          <w:sz w:val="13"/>
          <w:szCs w:val="13"/>
          <w:color w:val="auto"/>
        </w:rPr>
      </w:pPr>
    </w:p>
    <w:p>
      <w:pPr>
        <w:ind w:left="2480" w:right="699" w:hanging="359"/>
        <w:spacing w:after="0" w:line="266" w:lineRule="auto"/>
        <w:tabs>
          <w:tab w:leader="none" w:pos="24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Executives </w:t>
      </w:r>
      <w:r>
        <w:rPr>
          <w:rFonts w:ascii="Times New Roman" w:cs="Times New Roman" w:eastAsia="Times New Roman" w:hAnsi="Times New Roman"/>
          <w:sz w:val="13"/>
          <w:szCs w:val="13"/>
          <w:color w:val="auto"/>
        </w:rPr>
        <w:t>can communicate company-wide goals, monitor status, and oversee work across projects to gain real-time insights into</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which initiatives are on track or at risk. With this visibility, they can proactively ensure alignment, address inefficiencies, manage team workload, and reallocate work among teams or departments so that the company can stay on track to achieve its objectives.</w:t>
      </w:r>
    </w:p>
    <w:p>
      <w:pPr>
        <w:spacing w:after="0" w:line="200" w:lineRule="exact"/>
        <w:rPr>
          <w:sz w:val="20"/>
          <w:szCs w:val="20"/>
          <w:color w:val="auto"/>
        </w:rPr>
      </w:pPr>
    </w:p>
    <w:p>
      <w:pPr>
        <w:spacing w:after="0" w:line="23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10159"/>
          </w:cols>
          <w:pgMar w:left="300" w:top="367" w:right="1440" w:bottom="1440" w:gutter="0" w:footer="0" w:header="0"/>
        </w:sectPr>
      </w:pPr>
    </w:p>
    <w:bookmarkStart w:id="10" w:name="page11"/>
    <w:bookmarkEnd w:id="1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144780</wp:posOffset>
            </wp:positionV>
            <wp:extent cx="5029200" cy="44443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29200" cy="4444365"/>
                    </a:xfrm>
                    <a:prstGeom prst="rect">
                      <a:avLst/>
                    </a:prstGeom>
                    <a:noFill/>
                  </pic:spPr>
                </pic:pic>
              </a:graphicData>
            </a:graphic>
          </wp:anchor>
        </w:drawing>
      </w:r>
    </w:p>
    <w:p>
      <w:pPr>
        <w:spacing w:after="0" w:line="336" w:lineRule="exact"/>
        <w:rPr>
          <w:sz w:val="20"/>
          <w:szCs w:val="20"/>
          <w:color w:val="auto"/>
        </w:rPr>
      </w:pPr>
    </w:p>
    <w:p>
      <w:pPr>
        <w:ind w:left="1820" w:right="699" w:firstLine="306"/>
        <w:spacing w:after="0" w:line="256" w:lineRule="auto"/>
        <w:rPr>
          <w:sz w:val="20"/>
          <w:szCs w:val="20"/>
          <w:color w:val="auto"/>
        </w:rPr>
      </w:pPr>
      <w:r>
        <w:rPr>
          <w:rFonts w:ascii="Times New Roman" w:cs="Times New Roman" w:eastAsia="Times New Roman" w:hAnsi="Times New Roman"/>
          <w:sz w:val="13"/>
          <w:szCs w:val="13"/>
          <w:color w:val="auto"/>
        </w:rPr>
        <w:t>As the system of record of past, current, and future work, Asana is powered by a proprietary, multi-dimensional data model called the work graph. The work graph captures and associates units of work (tasks, projects, milestones, and portfolios), the people responsible for executing those units of work, the processes in which work gets done (rules and templates), information about that work (files, comments, status, and metadata), and the relationships across and within this data. The work graph provides individuals, team leads, and executives with dynamic, up-to-date views into the work that is most relevant to them, across multiple people and projects.</w:t>
      </w:r>
    </w:p>
    <w:p>
      <w:pPr>
        <w:spacing w:after="0" w:line="13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color w:val="auto"/>
        </w:rPr>
        <w:t>The core tenet of our platform is to bring clarity, transparency, and accountability to the process of getting work done.</w:t>
      </w:r>
    </w:p>
    <w:p>
      <w:pPr>
        <w:spacing w:after="0" w:line="157" w:lineRule="exact"/>
        <w:rPr>
          <w:sz w:val="20"/>
          <w:szCs w:val="20"/>
          <w:color w:val="auto"/>
        </w:rPr>
      </w:pPr>
    </w:p>
    <w:p>
      <w:pPr>
        <w:ind w:left="1820" w:right="719" w:firstLine="306"/>
        <w:spacing w:after="0" w:line="266" w:lineRule="auto"/>
        <w:rPr>
          <w:sz w:val="20"/>
          <w:szCs w:val="20"/>
          <w:color w:val="auto"/>
        </w:rPr>
      </w:pPr>
      <w:r>
        <w:rPr>
          <w:rFonts w:ascii="Times New Roman" w:cs="Times New Roman" w:eastAsia="Times New Roman" w:hAnsi="Times New Roman"/>
          <w:sz w:val="13"/>
          <w:szCs w:val="13"/>
          <w:b w:val="1"/>
          <w:bCs w:val="1"/>
          <w:i w:val="1"/>
          <w:iCs w:val="1"/>
          <w:color w:val="auto"/>
        </w:rPr>
        <w:t xml:space="preserve">Clarity. </w:t>
      </w:r>
      <w:r>
        <w:rPr>
          <w:rFonts w:ascii="Times New Roman" w:cs="Times New Roman" w:eastAsia="Times New Roman" w:hAnsi="Times New Roman"/>
          <w:sz w:val="13"/>
          <w:szCs w:val="13"/>
          <w:color w:val="auto"/>
        </w:rPr>
        <w:t>Our platform adds structure to unstructured work so everyone on a team has clarity into exactly what needs to be done, by whom and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by when. Our multi-dimensional data model provides different views so individuals can not only see the tasks they are working on, but also understand how their individual work contributes to a broader project goal.</w:t>
      </w:r>
    </w:p>
    <w:p>
      <w:pPr>
        <w:spacing w:after="0" w:line="123" w:lineRule="exact"/>
        <w:rPr>
          <w:sz w:val="20"/>
          <w:szCs w:val="20"/>
          <w:color w:val="auto"/>
        </w:rPr>
      </w:pPr>
    </w:p>
    <w:p>
      <w:pPr>
        <w:ind w:left="1820" w:right="959" w:firstLine="306"/>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 xml:space="preserve">Transparency. </w:t>
      </w:r>
      <w:r>
        <w:rPr>
          <w:rFonts w:ascii="Times New Roman" w:cs="Times New Roman" w:eastAsia="Times New Roman" w:hAnsi="Times New Roman"/>
          <w:sz w:val="13"/>
          <w:szCs w:val="13"/>
          <w:color w:val="auto"/>
        </w:rPr>
        <w:t>Our platform provides transparency into the work being done across a project or portfolio of projects so everyone can see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progress to completion, manage deadlines, identify and resolve bottlenecks, and rebalance workloads in real time.</w:t>
      </w:r>
    </w:p>
    <w:p>
      <w:pPr>
        <w:spacing w:after="0" w:line="113" w:lineRule="exact"/>
        <w:rPr>
          <w:sz w:val="20"/>
          <w:szCs w:val="20"/>
          <w:color w:val="auto"/>
        </w:rPr>
      </w:pPr>
    </w:p>
    <w:p>
      <w:pPr>
        <w:ind w:left="1820" w:right="939" w:firstLine="306"/>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 xml:space="preserve">Accountability. </w:t>
      </w:r>
      <w:r>
        <w:rPr>
          <w:rFonts w:ascii="Times New Roman" w:cs="Times New Roman" w:eastAsia="Times New Roman" w:hAnsi="Times New Roman"/>
          <w:sz w:val="13"/>
          <w:szCs w:val="13"/>
          <w:color w:val="auto"/>
        </w:rPr>
        <w:t>Our platform enables teams to assign work to individuals with completion dates and requirements, eliminating ambiguity</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over responsibilities. Individuals can track their action items across projects and manage their time more effectively.</w:t>
      </w:r>
    </w:p>
    <w:p>
      <w:pPr>
        <w:spacing w:after="0" w:line="19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3"/>
          <w:szCs w:val="13"/>
          <w:b w:val="1"/>
          <w:bCs w:val="1"/>
          <w:color w:val="auto"/>
        </w:rPr>
        <w:t>Benefits of Our Solution</w:t>
      </w:r>
    </w:p>
    <w:p>
      <w:pPr>
        <w:spacing w:after="0" w:line="8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color w:val="auto"/>
        </w:rPr>
        <w:t>Our platform provides the following benefits for our customers:</w:t>
      </w:r>
    </w:p>
    <w:p>
      <w:pPr>
        <w:spacing w:after="0" w:line="23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b w:val="1"/>
          <w:bCs w:val="1"/>
          <w:i w:val="1"/>
          <w:iCs w:val="1"/>
          <w:color w:val="auto"/>
        </w:rPr>
        <w:t>Teams get work done faster</w:t>
      </w:r>
    </w:p>
    <w:p>
      <w:pPr>
        <w:spacing w:after="0" w:line="87" w:lineRule="exact"/>
        <w:rPr>
          <w:sz w:val="20"/>
          <w:szCs w:val="20"/>
          <w:color w:val="auto"/>
        </w:rPr>
      </w:pPr>
    </w:p>
    <w:p>
      <w:pPr>
        <w:ind w:left="1820" w:right="879" w:firstLine="306"/>
        <w:spacing w:after="0" w:line="254" w:lineRule="auto"/>
        <w:rPr>
          <w:sz w:val="20"/>
          <w:szCs w:val="20"/>
          <w:color w:val="auto"/>
        </w:rPr>
      </w:pPr>
      <w:r>
        <w:rPr>
          <w:rFonts w:ascii="Times New Roman" w:cs="Times New Roman" w:eastAsia="Times New Roman" w:hAnsi="Times New Roman"/>
          <w:sz w:val="13"/>
          <w:szCs w:val="13"/>
          <w:color w:val="auto"/>
        </w:rPr>
        <w:t>Teams get work done faster using Asana. When structure is added to work, creating greater clarity, transparency, and accountability, teams are able to take action and be more efficient—regardless of whether their team members are in the office or working remotely. According to a survey of over 3,000 customers that we conducted in the fourth quarter of fiscal 2020, by adopting our platform, our customers experience increased productivity and improved job performance, factors which generally reduce costs. Of the surveyed customers, 83% agreed that Asana improves their job performance, 77% agreed that Asana reduces wasted time at work, and 74% agreed that Asana helps them accomplish tasks more quickly.</w:t>
      </w:r>
    </w:p>
    <w:p>
      <w:pPr>
        <w:spacing w:after="0" w:line="21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b w:val="1"/>
          <w:bCs w:val="1"/>
          <w:i w:val="1"/>
          <w:iCs w:val="1"/>
          <w:color w:val="auto"/>
        </w:rPr>
        <w:t>Streamlined processes</w:t>
      </w:r>
    </w:p>
    <w:p>
      <w:pPr>
        <w:spacing w:after="0" w:line="87" w:lineRule="exact"/>
        <w:rPr>
          <w:sz w:val="20"/>
          <w:szCs w:val="20"/>
          <w:color w:val="auto"/>
        </w:rPr>
      </w:pPr>
    </w:p>
    <w:p>
      <w:pPr>
        <w:ind w:left="1820" w:right="699" w:firstLine="306"/>
        <w:spacing w:after="0" w:line="258" w:lineRule="auto"/>
        <w:rPr>
          <w:sz w:val="20"/>
          <w:szCs w:val="20"/>
          <w:color w:val="auto"/>
        </w:rPr>
      </w:pPr>
      <w:r>
        <w:rPr>
          <w:rFonts w:ascii="Times New Roman" w:cs="Times New Roman" w:eastAsia="Times New Roman" w:hAnsi="Times New Roman"/>
          <w:sz w:val="13"/>
          <w:szCs w:val="13"/>
          <w:color w:val="auto"/>
        </w:rPr>
        <w:t>Our horizontal application allows individuals to easily customize projects across a breadth of specific use cases. Once a process is defined, it can be templatized and scaled across an organization for consistent, repeatable process management. In October 2019, we launched Rules as part of our suite of automation features, which facilitates auto-assignment, triggers actions and notifications, and automatically populates due dates for templated projects. In the first 60 days of launching Rules, we automated over two million steps for our users.</w:t>
      </w:r>
    </w:p>
    <w:p>
      <w:pPr>
        <w:spacing w:after="0" w:line="20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b w:val="1"/>
          <w:bCs w:val="1"/>
          <w:i w:val="1"/>
          <w:iCs w:val="1"/>
          <w:color w:val="auto"/>
        </w:rPr>
        <w:t>Increased employee engagement</w:t>
      </w:r>
    </w:p>
    <w:p>
      <w:pPr>
        <w:spacing w:after="0" w:line="87" w:lineRule="exact"/>
        <w:rPr>
          <w:sz w:val="20"/>
          <w:szCs w:val="20"/>
          <w:color w:val="auto"/>
        </w:rPr>
      </w:pPr>
    </w:p>
    <w:p>
      <w:pPr>
        <w:ind w:left="1820" w:right="859" w:firstLine="306"/>
        <w:spacing w:after="0" w:line="263" w:lineRule="auto"/>
        <w:rPr>
          <w:sz w:val="20"/>
          <w:szCs w:val="20"/>
          <w:color w:val="auto"/>
        </w:rPr>
      </w:pPr>
      <w:r>
        <w:rPr>
          <w:rFonts w:ascii="Times New Roman" w:cs="Times New Roman" w:eastAsia="Times New Roman" w:hAnsi="Times New Roman"/>
          <w:sz w:val="13"/>
          <w:szCs w:val="13"/>
          <w:color w:val="auto"/>
        </w:rPr>
        <w:t>Our users love Asana because they gain clarity into what they need to do and how their contribution is connected to broader organizational goals. This clarity is particularly important for distributed teams and remote employees. By eliminating much of the work about work, we give them back valuable hours in their day leading to higher productivity, higher engagement, and improved retention.</w:t>
      </w:r>
    </w:p>
    <w:p>
      <w:pPr>
        <w:spacing w:after="0" w:line="200" w:lineRule="exact"/>
        <w:rPr>
          <w:sz w:val="20"/>
          <w:szCs w:val="20"/>
          <w:color w:val="auto"/>
        </w:rPr>
      </w:pP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10159"/>
          </w:cols>
          <w:pgMar w:left="300" w:top="367" w:right="1440" w:bottom="1440" w:gutter="0" w:footer="0" w:header="0"/>
        </w:sectPr>
      </w:pPr>
    </w:p>
    <w:bookmarkStart w:id="11" w:name="page12"/>
    <w:bookmarkEnd w:id="1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144780</wp:posOffset>
            </wp:positionV>
            <wp:extent cx="5029200" cy="45612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29200" cy="4561205"/>
                    </a:xfrm>
                    <a:prstGeom prst="rect">
                      <a:avLst/>
                    </a:prstGeom>
                    <a:noFill/>
                  </pic:spPr>
                </pic:pic>
              </a:graphicData>
            </a:graphic>
          </wp:anchor>
        </w:drawing>
      </w:r>
    </w:p>
    <w:p>
      <w:pPr>
        <w:spacing w:after="0" w:line="33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b w:val="1"/>
          <w:bCs w:val="1"/>
          <w:i w:val="1"/>
          <w:iCs w:val="1"/>
          <w:color w:val="auto"/>
        </w:rPr>
        <w:t>Improved confidence and execution</w:t>
      </w:r>
    </w:p>
    <w:p>
      <w:pPr>
        <w:spacing w:after="0" w:line="87" w:lineRule="exact"/>
        <w:rPr>
          <w:sz w:val="20"/>
          <w:szCs w:val="20"/>
          <w:color w:val="auto"/>
        </w:rPr>
      </w:pPr>
    </w:p>
    <w:p>
      <w:pPr>
        <w:ind w:left="1820" w:right="939" w:firstLine="306"/>
        <w:spacing w:after="0" w:line="258" w:lineRule="auto"/>
        <w:rPr>
          <w:sz w:val="20"/>
          <w:szCs w:val="20"/>
          <w:color w:val="auto"/>
        </w:rPr>
      </w:pPr>
      <w:r>
        <w:rPr>
          <w:rFonts w:ascii="Times New Roman" w:cs="Times New Roman" w:eastAsia="Times New Roman" w:hAnsi="Times New Roman"/>
          <w:sz w:val="13"/>
          <w:szCs w:val="13"/>
          <w:color w:val="auto"/>
        </w:rPr>
        <w:t>Using Asana, individuals reduce their anxiety about missing deadlines and having work fall through the cracks. As a system of record for work, Asana stores all task and project information on past and present initiatives so people have greater confidence in meeting deliverables. Individuals, team leads, and executives gain real-time visibility into all the work that is happening in their organization, enabling them to feel organized and in control.</w:t>
      </w:r>
    </w:p>
    <w:p>
      <w:pPr>
        <w:spacing w:after="0" w:line="20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b w:val="1"/>
          <w:bCs w:val="1"/>
          <w:i w:val="1"/>
          <w:iCs w:val="1"/>
          <w:color w:val="auto"/>
        </w:rPr>
        <w:t>Improved business continuity for distributed teams and remote work</w:t>
      </w:r>
    </w:p>
    <w:p>
      <w:pPr>
        <w:spacing w:after="0" w:line="87" w:lineRule="exact"/>
        <w:rPr>
          <w:sz w:val="20"/>
          <w:szCs w:val="20"/>
          <w:color w:val="auto"/>
        </w:rPr>
      </w:pPr>
    </w:p>
    <w:p>
      <w:pPr>
        <w:ind w:left="1820" w:right="739" w:firstLine="306"/>
        <w:spacing w:after="0" w:line="258" w:lineRule="auto"/>
        <w:rPr>
          <w:sz w:val="20"/>
          <w:szCs w:val="20"/>
          <w:color w:val="auto"/>
        </w:rPr>
      </w:pPr>
      <w:r>
        <w:rPr>
          <w:rFonts w:ascii="Times New Roman" w:cs="Times New Roman" w:eastAsia="Times New Roman" w:hAnsi="Times New Roman"/>
          <w:sz w:val="13"/>
          <w:szCs w:val="13"/>
          <w:color w:val="auto"/>
        </w:rPr>
        <w:t>Asana gives teams the clarity they need to stay organized and productive wherever they are. Distributed and remote teams can use Asana as a single, real-time plan of record, reducing the need for messaging threads and video calls to coordinate work. Asana is a secure, cloud-based service that is accessible via internet browsers and a mobile application so that team members can manage their work from home, office, cafe, or other workspace.</w:t>
      </w:r>
    </w:p>
    <w:p>
      <w:pPr>
        <w:spacing w:after="0" w:line="20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3"/>
          <w:szCs w:val="13"/>
          <w:b w:val="1"/>
          <w:bCs w:val="1"/>
          <w:color w:val="auto"/>
        </w:rPr>
        <w:t>Competitive Strengths</w:t>
      </w:r>
    </w:p>
    <w:p>
      <w:pPr>
        <w:spacing w:after="0" w:line="81" w:lineRule="exact"/>
        <w:rPr>
          <w:sz w:val="20"/>
          <w:szCs w:val="20"/>
          <w:color w:val="auto"/>
        </w:rPr>
      </w:pPr>
    </w:p>
    <w:p>
      <w:pPr>
        <w:ind w:left="1820" w:right="859" w:firstLine="306"/>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 xml:space="preserve">Easy for an entire team to adopt. </w:t>
      </w:r>
      <w:r>
        <w:rPr>
          <w:rFonts w:ascii="Times New Roman" w:cs="Times New Roman" w:eastAsia="Times New Roman" w:hAnsi="Times New Roman"/>
          <w:sz w:val="13"/>
          <w:szCs w:val="13"/>
          <w:color w:val="auto"/>
        </w:rPr>
        <w:t>We designed our platform to be easy to adopt and transition away from legacy project management tools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without friction. For example, new users can import existing workflows from spreadsheets into Asana in a few clicks. We provide an intuitive interface—incorporating common language navigation, flexible views, and easy point-and-click and drag-and-drop functionalities—that allows users, across any role or level of technical proficiency, to easily set up and navigate a process or project.</w:t>
      </w:r>
    </w:p>
    <w:p>
      <w:pPr>
        <w:spacing w:after="0" w:line="128" w:lineRule="exact"/>
        <w:rPr>
          <w:sz w:val="20"/>
          <w:szCs w:val="20"/>
          <w:color w:val="auto"/>
        </w:rPr>
      </w:pPr>
    </w:p>
    <w:p>
      <w:pPr>
        <w:ind w:left="1820" w:right="719" w:firstLine="306"/>
        <w:spacing w:after="0" w:line="327" w:lineRule="auto"/>
        <w:rPr>
          <w:sz w:val="20"/>
          <w:szCs w:val="20"/>
          <w:color w:val="auto"/>
        </w:rPr>
      </w:pPr>
      <w:r>
        <w:rPr>
          <w:rFonts w:ascii="Times New Roman" w:cs="Times New Roman" w:eastAsia="Times New Roman" w:hAnsi="Times New Roman"/>
          <w:sz w:val="12"/>
          <w:szCs w:val="12"/>
          <w:b w:val="1"/>
          <w:bCs w:val="1"/>
          <w:i w:val="1"/>
          <w:iCs w:val="1"/>
          <w:color w:val="auto"/>
        </w:rPr>
        <w:t xml:space="preserve">Applicable to individuals, team leads, and executives. </w:t>
      </w:r>
      <w:r>
        <w:rPr>
          <w:rFonts w:ascii="Times New Roman" w:cs="Times New Roman" w:eastAsia="Times New Roman" w:hAnsi="Times New Roman"/>
          <w:sz w:val="12"/>
          <w:szCs w:val="12"/>
          <w:color w:val="auto"/>
        </w:rPr>
        <w:t>Our multi-dimensional data model allows individuals, team leads, and executives to</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work the way they want, in the interface that is most applicable to them. Users realize different benefits from our platform, depending on their role:</w:t>
      </w:r>
    </w:p>
    <w:p>
      <w:pPr>
        <w:spacing w:after="0" w:line="25" w:lineRule="exact"/>
        <w:rPr>
          <w:sz w:val="20"/>
          <w:szCs w:val="20"/>
          <w:color w:val="auto"/>
        </w:rPr>
      </w:pPr>
    </w:p>
    <w:p>
      <w:pPr>
        <w:ind w:left="2480" w:right="979" w:hanging="359"/>
        <w:spacing w:after="0" w:line="277" w:lineRule="auto"/>
        <w:tabs>
          <w:tab w:leader="none" w:pos="24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individuals can view a task list to prioritize their work across projects and see how the work they depend on is progressing in real time;</w:t>
      </w:r>
    </w:p>
    <w:p>
      <w:pPr>
        <w:spacing w:after="0" w:line="52" w:lineRule="exact"/>
        <w:rPr>
          <w:rFonts w:ascii="Times New Roman" w:cs="Times New Roman" w:eastAsia="Times New Roman" w:hAnsi="Times New Roman"/>
          <w:sz w:val="13"/>
          <w:szCs w:val="13"/>
          <w:color w:val="auto"/>
        </w:rPr>
      </w:pPr>
    </w:p>
    <w:p>
      <w:pPr>
        <w:ind w:left="2480" w:hanging="359"/>
        <w:spacing w:after="0"/>
        <w:tabs>
          <w:tab w:leader="none" w:pos="24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team leads can view the status of a project to identify dependencies or bottlenecks and manage workloads; and</w:t>
      </w:r>
    </w:p>
    <w:p>
      <w:pPr>
        <w:spacing w:after="0" w:line="92" w:lineRule="exact"/>
        <w:rPr>
          <w:rFonts w:ascii="Times New Roman" w:cs="Times New Roman" w:eastAsia="Times New Roman" w:hAnsi="Times New Roman"/>
          <w:sz w:val="13"/>
          <w:szCs w:val="13"/>
          <w:color w:val="auto"/>
        </w:rPr>
      </w:pPr>
    </w:p>
    <w:p>
      <w:pPr>
        <w:ind w:left="2480" w:hanging="359"/>
        <w:spacing w:after="0"/>
        <w:tabs>
          <w:tab w:leader="none" w:pos="24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executives can see real-time updates on how their organization is tracking toward strategic objectives.</w:t>
      </w:r>
    </w:p>
    <w:p>
      <w:pPr>
        <w:spacing w:after="0" w:line="157" w:lineRule="exact"/>
        <w:rPr>
          <w:sz w:val="20"/>
          <w:szCs w:val="20"/>
          <w:color w:val="auto"/>
        </w:rPr>
      </w:pPr>
    </w:p>
    <w:p>
      <w:pPr>
        <w:ind w:left="1820" w:right="719" w:firstLine="306"/>
        <w:spacing w:after="0" w:line="257" w:lineRule="auto"/>
        <w:rPr>
          <w:sz w:val="20"/>
          <w:szCs w:val="20"/>
          <w:color w:val="auto"/>
        </w:rPr>
      </w:pPr>
      <w:r>
        <w:rPr>
          <w:rFonts w:ascii="Times New Roman" w:cs="Times New Roman" w:eastAsia="Times New Roman" w:hAnsi="Times New Roman"/>
          <w:sz w:val="13"/>
          <w:szCs w:val="13"/>
          <w:b w:val="1"/>
          <w:bCs w:val="1"/>
          <w:i w:val="1"/>
          <w:iCs w:val="1"/>
          <w:color w:val="auto"/>
        </w:rPr>
        <w:t xml:space="preserve">Adaptable to virtually any use case. </w:t>
      </w:r>
      <w:r>
        <w:rPr>
          <w:rFonts w:ascii="Times New Roman" w:cs="Times New Roman" w:eastAsia="Times New Roman" w:hAnsi="Times New Roman"/>
          <w:sz w:val="13"/>
          <w:szCs w:val="13"/>
          <w:color w:val="auto"/>
        </w:rPr>
        <w:t>Asana is applicable to thousands of use cases, across many departments and industries. We have also</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seen adoption among distributed teams and teams working from home. Customers typically adopt Asana initially for a specific need within a department. Teams can then extend their usage to new use cases and departments as a result of collaborating on cross-functional projects. Organizations can also use Asana for organization-wide processes such as new employee onboarding, goal setting, and meeting agendas, which can lead to rapid expansion as employees see their peers using the platform.</w:t>
      </w:r>
    </w:p>
    <w:p>
      <w:pPr>
        <w:spacing w:after="0" w:line="130" w:lineRule="exact"/>
        <w:rPr>
          <w:sz w:val="20"/>
          <w:szCs w:val="20"/>
          <w:color w:val="auto"/>
        </w:rPr>
      </w:pPr>
    </w:p>
    <w:p>
      <w:pPr>
        <w:jc w:val="both"/>
        <w:ind w:left="1820" w:right="779" w:firstLine="306"/>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 xml:space="preserve">Loved by customers. </w:t>
      </w:r>
      <w:r>
        <w:rPr>
          <w:rFonts w:ascii="Times New Roman" w:cs="Times New Roman" w:eastAsia="Times New Roman" w:hAnsi="Times New Roman"/>
          <w:sz w:val="13"/>
          <w:szCs w:val="13"/>
          <w:color w:val="auto"/>
        </w:rPr>
        <w:t>We have fostered a vibrant global user community that is passionate about using Asana to orchestrate their work and is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active in our Asana Together programs, which include our online forum, Asana Ambassadors, and Asana Certified Pros. We believe we have high levels of customer satisfaction, and our large, loyal customer base often shares their experiences, helping us acquire new customers through word of mouth.</w:t>
      </w:r>
    </w:p>
    <w:p>
      <w:pPr>
        <w:spacing w:after="0" w:line="128" w:lineRule="exact"/>
        <w:rPr>
          <w:sz w:val="20"/>
          <w:szCs w:val="20"/>
          <w:color w:val="auto"/>
        </w:rPr>
      </w:pPr>
    </w:p>
    <w:p>
      <w:pPr>
        <w:ind w:left="1820" w:right="699" w:firstLine="306"/>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 xml:space="preserve">Efficient hybrid go-to-market model. </w:t>
      </w:r>
      <w:r>
        <w:rPr>
          <w:rFonts w:ascii="Times New Roman" w:cs="Times New Roman" w:eastAsia="Times New Roman" w:hAnsi="Times New Roman"/>
          <w:sz w:val="13"/>
          <w:szCs w:val="13"/>
          <w:color w:val="auto"/>
        </w:rPr>
        <w:t>Our hybrid self-service and direct sales model allows us to efficiently reach teams everywhere and then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rapidly expand within our customer base. A majority of our paying customers initially adopt our platform through self-service and free trials. Individuals can try our products using a limited functionality free version or a free trial of one of our paid subscription plans for a limited period of time, allowing us to reach a broad user base with a limited sales presence. Our free-to-paid conversion rate of</w:t>
      </w:r>
    </w:p>
    <w:p>
      <w:pPr>
        <w:spacing w:after="0" w:line="200" w:lineRule="exact"/>
        <w:rPr>
          <w:sz w:val="20"/>
          <w:szCs w:val="20"/>
          <w:color w:val="auto"/>
        </w:rPr>
      </w:pPr>
    </w:p>
    <w:p>
      <w:pPr>
        <w:spacing w:after="0" w:line="24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10159"/>
          </w:cols>
          <w:pgMar w:left="300" w:top="367" w:right="1440" w:bottom="1440" w:gutter="0" w:footer="0" w:header="0"/>
        </w:sectPr>
      </w:pPr>
    </w:p>
    <w:bookmarkStart w:id="12" w:name="page13"/>
    <w:bookmarkEnd w:id="1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144780</wp:posOffset>
            </wp:positionV>
            <wp:extent cx="5029200" cy="46412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29200" cy="4641215"/>
                    </a:xfrm>
                    <a:prstGeom prst="rect">
                      <a:avLst/>
                    </a:prstGeom>
                    <a:noFill/>
                  </pic:spPr>
                </pic:pic>
              </a:graphicData>
            </a:graphic>
          </wp:anchor>
        </w:drawing>
      </w:r>
    </w:p>
    <w:p>
      <w:pPr>
        <w:spacing w:after="0" w:line="336" w:lineRule="exact"/>
        <w:rPr>
          <w:sz w:val="20"/>
          <w:szCs w:val="20"/>
          <w:color w:val="auto"/>
        </w:rPr>
      </w:pPr>
    </w:p>
    <w:p>
      <w:pPr>
        <w:ind w:left="1820" w:right="1039"/>
        <w:spacing w:after="0" w:line="277" w:lineRule="auto"/>
        <w:rPr>
          <w:sz w:val="20"/>
          <w:szCs w:val="20"/>
          <w:color w:val="auto"/>
        </w:rPr>
      </w:pPr>
      <w:r>
        <w:rPr>
          <w:rFonts w:ascii="Times New Roman" w:cs="Times New Roman" w:eastAsia="Times New Roman" w:hAnsi="Times New Roman"/>
          <w:sz w:val="13"/>
          <w:szCs w:val="13"/>
          <w:color w:val="auto"/>
        </w:rPr>
        <w:t>registered users, as measured by the number of paid users divided by the total number of then-registered users, has increased from 3.6% as of January 31, 2018 to 4.7% as of July 31, 2020.</w:t>
      </w:r>
    </w:p>
    <w:p>
      <w:pPr>
        <w:spacing w:after="0" w:line="116" w:lineRule="exact"/>
        <w:rPr>
          <w:sz w:val="20"/>
          <w:szCs w:val="20"/>
          <w:color w:val="auto"/>
        </w:rPr>
      </w:pPr>
    </w:p>
    <w:p>
      <w:pPr>
        <w:ind w:left="1820" w:right="899" w:firstLine="306"/>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 xml:space="preserve">High performance. </w:t>
      </w:r>
      <w:r>
        <w:rPr>
          <w:rFonts w:ascii="Times New Roman" w:cs="Times New Roman" w:eastAsia="Times New Roman" w:hAnsi="Times New Roman"/>
          <w:sz w:val="13"/>
          <w:szCs w:val="13"/>
          <w:color w:val="auto"/>
        </w:rPr>
        <w:t>We have architected our platform to be easy to use, extremely fast, and powerful. We have a modern architecture with</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proprietary intellectual property that enables flexible and fast queries. All user data is maintained in our cloud-native platform and changes are immediately synchronized to allow real-time collaboration. We have optimized the communication between the client application and servers to create a responsive experience with low latency and network utilization.</w:t>
      </w:r>
    </w:p>
    <w:p>
      <w:pPr>
        <w:spacing w:after="0" w:line="128" w:lineRule="exact"/>
        <w:rPr>
          <w:sz w:val="20"/>
          <w:szCs w:val="20"/>
          <w:color w:val="auto"/>
        </w:rPr>
      </w:pPr>
    </w:p>
    <w:p>
      <w:pPr>
        <w:ind w:left="1820" w:right="759" w:firstLine="306"/>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 xml:space="preserve">Strong company culture. </w:t>
      </w:r>
      <w:r>
        <w:rPr>
          <w:rFonts w:ascii="Times New Roman" w:cs="Times New Roman" w:eastAsia="Times New Roman" w:hAnsi="Times New Roman"/>
          <w:sz w:val="13"/>
          <w:szCs w:val="13"/>
          <w:color w:val="auto"/>
        </w:rPr>
        <w:t>Our culture is a critical component of our success. Our commitment to transparency, distributed responsibility, and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employee growth helps us attract and retain top quality talent from diverse backgrounds. We have seen strong retention rates overall, particularly across our engineering department, where our annual retention is over 90% despite competition for talent. We believe our diverse workforce helps us better understand the needs of our diverse user base and innovate in new and creative ways. We take pride in our industry recognition as a top workplace, such as being named one of the top 10 Best Small &amp; Medium Workplaces for the third year in a row by FORTUNE in 2019, which we believe helps drive our recruiting efforts. Our strong culture has led to high employee engagement as demonstrated by a survey conducted by Culture Amp, placing us in the top quartile of our peers.</w:t>
      </w:r>
    </w:p>
    <w:p>
      <w:pPr>
        <w:spacing w:after="0" w:line="133" w:lineRule="exact"/>
        <w:rPr>
          <w:sz w:val="20"/>
          <w:szCs w:val="20"/>
          <w:color w:val="auto"/>
        </w:rPr>
      </w:pPr>
    </w:p>
    <w:p>
      <w:pPr>
        <w:ind w:left="1820" w:right="759" w:firstLine="306"/>
        <w:spacing w:after="0" w:line="257" w:lineRule="auto"/>
        <w:rPr>
          <w:sz w:val="20"/>
          <w:szCs w:val="20"/>
          <w:color w:val="auto"/>
        </w:rPr>
      </w:pPr>
      <w:r>
        <w:rPr>
          <w:rFonts w:ascii="Times New Roman" w:cs="Times New Roman" w:eastAsia="Times New Roman" w:hAnsi="Times New Roman"/>
          <w:sz w:val="13"/>
          <w:szCs w:val="13"/>
          <w:b w:val="1"/>
          <w:bCs w:val="1"/>
          <w:i w:val="1"/>
          <w:iCs w:val="1"/>
          <w:color w:val="auto"/>
        </w:rPr>
        <w:t xml:space="preserve">Scalable and secure. </w:t>
      </w:r>
      <w:r>
        <w:rPr>
          <w:rFonts w:ascii="Times New Roman" w:cs="Times New Roman" w:eastAsia="Times New Roman" w:hAnsi="Times New Roman"/>
          <w:sz w:val="13"/>
          <w:szCs w:val="13"/>
          <w:color w:val="auto"/>
        </w:rPr>
        <w:t>We have built our platform using best practices, leveraging tooling and automation to enable rapid feature deployment,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with frequent code releases to production, and horizontal-scaling across our servers and data storage to easily add capacity and scale. We have demonstrated reliability with over 99.9% average up-time during fiscal 2020. We have built security checks and mechanisms into all parts of our technology stack and embraced security practices, like a public bug bounty program and third-party penetration testing. We are SOC 2 Type II compliant and have implemented robust safeguards to protect the security of data uploaded to and shared within our platform.</w:t>
      </w:r>
    </w:p>
    <w:p>
      <w:pPr>
        <w:spacing w:after="0" w:line="21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3"/>
          <w:szCs w:val="13"/>
          <w:b w:val="1"/>
          <w:bCs w:val="1"/>
          <w:color w:val="auto"/>
        </w:rPr>
        <w:t>Our Market Opportunity</w:t>
      </w:r>
    </w:p>
    <w:p>
      <w:pPr>
        <w:spacing w:after="0" w:line="85" w:lineRule="exact"/>
        <w:rPr>
          <w:sz w:val="20"/>
          <w:szCs w:val="20"/>
          <w:color w:val="auto"/>
        </w:rPr>
      </w:pPr>
    </w:p>
    <w:p>
      <w:pPr>
        <w:ind w:left="1820" w:right="999" w:firstLine="306"/>
        <w:spacing w:after="0" w:line="263" w:lineRule="auto"/>
        <w:rPr>
          <w:sz w:val="20"/>
          <w:szCs w:val="20"/>
          <w:color w:val="auto"/>
        </w:rPr>
      </w:pPr>
      <w:r>
        <w:rPr>
          <w:rFonts w:ascii="Times New Roman" w:cs="Times New Roman" w:eastAsia="Times New Roman" w:hAnsi="Times New Roman"/>
          <w:sz w:val="13"/>
          <w:szCs w:val="13"/>
          <w:color w:val="auto"/>
        </w:rPr>
        <w:t>The work management market that we address is large and rapidly growing. According to a June 2019 IDC report, the markets for collaborative applications and project and portfolio management, in aggregate, are expected to grow from $23 billion in 2020 to $32 billion in 2023.</w:t>
      </w:r>
    </w:p>
    <w:p>
      <w:pPr>
        <w:spacing w:after="0" w:line="129" w:lineRule="exact"/>
        <w:rPr>
          <w:sz w:val="20"/>
          <w:szCs w:val="20"/>
          <w:color w:val="auto"/>
        </w:rPr>
      </w:pPr>
    </w:p>
    <w:p>
      <w:pPr>
        <w:ind w:left="1820" w:right="719" w:firstLine="306"/>
        <w:spacing w:after="0" w:line="258" w:lineRule="auto"/>
        <w:rPr>
          <w:sz w:val="20"/>
          <w:szCs w:val="20"/>
          <w:color w:val="auto"/>
        </w:rPr>
      </w:pPr>
      <w:r>
        <w:rPr>
          <w:rFonts w:ascii="Times New Roman" w:cs="Times New Roman" w:eastAsia="Times New Roman" w:hAnsi="Times New Roman"/>
          <w:sz w:val="13"/>
          <w:szCs w:val="13"/>
          <w:color w:val="auto"/>
        </w:rPr>
        <w:t>We believe we have the opportunity to address the 1.25 billion global information workers, estimated by a September 2019 report by Forrester Research, Inc., or Forrester. We believe we are less than 3% penetrated among addressable employees in our existing customer base, indicating a significant whitespace opportunity. Additionally, we believe we have significant greenfield opportunities among addressable customers worldwide.</w:t>
      </w:r>
    </w:p>
    <w:p>
      <w:pPr>
        <w:spacing w:after="0" w:line="20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3"/>
          <w:szCs w:val="13"/>
          <w:b w:val="1"/>
          <w:bCs w:val="1"/>
          <w:color w:val="auto"/>
        </w:rPr>
        <w:t>Our Growth Strategies</w:t>
      </w:r>
    </w:p>
    <w:p>
      <w:pPr>
        <w:spacing w:after="0" w:line="85" w:lineRule="exact"/>
        <w:rPr>
          <w:sz w:val="20"/>
          <w:szCs w:val="20"/>
          <w:color w:val="auto"/>
        </w:rPr>
      </w:pPr>
    </w:p>
    <w:p>
      <w:pPr>
        <w:ind w:left="1820" w:right="739" w:firstLine="306"/>
        <w:spacing w:after="0" w:line="277" w:lineRule="auto"/>
        <w:rPr>
          <w:sz w:val="20"/>
          <w:szCs w:val="20"/>
          <w:color w:val="auto"/>
        </w:rPr>
      </w:pPr>
      <w:r>
        <w:rPr>
          <w:rFonts w:ascii="Times New Roman" w:cs="Times New Roman" w:eastAsia="Times New Roman" w:hAnsi="Times New Roman"/>
          <w:sz w:val="13"/>
          <w:szCs w:val="13"/>
          <w:color w:val="auto"/>
        </w:rPr>
        <w:t>We have driven rapid adoption of our platform and intend to continue to promote our platform and its adoption through the following growth strategies:</w:t>
      </w:r>
    </w:p>
    <w:p>
      <w:pPr>
        <w:spacing w:after="0" w:line="116" w:lineRule="exact"/>
        <w:rPr>
          <w:sz w:val="20"/>
          <w:szCs w:val="20"/>
          <w:color w:val="auto"/>
        </w:rPr>
      </w:pPr>
    </w:p>
    <w:p>
      <w:pPr>
        <w:ind w:left="1820" w:right="699" w:firstLine="306"/>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Add more customers</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We have over 82,000 paying customers as of July 31, 2020 and over 3.5 million free activated accounts since inception,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representing a large opportunity to convert these accounts into paying customers. An activated account represents an organization or individual that has collaborated with another user. We also plan to acquire new customers through word of mouth, marketing activities, self-service, and direct sales efforts.</w:t>
      </w:r>
    </w:p>
    <w:p>
      <w:pPr>
        <w:spacing w:after="0" w:line="128" w:lineRule="exact"/>
        <w:rPr>
          <w:sz w:val="20"/>
          <w:szCs w:val="20"/>
          <w:color w:val="auto"/>
        </w:rPr>
      </w:pPr>
    </w:p>
    <w:p>
      <w:pPr>
        <w:ind w:left="1820" w:right="779" w:firstLine="306"/>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Expand within our existing customer base</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Customers typically adopt Asana for a specific use case within a department and then expand to</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new use cases across departments and, in some instances, across an entire</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10159"/>
          </w:cols>
          <w:pgMar w:left="300" w:top="367" w:right="1440" w:bottom="1440" w:gutter="0" w:footer="0" w:header="0"/>
        </w:sectPr>
      </w:pPr>
    </w:p>
    <w:bookmarkStart w:id="13" w:name="page14"/>
    <w:bookmarkEnd w:id="1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144780</wp:posOffset>
            </wp:positionV>
            <wp:extent cx="5029200" cy="41859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029200" cy="4185920"/>
                    </a:xfrm>
                    <a:prstGeom prst="rect">
                      <a:avLst/>
                    </a:prstGeom>
                    <a:noFill/>
                  </pic:spPr>
                </pic:pic>
              </a:graphicData>
            </a:graphic>
          </wp:anchor>
        </w:drawing>
      </w:r>
    </w:p>
    <w:p>
      <w:pPr>
        <w:spacing w:after="0" w:line="336" w:lineRule="exact"/>
        <w:rPr>
          <w:sz w:val="20"/>
          <w:szCs w:val="20"/>
          <w:color w:val="auto"/>
        </w:rPr>
      </w:pPr>
    </w:p>
    <w:p>
      <w:pPr>
        <w:ind w:left="1820" w:right="739"/>
        <w:spacing w:after="0" w:line="277" w:lineRule="auto"/>
        <w:rPr>
          <w:sz w:val="20"/>
          <w:szCs w:val="20"/>
          <w:color w:val="auto"/>
        </w:rPr>
      </w:pPr>
      <w:r>
        <w:rPr>
          <w:rFonts w:ascii="Times New Roman" w:cs="Times New Roman" w:eastAsia="Times New Roman" w:hAnsi="Times New Roman"/>
          <w:sz w:val="13"/>
          <w:szCs w:val="13"/>
          <w:color w:val="auto"/>
        </w:rPr>
        <w:t>organization. To address the significant whitespace opportunity within our existing customer base, we are growing our direct sales team, which has more than doubled in size since January 31, 2019, to promote department-specific and organization-wide use cases.</w:t>
      </w:r>
    </w:p>
    <w:p>
      <w:pPr>
        <w:spacing w:after="0" w:line="116" w:lineRule="exact"/>
        <w:rPr>
          <w:sz w:val="20"/>
          <w:szCs w:val="20"/>
          <w:color w:val="auto"/>
        </w:rPr>
      </w:pPr>
    </w:p>
    <w:p>
      <w:pPr>
        <w:jc w:val="both"/>
        <w:ind w:left="1820" w:right="759" w:firstLine="306"/>
        <w:spacing w:after="0" w:line="266" w:lineRule="auto"/>
        <w:rPr>
          <w:sz w:val="20"/>
          <w:szCs w:val="20"/>
          <w:color w:val="auto"/>
        </w:rPr>
      </w:pPr>
      <w:r>
        <w:rPr>
          <w:rFonts w:ascii="Times New Roman" w:cs="Times New Roman" w:eastAsia="Times New Roman" w:hAnsi="Times New Roman"/>
          <w:sz w:val="13"/>
          <w:szCs w:val="13"/>
          <w:b w:val="1"/>
          <w:bCs w:val="1"/>
          <w:i w:val="1"/>
          <w:iCs w:val="1"/>
          <w:color w:val="auto"/>
        </w:rPr>
        <w:t xml:space="preserve">Continue to innovate. </w:t>
      </w:r>
      <w:r>
        <w:rPr>
          <w:rFonts w:ascii="Times New Roman" w:cs="Times New Roman" w:eastAsia="Times New Roman" w:hAnsi="Times New Roman"/>
          <w:sz w:val="13"/>
          <w:szCs w:val="13"/>
          <w:color w:val="auto"/>
        </w:rPr>
        <w:t>Product innovation is critical to maintaining our success as a leader in work management. We will continue to expand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our product offerings and enhance the features and functionality of our platform. Since January 31, 2019, we have grown our engineering team by over 80% to drive product innovation.</w:t>
      </w:r>
    </w:p>
    <w:p>
      <w:pPr>
        <w:spacing w:after="0" w:line="123" w:lineRule="exact"/>
        <w:rPr>
          <w:sz w:val="20"/>
          <w:szCs w:val="20"/>
          <w:color w:val="auto"/>
        </w:rPr>
      </w:pPr>
    </w:p>
    <w:p>
      <w:pPr>
        <w:ind w:left="1820" w:right="759" w:firstLine="306"/>
        <w:spacing w:after="0" w:line="257" w:lineRule="auto"/>
        <w:rPr>
          <w:sz w:val="20"/>
          <w:szCs w:val="20"/>
          <w:color w:val="auto"/>
        </w:rPr>
      </w:pPr>
      <w:r>
        <w:rPr>
          <w:rFonts w:ascii="Times New Roman" w:cs="Times New Roman" w:eastAsia="Times New Roman" w:hAnsi="Times New Roman"/>
          <w:sz w:val="13"/>
          <w:szCs w:val="13"/>
          <w:b w:val="1"/>
          <w:bCs w:val="1"/>
          <w:i w:val="1"/>
          <w:iCs w:val="1"/>
          <w:color w:val="auto"/>
        </w:rPr>
        <w:t xml:space="preserve">Keep building a high value brand. </w:t>
      </w:r>
      <w:r>
        <w:rPr>
          <w:rFonts w:ascii="Times New Roman" w:cs="Times New Roman" w:eastAsia="Times New Roman" w:hAnsi="Times New Roman"/>
          <w:sz w:val="13"/>
          <w:szCs w:val="13"/>
          <w:color w:val="auto"/>
        </w:rPr>
        <w:t>Our goal is to be the leader in work management—a market still in the early stages of development, with</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greenfield opportunities for adoption among companies of all sizes. We will continue to build our brand through customer experience and broader engagement, marketing, and industry and analyst education. In 2018, we were recognized by Forrester as a Leader in Collaborative Work Management Tools for the Enterprise based on a range of criteria, including the highest scores possible in customer satisfaction and pace of innovation criteria.</w:t>
      </w:r>
    </w:p>
    <w:p>
      <w:pPr>
        <w:spacing w:after="0" w:line="130" w:lineRule="exact"/>
        <w:rPr>
          <w:sz w:val="20"/>
          <w:szCs w:val="20"/>
          <w:color w:val="auto"/>
        </w:rPr>
      </w:pPr>
    </w:p>
    <w:p>
      <w:pPr>
        <w:ind w:left="1820" w:right="739" w:firstLine="306"/>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 xml:space="preserve">Develop functional workflows. </w:t>
      </w:r>
      <w:r>
        <w:rPr>
          <w:rFonts w:ascii="Times New Roman" w:cs="Times New Roman" w:eastAsia="Times New Roman" w:hAnsi="Times New Roman"/>
          <w:sz w:val="13"/>
          <w:szCs w:val="13"/>
          <w:color w:val="auto"/>
        </w:rPr>
        <w:t>We have seen strong initial adoption in our customer base particularly in marketing, sales, operations, human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resources, product management, and design where there are many workstreams requiring cross-functional collaboration. We have developed purpose-built templates and premium functionality that cater to these groups, and will continue to develop specific functional workflows where we see adoption opportunities.</w:t>
      </w:r>
    </w:p>
    <w:p>
      <w:pPr>
        <w:spacing w:after="0" w:line="128" w:lineRule="exact"/>
        <w:rPr>
          <w:sz w:val="20"/>
          <w:szCs w:val="20"/>
          <w:color w:val="auto"/>
        </w:rPr>
      </w:pPr>
    </w:p>
    <w:p>
      <w:pPr>
        <w:ind w:left="1820" w:right="999" w:firstLine="306"/>
        <w:spacing w:after="0" w:line="266" w:lineRule="auto"/>
        <w:rPr>
          <w:sz w:val="20"/>
          <w:szCs w:val="20"/>
          <w:color w:val="auto"/>
        </w:rPr>
      </w:pPr>
      <w:r>
        <w:rPr>
          <w:rFonts w:ascii="Times New Roman" w:cs="Times New Roman" w:eastAsia="Times New Roman" w:hAnsi="Times New Roman"/>
          <w:sz w:val="13"/>
          <w:szCs w:val="13"/>
          <w:b w:val="1"/>
          <w:bCs w:val="1"/>
          <w:i w:val="1"/>
          <w:iCs w:val="1"/>
          <w:color w:val="auto"/>
        </w:rPr>
        <w:t xml:space="preserve">Develop organization-wide use cases. </w:t>
      </w:r>
      <w:r>
        <w:rPr>
          <w:rFonts w:ascii="Times New Roman" w:cs="Times New Roman" w:eastAsia="Times New Roman" w:hAnsi="Times New Roman"/>
          <w:sz w:val="13"/>
          <w:szCs w:val="13"/>
          <w:color w:val="auto"/>
        </w:rPr>
        <w:t>Customers use Asana for a number of use cases, from departmental projects to organization-wide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initiatives, including employee goal management, new employee onboarding, one-on-ones, and meeting agendas. Over time, we intend to productize and monetize organization-specific use cases on our platform.</w:t>
      </w:r>
    </w:p>
    <w:p>
      <w:pPr>
        <w:spacing w:after="0" w:line="20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3"/>
          <w:szCs w:val="13"/>
          <w:b w:val="1"/>
          <w:bCs w:val="1"/>
          <w:color w:val="auto"/>
        </w:rPr>
        <w:t>Risks Related to Our Business and Investment in our Class A Common Stock</w:t>
      </w:r>
    </w:p>
    <w:p>
      <w:pPr>
        <w:spacing w:after="0" w:line="85" w:lineRule="exact"/>
        <w:rPr>
          <w:sz w:val="20"/>
          <w:szCs w:val="20"/>
          <w:color w:val="auto"/>
        </w:rPr>
      </w:pPr>
    </w:p>
    <w:p>
      <w:pPr>
        <w:ind w:left="1820" w:right="719" w:firstLine="306"/>
        <w:spacing w:after="0" w:line="263" w:lineRule="auto"/>
        <w:rPr>
          <w:sz w:val="20"/>
          <w:szCs w:val="20"/>
          <w:color w:val="auto"/>
        </w:rPr>
      </w:pPr>
      <w:r>
        <w:rPr>
          <w:rFonts w:ascii="Times New Roman" w:cs="Times New Roman" w:eastAsia="Times New Roman" w:hAnsi="Times New Roman"/>
          <w:sz w:val="13"/>
          <w:szCs w:val="13"/>
          <w:color w:val="auto"/>
        </w:rPr>
        <w:t>Investing in our Class A common stock involves a high degree of risk. You should carefully consider the risks highlighted in the section titled “Risk Factors” immediately following this prospectus summary before making an investment decision. We may be unable for many reasons, including those that are beyond our control, to implement our business strategy successfully. Some of these risks are:</w:t>
      </w:r>
    </w:p>
    <w:p>
      <w:pPr>
        <w:spacing w:after="0" w:line="61" w:lineRule="exact"/>
        <w:rPr>
          <w:sz w:val="20"/>
          <w:szCs w:val="20"/>
          <w:color w:val="auto"/>
        </w:rPr>
      </w:pPr>
    </w:p>
    <w:p>
      <w:pPr>
        <w:ind w:left="2480" w:hanging="359"/>
        <w:spacing w:after="0"/>
        <w:tabs>
          <w:tab w:leader="none" w:pos="24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experienced rapid growth in recent periods, and our recent growth rates may not be indicative of our future growth.</w:t>
      </w:r>
    </w:p>
    <w:p>
      <w:pPr>
        <w:spacing w:after="0" w:line="92" w:lineRule="exact"/>
        <w:rPr>
          <w:rFonts w:ascii="Times New Roman" w:cs="Times New Roman" w:eastAsia="Times New Roman" w:hAnsi="Times New Roman"/>
          <w:sz w:val="13"/>
          <w:szCs w:val="13"/>
          <w:color w:val="auto"/>
        </w:rPr>
      </w:pPr>
    </w:p>
    <w:p>
      <w:pPr>
        <w:ind w:left="2480" w:right="739" w:hanging="359"/>
        <w:spacing w:after="0" w:line="277" w:lineRule="auto"/>
        <w:tabs>
          <w:tab w:leader="none" w:pos="24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a limited operating history at our current scale, which makes it difficult to evaluate our future prospects and may increase the risk that we will not be successful.</w:t>
      </w:r>
    </w:p>
    <w:p>
      <w:pPr>
        <w:spacing w:after="0" w:line="52" w:lineRule="exact"/>
        <w:rPr>
          <w:rFonts w:ascii="Times New Roman" w:cs="Times New Roman" w:eastAsia="Times New Roman" w:hAnsi="Times New Roman"/>
          <w:sz w:val="13"/>
          <w:szCs w:val="13"/>
          <w:color w:val="auto"/>
        </w:rPr>
      </w:pPr>
    </w:p>
    <w:p>
      <w:pPr>
        <w:ind w:left="2480" w:hanging="359"/>
        <w:spacing w:after="0"/>
        <w:tabs>
          <w:tab w:leader="none" w:pos="24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a history of losses, and we may not be able to achieve profitability or, if achieved, sustain profitability.</w:t>
      </w:r>
    </w:p>
    <w:p>
      <w:pPr>
        <w:spacing w:after="0" w:line="92" w:lineRule="exact"/>
        <w:rPr>
          <w:rFonts w:ascii="Times New Roman" w:cs="Times New Roman" w:eastAsia="Times New Roman" w:hAnsi="Times New Roman"/>
          <w:sz w:val="13"/>
          <w:szCs w:val="13"/>
          <w:color w:val="auto"/>
        </w:rPr>
      </w:pPr>
    </w:p>
    <w:p>
      <w:pPr>
        <w:ind w:left="2480" w:hanging="359"/>
        <w:spacing w:after="0"/>
        <w:tabs>
          <w:tab w:leader="none" w:pos="24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quarterly results may fluctuate significantly and may not meet our expectations or those of investors or securities analysts.</w:t>
      </w:r>
    </w:p>
    <w:p>
      <w:pPr>
        <w:spacing w:after="0" w:line="92" w:lineRule="exact"/>
        <w:rPr>
          <w:rFonts w:ascii="Times New Roman" w:cs="Times New Roman" w:eastAsia="Times New Roman" w:hAnsi="Times New Roman"/>
          <w:sz w:val="13"/>
          <w:szCs w:val="13"/>
          <w:color w:val="auto"/>
        </w:rPr>
      </w:pPr>
    </w:p>
    <w:p>
      <w:pPr>
        <w:ind w:left="2480" w:right="959" w:hanging="359"/>
        <w:spacing w:after="0" w:line="320" w:lineRule="auto"/>
        <w:tabs>
          <w:tab w:leader="none" w:pos="24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COVID-19 pandemic has affected how we and our customers operate and has adversely affected the global economy, and the duration and extent to which this will affect our business, future results of operations, and financial condition remains uncertain.</w:t>
      </w:r>
    </w:p>
    <w:p>
      <w:pPr>
        <w:spacing w:after="0" w:line="29" w:lineRule="exact"/>
        <w:rPr>
          <w:rFonts w:ascii="Times New Roman" w:cs="Times New Roman" w:eastAsia="Times New Roman" w:hAnsi="Times New Roman"/>
          <w:sz w:val="12"/>
          <w:szCs w:val="12"/>
          <w:color w:val="auto"/>
        </w:rPr>
      </w:pPr>
    </w:p>
    <w:p>
      <w:pPr>
        <w:jc w:val="both"/>
        <w:ind w:left="2480" w:right="819" w:hanging="359"/>
        <w:spacing w:after="0" w:line="263" w:lineRule="auto"/>
        <w:tabs>
          <w:tab w:leader="none" w:pos="24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are unable to attract new customers, convert individuals, teams, and organizations using our free and trial versions into paying customers, and expand usage within organizations or develop new features, integrations, capabilities, and enhancements that achieve market acceptance, our revenue growth would be harmed.</w:t>
      </w:r>
    </w:p>
    <w:p>
      <w:pPr>
        <w:spacing w:after="0" w:line="200" w:lineRule="exact"/>
        <w:rPr>
          <w:sz w:val="20"/>
          <w:szCs w:val="20"/>
          <w:color w:val="auto"/>
        </w:rPr>
      </w:pP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10159"/>
          </w:cols>
          <w:pgMar w:left="300" w:top="367" w:right="1440" w:bottom="1440" w:gutter="0" w:footer="0" w:header="0"/>
        </w:sectPr>
      </w:pPr>
    </w:p>
    <w:bookmarkStart w:id="14" w:name="page15"/>
    <w:bookmarkEnd w:id="1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144780</wp:posOffset>
            </wp:positionV>
            <wp:extent cx="5029200" cy="4604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029200" cy="4604385"/>
                    </a:xfrm>
                    <a:prstGeom prst="rect">
                      <a:avLst/>
                    </a:prstGeom>
                    <a:noFill/>
                  </pic:spPr>
                </pic:pic>
              </a:graphicData>
            </a:graphic>
          </wp:anchor>
        </w:drawing>
      </w:r>
    </w:p>
    <w:p>
      <w:pPr>
        <w:spacing w:after="0" w:line="336" w:lineRule="exact"/>
        <w:rPr>
          <w:sz w:val="20"/>
          <w:szCs w:val="20"/>
          <w:color w:val="auto"/>
        </w:rPr>
      </w:pPr>
    </w:p>
    <w:p>
      <w:pPr>
        <w:ind w:left="2480" w:right="1019" w:hanging="359"/>
        <w:spacing w:after="0" w:line="263" w:lineRule="auto"/>
        <w:tabs>
          <w:tab w:leader="none" w:pos="24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market for work management solutions develops more slowly than we expect or declines, our business would be adversely affected, and the estimates of market opportunity and forecasts of market growth included in this prospectus may prove to be inaccurate.</w:t>
      </w:r>
    </w:p>
    <w:p>
      <w:pPr>
        <w:spacing w:after="0" w:line="61" w:lineRule="exact"/>
        <w:rPr>
          <w:rFonts w:ascii="Times New Roman" w:cs="Times New Roman" w:eastAsia="Times New Roman" w:hAnsi="Times New Roman"/>
          <w:sz w:val="13"/>
          <w:szCs w:val="13"/>
          <w:color w:val="auto"/>
        </w:rPr>
      </w:pPr>
    </w:p>
    <w:p>
      <w:pPr>
        <w:ind w:left="2480" w:hanging="359"/>
        <w:spacing w:after="0"/>
        <w:tabs>
          <w:tab w:leader="none" w:pos="24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operate in a highly competitive industry, and competition presents an ongoing threat to the success of our business.</w:t>
      </w:r>
    </w:p>
    <w:p>
      <w:pPr>
        <w:spacing w:after="0" w:line="92" w:lineRule="exact"/>
        <w:rPr>
          <w:rFonts w:ascii="Times New Roman" w:cs="Times New Roman" w:eastAsia="Times New Roman" w:hAnsi="Times New Roman"/>
          <w:sz w:val="13"/>
          <w:szCs w:val="13"/>
          <w:color w:val="auto"/>
        </w:rPr>
      </w:pPr>
    </w:p>
    <w:p>
      <w:pPr>
        <w:ind w:left="2480" w:right="819" w:hanging="359"/>
        <w:spacing w:after="0" w:line="277" w:lineRule="auto"/>
        <w:tabs>
          <w:tab w:leader="none" w:pos="24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to effectively develop and expand our direct sales capabilities would harm our ability to expand usage of our platform within our customer base and achieve broader market acceptance of our platform.</w:t>
      </w:r>
    </w:p>
    <w:p>
      <w:pPr>
        <w:spacing w:after="0" w:line="52" w:lineRule="exact"/>
        <w:rPr>
          <w:rFonts w:ascii="Times New Roman" w:cs="Times New Roman" w:eastAsia="Times New Roman" w:hAnsi="Times New Roman"/>
          <w:sz w:val="13"/>
          <w:szCs w:val="13"/>
          <w:color w:val="auto"/>
        </w:rPr>
      </w:pPr>
    </w:p>
    <w:p>
      <w:pPr>
        <w:ind w:left="2480" w:right="1039" w:hanging="359"/>
        <w:spacing w:after="0" w:line="277" w:lineRule="auto"/>
        <w:tabs>
          <w:tab w:leader="none" w:pos="24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loss of one or more of our key personnel, in particular our co-founder, President, Chief Executive Officer, and Chair, Dustin Moskovitz, would harm our business.</w:t>
      </w:r>
    </w:p>
    <w:p>
      <w:pPr>
        <w:spacing w:after="0" w:line="52" w:lineRule="exact"/>
        <w:rPr>
          <w:rFonts w:ascii="Times New Roman" w:cs="Times New Roman" w:eastAsia="Times New Roman" w:hAnsi="Times New Roman"/>
          <w:sz w:val="13"/>
          <w:szCs w:val="13"/>
          <w:color w:val="auto"/>
        </w:rPr>
      </w:pPr>
    </w:p>
    <w:p>
      <w:pPr>
        <w:ind w:left="2480" w:right="819" w:hanging="359"/>
        <w:spacing w:after="0" w:line="263" w:lineRule="auto"/>
        <w:tabs>
          <w:tab w:leader="none" w:pos="24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failure to protect our sites, networks, and systems against security breaches, or otherwise to protect our confidential information or the confidential information of our users, customers, or other third parties, would damage our reputation and brand, and substantially harm our business and results of operations.</w:t>
      </w:r>
    </w:p>
    <w:p>
      <w:pPr>
        <w:spacing w:after="0" w:line="61" w:lineRule="exact"/>
        <w:rPr>
          <w:rFonts w:ascii="Times New Roman" w:cs="Times New Roman" w:eastAsia="Times New Roman" w:hAnsi="Times New Roman"/>
          <w:sz w:val="13"/>
          <w:szCs w:val="13"/>
          <w:color w:val="auto"/>
        </w:rPr>
      </w:pPr>
    </w:p>
    <w:p>
      <w:pPr>
        <w:ind w:left="2480" w:right="819" w:hanging="359"/>
        <w:spacing w:after="0" w:line="277" w:lineRule="auto"/>
        <w:tabs>
          <w:tab w:leader="none" w:pos="24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fail to manage our technical operations infrastructure, or experience service outages, interruptions, or delays in the deployment of our platform, our results of operations may be harmed.</w:t>
      </w:r>
    </w:p>
    <w:p>
      <w:pPr>
        <w:spacing w:after="0" w:line="52" w:lineRule="exact"/>
        <w:rPr>
          <w:rFonts w:ascii="Times New Roman" w:cs="Times New Roman" w:eastAsia="Times New Roman" w:hAnsi="Times New Roman"/>
          <w:sz w:val="13"/>
          <w:szCs w:val="13"/>
          <w:color w:val="auto"/>
        </w:rPr>
      </w:pPr>
    </w:p>
    <w:p>
      <w:pPr>
        <w:ind w:left="2480" w:right="1119" w:hanging="359"/>
        <w:spacing w:after="0" w:line="277" w:lineRule="auto"/>
        <w:tabs>
          <w:tab w:leader="none" w:pos="24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trading price of our Class A common stock may be volatile and could, upon listing on the NYSE, decline significantly and rapidly.</w:t>
      </w:r>
    </w:p>
    <w:p>
      <w:pPr>
        <w:spacing w:after="0" w:line="52" w:lineRule="exact"/>
        <w:rPr>
          <w:rFonts w:ascii="Times New Roman" w:cs="Times New Roman" w:eastAsia="Times New Roman" w:hAnsi="Times New Roman"/>
          <w:sz w:val="13"/>
          <w:szCs w:val="13"/>
          <w:color w:val="auto"/>
        </w:rPr>
      </w:pPr>
    </w:p>
    <w:p>
      <w:pPr>
        <w:ind w:left="2480" w:right="919" w:hanging="359"/>
        <w:spacing w:after="0" w:line="277" w:lineRule="auto"/>
        <w:tabs>
          <w:tab w:leader="none" w:pos="24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trading price of our Class A common stock, upon listing on the NYSE, may have little or no relationship to the historical sales prices of our capital stock in private transactions, and such private transactions have been limited.</w:t>
      </w:r>
    </w:p>
    <w:p>
      <w:pPr>
        <w:spacing w:after="0" w:line="52" w:lineRule="exact"/>
        <w:rPr>
          <w:rFonts w:ascii="Times New Roman" w:cs="Times New Roman" w:eastAsia="Times New Roman" w:hAnsi="Times New Roman"/>
          <w:sz w:val="13"/>
          <w:szCs w:val="13"/>
          <w:color w:val="auto"/>
        </w:rPr>
      </w:pPr>
    </w:p>
    <w:p>
      <w:pPr>
        <w:ind w:left="2480" w:right="779" w:hanging="359"/>
        <w:spacing w:after="0" w:line="277" w:lineRule="auto"/>
        <w:tabs>
          <w:tab w:leader="none" w:pos="24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active, liquid, and orderly market for our Class A common stock may not develop or be sustained. You may be unable to sell your shares of Class A common stock at or above the price at which you purchased them.</w:t>
      </w:r>
    </w:p>
    <w:p>
      <w:pPr>
        <w:spacing w:after="0" w:line="52" w:lineRule="exact"/>
        <w:rPr>
          <w:rFonts w:ascii="Times New Roman" w:cs="Times New Roman" w:eastAsia="Times New Roman" w:hAnsi="Times New Roman"/>
          <w:sz w:val="13"/>
          <w:szCs w:val="13"/>
          <w:color w:val="auto"/>
        </w:rPr>
      </w:pPr>
    </w:p>
    <w:p>
      <w:pPr>
        <w:ind w:left="2480" w:right="779" w:hanging="359"/>
        <w:spacing w:after="0" w:line="254" w:lineRule="auto"/>
        <w:tabs>
          <w:tab w:leader="none" w:pos="24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dual class structure of our common stock has the effect of concentrating voting control with those stockholders who held our capital stock prior to the listing of our Class A common stock on the NYSE, including our founders, directors, executive officers, and their respective affiliates, who held in the aggregate 67.8% of the voting power of our capital stock as of July 31, 2020.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68" w:lineRule="exact"/>
        <w:rPr>
          <w:rFonts w:ascii="Times New Roman" w:cs="Times New Roman" w:eastAsia="Times New Roman" w:hAnsi="Times New Roman"/>
          <w:sz w:val="13"/>
          <w:szCs w:val="13"/>
          <w:color w:val="auto"/>
        </w:rPr>
      </w:pPr>
    </w:p>
    <w:p>
      <w:pPr>
        <w:ind w:left="2480" w:right="699" w:hanging="359"/>
        <w:spacing w:after="0" w:line="263" w:lineRule="auto"/>
        <w:tabs>
          <w:tab w:leader="none" w:pos="24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our stockholders are party to any contractual lock-up agreement or other contractual restrictions on transfer. Following our listing, sales of substantial amounts of our Class A common stock in the public markets, or the perception that sales might occur, could cause the market price of our Class A common stock to decline.</w:t>
      </w:r>
    </w:p>
    <w:p>
      <w:pPr>
        <w:spacing w:after="0" w:line="129" w:lineRule="exact"/>
        <w:rPr>
          <w:sz w:val="20"/>
          <w:szCs w:val="20"/>
          <w:color w:val="auto"/>
        </w:rPr>
      </w:pPr>
    </w:p>
    <w:p>
      <w:pPr>
        <w:ind w:left="1820" w:right="899" w:firstLine="306"/>
        <w:spacing w:after="0" w:line="277" w:lineRule="auto"/>
        <w:rPr>
          <w:sz w:val="20"/>
          <w:szCs w:val="20"/>
          <w:color w:val="auto"/>
        </w:rPr>
      </w:pPr>
      <w:r>
        <w:rPr>
          <w:rFonts w:ascii="Times New Roman" w:cs="Times New Roman" w:eastAsia="Times New Roman" w:hAnsi="Times New Roman"/>
          <w:sz w:val="13"/>
          <w:szCs w:val="13"/>
          <w:color w:val="auto"/>
        </w:rPr>
        <w:t>If we are unable to adequately address these and other risks we face, our business, results of operations, financial condition, and prospects may be adversely affected.</w:t>
      </w:r>
    </w:p>
    <w:p>
      <w:pPr>
        <w:spacing w:after="0" w:line="19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3"/>
          <w:szCs w:val="13"/>
          <w:b w:val="1"/>
          <w:bCs w:val="1"/>
          <w:color w:val="auto"/>
        </w:rPr>
        <w:t>Corporate Information</w:t>
      </w:r>
    </w:p>
    <w:p>
      <w:pPr>
        <w:spacing w:after="0" w:line="85" w:lineRule="exact"/>
        <w:rPr>
          <w:sz w:val="20"/>
          <w:szCs w:val="20"/>
          <w:color w:val="auto"/>
        </w:rPr>
      </w:pPr>
    </w:p>
    <w:p>
      <w:pPr>
        <w:ind w:left="1820" w:right="719" w:firstLine="306"/>
        <w:spacing w:after="0" w:line="280" w:lineRule="auto"/>
        <w:rPr>
          <w:sz w:val="20"/>
          <w:szCs w:val="20"/>
          <w:color w:val="auto"/>
        </w:rPr>
      </w:pPr>
      <w:r>
        <w:rPr>
          <w:rFonts w:ascii="Times New Roman" w:cs="Times New Roman" w:eastAsia="Times New Roman" w:hAnsi="Times New Roman"/>
          <w:sz w:val="12"/>
          <w:szCs w:val="12"/>
          <w:color w:val="auto"/>
        </w:rPr>
        <w:t>We were incorporated in December 2008 as Smiley Abstractions, Inc., a Delaware corporation. In July 2009, we changed our name to Asana, Inc. Our principal executive offices are located at 1550 Bryant Street, Suite 200, San Francisco, CA 94103, and our telephone number is (415)</w:t>
      </w:r>
    </w:p>
    <w:p>
      <w:pPr>
        <w:ind w:left="1820" w:right="859"/>
        <w:spacing w:after="0" w:line="253" w:lineRule="auto"/>
        <w:rPr>
          <w:sz w:val="20"/>
          <w:szCs w:val="20"/>
          <w:color w:val="auto"/>
        </w:rPr>
      </w:pPr>
      <w:r>
        <w:rPr>
          <w:rFonts w:ascii="Times New Roman" w:cs="Times New Roman" w:eastAsia="Times New Roman" w:hAnsi="Times New Roman"/>
          <w:sz w:val="13"/>
          <w:szCs w:val="13"/>
          <w:color w:val="auto"/>
        </w:rPr>
        <w:t>525-3888. Our website address is www.asana.com. The information on, or that can be accessed through, our website is not incorporated by reference into this prospectus and should not be considered part of this prospectus. Investors should not rely on any such information in deciding whether to purchase our Class A common stock.</w:t>
      </w:r>
    </w:p>
    <w:p>
      <w:pPr>
        <w:spacing w:after="0" w:line="200" w:lineRule="exact"/>
        <w:rPr>
          <w:sz w:val="20"/>
          <w:szCs w:val="20"/>
          <w:color w:val="auto"/>
        </w:rPr>
      </w:pPr>
    </w:p>
    <w:p>
      <w:pPr>
        <w:spacing w:after="0" w:line="24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10159"/>
          </w:cols>
          <w:pgMar w:left="300" w:top="367" w:right="1440" w:bottom="1440" w:gutter="0" w:footer="0" w:header="0"/>
        </w:sectPr>
      </w:pPr>
    </w:p>
    <w:bookmarkStart w:id="15" w:name="page16"/>
    <w:bookmarkEnd w:id="1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144780</wp:posOffset>
            </wp:positionV>
            <wp:extent cx="5029200" cy="45243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029200" cy="4524375"/>
                    </a:xfrm>
                    <a:prstGeom prst="rect">
                      <a:avLst/>
                    </a:prstGeom>
                    <a:noFill/>
                  </pic:spPr>
                </pic:pic>
              </a:graphicData>
            </a:graphic>
          </wp:anchor>
        </w:drawing>
      </w:r>
    </w:p>
    <w:p>
      <w:pPr>
        <w:spacing w:after="0" w:line="336" w:lineRule="exact"/>
        <w:rPr>
          <w:sz w:val="20"/>
          <w:szCs w:val="20"/>
          <w:color w:val="auto"/>
        </w:rPr>
      </w:pPr>
    </w:p>
    <w:p>
      <w:pPr>
        <w:ind w:left="1820" w:right="739" w:firstLine="306"/>
        <w:spacing w:after="0" w:line="256" w:lineRule="auto"/>
        <w:rPr>
          <w:sz w:val="20"/>
          <w:szCs w:val="20"/>
          <w:color w:val="auto"/>
        </w:rPr>
      </w:pPr>
      <w:r>
        <w:rPr>
          <w:rFonts w:ascii="Times New Roman" w:cs="Times New Roman" w:eastAsia="Times New Roman" w:hAnsi="Times New Roman"/>
          <w:sz w:val="13"/>
          <w:szCs w:val="13"/>
          <w:color w:val="auto"/>
        </w:rPr>
        <w:t xml:space="preserve">The Asana design logo, “Asana,” and our other registered or common law trademarks, service marks, or trade names appearing in this prospectus are the property of Asana, Inc. Solely for convenience, our trademarks, tradenames, and service marks referred to in this prospectus appear without the </w:t>
      </w:r>
      <w:r>
        <w:rPr>
          <w:rFonts w:ascii="Times New Roman" w:cs="Times New Roman" w:eastAsia="Times New Roman" w:hAnsi="Times New Roman"/>
          <w:sz w:val="10"/>
          <w:szCs w:val="10"/>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0"/>
          <w:szCs w:val="10"/>
          <w:color w:val="auto"/>
        </w:rPr>
        <w:t>™</w:t>
      </w:r>
      <w:r>
        <w:rPr>
          <w:rFonts w:ascii="Times New Roman" w:cs="Times New Roman" w:eastAsia="Times New Roman" w:hAnsi="Times New Roman"/>
          <w:sz w:val="13"/>
          <w:szCs w:val="13"/>
          <w:color w:val="auto"/>
        </w:rPr>
        <w:t>, and SM symbols, but those references are not intended to indicate, in any way, that we will not assert, to the fullest extent under applicable law, our rights to these trademarks, tradenames, and service marks. This prospectus contains additional trademarks, tradenames, and service marks of other companies that are the property of their respective owners.</w:t>
      </w:r>
    </w:p>
    <w:p>
      <w:pPr>
        <w:spacing w:after="0" w:line="20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3"/>
          <w:szCs w:val="13"/>
          <w:b w:val="1"/>
          <w:bCs w:val="1"/>
          <w:color w:val="auto"/>
        </w:rPr>
        <w:t>Channels for Disclosure of Information</w:t>
      </w:r>
    </w:p>
    <w:p>
      <w:pPr>
        <w:spacing w:after="0" w:line="85" w:lineRule="exact"/>
        <w:rPr>
          <w:sz w:val="20"/>
          <w:szCs w:val="20"/>
          <w:color w:val="auto"/>
        </w:rPr>
      </w:pPr>
    </w:p>
    <w:p>
      <w:pPr>
        <w:ind w:left="1820" w:right="799" w:firstLine="306"/>
        <w:spacing w:after="0" w:line="258" w:lineRule="auto"/>
        <w:rPr>
          <w:sz w:val="20"/>
          <w:szCs w:val="20"/>
          <w:color w:val="auto"/>
        </w:rPr>
      </w:pPr>
      <w:r>
        <w:rPr>
          <w:rFonts w:ascii="Times New Roman" w:cs="Times New Roman" w:eastAsia="Times New Roman" w:hAnsi="Times New Roman"/>
          <w:sz w:val="13"/>
          <w:szCs w:val="13"/>
          <w:color w:val="auto"/>
        </w:rPr>
        <w:t>Investors, the media, and others should note that, following the effectiveness of the registration statement of which this prospectus forms a part, we intend to announce material information to the public through filings with the SEC, the investor relations page on our website, blog posts on our website, press releases, public conference calls, webcasts, our twitter feed (@asana), our Facebook page, our Instagram account (@asana), and our LinkedIn page.</w:t>
      </w:r>
    </w:p>
    <w:p>
      <w:pPr>
        <w:spacing w:after="0" w:line="133" w:lineRule="exact"/>
        <w:rPr>
          <w:sz w:val="20"/>
          <w:szCs w:val="20"/>
          <w:color w:val="auto"/>
        </w:rPr>
      </w:pPr>
    </w:p>
    <w:p>
      <w:pPr>
        <w:ind w:left="1820" w:right="1039" w:firstLine="306"/>
        <w:spacing w:after="0" w:line="277" w:lineRule="auto"/>
        <w:rPr>
          <w:sz w:val="20"/>
          <w:szCs w:val="20"/>
          <w:color w:val="auto"/>
        </w:rPr>
      </w:pPr>
      <w:r>
        <w:rPr>
          <w:rFonts w:ascii="Times New Roman" w:cs="Times New Roman" w:eastAsia="Times New Roman" w:hAnsi="Times New Roman"/>
          <w:sz w:val="13"/>
          <w:szCs w:val="13"/>
          <w:color w:val="auto"/>
        </w:rPr>
        <w:t>The information disclosed by the foregoing channels could be deemed to be material information. As such, we encourage investors, the media, and others to follow the channels listed above and to review the information disclosed through such channels.</w:t>
      </w:r>
    </w:p>
    <w:p>
      <w:pPr>
        <w:spacing w:after="0" w:line="120" w:lineRule="exact"/>
        <w:rPr>
          <w:sz w:val="20"/>
          <w:szCs w:val="20"/>
          <w:color w:val="auto"/>
        </w:rPr>
      </w:pPr>
    </w:p>
    <w:p>
      <w:pPr>
        <w:ind w:left="1820" w:right="859" w:firstLine="306"/>
        <w:spacing w:after="0" w:line="277" w:lineRule="auto"/>
        <w:rPr>
          <w:sz w:val="20"/>
          <w:szCs w:val="20"/>
          <w:color w:val="auto"/>
        </w:rPr>
      </w:pPr>
      <w:r>
        <w:rPr>
          <w:rFonts w:ascii="Times New Roman" w:cs="Times New Roman" w:eastAsia="Times New Roman" w:hAnsi="Times New Roman"/>
          <w:sz w:val="13"/>
          <w:szCs w:val="13"/>
          <w:color w:val="auto"/>
        </w:rPr>
        <w:t>Any updates to the list of disclosure channels through which we will announce information will be posted on the investor relations page on our website.</w:t>
      </w:r>
    </w:p>
    <w:p>
      <w:pPr>
        <w:spacing w:after="0" w:line="19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3"/>
          <w:szCs w:val="13"/>
          <w:b w:val="1"/>
          <w:bCs w:val="1"/>
          <w:color w:val="auto"/>
        </w:rPr>
        <w:t>Implications of Being an Emerging Growth Company</w:t>
      </w:r>
    </w:p>
    <w:p>
      <w:pPr>
        <w:spacing w:after="0" w:line="85" w:lineRule="exact"/>
        <w:rPr>
          <w:sz w:val="20"/>
          <w:szCs w:val="20"/>
          <w:color w:val="auto"/>
        </w:rPr>
      </w:pPr>
    </w:p>
    <w:p>
      <w:pPr>
        <w:ind w:left="1820" w:right="739" w:firstLine="306"/>
        <w:spacing w:after="0" w:line="263" w:lineRule="auto"/>
        <w:rPr>
          <w:sz w:val="20"/>
          <w:szCs w:val="20"/>
          <w:color w:val="auto"/>
        </w:rPr>
      </w:pPr>
      <w:r>
        <w:rPr>
          <w:rFonts w:ascii="Times New Roman" w:cs="Times New Roman" w:eastAsia="Times New Roman" w:hAnsi="Times New Roman"/>
          <w:sz w:val="13"/>
          <w:szCs w:val="13"/>
          <w:color w:val="auto"/>
        </w:rPr>
        <w:t>As a company with less than $1.07 billion in revenues during our last completed fiscal year, we qualify as an “emerging growth company” as defined in the Jumpstart Our Business Startups Act of 2012, or the JOBS Act. An emerging growth company may take advantage of specified reduced reporting requirements that are otherwise applicable generally to public companies. These reduced reporting requirements include:</w:t>
      </w:r>
    </w:p>
    <w:p>
      <w:pPr>
        <w:spacing w:after="0" w:line="61" w:lineRule="exact"/>
        <w:rPr>
          <w:sz w:val="20"/>
          <w:szCs w:val="20"/>
          <w:color w:val="auto"/>
        </w:rPr>
      </w:pPr>
    </w:p>
    <w:p>
      <w:pPr>
        <w:ind w:left="2480" w:right="1019" w:hanging="359"/>
        <w:spacing w:after="0" w:line="277" w:lineRule="auto"/>
        <w:tabs>
          <w:tab w:leader="none" w:pos="24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exemption from compliance with the auditor attestation requirement on the effectiveness of our internal control over financial reporting;</w:t>
      </w:r>
    </w:p>
    <w:p>
      <w:pPr>
        <w:spacing w:after="0" w:line="52" w:lineRule="exact"/>
        <w:rPr>
          <w:rFonts w:ascii="Times New Roman" w:cs="Times New Roman" w:eastAsia="Times New Roman" w:hAnsi="Times New Roman"/>
          <w:sz w:val="13"/>
          <w:szCs w:val="13"/>
          <w:color w:val="auto"/>
        </w:rPr>
      </w:pPr>
    </w:p>
    <w:p>
      <w:pPr>
        <w:ind w:left="2480" w:right="839" w:hanging="359"/>
        <w:spacing w:after="0" w:line="320" w:lineRule="auto"/>
        <w:tabs>
          <w:tab w:leader="none" w:pos="24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exemption from compliance with any requirement that the Public Company Accounting Oversight Board, or the PCAOB, has adopted regarding a supplement to the auditor’s report providing additional information about the audit and the financial statements;</w:t>
      </w:r>
    </w:p>
    <w:p>
      <w:pPr>
        <w:spacing w:after="0" w:line="29" w:lineRule="exact"/>
        <w:rPr>
          <w:rFonts w:ascii="Times New Roman" w:cs="Times New Roman" w:eastAsia="Times New Roman" w:hAnsi="Times New Roman"/>
          <w:sz w:val="12"/>
          <w:szCs w:val="12"/>
          <w:color w:val="auto"/>
        </w:rPr>
      </w:pPr>
    </w:p>
    <w:p>
      <w:pPr>
        <w:ind w:left="2480" w:hanging="359"/>
        <w:spacing w:after="0"/>
        <w:tabs>
          <w:tab w:leader="none" w:pos="24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reduced disclosure about our executive compensation arrangements;</w:t>
      </w:r>
    </w:p>
    <w:p>
      <w:pPr>
        <w:spacing w:after="0" w:line="92" w:lineRule="exact"/>
        <w:rPr>
          <w:rFonts w:ascii="Times New Roman" w:cs="Times New Roman" w:eastAsia="Times New Roman" w:hAnsi="Times New Roman"/>
          <w:sz w:val="13"/>
          <w:szCs w:val="13"/>
          <w:color w:val="auto"/>
        </w:rPr>
      </w:pPr>
    </w:p>
    <w:p>
      <w:pPr>
        <w:ind w:left="2480" w:right="899" w:hanging="359"/>
        <w:spacing w:after="0" w:line="277" w:lineRule="auto"/>
        <w:tabs>
          <w:tab w:leader="none" w:pos="24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exemption from the requirements to obtain a non-binding advisory vote on executive compensation or a stockholder approval of any golden parachute arrangements; and</w:t>
      </w:r>
    </w:p>
    <w:p>
      <w:pPr>
        <w:spacing w:after="0" w:line="52" w:lineRule="exact"/>
        <w:rPr>
          <w:rFonts w:ascii="Times New Roman" w:cs="Times New Roman" w:eastAsia="Times New Roman" w:hAnsi="Times New Roman"/>
          <w:sz w:val="13"/>
          <w:szCs w:val="13"/>
          <w:color w:val="auto"/>
        </w:rPr>
      </w:pPr>
    </w:p>
    <w:p>
      <w:pPr>
        <w:ind w:left="2480" w:hanging="359"/>
        <w:spacing w:after="0"/>
        <w:tabs>
          <w:tab w:leader="none" w:pos="24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extended transition periods for complying with new or revised accounting standards.</w:t>
      </w:r>
    </w:p>
    <w:p>
      <w:pPr>
        <w:spacing w:after="0" w:line="161" w:lineRule="exact"/>
        <w:rPr>
          <w:sz w:val="20"/>
          <w:szCs w:val="20"/>
          <w:color w:val="auto"/>
        </w:rPr>
      </w:pPr>
    </w:p>
    <w:p>
      <w:pPr>
        <w:ind w:left="1820" w:right="739" w:firstLine="306"/>
        <w:spacing w:after="0" w:line="253" w:lineRule="auto"/>
        <w:rPr>
          <w:sz w:val="20"/>
          <w:szCs w:val="20"/>
          <w:color w:val="auto"/>
        </w:rPr>
      </w:pPr>
      <w:r>
        <w:rPr>
          <w:rFonts w:ascii="Times New Roman" w:cs="Times New Roman" w:eastAsia="Times New Roman" w:hAnsi="Times New Roman"/>
          <w:sz w:val="13"/>
          <w:szCs w:val="13"/>
          <w:color w:val="auto"/>
        </w:rPr>
        <w:t>We will remain an emerging growth company until the earliest to occur of: (i) the end of the first fiscal year in which our annual gross revenues are $1.07 billion or more; (ii) the end of the first fiscal year in which we are deemed to be a “large accelerated filer,” as defined in the Securities Exchange Act of 1934, as amended, or the Exchange Act; (iii) the date on which we have, during the previous three-year period, issued more than $1.0 billion in non-convertible debt securities; and (iv) the end of the fiscal year during which the fifth anniversary of this listing occurs. We may choose to take advantage of some, but not all, of the available benefits under the JOBS Act. We are electing to use the extended transition periods available under the JOBS Act for complying with new or revised accounting standards, and we currently intend to take advantage of the other exemptions discussed above. Accordingly, the information contained herein may be different from the information you receive from other public companies in which you hold stock.</w:t>
      </w:r>
    </w:p>
    <w:p>
      <w:pPr>
        <w:spacing w:after="0" w:line="200" w:lineRule="exact"/>
        <w:rPr>
          <w:sz w:val="20"/>
          <w:szCs w:val="20"/>
          <w:color w:val="auto"/>
        </w:rPr>
      </w:pPr>
    </w:p>
    <w:p>
      <w:pPr>
        <w:spacing w:after="0" w:line="24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10159"/>
          </w:cols>
          <w:pgMar w:left="300" w:top="367" w:right="1440" w:bottom="1440" w:gutter="0" w:footer="0" w:header="0"/>
        </w:sectPr>
      </w:pPr>
    </w:p>
    <w:bookmarkStart w:id="16" w:name="page17"/>
    <w:bookmarkEnd w:id="1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144780</wp:posOffset>
            </wp:positionV>
            <wp:extent cx="5029200" cy="44443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029200" cy="4444365"/>
                    </a:xfrm>
                    <a:prstGeom prst="rect">
                      <a:avLst/>
                    </a:prstGeom>
                    <a:noFill/>
                  </pic:spPr>
                </pic:pic>
              </a:graphicData>
            </a:graphic>
          </wp:anchor>
        </w:drawing>
      </w:r>
    </w:p>
    <w:p>
      <w:pPr>
        <w:spacing w:after="0" w:line="33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SUMMARY CONSOLIDATED FINANCIAL DATA</w:t>
      </w:r>
    </w:p>
    <w:p>
      <w:pPr>
        <w:spacing w:after="0" w:line="161" w:lineRule="exact"/>
        <w:rPr>
          <w:sz w:val="20"/>
          <w:szCs w:val="20"/>
          <w:color w:val="auto"/>
        </w:rPr>
      </w:pPr>
    </w:p>
    <w:p>
      <w:pPr>
        <w:ind w:left="1820" w:right="699" w:firstLine="306"/>
        <w:spacing w:after="0" w:line="252" w:lineRule="auto"/>
        <w:rPr>
          <w:sz w:val="20"/>
          <w:szCs w:val="20"/>
          <w:color w:val="auto"/>
        </w:rPr>
      </w:pPr>
      <w:r>
        <w:rPr>
          <w:rFonts w:ascii="Times New Roman" w:cs="Times New Roman" w:eastAsia="Times New Roman" w:hAnsi="Times New Roman"/>
          <w:sz w:val="13"/>
          <w:szCs w:val="13"/>
          <w:i w:val="1"/>
          <w:iCs w:val="1"/>
          <w:color w:val="auto"/>
        </w:rPr>
        <w:t>The following tables summarize our consolidated financial data. The summary consolidated statements of operations data for the years ended January 31, 2019 and 2020 (except the pro forma share and net loss per share information) and consolidated balance sheet data as of January 31, 2020 have been derived from our audited consolidated financial statements included elsewhere in this prospectus. The consolidated statements of operations data for the six months ended July 31, 2019 and 2020 and the consolidated balance sheet data as of July 31, 2020 are derived from our unaudited interim consolidated financial statements included elsewhere in this prospectus. Our unaudited interim consolidated financial statements were prepared on a basis consistent with our audited consolidated financial statements and include, in our opinion, all adjustments, consisting only of normal recurring adjustments that we consider necessary for the fair statement of the financial information set forth in those statements included elsewhere in this prospectus. Our historical results are not necessarily indicative of the results that may be expected in the future. You should read the following summary consolidated financial data below in conjunction with the section titled “Management’s Discussion and Analysis of Financial Condition and Results of Operations” and our consolidated financial statements included elsewhere in this prospectus.</w:t>
      </w:r>
    </w:p>
    <w:p>
      <w:pPr>
        <w:spacing w:after="0" w:line="144"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14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gridSpan w:val="6"/>
          </w:tcPr>
          <w:p>
            <w:pPr>
              <w:jc w:val="right"/>
              <w:ind w:right="662"/>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60" w:type="dxa"/>
            <w:vAlign w:val="bottom"/>
          </w:tcPr>
          <w:p>
            <w:pPr>
              <w:spacing w:after="0"/>
              <w:rPr>
                <w:sz w:val="10"/>
                <w:szCs w:val="10"/>
                <w:color w:val="auto"/>
              </w:rPr>
            </w:pPr>
          </w:p>
        </w:tc>
        <w:tc>
          <w:tcPr>
            <w:tcW w:w="1420" w:type="dxa"/>
            <w:vAlign w:val="bottom"/>
            <w:gridSpan w:val="6"/>
          </w:tcPr>
          <w:p>
            <w:pPr>
              <w:ind w:left="160"/>
              <w:spacing w:after="0"/>
              <w:rPr>
                <w:sz w:val="20"/>
                <w:szCs w:val="20"/>
                <w:color w:val="auto"/>
              </w:rPr>
            </w:pPr>
            <w:r>
              <w:rPr>
                <w:rFonts w:ascii="Times New Roman" w:cs="Times New Roman" w:eastAsia="Times New Roman" w:hAnsi="Times New Roman"/>
                <w:sz w:val="10"/>
                <w:szCs w:val="10"/>
                <w:b w:val="1"/>
                <w:bCs w:val="1"/>
                <w:color w:val="auto"/>
              </w:rPr>
              <w:t>Six Months Ended</w:t>
            </w:r>
          </w:p>
        </w:tc>
      </w:tr>
      <w:tr>
        <w:trPr>
          <w:trHeight w:val="123"/>
        </w:trPr>
        <w:tc>
          <w:tcPr>
            <w:tcW w:w="14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gridSpan w:val="6"/>
          </w:tcPr>
          <w:p>
            <w:pPr>
              <w:jc w:val="right"/>
              <w:ind w:right="662"/>
              <w:spacing w:after="0"/>
              <w:rPr>
                <w:sz w:val="20"/>
                <w:szCs w:val="20"/>
                <w:color w:val="auto"/>
              </w:rPr>
            </w:pPr>
            <w:r>
              <w:rPr>
                <w:rFonts w:ascii="Times New Roman" w:cs="Times New Roman" w:eastAsia="Times New Roman" w:hAnsi="Times New Roman"/>
                <w:sz w:val="10"/>
                <w:szCs w:val="10"/>
                <w:b w:val="1"/>
                <w:bCs w:val="1"/>
                <w:color w:val="auto"/>
              </w:rPr>
              <w:t>January 31,</w:t>
            </w:r>
          </w:p>
        </w:tc>
        <w:tc>
          <w:tcPr>
            <w:tcW w:w="60" w:type="dxa"/>
            <w:vAlign w:val="bottom"/>
          </w:tcPr>
          <w:p>
            <w:pPr>
              <w:spacing w:after="0"/>
              <w:rPr>
                <w:sz w:val="10"/>
                <w:szCs w:val="10"/>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July 31,</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96"/>
        </w:trPr>
        <w:tc>
          <w:tcPr>
            <w:tcW w:w="140" w:type="dxa"/>
            <w:vAlign w:val="bottom"/>
          </w:tcPr>
          <w:p>
            <w:pPr>
              <w:spacing w:after="0"/>
              <w:rPr>
                <w:sz w:val="8"/>
                <w:szCs w:val="8"/>
                <w:color w:val="auto"/>
              </w:rPr>
            </w:pPr>
          </w:p>
        </w:tc>
        <w:tc>
          <w:tcPr>
            <w:tcW w:w="468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77"/>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60" w:type="dxa"/>
            <w:vAlign w:val="bottom"/>
            <w:tcBorders>
              <w:top w:val="single" w:sz="8" w:color="auto"/>
              <w:bottom w:val="single" w:sz="8" w:color="auto"/>
            </w:tcBorders>
          </w:tcPr>
          <w:p>
            <w:pPr>
              <w:spacing w:after="0"/>
              <w:rPr>
                <w:sz w:val="8"/>
                <w:szCs w:val="8"/>
                <w:color w:val="auto"/>
              </w:rPr>
            </w:pPr>
          </w:p>
        </w:tc>
        <w:tc>
          <w:tcPr>
            <w:tcW w:w="24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96"/>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300" w:type="dxa"/>
            <w:vAlign w:val="bottom"/>
            <w:tcBorders>
              <w:bottom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57"/>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30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76"/>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96"/>
        </w:trPr>
        <w:tc>
          <w:tcPr>
            <w:tcW w:w="140" w:type="dxa"/>
            <w:vAlign w:val="bottom"/>
          </w:tcPr>
          <w:p>
            <w:pPr>
              <w:spacing w:after="0"/>
              <w:rPr>
                <w:sz w:val="8"/>
                <w:szCs w:val="8"/>
                <w:color w:val="auto"/>
              </w:rPr>
            </w:pPr>
          </w:p>
        </w:tc>
        <w:tc>
          <w:tcPr>
            <w:tcW w:w="46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40" w:type="dxa"/>
            <w:vAlign w:val="bottom"/>
            <w:gridSpan w:val="7"/>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(in thousands, except per share amounts)</w:t>
            </w: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155"/>
        </w:trPr>
        <w:tc>
          <w:tcPr>
            <w:tcW w:w="14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 Data:</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Pr>
          <w:p>
            <w:pPr>
              <w:spacing w:after="0"/>
              <w:rPr>
                <w:sz w:val="13"/>
                <w:szCs w:val="13"/>
                <w:color w:val="auto"/>
              </w:rPr>
            </w:pPr>
          </w:p>
        </w:tc>
      </w:tr>
      <w:tr>
        <w:trPr>
          <w:trHeight w:val="155"/>
        </w:trPr>
        <w:tc>
          <w:tcPr>
            <w:tcW w:w="14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3"/>
                <w:szCs w:val="13"/>
                <w:color w:val="auto"/>
              </w:rPr>
              <w:t>Revenues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ind w:right="22"/>
              <w:spacing w:after="0"/>
              <w:rPr>
                <w:sz w:val="20"/>
                <w:szCs w:val="20"/>
                <w:color w:val="auto"/>
              </w:rPr>
            </w:pPr>
            <w:r>
              <w:rPr>
                <w:rFonts w:ascii="Times New Roman" w:cs="Times New Roman" w:eastAsia="Times New Roman" w:hAnsi="Times New Roman"/>
                <w:sz w:val="13"/>
                <w:szCs w:val="13"/>
                <w:color w:val="auto"/>
              </w:rPr>
              <w:t>76,770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262"/>
              <w:spacing w:after="0"/>
              <w:rPr>
                <w:sz w:val="20"/>
                <w:szCs w:val="20"/>
                <w:color w:val="auto"/>
              </w:rPr>
            </w:pPr>
            <w:r>
              <w:rPr>
                <w:rFonts w:ascii="Times New Roman" w:cs="Times New Roman" w:eastAsia="Times New Roman" w:hAnsi="Times New Roman"/>
                <w:sz w:val="13"/>
                <w:szCs w:val="13"/>
                <w:color w:val="auto"/>
              </w:rPr>
              <w:t>142,606</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215"/>
              <w:spacing w:after="0"/>
              <w:rPr>
                <w:sz w:val="20"/>
                <w:szCs w:val="20"/>
                <w:color w:val="auto"/>
              </w:rPr>
            </w:pPr>
            <w:r>
              <w:rPr>
                <w:rFonts w:ascii="Times New Roman" w:cs="Times New Roman" w:eastAsia="Times New Roman" w:hAnsi="Times New Roman"/>
                <w:sz w:val="13"/>
                <w:szCs w:val="13"/>
                <w:color w:val="auto"/>
              </w:rPr>
              <w:t>61,057</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color w:val="auto"/>
              </w:rPr>
              <w:t>99,730</w:t>
            </w:r>
          </w:p>
        </w:tc>
        <w:tc>
          <w:tcPr>
            <w:tcW w:w="140" w:type="dxa"/>
            <w:vAlign w:val="bottom"/>
          </w:tcPr>
          <w:p>
            <w:pPr>
              <w:spacing w:after="0"/>
              <w:rPr>
                <w:sz w:val="13"/>
                <w:szCs w:val="13"/>
                <w:color w:val="auto"/>
              </w:rPr>
            </w:pPr>
          </w:p>
        </w:tc>
      </w:tr>
      <w:tr>
        <w:trPr>
          <w:trHeight w:val="155"/>
        </w:trPr>
        <w:tc>
          <w:tcPr>
            <w:tcW w:w="14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revenues</w:t>
            </w:r>
            <w:r>
              <w:rPr>
                <w:rFonts w:ascii="Times New Roman" w:cs="Times New Roman" w:eastAsia="Times New Roman" w:hAnsi="Times New Roman"/>
                <w:sz w:val="10"/>
                <w:szCs w:val="10"/>
                <w:color w:val="auto"/>
              </w:rPr>
              <w:t>(1)</w:t>
            </w: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3"/>
                <w:szCs w:val="13"/>
                <w:color w:val="auto"/>
              </w:rPr>
              <w:t>13,832</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3"/>
                <w:szCs w:val="13"/>
                <w:color w:val="auto"/>
              </w:rPr>
              <w:t>19,881</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3"/>
                <w:szCs w:val="13"/>
                <w:color w:val="auto"/>
              </w:rPr>
              <w:t>8,751</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rPr>
              <w:t>13,227</w:t>
            </w:r>
          </w:p>
        </w:tc>
        <w:tc>
          <w:tcPr>
            <w:tcW w:w="140" w:type="dxa"/>
            <w:vAlign w:val="bottom"/>
          </w:tcPr>
          <w:p>
            <w:pPr>
              <w:spacing w:after="0"/>
              <w:rPr>
                <w:sz w:val="13"/>
                <w:szCs w:val="13"/>
                <w:color w:val="auto"/>
              </w:rPr>
            </w:pPr>
          </w:p>
        </w:tc>
      </w:tr>
      <w:tr>
        <w:trPr>
          <w:trHeight w:val="154"/>
        </w:trPr>
        <w:tc>
          <w:tcPr>
            <w:tcW w:w="14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6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62,938</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122,725</w:t>
            </w:r>
          </w:p>
        </w:tc>
        <w:tc>
          <w:tcPr>
            <w:tcW w:w="3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52,306</w:t>
            </w: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86,503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4"/>
        </w:trPr>
        <w:tc>
          <w:tcPr>
            <w:tcW w:w="14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Pr>
          <w:p>
            <w:pPr>
              <w:spacing w:after="0"/>
              <w:rPr>
                <w:sz w:val="13"/>
                <w:szCs w:val="13"/>
                <w:color w:val="auto"/>
              </w:rPr>
            </w:pPr>
          </w:p>
        </w:tc>
      </w:tr>
      <w:tr>
        <w:trPr>
          <w:trHeight w:val="155"/>
        </w:trPr>
        <w:tc>
          <w:tcPr>
            <w:tcW w:w="140" w:type="dxa"/>
            <w:vAlign w:val="bottom"/>
          </w:tcPr>
          <w:p>
            <w:pPr>
              <w:spacing w:after="0"/>
              <w:rPr>
                <w:sz w:val="13"/>
                <w:szCs w:val="13"/>
                <w:color w:val="auto"/>
              </w:rPr>
            </w:pPr>
          </w:p>
        </w:tc>
        <w:tc>
          <w:tcPr>
            <w:tcW w:w="46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Research and development</w:t>
            </w:r>
            <w:r>
              <w:rPr>
                <w:rFonts w:ascii="Times New Roman" w:cs="Times New Roman" w:eastAsia="Times New Roman" w:hAnsi="Times New Roman"/>
                <w:sz w:val="10"/>
                <w:szCs w:val="10"/>
                <w:color w:val="auto"/>
              </w:rPr>
              <w:t>(1)</w:t>
            </w:r>
          </w:p>
        </w:tc>
        <w:tc>
          <w:tcPr>
            <w:tcW w:w="60" w:type="dxa"/>
            <w:vAlign w:val="bottom"/>
          </w:tcPr>
          <w:p>
            <w:pPr>
              <w:spacing w:after="0"/>
              <w:rPr>
                <w:sz w:val="13"/>
                <w:szCs w:val="13"/>
                <w:color w:val="auto"/>
              </w:rPr>
            </w:pPr>
          </w:p>
        </w:tc>
        <w:tc>
          <w:tcPr>
            <w:tcW w:w="480" w:type="dxa"/>
            <w:vAlign w:val="bottom"/>
            <w:gridSpan w:val="2"/>
          </w:tcPr>
          <w:p>
            <w:pPr>
              <w:jc w:val="right"/>
              <w:ind w:right="22"/>
              <w:spacing w:after="0"/>
              <w:rPr>
                <w:sz w:val="20"/>
                <w:szCs w:val="20"/>
                <w:color w:val="auto"/>
              </w:rPr>
            </w:pPr>
            <w:r>
              <w:rPr>
                <w:rFonts w:ascii="Times New Roman" w:cs="Times New Roman" w:eastAsia="Times New Roman" w:hAnsi="Times New Roman"/>
                <w:sz w:val="13"/>
                <w:szCs w:val="13"/>
                <w:color w:val="auto"/>
              </w:rPr>
              <w:t>42,585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62"/>
              <w:spacing w:after="0"/>
              <w:rPr>
                <w:sz w:val="20"/>
                <w:szCs w:val="20"/>
                <w:color w:val="auto"/>
              </w:rPr>
            </w:pPr>
            <w:r>
              <w:rPr>
                <w:rFonts w:ascii="Times New Roman" w:cs="Times New Roman" w:eastAsia="Times New Roman" w:hAnsi="Times New Roman"/>
                <w:sz w:val="13"/>
                <w:szCs w:val="13"/>
                <w:color w:val="auto"/>
              </w:rPr>
              <w:t>89,675</w:t>
            </w:r>
          </w:p>
        </w:tc>
        <w:tc>
          <w:tcPr>
            <w:tcW w:w="60" w:type="dxa"/>
            <w:vAlign w:val="bottom"/>
          </w:tcPr>
          <w:p>
            <w:pPr>
              <w:spacing w:after="0"/>
              <w:rPr>
                <w:sz w:val="13"/>
                <w:szCs w:val="13"/>
                <w:color w:val="auto"/>
              </w:rPr>
            </w:pPr>
          </w:p>
        </w:tc>
        <w:tc>
          <w:tcPr>
            <w:tcW w:w="700" w:type="dxa"/>
            <w:vAlign w:val="bottom"/>
            <w:gridSpan w:val="2"/>
          </w:tcPr>
          <w:p>
            <w:pPr>
              <w:jc w:val="right"/>
              <w:ind w:right="215"/>
              <w:spacing w:after="0"/>
              <w:rPr>
                <w:sz w:val="20"/>
                <w:szCs w:val="20"/>
                <w:color w:val="auto"/>
              </w:rPr>
            </w:pPr>
            <w:r>
              <w:rPr>
                <w:rFonts w:ascii="Times New Roman" w:cs="Times New Roman" w:eastAsia="Times New Roman" w:hAnsi="Times New Roman"/>
                <w:sz w:val="13"/>
                <w:szCs w:val="13"/>
                <w:color w:val="auto"/>
              </w:rPr>
              <w:t>29,876</w:t>
            </w:r>
          </w:p>
        </w:tc>
        <w:tc>
          <w:tcPr>
            <w:tcW w:w="80" w:type="dxa"/>
            <w:vAlign w:val="bottom"/>
          </w:tcPr>
          <w:p>
            <w:pPr>
              <w:spacing w:after="0"/>
              <w:rPr>
                <w:sz w:val="13"/>
                <w:szCs w:val="13"/>
                <w:color w:val="auto"/>
              </w:rPr>
            </w:pPr>
          </w:p>
        </w:tc>
        <w:tc>
          <w:tcPr>
            <w:tcW w:w="50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color w:val="auto"/>
              </w:rPr>
              <w:t>48,342</w:t>
            </w:r>
          </w:p>
        </w:tc>
        <w:tc>
          <w:tcPr>
            <w:tcW w:w="140" w:type="dxa"/>
            <w:vAlign w:val="bottom"/>
          </w:tcPr>
          <w:p>
            <w:pPr>
              <w:spacing w:after="0"/>
              <w:rPr>
                <w:sz w:val="13"/>
                <w:szCs w:val="13"/>
                <w:color w:val="auto"/>
              </w:rPr>
            </w:pPr>
          </w:p>
        </w:tc>
      </w:tr>
      <w:tr>
        <w:trPr>
          <w:trHeight w:val="155"/>
        </w:trPr>
        <w:tc>
          <w:tcPr>
            <w:tcW w:w="140" w:type="dxa"/>
            <w:vAlign w:val="bottom"/>
          </w:tcPr>
          <w:p>
            <w:pPr>
              <w:spacing w:after="0"/>
              <w:rPr>
                <w:sz w:val="13"/>
                <w:szCs w:val="13"/>
                <w:color w:val="auto"/>
              </w:rPr>
            </w:pPr>
          </w:p>
        </w:tc>
        <w:tc>
          <w:tcPr>
            <w:tcW w:w="4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Sales and marketing</w:t>
            </w:r>
            <w:r>
              <w:rPr>
                <w:rFonts w:ascii="Times New Roman" w:cs="Times New Roman" w:eastAsia="Times New Roman" w:hAnsi="Times New Roman"/>
                <w:sz w:val="10"/>
                <w:szCs w:val="10"/>
                <w:color w:val="auto"/>
              </w:rPr>
              <w:t>(1)</w:t>
            </w: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3"/>
                <w:szCs w:val="13"/>
                <w:color w:val="auto"/>
              </w:rPr>
              <w:t>52,106</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3"/>
                <w:szCs w:val="13"/>
                <w:color w:val="auto"/>
              </w:rPr>
              <w:t>105,836</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3"/>
                <w:szCs w:val="13"/>
                <w:color w:val="auto"/>
              </w:rPr>
              <w:t>39,025</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rPr>
              <w:t>74,913</w:t>
            </w:r>
          </w:p>
        </w:tc>
        <w:tc>
          <w:tcPr>
            <w:tcW w:w="140" w:type="dxa"/>
            <w:vAlign w:val="bottom"/>
          </w:tcPr>
          <w:p>
            <w:pPr>
              <w:spacing w:after="0"/>
              <w:rPr>
                <w:sz w:val="13"/>
                <w:szCs w:val="13"/>
                <w:color w:val="auto"/>
              </w:rPr>
            </w:pPr>
          </w:p>
        </w:tc>
      </w:tr>
      <w:tr>
        <w:trPr>
          <w:trHeight w:val="155"/>
        </w:trPr>
        <w:tc>
          <w:tcPr>
            <w:tcW w:w="140" w:type="dxa"/>
            <w:vAlign w:val="bottom"/>
          </w:tcPr>
          <w:p>
            <w:pPr>
              <w:spacing w:after="0"/>
              <w:rPr>
                <w:sz w:val="13"/>
                <w:szCs w:val="13"/>
                <w:color w:val="auto"/>
              </w:rPr>
            </w:pPr>
          </w:p>
        </w:tc>
        <w:tc>
          <w:tcPr>
            <w:tcW w:w="46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General and administrative</w:t>
            </w:r>
            <w:r>
              <w:rPr>
                <w:rFonts w:ascii="Times New Roman" w:cs="Times New Roman" w:eastAsia="Times New Roman" w:hAnsi="Times New Roman"/>
                <w:sz w:val="10"/>
                <w:szCs w:val="10"/>
                <w:color w:val="auto"/>
              </w:rPr>
              <w:t>(1)</w:t>
            </w:r>
          </w:p>
        </w:tc>
        <w:tc>
          <w:tcPr>
            <w:tcW w:w="60" w:type="dxa"/>
            <w:vAlign w:val="bottom"/>
          </w:tcPr>
          <w:p>
            <w:pPr>
              <w:spacing w:after="0"/>
              <w:rPr>
                <w:sz w:val="13"/>
                <w:szCs w:val="13"/>
                <w:color w:val="auto"/>
              </w:rPr>
            </w:pPr>
          </w:p>
        </w:tc>
        <w:tc>
          <w:tcPr>
            <w:tcW w:w="480" w:type="dxa"/>
            <w:vAlign w:val="bottom"/>
            <w:gridSpan w:val="2"/>
          </w:tcPr>
          <w:p>
            <w:pPr>
              <w:jc w:val="right"/>
              <w:ind w:right="22"/>
              <w:spacing w:after="0"/>
              <w:rPr>
                <w:sz w:val="20"/>
                <w:szCs w:val="20"/>
                <w:color w:val="auto"/>
              </w:rPr>
            </w:pPr>
            <w:r>
              <w:rPr>
                <w:rFonts w:ascii="Times New Roman" w:cs="Times New Roman" w:eastAsia="Times New Roman" w:hAnsi="Times New Roman"/>
                <w:sz w:val="13"/>
                <w:szCs w:val="13"/>
                <w:color w:val="auto"/>
              </w:rPr>
              <w:t>20,260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62"/>
              <w:spacing w:after="0"/>
              <w:rPr>
                <w:sz w:val="20"/>
                <w:szCs w:val="20"/>
                <w:color w:val="auto"/>
              </w:rPr>
            </w:pPr>
            <w:r>
              <w:rPr>
                <w:rFonts w:ascii="Times New Roman" w:cs="Times New Roman" w:eastAsia="Times New Roman" w:hAnsi="Times New Roman"/>
                <w:sz w:val="13"/>
                <w:szCs w:val="13"/>
                <w:color w:val="auto"/>
              </w:rPr>
              <w:t>46,845</w:t>
            </w:r>
          </w:p>
        </w:tc>
        <w:tc>
          <w:tcPr>
            <w:tcW w:w="60" w:type="dxa"/>
            <w:vAlign w:val="bottom"/>
          </w:tcPr>
          <w:p>
            <w:pPr>
              <w:spacing w:after="0"/>
              <w:rPr>
                <w:sz w:val="13"/>
                <w:szCs w:val="13"/>
                <w:color w:val="auto"/>
              </w:rPr>
            </w:pPr>
          </w:p>
        </w:tc>
        <w:tc>
          <w:tcPr>
            <w:tcW w:w="700" w:type="dxa"/>
            <w:vAlign w:val="bottom"/>
            <w:gridSpan w:val="2"/>
          </w:tcPr>
          <w:p>
            <w:pPr>
              <w:jc w:val="right"/>
              <w:ind w:right="215"/>
              <w:spacing w:after="0"/>
              <w:rPr>
                <w:sz w:val="20"/>
                <w:szCs w:val="20"/>
                <w:color w:val="auto"/>
              </w:rPr>
            </w:pPr>
            <w:r>
              <w:rPr>
                <w:rFonts w:ascii="Times New Roman" w:cs="Times New Roman" w:eastAsia="Times New Roman" w:hAnsi="Times New Roman"/>
                <w:sz w:val="13"/>
                <w:szCs w:val="13"/>
                <w:color w:val="auto"/>
              </w:rPr>
              <w:t>14,649</w:t>
            </w:r>
          </w:p>
        </w:tc>
        <w:tc>
          <w:tcPr>
            <w:tcW w:w="80" w:type="dxa"/>
            <w:vAlign w:val="bottom"/>
          </w:tcPr>
          <w:p>
            <w:pPr>
              <w:spacing w:after="0"/>
              <w:rPr>
                <w:sz w:val="13"/>
                <w:szCs w:val="13"/>
                <w:color w:val="auto"/>
              </w:rPr>
            </w:pPr>
          </w:p>
        </w:tc>
        <w:tc>
          <w:tcPr>
            <w:tcW w:w="50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color w:val="auto"/>
              </w:rPr>
              <w:t>25,917</w:t>
            </w:r>
          </w:p>
        </w:tc>
        <w:tc>
          <w:tcPr>
            <w:tcW w:w="140" w:type="dxa"/>
            <w:vAlign w:val="bottom"/>
          </w:tcPr>
          <w:p>
            <w:pPr>
              <w:spacing w:after="0"/>
              <w:rPr>
                <w:sz w:val="13"/>
                <w:szCs w:val="13"/>
                <w:color w:val="auto"/>
              </w:rPr>
            </w:pPr>
          </w:p>
        </w:tc>
      </w:tr>
      <w:tr>
        <w:trPr>
          <w:trHeight w:val="20"/>
        </w:trPr>
        <w:tc>
          <w:tcPr>
            <w:tcW w:w="1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4"/>
        </w:trPr>
        <w:tc>
          <w:tcPr>
            <w:tcW w:w="14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operating expenses</w:t>
            </w: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3"/>
                <w:szCs w:val="13"/>
                <w:color w:val="auto"/>
                <w:w w:val="94"/>
              </w:rPr>
              <w:t>114,951</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3"/>
                <w:szCs w:val="13"/>
                <w:color w:val="auto"/>
              </w:rPr>
              <w:t>242,356</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3"/>
                <w:szCs w:val="13"/>
                <w:color w:val="auto"/>
              </w:rPr>
              <w:t>83,550</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w w:val="94"/>
              </w:rPr>
              <w:t>149,172</w:t>
            </w:r>
          </w:p>
        </w:tc>
        <w:tc>
          <w:tcPr>
            <w:tcW w:w="140" w:type="dxa"/>
            <w:vAlign w:val="bottom"/>
          </w:tcPr>
          <w:p>
            <w:pPr>
              <w:spacing w:after="0"/>
              <w:rPr>
                <w:sz w:val="13"/>
                <w:szCs w:val="13"/>
                <w:color w:val="auto"/>
              </w:rPr>
            </w:pPr>
          </w:p>
        </w:tc>
      </w:tr>
      <w:tr>
        <w:trPr>
          <w:trHeight w:val="154"/>
        </w:trPr>
        <w:tc>
          <w:tcPr>
            <w:tcW w:w="14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3"/>
                <w:szCs w:val="13"/>
                <w:color w:val="auto"/>
              </w:rPr>
              <w:t>Loss from operations</w:t>
            </w:r>
          </w:p>
        </w:tc>
        <w:tc>
          <w:tcPr>
            <w:tcW w:w="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9"/>
              </w:rPr>
              <w:t>(52,013)</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6"/>
              </w:rPr>
              <w:t>(119,631)</w:t>
            </w:r>
          </w:p>
        </w:tc>
        <w:tc>
          <w:tcPr>
            <w:tcW w:w="3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5"/>
              </w:rPr>
              <w:t>(31,244)</w:t>
            </w: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9"/>
              </w:rPr>
              <w:t>(62,669)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5"/>
        </w:trPr>
        <w:tc>
          <w:tcPr>
            <w:tcW w:w="140" w:type="dxa"/>
            <w:vAlign w:val="bottom"/>
          </w:tcPr>
          <w:p>
            <w:pPr>
              <w:spacing w:after="0"/>
              <w:rPr>
                <w:sz w:val="13"/>
                <w:szCs w:val="13"/>
                <w:color w:val="auto"/>
              </w:rPr>
            </w:pPr>
          </w:p>
        </w:tc>
        <w:tc>
          <w:tcPr>
            <w:tcW w:w="4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Interest income</w:t>
            </w: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3"/>
                <w:szCs w:val="13"/>
                <w:color w:val="auto"/>
              </w:rPr>
              <w:t>1,290</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3"/>
                <w:szCs w:val="13"/>
                <w:color w:val="auto"/>
              </w:rPr>
              <w:t>1,755</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3"/>
                <w:szCs w:val="13"/>
                <w:color w:val="auto"/>
              </w:rPr>
              <w:t>1,051</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rPr>
              <w:t>803</w:t>
            </w:r>
          </w:p>
        </w:tc>
        <w:tc>
          <w:tcPr>
            <w:tcW w:w="140" w:type="dxa"/>
            <w:vAlign w:val="bottom"/>
          </w:tcPr>
          <w:p>
            <w:pPr>
              <w:spacing w:after="0"/>
              <w:rPr>
                <w:sz w:val="13"/>
                <w:szCs w:val="13"/>
                <w:color w:val="auto"/>
              </w:rPr>
            </w:pPr>
          </w:p>
        </w:tc>
      </w:tr>
      <w:tr>
        <w:trPr>
          <w:trHeight w:val="155"/>
        </w:trPr>
        <w:tc>
          <w:tcPr>
            <w:tcW w:w="140" w:type="dxa"/>
            <w:vAlign w:val="bottom"/>
          </w:tcPr>
          <w:p>
            <w:pPr>
              <w:spacing w:after="0"/>
              <w:rPr>
                <w:sz w:val="13"/>
                <w:szCs w:val="13"/>
                <w:color w:val="auto"/>
              </w:rPr>
            </w:pPr>
          </w:p>
        </w:tc>
        <w:tc>
          <w:tcPr>
            <w:tcW w:w="46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Interest expense</w:t>
            </w:r>
          </w:p>
        </w:tc>
        <w:tc>
          <w:tcPr>
            <w:tcW w:w="60" w:type="dxa"/>
            <w:vAlign w:val="bottom"/>
          </w:tcPr>
          <w:p>
            <w:pPr>
              <w:spacing w:after="0"/>
              <w:rPr>
                <w:sz w:val="13"/>
                <w:szCs w:val="13"/>
                <w:color w:val="auto"/>
              </w:rPr>
            </w:pPr>
          </w:p>
        </w:tc>
        <w:tc>
          <w:tcPr>
            <w:tcW w:w="480" w:type="dxa"/>
            <w:vAlign w:val="bottom"/>
            <w:gridSpan w:val="2"/>
          </w:tcPr>
          <w:p>
            <w:pPr>
              <w:jc w:val="right"/>
              <w:ind w:right="22"/>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22"/>
              <w:spacing w:after="0"/>
              <w:rPr>
                <w:sz w:val="20"/>
                <w:szCs w:val="20"/>
                <w:color w:val="auto"/>
              </w:rPr>
            </w:pPr>
            <w:r>
              <w:rPr>
                <w:rFonts w:ascii="Times New Roman" w:cs="Times New Roman" w:eastAsia="Times New Roman" w:hAnsi="Times New Roman"/>
                <w:sz w:val="13"/>
                <w:szCs w:val="13"/>
                <w:color w:val="auto"/>
              </w:rPr>
              <w:t>(78)</w:t>
            </w:r>
          </w:p>
        </w:tc>
        <w:tc>
          <w:tcPr>
            <w:tcW w:w="60" w:type="dxa"/>
            <w:vAlign w:val="bottom"/>
          </w:tcPr>
          <w:p>
            <w:pPr>
              <w:spacing w:after="0"/>
              <w:rPr>
                <w:sz w:val="13"/>
                <w:szCs w:val="13"/>
                <w:color w:val="auto"/>
              </w:rPr>
            </w:pPr>
          </w:p>
        </w:tc>
        <w:tc>
          <w:tcPr>
            <w:tcW w:w="700" w:type="dxa"/>
            <w:vAlign w:val="bottom"/>
            <w:gridSpan w:val="2"/>
          </w:tcPr>
          <w:p>
            <w:pPr>
              <w:jc w:val="right"/>
              <w:ind w:right="21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w w:val="98"/>
              </w:rPr>
              <w:t>(15,355)</w:t>
            </w:r>
          </w:p>
        </w:tc>
        <w:tc>
          <w:tcPr>
            <w:tcW w:w="140" w:type="dxa"/>
            <w:vAlign w:val="bottom"/>
          </w:tcPr>
          <w:p>
            <w:pPr>
              <w:spacing w:after="0"/>
              <w:rPr>
                <w:sz w:val="13"/>
                <w:szCs w:val="13"/>
                <w:color w:val="auto"/>
              </w:rPr>
            </w:pPr>
          </w:p>
        </w:tc>
      </w:tr>
      <w:tr>
        <w:trPr>
          <w:trHeight w:val="155"/>
        </w:trPr>
        <w:tc>
          <w:tcPr>
            <w:tcW w:w="140" w:type="dxa"/>
            <w:vAlign w:val="bottom"/>
          </w:tcPr>
          <w:p>
            <w:pPr>
              <w:spacing w:after="0"/>
              <w:rPr>
                <w:sz w:val="13"/>
                <w:szCs w:val="13"/>
                <w:color w:val="auto"/>
              </w:rPr>
            </w:pPr>
          </w:p>
        </w:tc>
        <w:tc>
          <w:tcPr>
            <w:tcW w:w="4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income (expense), net</w:t>
            </w: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3"/>
                <w:szCs w:val="13"/>
                <w:color w:val="auto"/>
              </w:rPr>
              <w:t>(390)</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3"/>
                <w:szCs w:val="13"/>
                <w:color w:val="auto"/>
              </w:rPr>
              <w:t>(226)</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rPr>
              <w:t>596</w:t>
            </w:r>
          </w:p>
        </w:tc>
        <w:tc>
          <w:tcPr>
            <w:tcW w:w="140" w:type="dxa"/>
            <w:vAlign w:val="bottom"/>
          </w:tcPr>
          <w:p>
            <w:pPr>
              <w:spacing w:after="0"/>
              <w:rPr>
                <w:sz w:val="13"/>
                <w:szCs w:val="13"/>
                <w:color w:val="auto"/>
              </w:rPr>
            </w:pPr>
          </w:p>
        </w:tc>
      </w:tr>
      <w:tr>
        <w:trPr>
          <w:trHeight w:val="154"/>
        </w:trPr>
        <w:tc>
          <w:tcPr>
            <w:tcW w:w="14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3"/>
                <w:szCs w:val="13"/>
                <w:color w:val="auto"/>
              </w:rPr>
              <w:t>Loss before provision for income taxes</w:t>
            </w:r>
          </w:p>
        </w:tc>
        <w:tc>
          <w:tcPr>
            <w:tcW w:w="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9"/>
              </w:rPr>
              <w:t>(50,900)</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6"/>
              </w:rPr>
              <w:t>(118,344)</w:t>
            </w:r>
          </w:p>
        </w:tc>
        <w:tc>
          <w:tcPr>
            <w:tcW w:w="3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5"/>
              </w:rPr>
              <w:t>(30,419)</w:t>
            </w: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9"/>
              </w:rPr>
              <w:t>(76,625)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5"/>
        </w:trPr>
        <w:tc>
          <w:tcPr>
            <w:tcW w:w="14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3"/>
                <w:szCs w:val="13"/>
                <w:color w:val="auto"/>
              </w:rPr>
              <w:t>28</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3"/>
                <w:szCs w:val="13"/>
                <w:color w:val="auto"/>
              </w:rPr>
              <w:t>245</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3"/>
                <w:szCs w:val="13"/>
                <w:color w:val="auto"/>
              </w:rPr>
              <w:t>122</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rPr>
              <w:t>286</w:t>
            </w:r>
          </w:p>
        </w:tc>
        <w:tc>
          <w:tcPr>
            <w:tcW w:w="140" w:type="dxa"/>
            <w:vAlign w:val="bottom"/>
          </w:tcPr>
          <w:p>
            <w:pPr>
              <w:spacing w:after="0"/>
              <w:rPr>
                <w:sz w:val="13"/>
                <w:szCs w:val="13"/>
                <w:color w:val="auto"/>
              </w:rPr>
            </w:pPr>
          </w:p>
        </w:tc>
      </w:tr>
      <w:tr>
        <w:trPr>
          <w:trHeight w:val="168"/>
        </w:trPr>
        <w:tc>
          <w:tcPr>
            <w:tcW w:w="140" w:type="dxa"/>
            <w:vAlign w:val="bottom"/>
          </w:tcPr>
          <w:p>
            <w:pPr>
              <w:spacing w:after="0"/>
              <w:rPr>
                <w:sz w:val="14"/>
                <w:szCs w:val="14"/>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(50,928</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(118,589</w:t>
            </w:r>
          </w:p>
        </w:tc>
        <w:tc>
          <w:tcPr>
            <w:tcW w:w="300" w:type="dxa"/>
            <w:vAlign w:val="bottom"/>
          </w:tcPr>
          <w:p>
            <w:pPr>
              <w:jc w:val="right"/>
              <w:ind w:right="222"/>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(30,541</w:t>
            </w:r>
          </w:p>
        </w:tc>
        <w:tc>
          <w:tcPr>
            <w:tcW w:w="30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(76,911</w:t>
            </w:r>
          </w:p>
        </w:tc>
        <w:tc>
          <w:tcPr>
            <w:tcW w:w="80" w:type="dxa"/>
            <w:vAlign w:val="bottom"/>
          </w:tcPr>
          <w:p>
            <w:pPr>
              <w:jc w:val="right"/>
              <w:ind w:right="2"/>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Pr>
          <w:p>
            <w:pPr>
              <w:spacing w:after="0"/>
              <w:rPr>
                <w:sz w:val="14"/>
                <w:szCs w:val="14"/>
                <w:color w:val="auto"/>
              </w:rPr>
            </w:pPr>
          </w:p>
        </w:tc>
      </w:tr>
      <w:tr>
        <w:trPr>
          <w:trHeight w:val="160"/>
        </w:trPr>
        <w:tc>
          <w:tcPr>
            <w:tcW w:w="14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 per share</w:t>
            </w:r>
            <w:r>
              <w:rPr>
                <w:rFonts w:ascii="Times New Roman" w:cs="Times New Roman" w:eastAsia="Times New Roman" w:hAnsi="Times New Roman"/>
                <w:sz w:val="10"/>
                <w:szCs w:val="10"/>
                <w:color w:val="auto"/>
              </w:rPr>
              <w:t>(2)</w:t>
            </w: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Pr>
          <w:p>
            <w:pPr>
              <w:spacing w:after="0"/>
              <w:rPr>
                <w:sz w:val="13"/>
                <w:szCs w:val="13"/>
                <w:color w:val="auto"/>
              </w:rPr>
            </w:pPr>
          </w:p>
        </w:tc>
      </w:tr>
      <w:tr>
        <w:trPr>
          <w:trHeight w:val="169"/>
        </w:trPr>
        <w:tc>
          <w:tcPr>
            <w:tcW w:w="140" w:type="dxa"/>
            <w:vAlign w:val="bottom"/>
          </w:tcPr>
          <w:p>
            <w:pPr>
              <w:spacing w:after="0"/>
              <w:rPr>
                <w:sz w:val="14"/>
                <w:szCs w:val="14"/>
                <w:color w:val="auto"/>
              </w:rPr>
            </w:pPr>
          </w:p>
        </w:tc>
        <w:tc>
          <w:tcPr>
            <w:tcW w:w="46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Basic and diluted</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(0.78)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222"/>
              <w:spacing w:after="0"/>
              <w:rPr>
                <w:sz w:val="20"/>
                <w:szCs w:val="20"/>
                <w:color w:val="auto"/>
              </w:rPr>
            </w:pPr>
            <w:r>
              <w:rPr>
                <w:rFonts w:ascii="Times New Roman" w:cs="Times New Roman" w:eastAsia="Times New Roman" w:hAnsi="Times New Roman"/>
                <w:sz w:val="13"/>
                <w:szCs w:val="13"/>
                <w:color w:val="auto"/>
              </w:rPr>
              <w:t>(1.69)</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75"/>
              <w:spacing w:after="0"/>
              <w:rPr>
                <w:sz w:val="20"/>
                <w:szCs w:val="20"/>
                <w:color w:val="auto"/>
              </w:rPr>
            </w:pPr>
            <w:r>
              <w:rPr>
                <w:rFonts w:ascii="Times New Roman" w:cs="Times New Roman" w:eastAsia="Times New Roman" w:hAnsi="Times New Roman"/>
                <w:sz w:val="13"/>
                <w:szCs w:val="13"/>
                <w:color w:val="auto"/>
              </w:rPr>
              <w:t>(0.45)</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(1.01)</w:t>
            </w:r>
          </w:p>
        </w:tc>
        <w:tc>
          <w:tcPr>
            <w:tcW w:w="140" w:type="dxa"/>
            <w:vAlign w:val="bottom"/>
          </w:tcPr>
          <w:p>
            <w:pPr>
              <w:spacing w:after="0"/>
              <w:rPr>
                <w:sz w:val="14"/>
                <w:szCs w:val="14"/>
                <w:color w:val="auto"/>
              </w:rPr>
            </w:pPr>
          </w:p>
        </w:tc>
      </w:tr>
      <w:tr>
        <w:trPr>
          <w:trHeight w:val="160"/>
        </w:trPr>
        <w:tc>
          <w:tcPr>
            <w:tcW w:w="14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Weighted-average shares used in calculating net loss per share</w:t>
            </w:r>
            <w:r>
              <w:rPr>
                <w:rFonts w:ascii="Times New Roman" w:cs="Times New Roman" w:eastAsia="Times New Roman" w:hAnsi="Times New Roman"/>
                <w:sz w:val="10"/>
                <w:szCs w:val="10"/>
                <w:color w:val="auto"/>
              </w:rPr>
              <w:t>(2)</w:t>
            </w:r>
            <w:r>
              <w:rPr>
                <w:rFonts w:ascii="Times New Roman" w:cs="Times New Roman" w:eastAsia="Times New Roman" w:hAnsi="Times New Roman"/>
                <w:sz w:val="13"/>
                <w:szCs w:val="13"/>
                <w:color w:val="auto"/>
              </w:rPr>
              <w:t>:</w:t>
            </w:r>
          </w:p>
        </w:tc>
        <w:tc>
          <w:tcPr>
            <w:tcW w:w="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Pr>
          <w:p>
            <w:pPr>
              <w:spacing w:after="0"/>
              <w:rPr>
                <w:sz w:val="13"/>
                <w:szCs w:val="13"/>
                <w:color w:val="auto"/>
              </w:rPr>
            </w:pPr>
          </w:p>
        </w:tc>
      </w:tr>
      <w:tr>
        <w:trPr>
          <w:trHeight w:val="169"/>
        </w:trPr>
        <w:tc>
          <w:tcPr>
            <w:tcW w:w="140" w:type="dxa"/>
            <w:vAlign w:val="bottom"/>
          </w:tcPr>
          <w:p>
            <w:pPr>
              <w:spacing w:after="0"/>
              <w:rPr>
                <w:sz w:val="14"/>
                <w:szCs w:val="14"/>
                <w:color w:val="auto"/>
              </w:rPr>
            </w:pPr>
          </w:p>
        </w:tc>
        <w:tc>
          <w:tcPr>
            <w:tcW w:w="46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Basic and diluted</w:t>
            </w:r>
          </w:p>
        </w:tc>
        <w:tc>
          <w:tcPr>
            <w:tcW w:w="60" w:type="dxa"/>
            <w:vAlign w:val="bottom"/>
          </w:tcPr>
          <w:p>
            <w:pPr>
              <w:spacing w:after="0"/>
              <w:rPr>
                <w:sz w:val="14"/>
                <w:szCs w:val="14"/>
                <w:color w:val="auto"/>
              </w:rPr>
            </w:pPr>
          </w:p>
        </w:tc>
        <w:tc>
          <w:tcPr>
            <w:tcW w:w="480" w:type="dxa"/>
            <w:vAlign w:val="bottom"/>
            <w:gridSpan w:val="2"/>
          </w:tcPr>
          <w:p>
            <w:pPr>
              <w:jc w:val="right"/>
              <w:ind w:right="22"/>
              <w:spacing w:after="0"/>
              <w:rPr>
                <w:sz w:val="20"/>
                <w:szCs w:val="20"/>
                <w:color w:val="auto"/>
              </w:rPr>
            </w:pPr>
            <w:r>
              <w:rPr>
                <w:rFonts w:ascii="Times New Roman" w:cs="Times New Roman" w:eastAsia="Times New Roman" w:hAnsi="Times New Roman"/>
                <w:sz w:val="13"/>
                <w:szCs w:val="13"/>
                <w:color w:val="auto"/>
              </w:rPr>
              <w:t>65,214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62"/>
              <w:spacing w:after="0"/>
              <w:rPr>
                <w:sz w:val="20"/>
                <w:szCs w:val="20"/>
                <w:color w:val="auto"/>
              </w:rPr>
            </w:pPr>
            <w:r>
              <w:rPr>
                <w:rFonts w:ascii="Times New Roman" w:cs="Times New Roman" w:eastAsia="Times New Roman" w:hAnsi="Times New Roman"/>
                <w:sz w:val="13"/>
                <w:szCs w:val="13"/>
                <w:color w:val="auto"/>
              </w:rPr>
              <w:t>70,335</w:t>
            </w:r>
          </w:p>
        </w:tc>
        <w:tc>
          <w:tcPr>
            <w:tcW w:w="60" w:type="dxa"/>
            <w:vAlign w:val="bottom"/>
          </w:tcPr>
          <w:p>
            <w:pPr>
              <w:spacing w:after="0"/>
              <w:rPr>
                <w:sz w:val="14"/>
                <w:szCs w:val="14"/>
                <w:color w:val="auto"/>
              </w:rPr>
            </w:pPr>
          </w:p>
        </w:tc>
        <w:tc>
          <w:tcPr>
            <w:tcW w:w="700" w:type="dxa"/>
            <w:vAlign w:val="bottom"/>
            <w:gridSpan w:val="2"/>
          </w:tcPr>
          <w:p>
            <w:pPr>
              <w:jc w:val="right"/>
              <w:ind w:right="215"/>
              <w:spacing w:after="0"/>
              <w:rPr>
                <w:sz w:val="20"/>
                <w:szCs w:val="20"/>
                <w:color w:val="auto"/>
              </w:rPr>
            </w:pPr>
            <w:r>
              <w:rPr>
                <w:rFonts w:ascii="Times New Roman" w:cs="Times New Roman" w:eastAsia="Times New Roman" w:hAnsi="Times New Roman"/>
                <w:sz w:val="13"/>
                <w:szCs w:val="13"/>
                <w:color w:val="auto"/>
              </w:rPr>
              <w:t>68,197</w:t>
            </w:r>
          </w:p>
        </w:tc>
        <w:tc>
          <w:tcPr>
            <w:tcW w:w="80" w:type="dxa"/>
            <w:vAlign w:val="bottom"/>
          </w:tcPr>
          <w:p>
            <w:pPr>
              <w:spacing w:after="0"/>
              <w:rPr>
                <w:sz w:val="14"/>
                <w:szCs w:val="14"/>
                <w:color w:val="auto"/>
              </w:rPr>
            </w:pPr>
          </w:p>
        </w:tc>
        <w:tc>
          <w:tcPr>
            <w:tcW w:w="50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color w:val="auto"/>
              </w:rPr>
              <w:t>76,015</w:t>
            </w:r>
          </w:p>
        </w:tc>
        <w:tc>
          <w:tcPr>
            <w:tcW w:w="140" w:type="dxa"/>
            <w:vAlign w:val="bottom"/>
          </w:tcPr>
          <w:p>
            <w:pPr>
              <w:spacing w:after="0"/>
              <w:rPr>
                <w:sz w:val="14"/>
                <w:szCs w:val="14"/>
                <w:color w:val="auto"/>
              </w:rPr>
            </w:pPr>
          </w:p>
        </w:tc>
      </w:tr>
      <w:tr>
        <w:trPr>
          <w:trHeight w:val="160"/>
        </w:trPr>
        <w:tc>
          <w:tcPr>
            <w:tcW w:w="14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 forma net loss per share</w:t>
            </w:r>
            <w:r>
              <w:rPr>
                <w:rFonts w:ascii="Times New Roman" w:cs="Times New Roman" w:eastAsia="Times New Roman" w:hAnsi="Times New Roman"/>
                <w:sz w:val="10"/>
                <w:szCs w:val="10"/>
                <w:color w:val="auto"/>
              </w:rPr>
              <w:t>(2)</w:t>
            </w:r>
            <w:r>
              <w:rPr>
                <w:rFonts w:ascii="Times New Roman" w:cs="Times New Roman" w:eastAsia="Times New Roman" w:hAnsi="Times New Roman"/>
                <w:sz w:val="13"/>
                <w:szCs w:val="13"/>
                <w:color w:val="auto"/>
              </w:rPr>
              <w:t>:</w:t>
            </w:r>
          </w:p>
        </w:tc>
        <w:tc>
          <w:tcPr>
            <w:tcW w:w="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Pr>
          <w:p>
            <w:pPr>
              <w:spacing w:after="0"/>
              <w:rPr>
                <w:sz w:val="13"/>
                <w:szCs w:val="13"/>
                <w:color w:val="auto"/>
              </w:rPr>
            </w:pPr>
          </w:p>
        </w:tc>
      </w:tr>
      <w:tr>
        <w:trPr>
          <w:trHeight w:val="169"/>
        </w:trPr>
        <w:tc>
          <w:tcPr>
            <w:tcW w:w="140" w:type="dxa"/>
            <w:vAlign w:val="bottom"/>
          </w:tcPr>
          <w:p>
            <w:pPr>
              <w:spacing w:after="0"/>
              <w:rPr>
                <w:sz w:val="14"/>
                <w:szCs w:val="14"/>
                <w:color w:val="auto"/>
              </w:rPr>
            </w:pPr>
          </w:p>
        </w:tc>
        <w:tc>
          <w:tcPr>
            <w:tcW w:w="46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Basic and diluted</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222"/>
              <w:spacing w:after="0"/>
              <w:rPr>
                <w:sz w:val="20"/>
                <w:szCs w:val="20"/>
                <w:color w:val="auto"/>
              </w:rPr>
            </w:pPr>
            <w:r>
              <w:rPr>
                <w:rFonts w:ascii="Times New Roman" w:cs="Times New Roman" w:eastAsia="Times New Roman" w:hAnsi="Times New Roman"/>
                <w:sz w:val="13"/>
                <w:szCs w:val="13"/>
                <w:color w:val="auto"/>
              </w:rPr>
              <w:t>(0.82)</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(0.51)</w:t>
            </w:r>
          </w:p>
        </w:tc>
        <w:tc>
          <w:tcPr>
            <w:tcW w:w="140" w:type="dxa"/>
            <w:vAlign w:val="bottom"/>
          </w:tcPr>
          <w:p>
            <w:pPr>
              <w:spacing w:after="0"/>
              <w:rPr>
                <w:sz w:val="14"/>
                <w:szCs w:val="14"/>
                <w:color w:val="auto"/>
              </w:rPr>
            </w:pPr>
          </w:p>
        </w:tc>
      </w:tr>
      <w:tr>
        <w:trPr>
          <w:trHeight w:val="160"/>
        </w:trPr>
        <w:tc>
          <w:tcPr>
            <w:tcW w:w="14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Weighted-average shares used in calculating pro forma net loss per share</w:t>
            </w:r>
            <w:r>
              <w:rPr>
                <w:rFonts w:ascii="Times New Roman" w:cs="Times New Roman" w:eastAsia="Times New Roman" w:hAnsi="Times New Roman"/>
                <w:sz w:val="10"/>
                <w:szCs w:val="10"/>
                <w:color w:val="auto"/>
              </w:rPr>
              <w:t>(2)</w:t>
            </w: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Pr>
          <w:p>
            <w:pPr>
              <w:spacing w:after="0"/>
              <w:rPr>
                <w:sz w:val="13"/>
                <w:szCs w:val="13"/>
                <w:color w:val="auto"/>
              </w:rPr>
            </w:pPr>
          </w:p>
        </w:tc>
      </w:tr>
      <w:tr>
        <w:trPr>
          <w:trHeight w:val="164"/>
        </w:trPr>
        <w:tc>
          <w:tcPr>
            <w:tcW w:w="140" w:type="dxa"/>
            <w:vAlign w:val="bottom"/>
          </w:tcPr>
          <w:p>
            <w:pPr>
              <w:spacing w:after="0"/>
              <w:rPr>
                <w:sz w:val="14"/>
                <w:szCs w:val="14"/>
                <w:color w:val="auto"/>
              </w:rPr>
            </w:pPr>
          </w:p>
        </w:tc>
        <w:tc>
          <w:tcPr>
            <w:tcW w:w="46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Basic and diluted</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62"/>
              <w:spacing w:after="0"/>
              <w:rPr>
                <w:sz w:val="20"/>
                <w:szCs w:val="20"/>
                <w:color w:val="auto"/>
              </w:rPr>
            </w:pPr>
            <w:r>
              <w:rPr>
                <w:rFonts w:ascii="Times New Roman" w:cs="Times New Roman" w:eastAsia="Times New Roman" w:hAnsi="Times New Roman"/>
                <w:sz w:val="13"/>
                <w:szCs w:val="13"/>
                <w:color w:val="auto"/>
              </w:rPr>
              <w:t>143,887</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color w:val="auto"/>
                <w:w w:val="94"/>
              </w:rPr>
              <w:t>149,592</w:t>
            </w:r>
          </w:p>
        </w:tc>
        <w:tc>
          <w:tcPr>
            <w:tcW w:w="140" w:type="dxa"/>
            <w:vAlign w:val="bottom"/>
          </w:tcPr>
          <w:p>
            <w:pPr>
              <w:spacing w:after="0"/>
              <w:rPr>
                <w:sz w:val="14"/>
                <w:szCs w:val="14"/>
                <w:color w:val="auto"/>
              </w:rPr>
            </w:pPr>
          </w:p>
        </w:tc>
      </w:tr>
      <w:tr>
        <w:trPr>
          <w:trHeight w:val="179"/>
        </w:trPr>
        <w:tc>
          <w:tcPr>
            <w:tcW w:w="140" w:type="dxa"/>
            <w:vAlign w:val="bottom"/>
            <w:tcBorders>
              <w:bottom w:val="single" w:sz="8" w:color="auto"/>
            </w:tcBorders>
          </w:tcPr>
          <w:p>
            <w:pPr>
              <w:spacing w:after="0"/>
              <w:rPr>
                <w:sz w:val="15"/>
                <w:szCs w:val="15"/>
                <w:color w:val="auto"/>
              </w:rPr>
            </w:pPr>
          </w:p>
        </w:tc>
        <w:tc>
          <w:tcPr>
            <w:tcW w:w="4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r>
      <w:tr>
        <w:trPr>
          <w:trHeight w:val="430"/>
        </w:trPr>
        <w:tc>
          <w:tcPr>
            <w:tcW w:w="4820" w:type="dxa"/>
            <w:vAlign w:val="bottom"/>
            <w:gridSpan w:val="2"/>
          </w:tcPr>
          <w:p>
            <w:pPr>
              <w:jc w:val="right"/>
              <w:ind w:right="735"/>
              <w:spacing w:after="0"/>
              <w:rPr>
                <w:sz w:val="20"/>
                <w:szCs w:val="20"/>
                <w:color w:val="auto"/>
              </w:rPr>
            </w:pPr>
            <w:r>
              <w:rPr>
                <w:rFonts w:ascii="Times New Roman" w:cs="Times New Roman" w:eastAsia="Times New Roman" w:hAnsi="Times New Roman"/>
                <w:sz w:val="13"/>
                <w:szCs w:val="13"/>
                <w:color w:val="auto"/>
              </w:rPr>
              <w:t>12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0159"/>
          </w:cols>
          <w:pgMar w:left="300" w:top="367" w:right="1440" w:bottom="1440" w:gutter="0" w:footer="0" w:header="0"/>
        </w:sectPr>
      </w:pPr>
    </w:p>
    <w:bookmarkStart w:id="17" w:name="page18"/>
    <w:bookmarkEnd w:id="1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144780</wp:posOffset>
            </wp:positionV>
            <wp:extent cx="5029200" cy="3317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029200" cy="331787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120" w:hanging="300"/>
        <w:spacing w:after="0"/>
        <w:tabs>
          <w:tab w:leader="none" w:pos="2120" w:val="left"/>
        </w:tabs>
        <w:numPr>
          <w:ilvl w:val="0"/>
          <w:numId w:val="1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Amounts include stock-based compensation expense as follows:</w:t>
      </w:r>
    </w:p>
    <w:p>
      <w:pPr>
        <w:spacing w:after="0" w:line="159" w:lineRule="exact"/>
        <w:rPr>
          <w:sz w:val="20"/>
          <w:szCs w:val="20"/>
          <w:color w:val="auto"/>
        </w:rPr>
      </w:pPr>
    </w:p>
    <w:tbl>
      <w:tblPr>
        <w:tblLayout w:type="fixed"/>
        <w:tblInd w:w="2200" w:type="dxa"/>
        <w:tblCellMar>
          <w:top w:w="0" w:type="dxa"/>
          <w:left w:w="0" w:type="dxa"/>
          <w:bottom w:w="0" w:type="dxa"/>
          <w:right w:w="0" w:type="dxa"/>
        </w:tblCellMar>
      </w:tblPr>
      <w:tr>
        <w:trPr>
          <w:trHeight w:val="103"/>
        </w:trPr>
        <w:tc>
          <w:tcPr>
            <w:tcW w:w="34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80" w:type="dxa"/>
            <w:vAlign w:val="bottom"/>
            <w:gridSpan w:val="3"/>
          </w:tcPr>
          <w:p>
            <w:pPr>
              <w:jc w:val="right"/>
              <w:ind w:right="190"/>
              <w:spacing w:after="0"/>
              <w:rPr>
                <w:sz w:val="20"/>
                <w:szCs w:val="20"/>
                <w:color w:val="auto"/>
              </w:rPr>
            </w:pPr>
            <w:r>
              <w:rPr>
                <w:rFonts w:ascii="Times New Roman" w:cs="Times New Roman" w:eastAsia="Times New Roman" w:hAnsi="Times New Roman"/>
                <w:sz w:val="9"/>
                <w:szCs w:val="9"/>
                <w:b w:val="1"/>
                <w:bCs w:val="1"/>
                <w:color w:val="auto"/>
              </w:rPr>
              <w:t>Year Ended</w:t>
            </w:r>
          </w:p>
        </w:tc>
        <w:tc>
          <w:tcPr>
            <w:tcW w:w="380" w:type="dxa"/>
            <w:vAlign w:val="bottom"/>
          </w:tcPr>
          <w:p>
            <w:pPr>
              <w:spacing w:after="0"/>
              <w:rPr>
                <w:sz w:val="8"/>
                <w:szCs w:val="8"/>
                <w:color w:val="auto"/>
              </w:rPr>
            </w:pPr>
          </w:p>
        </w:tc>
        <w:tc>
          <w:tcPr>
            <w:tcW w:w="900" w:type="dxa"/>
            <w:vAlign w:val="bottom"/>
            <w:gridSpan w:val="5"/>
          </w:tcPr>
          <w:p>
            <w:pPr>
              <w:ind w:left="60"/>
              <w:spacing w:after="0"/>
              <w:rPr>
                <w:sz w:val="20"/>
                <w:szCs w:val="20"/>
                <w:color w:val="auto"/>
              </w:rPr>
            </w:pPr>
            <w:r>
              <w:rPr>
                <w:rFonts w:ascii="Times New Roman" w:cs="Times New Roman" w:eastAsia="Times New Roman" w:hAnsi="Times New Roman"/>
                <w:sz w:val="9"/>
                <w:szCs w:val="9"/>
                <w:b w:val="1"/>
                <w:bCs w:val="1"/>
                <w:color w:val="auto"/>
              </w:rPr>
              <w:t>Six Months Ended</w:t>
            </w:r>
          </w:p>
        </w:tc>
      </w:tr>
      <w:tr>
        <w:trPr>
          <w:trHeight w:val="112"/>
        </w:trPr>
        <w:tc>
          <w:tcPr>
            <w:tcW w:w="3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8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9"/>
                <w:szCs w:val="9"/>
                <w:b w:val="1"/>
                <w:bCs w:val="1"/>
                <w:color w:val="auto"/>
              </w:rPr>
              <w:t>January 31,</w:t>
            </w:r>
          </w:p>
        </w:tc>
        <w:tc>
          <w:tcPr>
            <w:tcW w:w="3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9"/>
                <w:szCs w:val="9"/>
                <w:b w:val="1"/>
                <w:bCs w:val="1"/>
                <w:color w:val="auto"/>
                <w:w w:val="99"/>
              </w:rPr>
              <w:t>July 31,</w:t>
            </w: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87"/>
        </w:trPr>
        <w:tc>
          <w:tcPr>
            <w:tcW w:w="34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20" w:type="dxa"/>
            <w:vAlign w:val="bottom"/>
            <w:tcBorders>
              <w:bottom w:val="single" w:sz="8" w:color="auto"/>
            </w:tcBorders>
          </w:tcPr>
          <w:p>
            <w:pPr>
              <w:jc w:val="right"/>
              <w:spacing w:after="0" w:line="87" w:lineRule="exact"/>
              <w:rPr>
                <w:sz w:val="20"/>
                <w:szCs w:val="20"/>
                <w:color w:val="auto"/>
              </w:rPr>
            </w:pPr>
            <w:r>
              <w:rPr>
                <w:rFonts w:ascii="Times New Roman" w:cs="Times New Roman" w:eastAsia="Times New Roman" w:hAnsi="Times New Roman"/>
                <w:sz w:val="9"/>
                <w:szCs w:val="9"/>
                <w:b w:val="1"/>
                <w:bCs w:val="1"/>
                <w:color w:val="auto"/>
                <w:w w:val="88"/>
              </w:rPr>
              <w:t>2019</w:t>
            </w:r>
          </w:p>
        </w:tc>
        <w:tc>
          <w:tcPr>
            <w:tcW w:w="3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jc w:val="right"/>
              <w:ind w:right="30"/>
              <w:spacing w:after="0" w:line="87" w:lineRule="exact"/>
              <w:rPr>
                <w:sz w:val="20"/>
                <w:szCs w:val="20"/>
                <w:color w:val="auto"/>
              </w:rPr>
            </w:pPr>
            <w:r>
              <w:rPr>
                <w:rFonts w:ascii="Times New Roman" w:cs="Times New Roman" w:eastAsia="Times New Roman" w:hAnsi="Times New Roman"/>
                <w:sz w:val="9"/>
                <w:szCs w:val="9"/>
                <w:b w:val="1"/>
                <w:bCs w:val="1"/>
                <w:color w:val="auto"/>
                <w:w w:val="99"/>
              </w:rPr>
              <w:t>2020</w:t>
            </w:r>
          </w:p>
        </w:tc>
        <w:tc>
          <w:tcPr>
            <w:tcW w:w="3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jc w:val="right"/>
              <w:ind w:right="10"/>
              <w:spacing w:after="0" w:line="87" w:lineRule="exact"/>
              <w:rPr>
                <w:sz w:val="20"/>
                <w:szCs w:val="20"/>
                <w:color w:val="auto"/>
              </w:rPr>
            </w:pPr>
            <w:r>
              <w:rPr>
                <w:rFonts w:ascii="Times New Roman" w:cs="Times New Roman" w:eastAsia="Times New Roman" w:hAnsi="Times New Roman"/>
                <w:sz w:val="9"/>
                <w:szCs w:val="9"/>
                <w:b w:val="1"/>
                <w:bCs w:val="1"/>
                <w:color w:val="auto"/>
                <w:w w:val="88"/>
              </w:rPr>
              <w:t>2019</w:t>
            </w: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jc w:val="right"/>
              <w:ind w:right="29"/>
              <w:spacing w:after="0" w:line="87" w:lineRule="exact"/>
              <w:rPr>
                <w:sz w:val="20"/>
                <w:szCs w:val="20"/>
                <w:color w:val="auto"/>
              </w:rPr>
            </w:pPr>
            <w:r>
              <w:rPr>
                <w:rFonts w:ascii="Times New Roman" w:cs="Times New Roman" w:eastAsia="Times New Roman" w:hAnsi="Times New Roman"/>
                <w:sz w:val="9"/>
                <w:szCs w:val="9"/>
                <w:b w:val="1"/>
                <w:bCs w:val="1"/>
                <w:color w:val="auto"/>
                <w:w w:val="88"/>
              </w:rPr>
              <w:t>2020</w:t>
            </w:r>
          </w:p>
        </w:tc>
        <w:tc>
          <w:tcPr>
            <w:tcW w:w="20" w:type="dxa"/>
            <w:vAlign w:val="bottom"/>
          </w:tcPr>
          <w:p>
            <w:pPr>
              <w:spacing w:after="0"/>
              <w:rPr>
                <w:sz w:val="7"/>
                <w:szCs w:val="7"/>
                <w:color w:val="auto"/>
              </w:rPr>
            </w:pPr>
          </w:p>
        </w:tc>
      </w:tr>
      <w:tr>
        <w:trPr>
          <w:trHeight w:val="87"/>
        </w:trPr>
        <w:tc>
          <w:tcPr>
            <w:tcW w:w="34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900" w:type="dxa"/>
            <w:vAlign w:val="bottom"/>
            <w:gridSpan w:val="3"/>
          </w:tcPr>
          <w:p>
            <w:pPr>
              <w:jc w:val="right"/>
              <w:ind w:right="130"/>
              <w:spacing w:after="0" w:line="87" w:lineRule="exact"/>
              <w:rPr>
                <w:sz w:val="20"/>
                <w:szCs w:val="20"/>
                <w:color w:val="auto"/>
              </w:rPr>
            </w:pPr>
            <w:r>
              <w:rPr>
                <w:rFonts w:ascii="Times New Roman" w:cs="Times New Roman" w:eastAsia="Times New Roman" w:hAnsi="Times New Roman"/>
                <w:sz w:val="9"/>
                <w:szCs w:val="9"/>
                <w:b w:val="1"/>
                <w:bCs w:val="1"/>
                <w:color w:val="auto"/>
              </w:rPr>
              <w:t>(in thousands)</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07"/>
        </w:trPr>
        <w:tc>
          <w:tcPr>
            <w:tcW w:w="346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0"/>
                <w:szCs w:val="10"/>
                <w:color w:val="auto"/>
              </w:rPr>
              <w:t>Cost of revenues</w:t>
            </w:r>
          </w:p>
        </w:tc>
        <w:tc>
          <w:tcPr>
            <w:tcW w:w="1640" w:type="dxa"/>
            <w:vAlign w:val="bottom"/>
            <w:tcBorders>
              <w:right w:val="single" w:sz="8" w:color="CCEEFF"/>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37</w:t>
            </w:r>
          </w:p>
        </w:tc>
        <w:tc>
          <w:tcPr>
            <w:tcW w:w="380" w:type="dxa"/>
            <w:vAlign w:val="bottom"/>
            <w:tcBorders>
              <w:right w:val="single" w:sz="8" w:color="CCEEFF"/>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103</w:t>
            </w:r>
          </w:p>
        </w:tc>
        <w:tc>
          <w:tcPr>
            <w:tcW w:w="380" w:type="dxa"/>
            <w:vAlign w:val="bottom"/>
            <w:tcBorders>
              <w:right w:val="single" w:sz="8" w:color="CCEEFF"/>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13</w:t>
            </w:r>
          </w:p>
        </w:tc>
        <w:tc>
          <w:tcPr>
            <w:tcW w:w="380" w:type="dxa"/>
            <w:vAlign w:val="bottom"/>
            <w:gridSpan w:val="2"/>
            <w:shd w:val="clear" w:color="auto" w:fill="CCEEFF"/>
          </w:tcPr>
          <w:p>
            <w:pPr>
              <w:jc w:val="right"/>
              <w:ind w:right="20"/>
              <w:spacing w:after="0" w:line="107"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100</w:t>
            </w:r>
          </w:p>
        </w:tc>
        <w:tc>
          <w:tcPr>
            <w:tcW w:w="20" w:type="dxa"/>
            <w:vAlign w:val="bottom"/>
            <w:shd w:val="clear" w:color="auto" w:fill="CCEEFF"/>
          </w:tcPr>
          <w:p>
            <w:pPr>
              <w:spacing w:after="0"/>
              <w:rPr>
                <w:sz w:val="9"/>
                <w:szCs w:val="9"/>
                <w:color w:val="auto"/>
              </w:rPr>
            </w:pPr>
          </w:p>
        </w:tc>
      </w:tr>
      <w:tr>
        <w:trPr>
          <w:trHeight w:val="107"/>
        </w:trPr>
        <w:tc>
          <w:tcPr>
            <w:tcW w:w="346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Research and development</w:t>
            </w:r>
          </w:p>
        </w:tc>
        <w:tc>
          <w:tcPr>
            <w:tcW w:w="1640" w:type="dxa"/>
            <w:vAlign w:val="bottom"/>
          </w:tcPr>
          <w:p>
            <w:pPr>
              <w:spacing w:after="0"/>
              <w:rPr>
                <w:sz w:val="9"/>
                <w:szCs w:val="9"/>
                <w:color w:val="auto"/>
              </w:rPr>
            </w:pPr>
          </w:p>
        </w:tc>
        <w:tc>
          <w:tcPr>
            <w:tcW w:w="22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w w:val="88"/>
              </w:rPr>
              <w:t>5,160</w:t>
            </w:r>
          </w:p>
        </w:tc>
        <w:tc>
          <w:tcPr>
            <w:tcW w:w="380" w:type="dxa"/>
            <w:vAlign w:val="bottom"/>
          </w:tcPr>
          <w:p>
            <w:pPr>
              <w:spacing w:after="0"/>
              <w:rPr>
                <w:sz w:val="9"/>
                <w:szCs w:val="9"/>
                <w:color w:val="auto"/>
              </w:rPr>
            </w:pPr>
          </w:p>
        </w:tc>
        <w:tc>
          <w:tcPr>
            <w:tcW w:w="28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w w:val="94"/>
              </w:rPr>
              <w:t>24,869</w:t>
            </w:r>
          </w:p>
        </w:tc>
        <w:tc>
          <w:tcPr>
            <w:tcW w:w="380" w:type="dxa"/>
            <w:vAlign w:val="bottom"/>
          </w:tcPr>
          <w:p>
            <w:pPr>
              <w:spacing w:after="0"/>
              <w:rPr>
                <w:sz w:val="9"/>
                <w:szCs w:val="9"/>
                <w:color w:val="auto"/>
              </w:rPr>
            </w:pPr>
          </w:p>
        </w:tc>
        <w:tc>
          <w:tcPr>
            <w:tcW w:w="24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w w:val="97"/>
              </w:rPr>
              <w:t>1,882</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4,737</w:t>
            </w:r>
          </w:p>
        </w:tc>
        <w:tc>
          <w:tcPr>
            <w:tcW w:w="20" w:type="dxa"/>
            <w:vAlign w:val="bottom"/>
          </w:tcPr>
          <w:p>
            <w:pPr>
              <w:spacing w:after="0"/>
              <w:rPr>
                <w:sz w:val="9"/>
                <w:szCs w:val="9"/>
                <w:color w:val="auto"/>
              </w:rPr>
            </w:pPr>
          </w:p>
        </w:tc>
      </w:tr>
      <w:tr>
        <w:trPr>
          <w:trHeight w:val="107"/>
        </w:trPr>
        <w:tc>
          <w:tcPr>
            <w:tcW w:w="346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0"/>
                <w:szCs w:val="10"/>
                <w:color w:val="auto"/>
              </w:rPr>
              <w:t>Sales and marketing</w:t>
            </w:r>
          </w:p>
        </w:tc>
        <w:tc>
          <w:tcPr>
            <w:tcW w:w="1640" w:type="dxa"/>
            <w:vAlign w:val="bottom"/>
            <w:tcBorders>
              <w:right w:val="single" w:sz="8" w:color="CCEEFF"/>
            </w:tcBorders>
            <w:shd w:val="clear" w:color="auto" w:fill="CCEEFF"/>
          </w:tcPr>
          <w:p>
            <w:pPr>
              <w:spacing w:after="0"/>
              <w:rPr>
                <w:sz w:val="9"/>
                <w:szCs w:val="9"/>
                <w:color w:val="auto"/>
              </w:rPr>
            </w:pPr>
          </w:p>
        </w:tc>
        <w:tc>
          <w:tcPr>
            <w:tcW w:w="22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w w:val="88"/>
              </w:rPr>
              <w:t>2,108</w:t>
            </w:r>
          </w:p>
        </w:tc>
        <w:tc>
          <w:tcPr>
            <w:tcW w:w="3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w w:val="94"/>
              </w:rPr>
              <w:t>10,177</w:t>
            </w:r>
          </w:p>
        </w:tc>
        <w:tc>
          <w:tcPr>
            <w:tcW w:w="380" w:type="dxa"/>
            <w:vAlign w:val="bottom"/>
            <w:tcBorders>
              <w:right w:val="single" w:sz="8" w:color="CCEEFF"/>
            </w:tcBorders>
            <w:shd w:val="clear" w:color="auto" w:fill="CCEEFF"/>
          </w:tcPr>
          <w:p>
            <w:pPr>
              <w:spacing w:after="0"/>
              <w:rPr>
                <w:sz w:val="9"/>
                <w:szCs w:val="9"/>
                <w:color w:val="auto"/>
              </w:rPr>
            </w:pPr>
          </w:p>
        </w:tc>
        <w:tc>
          <w:tcPr>
            <w:tcW w:w="24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961</w:t>
            </w: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2,621</w:t>
            </w:r>
          </w:p>
        </w:tc>
        <w:tc>
          <w:tcPr>
            <w:tcW w:w="20" w:type="dxa"/>
            <w:vAlign w:val="bottom"/>
            <w:shd w:val="clear" w:color="auto" w:fill="CCEEFF"/>
          </w:tcPr>
          <w:p>
            <w:pPr>
              <w:spacing w:after="0"/>
              <w:rPr>
                <w:sz w:val="9"/>
                <w:szCs w:val="9"/>
                <w:color w:val="auto"/>
              </w:rPr>
            </w:pPr>
          </w:p>
        </w:tc>
      </w:tr>
      <w:tr>
        <w:trPr>
          <w:trHeight w:val="107"/>
        </w:trPr>
        <w:tc>
          <w:tcPr>
            <w:tcW w:w="346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General and administrative</w:t>
            </w:r>
          </w:p>
        </w:tc>
        <w:tc>
          <w:tcPr>
            <w:tcW w:w="1640" w:type="dxa"/>
            <w:vAlign w:val="bottom"/>
          </w:tcPr>
          <w:p>
            <w:pPr>
              <w:spacing w:after="0"/>
              <w:rPr>
                <w:sz w:val="9"/>
                <w:szCs w:val="9"/>
                <w:color w:val="auto"/>
              </w:rPr>
            </w:pPr>
          </w:p>
        </w:tc>
        <w:tc>
          <w:tcPr>
            <w:tcW w:w="22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w w:val="88"/>
              </w:rPr>
              <w:t>1,242</w:t>
            </w:r>
          </w:p>
        </w:tc>
        <w:tc>
          <w:tcPr>
            <w:tcW w:w="380" w:type="dxa"/>
            <w:vAlign w:val="bottom"/>
          </w:tcPr>
          <w:p>
            <w:pPr>
              <w:spacing w:after="0"/>
              <w:rPr>
                <w:sz w:val="9"/>
                <w:szCs w:val="9"/>
                <w:color w:val="auto"/>
              </w:rPr>
            </w:pPr>
          </w:p>
        </w:tc>
        <w:tc>
          <w:tcPr>
            <w:tcW w:w="28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w w:val="94"/>
              </w:rPr>
              <w:t>13,237</w:t>
            </w:r>
          </w:p>
        </w:tc>
        <w:tc>
          <w:tcPr>
            <w:tcW w:w="380" w:type="dxa"/>
            <w:vAlign w:val="bottom"/>
          </w:tcPr>
          <w:p>
            <w:pPr>
              <w:spacing w:after="0"/>
              <w:rPr>
                <w:sz w:val="9"/>
                <w:szCs w:val="9"/>
                <w:color w:val="auto"/>
              </w:rPr>
            </w:pPr>
          </w:p>
        </w:tc>
        <w:tc>
          <w:tcPr>
            <w:tcW w:w="24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572</w:t>
            </w: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1,900</w:t>
            </w:r>
          </w:p>
        </w:tc>
        <w:tc>
          <w:tcPr>
            <w:tcW w:w="20" w:type="dxa"/>
            <w:vAlign w:val="bottom"/>
          </w:tcPr>
          <w:p>
            <w:pPr>
              <w:spacing w:after="0"/>
              <w:rPr>
                <w:sz w:val="9"/>
                <w:szCs w:val="9"/>
                <w:color w:val="auto"/>
              </w:rPr>
            </w:pPr>
          </w:p>
        </w:tc>
      </w:tr>
      <w:tr>
        <w:trPr>
          <w:trHeight w:val="106"/>
        </w:trPr>
        <w:tc>
          <w:tcPr>
            <w:tcW w:w="3460" w:type="dxa"/>
            <w:vAlign w:val="bottom"/>
            <w:shd w:val="clear" w:color="auto" w:fill="CCEEFF"/>
          </w:tcPr>
          <w:p>
            <w:pPr>
              <w:ind w:left="220"/>
              <w:spacing w:after="0" w:line="106" w:lineRule="exact"/>
              <w:rPr>
                <w:sz w:val="20"/>
                <w:szCs w:val="20"/>
                <w:color w:val="auto"/>
              </w:rPr>
            </w:pPr>
            <w:r>
              <w:rPr>
                <w:rFonts w:ascii="Times New Roman" w:cs="Times New Roman" w:eastAsia="Times New Roman" w:hAnsi="Times New Roman"/>
                <w:sz w:val="10"/>
                <w:szCs w:val="10"/>
                <w:color w:val="auto"/>
              </w:rPr>
              <w:t>Total stock-based compensation expense</w:t>
            </w:r>
          </w:p>
        </w:tc>
        <w:tc>
          <w:tcPr>
            <w:tcW w:w="1640" w:type="dxa"/>
            <w:vAlign w:val="bottom"/>
            <w:tcBorders>
              <w:right w:val="single" w:sz="8" w:color="CCEEFF"/>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u w:val="single" w:color="auto"/>
                <w:color w:val="auto"/>
              </w:rPr>
              <w:t>$</w:t>
            </w:r>
          </w:p>
        </w:tc>
        <w:tc>
          <w:tcPr>
            <w:tcW w:w="22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w w:val="88"/>
              </w:rPr>
              <w:t>8,547</w:t>
            </w:r>
          </w:p>
        </w:tc>
        <w:tc>
          <w:tcPr>
            <w:tcW w:w="380" w:type="dxa"/>
            <w:vAlign w:val="bottom"/>
            <w:tcBorders>
              <w:right w:val="single" w:sz="8" w:color="CCEEFF"/>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u w:val="single" w:color="auto"/>
                <w:color w:val="auto"/>
              </w:rPr>
              <w:t>$</w:t>
            </w:r>
          </w:p>
        </w:tc>
        <w:tc>
          <w:tcPr>
            <w:tcW w:w="28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w w:val="94"/>
              </w:rPr>
              <w:t>48,386</w:t>
            </w:r>
          </w:p>
        </w:tc>
        <w:tc>
          <w:tcPr>
            <w:tcW w:w="380" w:type="dxa"/>
            <w:vAlign w:val="bottom"/>
            <w:tcBorders>
              <w:right w:val="single" w:sz="8" w:color="CCEEFF"/>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w w:val="97"/>
              </w:rPr>
              <w:t>3,428</w:t>
            </w:r>
          </w:p>
        </w:tc>
        <w:tc>
          <w:tcPr>
            <w:tcW w:w="380" w:type="dxa"/>
            <w:vAlign w:val="bottom"/>
            <w:gridSpan w:val="2"/>
            <w:shd w:val="clear" w:color="auto" w:fill="CCEEFF"/>
          </w:tcPr>
          <w:p>
            <w:pPr>
              <w:jc w:val="right"/>
              <w:ind w:right="20"/>
              <w:spacing w:after="0" w:line="106"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9,358</w:t>
            </w:r>
          </w:p>
        </w:tc>
        <w:tc>
          <w:tcPr>
            <w:tcW w:w="20" w:type="dxa"/>
            <w:vAlign w:val="bottom"/>
            <w:shd w:val="clear" w:color="auto" w:fill="CCEEFF"/>
          </w:tcPr>
          <w:p>
            <w:pPr>
              <w:spacing w:after="0"/>
              <w:rPr>
                <w:sz w:val="9"/>
                <w:szCs w:val="9"/>
                <w:color w:val="auto"/>
              </w:rPr>
            </w:pPr>
          </w:p>
        </w:tc>
      </w:tr>
      <w:tr>
        <w:trPr>
          <w:trHeight w:val="29"/>
        </w:trPr>
        <w:tc>
          <w:tcPr>
            <w:tcW w:w="3460" w:type="dxa"/>
            <w:vAlign w:val="bottom"/>
          </w:tcPr>
          <w:p>
            <w:pPr>
              <w:spacing w:after="0"/>
              <w:rPr>
                <w:sz w:val="2"/>
                <w:szCs w:val="2"/>
                <w:color w:val="auto"/>
              </w:rPr>
            </w:pPr>
          </w:p>
        </w:tc>
        <w:tc>
          <w:tcPr>
            <w:tcW w:w="164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bl>
    <w:p>
      <w:pPr>
        <w:spacing w:after="0" w:line="169" w:lineRule="exact"/>
        <w:rPr>
          <w:sz w:val="20"/>
          <w:szCs w:val="20"/>
          <w:color w:val="auto"/>
        </w:rPr>
      </w:pPr>
    </w:p>
    <w:p>
      <w:pPr>
        <w:ind w:left="2120" w:right="1039"/>
        <w:spacing w:after="0" w:line="258" w:lineRule="auto"/>
        <w:rPr>
          <w:sz w:val="20"/>
          <w:szCs w:val="20"/>
          <w:color w:val="auto"/>
        </w:rPr>
      </w:pPr>
      <w:r>
        <w:rPr>
          <w:rFonts w:ascii="Times New Roman" w:cs="Times New Roman" w:eastAsia="Times New Roman" w:hAnsi="Times New Roman"/>
          <w:sz w:val="10"/>
          <w:szCs w:val="10"/>
          <w:color w:val="auto"/>
        </w:rPr>
        <w:t>Stock-based compensation expense for fiscal 2019 and fiscal 2020 includes $3.8 million and $38.7 million, respectively, of compensation expense related to tender offers described in Note 11 to our consolidated financial statements included elsewhere in this prospectus.</w:t>
      </w:r>
    </w:p>
    <w:p>
      <w:pPr>
        <w:spacing w:after="0" w:line="53" w:lineRule="exact"/>
        <w:rPr>
          <w:sz w:val="20"/>
          <w:szCs w:val="20"/>
          <w:color w:val="auto"/>
        </w:rPr>
      </w:pPr>
    </w:p>
    <w:p>
      <w:pPr>
        <w:ind w:left="2120" w:right="739" w:hanging="300"/>
        <w:spacing w:after="0" w:line="258" w:lineRule="auto"/>
        <w:tabs>
          <w:tab w:leader="none" w:pos="2120" w:val="left"/>
        </w:tabs>
        <w:numPr>
          <w:ilvl w:val="0"/>
          <w:numId w:val="1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See Note 2 and Note 9 to our consolidated financial statements included elsewhere in this prospectus for an explanation of the method used to calculate our basic and diluted net loss per share, our basic and diluted pro forma net loss per share, and the weighted-average number of shares used in the computation of the per share amounts.</w:t>
      </w:r>
    </w:p>
    <w:p>
      <w:pPr>
        <w:spacing w:after="0" w:line="139" w:lineRule="exact"/>
        <w:rPr>
          <w:sz w:val="20"/>
          <w:szCs w:val="20"/>
          <w:color w:val="auto"/>
        </w:rPr>
      </w:pPr>
    </w:p>
    <w:tbl>
      <w:tblPr>
        <w:tblLayout w:type="fixed"/>
        <w:tblInd w:w="1820" w:type="dxa"/>
        <w:tblCellMar>
          <w:top w:w="0" w:type="dxa"/>
          <w:left w:w="0" w:type="dxa"/>
          <w:bottom w:w="0" w:type="dxa"/>
          <w:right w:w="0" w:type="dxa"/>
        </w:tblCellMar>
      </w:tblPr>
      <w:tr>
        <w:trPr>
          <w:trHeight w:val="123"/>
        </w:trPr>
        <w:tc>
          <w:tcPr>
            <w:tcW w:w="6100" w:type="dxa"/>
            <w:vAlign w:val="bottom"/>
          </w:tcPr>
          <w:p>
            <w:pPr>
              <w:spacing w:after="0"/>
              <w:rPr>
                <w:sz w:val="10"/>
                <w:szCs w:val="10"/>
                <w:color w:val="auto"/>
              </w:rPr>
            </w:pPr>
          </w:p>
        </w:tc>
        <w:tc>
          <w:tcPr>
            <w:tcW w:w="1540" w:type="dxa"/>
            <w:vAlign w:val="bottom"/>
            <w:gridSpan w:val="3"/>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As of July 31, 2020</w:t>
            </w:r>
          </w:p>
        </w:tc>
      </w:tr>
      <w:tr>
        <w:trPr>
          <w:trHeight w:val="96"/>
        </w:trPr>
        <w:tc>
          <w:tcPr>
            <w:tcW w:w="6100" w:type="dxa"/>
            <w:vAlign w:val="bottom"/>
          </w:tcPr>
          <w:p>
            <w:pPr>
              <w:spacing w:after="0"/>
              <w:rPr>
                <w:sz w:val="8"/>
                <w:szCs w:val="8"/>
                <w:color w:val="auto"/>
              </w:rPr>
            </w:pPr>
          </w:p>
        </w:tc>
        <w:tc>
          <w:tcPr>
            <w:tcW w:w="740" w:type="dxa"/>
            <w:vAlign w:val="bottom"/>
            <w:tcBorders>
              <w:top w:val="single" w:sz="8" w:color="auto"/>
              <w:bottom w:val="single" w:sz="8" w:color="auto"/>
            </w:tcBorders>
          </w:tcPr>
          <w:p>
            <w:pPr>
              <w:jc w:val="right"/>
              <w:ind w:right="259"/>
              <w:spacing w:after="0" w:line="97" w:lineRule="exact"/>
              <w:rPr>
                <w:sz w:val="20"/>
                <w:szCs w:val="20"/>
                <w:color w:val="auto"/>
              </w:rPr>
            </w:pPr>
            <w:r>
              <w:rPr>
                <w:rFonts w:ascii="Times New Roman" w:cs="Times New Roman" w:eastAsia="Times New Roman" w:hAnsi="Times New Roman"/>
                <w:sz w:val="10"/>
                <w:szCs w:val="10"/>
                <w:b w:val="1"/>
                <w:bCs w:val="1"/>
                <w:color w:val="auto"/>
              </w:rPr>
              <w:t>Actual</w:t>
            </w:r>
          </w:p>
        </w:tc>
        <w:tc>
          <w:tcPr>
            <w:tcW w:w="760" w:type="dxa"/>
            <w:vAlign w:val="bottom"/>
            <w:tcBorders>
              <w:top w:val="single" w:sz="8" w:color="auto"/>
              <w:bottom w:val="single" w:sz="8" w:color="auto"/>
            </w:tcBorders>
          </w:tcPr>
          <w:p>
            <w:pPr>
              <w:ind w:left="180"/>
              <w:spacing w:after="0" w:line="97" w:lineRule="exact"/>
              <w:rPr>
                <w:sz w:val="20"/>
                <w:szCs w:val="20"/>
                <w:color w:val="auto"/>
              </w:rPr>
            </w:pPr>
            <w:r>
              <w:rPr>
                <w:rFonts w:ascii="Times New Roman" w:cs="Times New Roman" w:eastAsia="Times New Roman" w:hAnsi="Times New Roman"/>
                <w:sz w:val="10"/>
                <w:szCs w:val="10"/>
                <w:b w:val="1"/>
                <w:bCs w:val="1"/>
                <w:color w:val="auto"/>
                <w:w w:val="99"/>
              </w:rPr>
              <w:t>Pro Forma</w:t>
            </w:r>
            <w:r>
              <w:rPr>
                <w:rFonts w:ascii="Times New Roman" w:cs="Times New Roman" w:eastAsia="Times New Roman" w:hAnsi="Times New Roman"/>
                <w:sz w:val="8"/>
                <w:szCs w:val="8"/>
                <w:b w:val="1"/>
                <w:bCs w:val="1"/>
                <w:color w:val="auto"/>
                <w:w w:val="99"/>
              </w:rPr>
              <w:t>(1)</w:t>
            </w:r>
          </w:p>
        </w:tc>
        <w:tc>
          <w:tcPr>
            <w:tcW w:w="40" w:type="dxa"/>
            <w:vAlign w:val="bottom"/>
          </w:tcPr>
          <w:p>
            <w:pPr>
              <w:spacing w:after="0"/>
              <w:rPr>
                <w:sz w:val="8"/>
                <w:szCs w:val="8"/>
                <w:color w:val="auto"/>
              </w:rPr>
            </w:pPr>
          </w:p>
        </w:tc>
      </w:tr>
      <w:tr>
        <w:trPr>
          <w:trHeight w:val="96"/>
        </w:trPr>
        <w:tc>
          <w:tcPr>
            <w:tcW w:w="6100" w:type="dxa"/>
            <w:vAlign w:val="bottom"/>
          </w:tcPr>
          <w:p>
            <w:pPr>
              <w:spacing w:after="0"/>
              <w:rPr>
                <w:sz w:val="8"/>
                <w:szCs w:val="8"/>
                <w:color w:val="auto"/>
              </w:rPr>
            </w:pPr>
          </w:p>
        </w:tc>
        <w:tc>
          <w:tcPr>
            <w:tcW w:w="1500" w:type="dxa"/>
            <w:vAlign w:val="bottom"/>
            <w:gridSpan w:val="2"/>
          </w:tcPr>
          <w:p>
            <w:pPr>
              <w:jc w:val="center"/>
              <w:spacing w:after="0" w:line="97"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40" w:type="dxa"/>
            <w:vAlign w:val="bottom"/>
          </w:tcPr>
          <w:p>
            <w:pPr>
              <w:spacing w:after="0"/>
              <w:rPr>
                <w:sz w:val="8"/>
                <w:szCs w:val="8"/>
                <w:color w:val="auto"/>
              </w:rPr>
            </w:pPr>
          </w:p>
        </w:tc>
      </w:tr>
      <w:tr>
        <w:trPr>
          <w:trHeight w:val="15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Consolidated Balance Sheet Data:</w:t>
            </w:r>
          </w:p>
        </w:tc>
        <w:tc>
          <w:tcPr>
            <w:tcW w:w="7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5"/>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Cash, cash equivalents, and marketable securities</w:t>
            </w:r>
          </w:p>
        </w:tc>
        <w:tc>
          <w:tcPr>
            <w:tcW w:w="7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auto"/>
                <w:w w:val="99"/>
              </w:rPr>
              <w:t>$ 455,925</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  455,925</w:t>
            </w:r>
          </w:p>
        </w:tc>
      </w:tr>
      <w:tr>
        <w:trPr>
          <w:trHeight w:val="15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Working capital</w:t>
            </w:r>
            <w:r>
              <w:rPr>
                <w:rFonts w:ascii="Times New Roman" w:cs="Times New Roman" w:eastAsia="Times New Roman" w:hAnsi="Times New Roman"/>
                <w:sz w:val="10"/>
                <w:szCs w:val="10"/>
                <w:color w:val="auto"/>
              </w:rPr>
              <w:t>(2)</w:t>
            </w:r>
          </w:p>
        </w:tc>
        <w:tc>
          <w:tcPr>
            <w:tcW w:w="7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3"/>
                <w:szCs w:val="13"/>
                <w:color w:val="auto"/>
              </w:rPr>
              <w:t>368,308</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368,308</w:t>
            </w:r>
          </w:p>
        </w:tc>
      </w:tr>
      <w:tr>
        <w:trPr>
          <w:trHeight w:val="155"/>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7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auto"/>
              </w:rPr>
              <w:t>668,564</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668,564</w:t>
            </w:r>
          </w:p>
        </w:tc>
      </w:tr>
      <w:tr>
        <w:trPr>
          <w:trHeight w:val="15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revenue</w:t>
            </w:r>
          </w:p>
        </w:tc>
        <w:tc>
          <w:tcPr>
            <w:tcW w:w="7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3"/>
                <w:szCs w:val="13"/>
                <w:color w:val="auto"/>
              </w:rPr>
              <w:t>75,045</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75,045</w:t>
            </w:r>
          </w:p>
        </w:tc>
      </w:tr>
      <w:tr>
        <w:trPr>
          <w:trHeight w:val="155"/>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Convertible notes, net—related party</w:t>
            </w:r>
            <w:r>
              <w:rPr>
                <w:rFonts w:ascii="Times New Roman" w:cs="Times New Roman" w:eastAsia="Times New Roman" w:hAnsi="Times New Roman"/>
                <w:sz w:val="10"/>
                <w:szCs w:val="10"/>
                <w:color w:val="auto"/>
              </w:rPr>
              <w:t>(3)</w:t>
            </w:r>
          </w:p>
        </w:tc>
        <w:tc>
          <w:tcPr>
            <w:tcW w:w="7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auto"/>
              </w:rPr>
              <w:t>330,472</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330,472</w:t>
            </w:r>
          </w:p>
        </w:tc>
      </w:tr>
      <w:tr>
        <w:trPr>
          <w:trHeight w:val="15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Term loan, net</w:t>
            </w:r>
            <w:r>
              <w:rPr>
                <w:rFonts w:ascii="Times New Roman" w:cs="Times New Roman" w:eastAsia="Times New Roman" w:hAnsi="Times New Roman"/>
                <w:sz w:val="10"/>
                <w:szCs w:val="10"/>
                <w:color w:val="auto"/>
              </w:rPr>
              <w:t>(4)</w:t>
            </w:r>
          </w:p>
        </w:tc>
        <w:tc>
          <w:tcPr>
            <w:tcW w:w="7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3"/>
                <w:szCs w:val="13"/>
                <w:color w:val="auto"/>
              </w:rPr>
              <w:t>2,920</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2,920</w:t>
            </w:r>
          </w:p>
        </w:tc>
      </w:tr>
      <w:tr>
        <w:trPr>
          <w:trHeight w:val="155"/>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Redeemable convertible preferred stock</w:t>
            </w:r>
          </w:p>
        </w:tc>
        <w:tc>
          <w:tcPr>
            <w:tcW w:w="7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auto"/>
              </w:rPr>
              <w:t>250,581</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r>
      <w:tr>
        <w:trPr>
          <w:trHeight w:val="15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stockholders’ (deficit) equity</w:t>
            </w:r>
          </w:p>
        </w:tc>
        <w:tc>
          <w:tcPr>
            <w:tcW w:w="7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(171,704)</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78,877</w:t>
            </w:r>
          </w:p>
        </w:tc>
      </w:tr>
    </w:tbl>
    <w:p>
      <w:pPr>
        <w:spacing w:after="0" w:line="111" w:lineRule="exact"/>
        <w:rPr>
          <w:sz w:val="20"/>
          <w:szCs w:val="20"/>
          <w:color w:val="auto"/>
        </w:rPr>
      </w:pPr>
    </w:p>
    <w:p>
      <w:pPr>
        <w:ind w:left="2120" w:right="1019" w:hanging="300"/>
        <w:spacing w:after="0" w:line="232" w:lineRule="auto"/>
        <w:tabs>
          <w:tab w:leader="none" w:pos="2120"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pro forma column in the consolidated balance sheet table above reflects the automatic conversion of all outstanding shares of our preferred stock into an aggregate of 73,577,455 shares of our Class B common stock, as if such conversion had occurred on July 31, 2020.</w:t>
      </w:r>
    </w:p>
    <w:p>
      <w:pPr>
        <w:ind w:left="2120" w:right="819" w:hanging="300"/>
        <w:spacing w:after="0" w:line="222" w:lineRule="auto"/>
        <w:tabs>
          <w:tab w:leader="none" w:pos="2120"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Working capital is defined as current assets less current liabilities. See our consolidated financial statements and the accompanying notes included elsewhere in this prospectus for further details regarding our current assets and current liabilities.</w:t>
      </w:r>
    </w:p>
    <w:p>
      <w:pPr>
        <w:ind w:left="2120" w:right="799" w:hanging="300"/>
        <w:spacing w:after="0" w:line="222" w:lineRule="auto"/>
        <w:tabs>
          <w:tab w:leader="none" w:pos="2120"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two 3.5% senior mandatory convertible promissory notes, net of debt discount, due in January 2025 and June 2025. For additional information, see “Description of Capital Stock—Senior Mandatory Convertible Promissory Notes.”</w:t>
      </w:r>
    </w:p>
    <w:p>
      <w:pPr>
        <w:ind w:left="2120" w:hanging="300"/>
        <w:spacing w:after="0"/>
        <w:tabs>
          <w:tab w:leader="none" w:pos="2120"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current portion and is net of issuance costs. For additional information, see Note 6 to our consolidated financial statements included elsewhere in this prospectus.</w:t>
      </w:r>
    </w:p>
    <w:p>
      <w:pPr>
        <w:spacing w:after="0" w:line="200" w:lineRule="exact"/>
        <w:rPr>
          <w:sz w:val="20"/>
          <w:szCs w:val="20"/>
          <w:color w:val="auto"/>
        </w:rPr>
      </w:pPr>
    </w:p>
    <w:p>
      <w:pPr>
        <w:spacing w:after="0" w:line="25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10159"/>
          </w:cols>
          <w:pgMar w:left="300" w:top="367" w:right="1440" w:bottom="1440" w:gutter="0" w:footer="0" w:header="0"/>
        </w:sectPr>
      </w:pPr>
    </w:p>
    <w:bookmarkStart w:id="18" w:name="page19"/>
    <w:bookmarkEnd w:id="1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144780</wp:posOffset>
            </wp:positionV>
            <wp:extent cx="5029200" cy="20808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029200" cy="2080895"/>
                    </a:xfrm>
                    <a:prstGeom prst="rect">
                      <a:avLst/>
                    </a:prstGeom>
                    <a:noFill/>
                  </pic:spPr>
                </pic:pic>
              </a:graphicData>
            </a:graphic>
          </wp:anchor>
        </w:drawing>
      </w:r>
    </w:p>
    <w:p>
      <w:pPr>
        <w:spacing w:after="0" w:line="33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3"/>
          <w:szCs w:val="13"/>
          <w:b w:val="1"/>
          <w:bCs w:val="1"/>
          <w:color w:val="auto"/>
        </w:rPr>
        <w:t>Non-GAAP Financial Measures</w:t>
      </w:r>
    </w:p>
    <w:p>
      <w:pPr>
        <w:spacing w:after="0" w:line="163" w:lineRule="exact"/>
        <w:rPr>
          <w:sz w:val="20"/>
          <w:szCs w:val="20"/>
          <w:color w:val="auto"/>
        </w:rPr>
      </w:pPr>
    </w:p>
    <w:p>
      <w:pPr>
        <w:ind w:left="1820" w:right="699" w:firstLine="306"/>
        <w:spacing w:after="0" w:line="263" w:lineRule="auto"/>
        <w:rPr>
          <w:sz w:val="20"/>
          <w:szCs w:val="20"/>
          <w:color w:val="auto"/>
        </w:rPr>
      </w:pPr>
      <w:r>
        <w:rPr>
          <w:rFonts w:ascii="Times New Roman" w:cs="Times New Roman" w:eastAsia="Times New Roman" w:hAnsi="Times New Roman"/>
          <w:sz w:val="13"/>
          <w:szCs w:val="13"/>
          <w:color w:val="auto"/>
        </w:rPr>
        <w:t>The following table summarizes our non-GAAP financial measures, along with the most directly comparable GAAP measure, for each period presented below. In addition to our results determined in accordance with GAAP, we believe these non-GAAP financial measures are useful in evaluating our operating performance.</w:t>
      </w:r>
    </w:p>
    <w:p>
      <w:pPr>
        <w:spacing w:after="0" w:line="136" w:lineRule="exact"/>
        <w:rPr>
          <w:sz w:val="20"/>
          <w:szCs w:val="20"/>
          <w:color w:val="auto"/>
        </w:rPr>
      </w:pPr>
    </w:p>
    <w:tbl>
      <w:tblPr>
        <w:tblLayout w:type="fixed"/>
        <w:tblInd w:w="1820" w:type="dxa"/>
        <w:tblCellMar>
          <w:top w:w="0" w:type="dxa"/>
          <w:left w:w="0" w:type="dxa"/>
          <w:bottom w:w="0" w:type="dxa"/>
          <w:right w:w="0" w:type="dxa"/>
        </w:tblCellMar>
      </w:tblPr>
      <w:tr>
        <w:trPr>
          <w:trHeight w:val="115"/>
        </w:trPr>
        <w:tc>
          <w:tcPr>
            <w:tcW w:w="4940" w:type="dxa"/>
            <w:vAlign w:val="bottom"/>
          </w:tcPr>
          <w:p>
            <w:pPr>
              <w:spacing w:after="0"/>
              <w:rPr>
                <w:sz w:val="10"/>
                <w:szCs w:val="10"/>
                <w:color w:val="auto"/>
              </w:rPr>
            </w:pPr>
          </w:p>
        </w:tc>
        <w:tc>
          <w:tcPr>
            <w:tcW w:w="1440" w:type="dxa"/>
            <w:vAlign w:val="bottom"/>
            <w:gridSpan w:val="3"/>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Six Months Ended</w:t>
            </w:r>
          </w:p>
        </w:tc>
      </w:tr>
      <w:tr>
        <w:trPr>
          <w:trHeight w:val="123"/>
        </w:trPr>
        <w:tc>
          <w:tcPr>
            <w:tcW w:w="4940" w:type="dxa"/>
            <w:vAlign w:val="bottom"/>
          </w:tcPr>
          <w:p>
            <w:pPr>
              <w:spacing w:after="0"/>
              <w:rPr>
                <w:sz w:val="10"/>
                <w:szCs w:val="10"/>
                <w:color w:val="auto"/>
              </w:rPr>
            </w:pPr>
          </w:p>
        </w:tc>
        <w:tc>
          <w:tcPr>
            <w:tcW w:w="1440" w:type="dxa"/>
            <w:vAlign w:val="bottom"/>
            <w:gridSpan w:val="3"/>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January 31,</w:t>
            </w:r>
          </w:p>
        </w:tc>
        <w:tc>
          <w:tcPr>
            <w:tcW w:w="1260" w:type="dxa"/>
            <w:vAlign w:val="bottom"/>
            <w:gridSpan w:val="3"/>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July 31,</w:t>
            </w:r>
          </w:p>
        </w:tc>
      </w:tr>
      <w:tr>
        <w:trPr>
          <w:trHeight w:val="96"/>
        </w:trPr>
        <w:tc>
          <w:tcPr>
            <w:tcW w:w="4940" w:type="dxa"/>
            <w:vAlign w:val="bottom"/>
          </w:tcPr>
          <w:p>
            <w:pPr>
              <w:spacing w:after="0"/>
              <w:rPr>
                <w:sz w:val="8"/>
                <w:szCs w:val="8"/>
                <w:color w:val="auto"/>
              </w:rPr>
            </w:pPr>
          </w:p>
        </w:tc>
        <w:tc>
          <w:tcPr>
            <w:tcW w:w="600" w:type="dxa"/>
            <w:vAlign w:val="bottom"/>
            <w:tcBorders>
              <w:top w:val="single" w:sz="8" w:color="auto"/>
              <w:bottom w:val="single" w:sz="8" w:color="auto"/>
            </w:tcBorders>
          </w:tcPr>
          <w:p>
            <w:pPr>
              <w:jc w:val="right"/>
              <w:ind w:right="200"/>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620" w:type="dxa"/>
            <w:vAlign w:val="bottom"/>
            <w:tcBorders>
              <w:top w:val="single" w:sz="8" w:color="auto"/>
              <w:bottom w:val="single" w:sz="8" w:color="auto"/>
            </w:tcBorders>
          </w:tcPr>
          <w:p>
            <w:pPr>
              <w:jc w:val="right"/>
              <w:ind w:right="99"/>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220" w:type="dxa"/>
            <w:vAlign w:val="bottom"/>
            <w:tcBorders>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jc w:val="right"/>
              <w:ind w:right="200"/>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560" w:type="dxa"/>
            <w:vAlign w:val="bottom"/>
            <w:tcBorders>
              <w:top w:val="single" w:sz="8" w:color="auto"/>
              <w:bottom w:val="single" w:sz="8" w:color="auto"/>
            </w:tcBorders>
          </w:tcPr>
          <w:p>
            <w:pPr>
              <w:jc w:val="right"/>
              <w:ind w:right="57"/>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Pr>
          <w:p>
            <w:pPr>
              <w:spacing w:after="0"/>
              <w:rPr>
                <w:sz w:val="8"/>
                <w:szCs w:val="8"/>
                <w:color w:val="auto"/>
              </w:rPr>
            </w:pPr>
          </w:p>
        </w:tc>
      </w:tr>
      <w:tr>
        <w:trPr>
          <w:trHeight w:val="96"/>
        </w:trPr>
        <w:tc>
          <w:tcPr>
            <w:tcW w:w="4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60" w:type="dxa"/>
            <w:vAlign w:val="bottom"/>
            <w:gridSpan w:val="3"/>
          </w:tcPr>
          <w:p>
            <w:pPr>
              <w:jc w:val="right"/>
              <w:ind w:right="380"/>
              <w:spacing w:after="0" w:line="97"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55"/>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from operations</w:t>
            </w:r>
          </w:p>
        </w:tc>
        <w:tc>
          <w:tcPr>
            <w:tcW w:w="6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8"/>
              </w:rPr>
              <w:t>$(52,013)</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$(119,631)</w:t>
            </w:r>
          </w:p>
        </w:tc>
        <w:tc>
          <w:tcPr>
            <w:tcW w:w="6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$(31,244)</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$(62,669)</w:t>
            </w:r>
          </w:p>
        </w:tc>
      </w:tr>
      <w:tr>
        <w:trPr>
          <w:trHeight w:val="155"/>
        </w:trPr>
        <w:tc>
          <w:tcPr>
            <w:tcW w:w="4940" w:type="dxa"/>
            <w:vAlign w:val="bottom"/>
          </w:tcPr>
          <w:p>
            <w:pPr>
              <w:spacing w:after="0"/>
              <w:rPr>
                <w:sz w:val="20"/>
                <w:szCs w:val="20"/>
                <w:color w:val="auto"/>
              </w:rPr>
            </w:pPr>
            <w:r>
              <w:rPr>
                <w:rFonts w:ascii="Times New Roman" w:cs="Times New Roman" w:eastAsia="Times New Roman" w:hAnsi="Times New Roman"/>
                <w:sz w:val="13"/>
                <w:szCs w:val="13"/>
                <w:color w:val="auto"/>
              </w:rPr>
              <w:t>Non-GAAP loss from operations</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3"/>
                <w:szCs w:val="13"/>
                <w:color w:val="auto"/>
              </w:rPr>
              <w:t>(43,466)</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(69,333)</w:t>
            </w: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3"/>
                <w:szCs w:val="13"/>
                <w:color w:val="auto"/>
              </w:rPr>
              <w:t>(27,816)</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(51,074)</w:t>
            </w:r>
          </w:p>
        </w:tc>
      </w:tr>
      <w:tr>
        <w:trPr>
          <w:trHeight w:val="155"/>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6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(50,928)</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(118,589)</w:t>
            </w:r>
          </w:p>
        </w:tc>
        <w:tc>
          <w:tcPr>
            <w:tcW w:w="6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(30,541)</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(76,911)</w:t>
            </w:r>
          </w:p>
        </w:tc>
      </w:tr>
      <w:tr>
        <w:trPr>
          <w:trHeight w:val="155"/>
        </w:trPr>
        <w:tc>
          <w:tcPr>
            <w:tcW w:w="4940" w:type="dxa"/>
            <w:vAlign w:val="bottom"/>
          </w:tcPr>
          <w:p>
            <w:pPr>
              <w:spacing w:after="0"/>
              <w:rPr>
                <w:sz w:val="20"/>
                <w:szCs w:val="20"/>
                <w:color w:val="auto"/>
              </w:rPr>
            </w:pPr>
            <w:r>
              <w:rPr>
                <w:rFonts w:ascii="Times New Roman" w:cs="Times New Roman" w:eastAsia="Times New Roman" w:hAnsi="Times New Roman"/>
                <w:sz w:val="13"/>
                <w:szCs w:val="13"/>
                <w:color w:val="auto"/>
              </w:rPr>
              <w:t>Non-GAAP net loss</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3"/>
                <w:szCs w:val="13"/>
                <w:color w:val="auto"/>
              </w:rPr>
              <w:t>(42,381)</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(68,213)</w:t>
            </w: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3"/>
                <w:szCs w:val="13"/>
                <w:color w:val="auto"/>
              </w:rPr>
              <w:t>(27,113)</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(49,968)</w:t>
            </w:r>
          </w:p>
        </w:tc>
      </w:tr>
      <w:tr>
        <w:trPr>
          <w:trHeight w:val="155"/>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6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(30,180)</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(40,136)</w:t>
            </w:r>
          </w:p>
        </w:tc>
        <w:tc>
          <w:tcPr>
            <w:tcW w:w="6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(13,100)</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(40,270)</w:t>
            </w:r>
          </w:p>
        </w:tc>
      </w:tr>
      <w:tr>
        <w:trPr>
          <w:trHeight w:val="167"/>
        </w:trPr>
        <w:tc>
          <w:tcPr>
            <w:tcW w:w="4940" w:type="dxa"/>
            <w:vAlign w:val="bottom"/>
          </w:tcPr>
          <w:p>
            <w:pPr>
              <w:spacing w:after="0"/>
              <w:rPr>
                <w:sz w:val="20"/>
                <w:szCs w:val="20"/>
                <w:color w:val="auto"/>
              </w:rPr>
            </w:pPr>
            <w:r>
              <w:rPr>
                <w:rFonts w:ascii="Times New Roman" w:cs="Times New Roman" w:eastAsia="Times New Roman" w:hAnsi="Times New Roman"/>
                <w:sz w:val="13"/>
                <w:szCs w:val="13"/>
                <w:color w:val="auto"/>
              </w:rPr>
              <w:t>Free cash flow</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3"/>
                <w:szCs w:val="13"/>
                <w:color w:val="auto"/>
              </w:rPr>
              <w:t>(33,587)</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(44,605)</w:t>
            </w: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3"/>
                <w:szCs w:val="13"/>
                <w:color w:val="auto"/>
              </w:rPr>
              <w:t>(13,840)</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(38,972)</w:t>
            </w:r>
          </w:p>
        </w:tc>
      </w:tr>
    </w:tbl>
    <w:p>
      <w:pPr>
        <w:spacing w:after="0" w:line="130" w:lineRule="exact"/>
        <w:rPr>
          <w:sz w:val="20"/>
          <w:szCs w:val="20"/>
          <w:color w:val="auto"/>
        </w:rPr>
      </w:pPr>
    </w:p>
    <w:p>
      <w:pPr>
        <w:ind w:left="1820" w:right="1099" w:firstLine="306"/>
        <w:spacing w:after="0" w:line="263" w:lineRule="auto"/>
        <w:rPr>
          <w:sz w:val="20"/>
          <w:szCs w:val="20"/>
          <w:color w:val="auto"/>
        </w:rPr>
      </w:pPr>
      <w:r>
        <w:rPr>
          <w:rFonts w:ascii="Times New Roman" w:cs="Times New Roman" w:eastAsia="Times New Roman" w:hAnsi="Times New Roman"/>
          <w:sz w:val="13"/>
          <w:szCs w:val="13"/>
          <w:color w:val="auto"/>
        </w:rPr>
        <w:t>For additional information concerning the limitations and reconciliations of the non-GAAP financial measures to the most directly comparable financial measures stated in accordance with GAAP, see the section titled “Management’s Discussion and Analysis of Financial Condition and Results of Operations—Non-GAAP Financial Measures.”</w:t>
      </w:r>
    </w:p>
    <w:p>
      <w:pPr>
        <w:spacing w:after="0" w:line="200" w:lineRule="exact"/>
        <w:rPr>
          <w:sz w:val="20"/>
          <w:szCs w:val="20"/>
          <w:color w:val="auto"/>
        </w:rPr>
      </w:pPr>
    </w:p>
    <w:p>
      <w:pPr>
        <w:spacing w:after="0" w:line="2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10159"/>
          </w:cols>
          <w:pgMar w:left="300" w:top="367" w:right="1440" w:bottom="1440" w:gutter="0" w:footer="0" w:header="0"/>
        </w:sectPr>
      </w:pPr>
    </w:p>
    <w:bookmarkStart w:id="19" w:name="page20"/>
    <w:bookmarkEnd w:id="1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RISK FACTORS</w:t>
      </w:r>
    </w:p>
    <w:p>
      <w:pPr>
        <w:spacing w:after="0" w:line="161" w:lineRule="exact"/>
        <w:rPr>
          <w:sz w:val="20"/>
          <w:szCs w:val="20"/>
          <w:color w:val="auto"/>
        </w:rPr>
      </w:pPr>
    </w:p>
    <w:p>
      <w:pPr>
        <w:ind w:left="1680" w:right="579" w:firstLine="316"/>
        <w:spacing w:after="0" w:line="280" w:lineRule="auto"/>
        <w:rPr>
          <w:sz w:val="20"/>
          <w:szCs w:val="20"/>
          <w:color w:val="auto"/>
        </w:rPr>
      </w:pPr>
      <w:r>
        <w:rPr>
          <w:rFonts w:ascii="Times New Roman" w:cs="Times New Roman" w:eastAsia="Times New Roman" w:hAnsi="Times New Roman"/>
          <w:sz w:val="12"/>
          <w:szCs w:val="12"/>
          <w:i w:val="1"/>
          <w:iCs w:val="1"/>
          <w:color w:val="auto"/>
        </w:rPr>
        <w:t>Investing in our Class A common stock involves a high degree of risk. You should carefully consider the risks described below, as well as the other information in this prospectus, including our consolidated financial statements and “Management’s Discussion and Analysis of Financial Condition and Results of Operations,” before deciding whether to invest in our Class A common stock. The occurrence of any of the events or developments described below could materially and adversely affect our business, financial condition, results of operations, and growth prospects. In such an event, the market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p>
    <w:p>
      <w:pPr>
        <w:spacing w:after="0" w:line="19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Risks Related to Our Business</w:t>
      </w:r>
    </w:p>
    <w:p>
      <w:pPr>
        <w:spacing w:after="0" w:line="1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3"/>
          <w:szCs w:val="13"/>
          <w:b w:val="1"/>
          <w:bCs w:val="1"/>
          <w:i w:val="1"/>
          <w:iCs w:val="1"/>
          <w:color w:val="auto"/>
        </w:rPr>
        <w:t>We have experienced rapid growth in recent periods, and our recent growth rates may not be indicative of our future growth.</w:t>
      </w:r>
    </w:p>
    <w:p>
      <w:pPr>
        <w:spacing w:after="0" w:line="87" w:lineRule="exact"/>
        <w:rPr>
          <w:sz w:val="20"/>
          <w:szCs w:val="20"/>
          <w:color w:val="auto"/>
        </w:rPr>
      </w:pPr>
    </w:p>
    <w:p>
      <w:pPr>
        <w:jc w:val="both"/>
        <w:ind w:left="1680" w:right="719" w:firstLine="316"/>
        <w:spacing w:after="0" w:line="263" w:lineRule="auto"/>
        <w:rPr>
          <w:sz w:val="20"/>
          <w:szCs w:val="20"/>
          <w:color w:val="auto"/>
        </w:rPr>
      </w:pPr>
      <w:r>
        <w:rPr>
          <w:rFonts w:ascii="Times New Roman" w:cs="Times New Roman" w:eastAsia="Times New Roman" w:hAnsi="Times New Roman"/>
          <w:sz w:val="13"/>
          <w:szCs w:val="13"/>
          <w:color w:val="auto"/>
        </w:rPr>
        <w:t>We have experienced rapid growth in recent periods. In future periods, we expect our revenue growth rate to decline. Further, as we operate in a new and rapidly changing category of work management software, widespread acceptance and use of our platform is critical to our future growth and success. We believe our revenue growth depends on a number of factors, including, but not limited to, our ability to:</w:t>
      </w:r>
    </w:p>
    <w:p>
      <w:pPr>
        <w:spacing w:after="0" w:line="61" w:lineRule="exact"/>
        <w:rPr>
          <w:sz w:val="20"/>
          <w:szCs w:val="20"/>
          <w:color w:val="auto"/>
        </w:rPr>
      </w:pPr>
    </w:p>
    <w:p>
      <w:pPr>
        <w:ind w:left="2380" w:hanging="381"/>
        <w:spacing w:after="0"/>
        <w:tabs>
          <w:tab w:leader="none" w:pos="23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attract new individuals, teams, and organizations as customers;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grow or maintain our dollar-based net retention rate, expand usage within organizations, and sell subscriptions;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price our subscription plans effectively;</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convert individuals, teams, and organizations on our free and trial versions into paying customers;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achieve widespread acceptance and use of our platform, including in markets outside of the United States;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continue to successfully expand our sales force;</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expand the features and capabilities of our platform;</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 excellent customer experience and customer support;</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maintain the security and reliability of our platform;</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successfully compete against established companies and new market entrants, as well as existing software tools;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 awareness of our brand on a global basis; and</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comply with existing and new applicable laws and regulations.</w:t>
      </w:r>
    </w:p>
    <w:p>
      <w:pPr>
        <w:spacing w:after="0" w:line="161" w:lineRule="exact"/>
        <w:rPr>
          <w:sz w:val="20"/>
          <w:szCs w:val="20"/>
          <w:color w:val="auto"/>
        </w:rPr>
      </w:pPr>
    </w:p>
    <w:p>
      <w:pPr>
        <w:ind w:left="1680" w:right="699" w:firstLine="316"/>
        <w:spacing w:after="0" w:line="263" w:lineRule="auto"/>
        <w:rPr>
          <w:sz w:val="20"/>
          <w:szCs w:val="20"/>
          <w:color w:val="auto"/>
        </w:rPr>
      </w:pPr>
      <w:r>
        <w:rPr>
          <w:rFonts w:ascii="Times New Roman" w:cs="Times New Roman" w:eastAsia="Times New Roman" w:hAnsi="Times New Roman"/>
          <w:sz w:val="13"/>
          <w:szCs w:val="13"/>
          <w:color w:val="auto"/>
        </w:rPr>
        <w:t>If we are unable to accomplish these tasks, our revenue growth would be harmed. We also expect our operating expenses to increase in future periods, and if our revenue growth does not increase to offset these anticipated increases in our operating expenses, our business, results of operations, and financial condition will be harmed, and we may not be able to achieve or maintain profitability.</w:t>
      </w:r>
    </w:p>
    <w:p>
      <w:pPr>
        <w:spacing w:after="0" w:line="202" w:lineRule="exact"/>
        <w:rPr>
          <w:sz w:val="20"/>
          <w:szCs w:val="20"/>
          <w:color w:val="auto"/>
        </w:rPr>
      </w:pPr>
    </w:p>
    <w:p>
      <w:pPr>
        <w:ind w:left="1680" w:right="65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We have a limited operating history at our current scale, which makes it difficult to evaluate our future prospects and may increase the risk that we will not be successful.</w:t>
      </w:r>
    </w:p>
    <w:p>
      <w:pPr>
        <w:spacing w:after="0" w:line="3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We have been growing rapidly in recent periods and, as a result, have a relatively short history operating our business at its current scale.</w:t>
      </w:r>
    </w:p>
    <w:p>
      <w:pPr>
        <w:spacing w:after="0" w:line="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Furthermore, we operate in an industry that is characterized by rapid technological</w:t>
      </w:r>
    </w:p>
    <w:p>
      <w:pPr>
        <w:spacing w:after="0" w:line="10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10159"/>
          </w:cols>
          <w:pgMar w:left="300" w:top="367" w:right="1440" w:bottom="1440" w:gutter="0" w:footer="0" w:header="0"/>
        </w:sectPr>
      </w:pPr>
    </w:p>
    <w:bookmarkStart w:id="20" w:name="page21"/>
    <w:bookmarkEnd w:id="2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99"/>
        <w:spacing w:after="0" w:line="254" w:lineRule="auto"/>
        <w:rPr>
          <w:sz w:val="20"/>
          <w:szCs w:val="20"/>
          <w:color w:val="auto"/>
        </w:rPr>
      </w:pPr>
      <w:r>
        <w:rPr>
          <w:rFonts w:ascii="Times New Roman" w:cs="Times New Roman" w:eastAsia="Times New Roman" w:hAnsi="Times New Roman"/>
          <w:sz w:val="13"/>
          <w:szCs w:val="13"/>
          <w:color w:val="auto"/>
        </w:rPr>
        <w:t>innovation, intense competition, changing customer needs, and frequent introductions of new products, technologies, and services. We have encountered, and will continue to encounter, risks and uncertainties frequently experienced by growing companies in evolving industries. In addition, our future growth rate is subject to a number of uncertainties, such as general economic and market conditions, including those caused by the ongoing COVID-19 pandemic. If our assumptions regarding these risks and uncertainties, which we use to plan our business, are incorrect or change in reaction to changes in the market, or if we do not address these risks successfully, our results of operations could differ materially from our expectations, and our business, results of operations, and financial condition would suffer.</w:t>
      </w:r>
    </w:p>
    <w:p>
      <w:pPr>
        <w:spacing w:after="0" w:line="21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We have a history of losses, and we may not be able to achieve profitability or, if achieved, sustain profitability.</w:t>
      </w:r>
    </w:p>
    <w:p>
      <w:pPr>
        <w:spacing w:after="0" w:line="87" w:lineRule="exact"/>
        <w:rPr>
          <w:sz w:val="20"/>
          <w:szCs w:val="20"/>
          <w:color w:val="auto"/>
        </w:rPr>
      </w:pPr>
    </w:p>
    <w:p>
      <w:pPr>
        <w:ind w:left="1680" w:right="619" w:firstLine="316"/>
        <w:spacing w:after="0" w:line="256" w:lineRule="auto"/>
        <w:rPr>
          <w:sz w:val="20"/>
          <w:szCs w:val="20"/>
          <w:color w:val="auto"/>
        </w:rPr>
      </w:pPr>
      <w:r>
        <w:rPr>
          <w:rFonts w:ascii="Times New Roman" w:cs="Times New Roman" w:eastAsia="Times New Roman" w:hAnsi="Times New Roman"/>
          <w:sz w:val="13"/>
          <w:szCs w:val="13"/>
          <w:color w:val="auto"/>
        </w:rPr>
        <w:t>We have incurred net losses in each fiscal year since our founding. We generated net losses of $50.9 million and $118.6 million in fiscal 2019 and fiscal 2020, respectively, and $30.5 million and $76.9 million for the six months ended July 31, 2019 and 2020, respectively. As of July 31, 2020, we had an accumulated deficit of $406.6 million. We do not expect to be profitable in the near future, and we cannot assure you that we will achieve profitability in the future or that, if we do become profitable, we will sustain profitability. These losses reflect, among other things, the significant investments we made to develop and commercialize our platform, serve our existing customers, and broaden our customer base.</w:t>
      </w:r>
    </w:p>
    <w:p>
      <w:pPr>
        <w:spacing w:after="0" w:line="13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We expect to continue to make substantial future investments and expenditures related to the growth of our business, including:</w:t>
      </w:r>
    </w:p>
    <w:p>
      <w:pPr>
        <w:spacing w:after="0" w:line="93" w:lineRule="exact"/>
        <w:rPr>
          <w:sz w:val="20"/>
          <w:szCs w:val="20"/>
          <w:color w:val="auto"/>
        </w:rPr>
      </w:pPr>
    </w:p>
    <w:p>
      <w:pPr>
        <w:ind w:left="2380" w:hanging="381"/>
        <w:spacing w:after="0"/>
        <w:tabs>
          <w:tab w:leader="none" w:pos="2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expansion of our sales and marketing activities;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continued investments in research and development to introduce new features and enhancements to our platform;</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hiring additional employees;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investments in infrastructure;</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expansion of our operations across our multiple geographies; and</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increasing costs associated with our general and administrative organization.</w:t>
      </w:r>
    </w:p>
    <w:p>
      <w:pPr>
        <w:spacing w:after="0" w:line="161" w:lineRule="exact"/>
        <w:rPr>
          <w:sz w:val="20"/>
          <w:szCs w:val="20"/>
          <w:color w:val="auto"/>
        </w:rPr>
      </w:pPr>
    </w:p>
    <w:p>
      <w:pPr>
        <w:ind w:left="1680" w:right="599" w:firstLine="316"/>
        <w:spacing w:after="0" w:line="256" w:lineRule="auto"/>
        <w:rPr>
          <w:sz w:val="20"/>
          <w:szCs w:val="20"/>
          <w:color w:val="auto"/>
        </w:rPr>
      </w:pPr>
      <w:r>
        <w:rPr>
          <w:rFonts w:ascii="Times New Roman" w:cs="Times New Roman" w:eastAsia="Times New Roman" w:hAnsi="Times New Roman"/>
          <w:sz w:val="13"/>
          <w:szCs w:val="13"/>
          <w:color w:val="auto"/>
        </w:rPr>
        <w:t>As a result of these investments and expenditures, we may experience losses in future periods that may increase significantly. Therefore, our losses in future periods may be significantly greater than the losses we would incur if we developed our business more slowly. In addition, we may find that these efforts are more expensive than we currently anticipate or that they may not result in increases in our revenues. We cannot be certain that we will be able to achieve, sustain, or increase profitability on a quarterly or annual basis. Any failure by us to achieve and sustain profitability would cause the trading price of our Class A common stock to decline.</w:t>
      </w:r>
    </w:p>
    <w:p>
      <w:pPr>
        <w:spacing w:after="0" w:line="207" w:lineRule="exact"/>
        <w:rPr>
          <w:sz w:val="20"/>
          <w:szCs w:val="20"/>
          <w:color w:val="auto"/>
        </w:rPr>
      </w:pPr>
    </w:p>
    <w:p>
      <w:pPr>
        <w:ind w:left="1680" w:right="75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We believe our long-term value as a company will be greater if we focus on growth, which may negatively impact our profitability in the near and medium term.</w:t>
      </w:r>
    </w:p>
    <w:p>
      <w:pPr>
        <w:spacing w:after="0" w:line="39" w:lineRule="exact"/>
        <w:rPr>
          <w:sz w:val="20"/>
          <w:szCs w:val="20"/>
          <w:color w:val="auto"/>
        </w:rPr>
      </w:pPr>
    </w:p>
    <w:p>
      <w:pPr>
        <w:ind w:left="1680" w:right="599" w:firstLine="316"/>
        <w:spacing w:after="0" w:line="253" w:lineRule="auto"/>
        <w:rPr>
          <w:sz w:val="20"/>
          <w:szCs w:val="20"/>
          <w:color w:val="auto"/>
        </w:rPr>
      </w:pPr>
      <w:r>
        <w:rPr>
          <w:rFonts w:ascii="Times New Roman" w:cs="Times New Roman" w:eastAsia="Times New Roman" w:hAnsi="Times New Roman"/>
          <w:sz w:val="13"/>
          <w:szCs w:val="13"/>
          <w:color w:val="auto"/>
        </w:rPr>
        <w:t>A significant part of our business strategy and culture is to focus on long-term growth and customer success over short-term financial results. For example, in fiscal 2020, we increased our operating expenses to $242.4 million as compared to $115.0 million in fiscal 2019. In fiscal 2020, our net loss increased to $118.6 million from $50.9 million in fiscal 2019. As a result, in the near and medium term, we may continue to operate at a loss, or our near- and medium-term profitability may be lower than it would be if our strategy were to maximize near- and medium-term profitability. We expect to continue making significant expenditures on sales and marketing efforts, and expenditures to grow our platform and develop new features, integrations, capabilities, and enhancements to our platform. Such expenditures may not result in improved business results or profitability over the long term. If we are ultimately unable to achieve or improve profitability at the level or during the time frame anticipated by securities or industry analysts and our stockholders, the trading price of our Class A common stock may decline.</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10159"/>
          </w:cols>
          <w:pgMar w:left="300" w:top="367" w:right="1440" w:bottom="1440" w:gutter="0" w:footer="0" w:header="0"/>
        </w:sectPr>
      </w:pPr>
    </w:p>
    <w:bookmarkStart w:id="21" w:name="page22"/>
    <w:bookmarkEnd w:id="2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i w:val="1"/>
          <w:iCs w:val="1"/>
          <w:color w:val="auto"/>
        </w:rPr>
        <w:t>Our quarterly results may fluctuate significantly and may not meet our expectations or those of investors or securities analysts.</w:t>
      </w:r>
    </w:p>
    <w:p>
      <w:pPr>
        <w:spacing w:after="0" w:line="87" w:lineRule="exact"/>
        <w:rPr>
          <w:sz w:val="20"/>
          <w:szCs w:val="20"/>
          <w:color w:val="auto"/>
        </w:rPr>
      </w:pPr>
    </w:p>
    <w:p>
      <w:pPr>
        <w:ind w:left="1680" w:right="599" w:firstLine="316"/>
        <w:spacing w:after="0" w:line="263" w:lineRule="auto"/>
        <w:rPr>
          <w:sz w:val="20"/>
          <w:szCs w:val="20"/>
          <w:color w:val="auto"/>
        </w:rPr>
      </w:pPr>
      <w:r>
        <w:rPr>
          <w:rFonts w:ascii="Times New Roman" w:cs="Times New Roman" w:eastAsia="Times New Roman" w:hAnsi="Times New Roman"/>
          <w:sz w:val="13"/>
          <w:szCs w:val="13"/>
          <w:color w:val="auto"/>
        </w:rPr>
        <w:t>Our quarterly results of operations, including the levels of our revenues, deferred revenue, working capital, and cash flows, may vary significantly in the future, such that period-to-period comparisons of our results of operations may not be meaningful. Our quarterly financial results may fluctuate due to a variety of factors, many of which are outside of our control and may be difficult to predict, including, but not limited to:</w:t>
      </w:r>
    </w:p>
    <w:p>
      <w:pPr>
        <w:spacing w:after="0" w:line="61" w:lineRule="exact"/>
        <w:rPr>
          <w:sz w:val="20"/>
          <w:szCs w:val="20"/>
          <w:color w:val="auto"/>
        </w:rPr>
      </w:pPr>
    </w:p>
    <w:p>
      <w:pPr>
        <w:ind w:left="2380" w:hanging="381"/>
        <w:spacing w:after="0"/>
        <w:tabs>
          <w:tab w:leader="none" w:pos="2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level of demand for our platform;</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grow or maintain our dollar-based net retention rate, expand usage within organizations, and sell subscriptions;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convert individuals, teams, and organizations using our free and trial versions into paying customers;</w:t>
      </w:r>
    </w:p>
    <w:p>
      <w:pPr>
        <w:spacing w:after="0" w:line="92" w:lineRule="exact"/>
        <w:rPr>
          <w:rFonts w:ascii="Times New Roman" w:cs="Times New Roman" w:eastAsia="Times New Roman" w:hAnsi="Times New Roman"/>
          <w:sz w:val="13"/>
          <w:szCs w:val="13"/>
          <w:color w:val="auto"/>
        </w:rPr>
      </w:pPr>
    </w:p>
    <w:p>
      <w:pPr>
        <w:ind w:left="2380" w:right="739" w:hanging="381"/>
        <w:spacing w:after="0" w:line="277" w:lineRule="auto"/>
        <w:tabs>
          <w:tab w:leader="none" w:pos="2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timing and success of new features, integrations, capabilities, and enhancements by us to our platform, or by our competitors to their products, or any other changes in the competitive landscape of our market;</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achieve widespread acceptance and use of our platform;</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errors in our forecasting of the demand for our platform, which would lead to lower revenues, increased costs, or both;</w:t>
      </w:r>
    </w:p>
    <w:p>
      <w:pPr>
        <w:spacing w:after="0" w:line="92" w:lineRule="exact"/>
        <w:rPr>
          <w:rFonts w:ascii="Times New Roman" w:cs="Times New Roman" w:eastAsia="Times New Roman" w:hAnsi="Times New Roman"/>
          <w:sz w:val="13"/>
          <w:szCs w:val="13"/>
          <w:color w:val="auto"/>
        </w:rPr>
      </w:pPr>
    </w:p>
    <w:p>
      <w:pPr>
        <w:ind w:left="2380" w:right="599" w:hanging="381"/>
        <w:spacing w:after="0" w:line="277" w:lineRule="auto"/>
        <w:tabs>
          <w:tab w:leader="none" w:pos="2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and timing of operating expenses and capital expenditures, as well as entry into operating leases, that we may incur to maintain and expand our business and operations and to remain competitive;</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timing of expenses and recognition of revenues;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security breaches, technical difficulties, or interruptions to our platform;</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pricing pressure as a result of competition or otherwise;</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adverse litigation judgments, other dispute-related settlement payments, or other litigation-related costs;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new employees hired;</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timing of the grant or vesting of equity awards to employees, directors, or consultants;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seasonal buying patterns for software spending;</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declines in the values of foreign currencies relative to the U.S. dollar;</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and continuing uncertainty in relation to, the legislative or regulatory environment;</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legal and regulatory compliance costs in new and existing markets;</w:t>
      </w:r>
    </w:p>
    <w:p>
      <w:pPr>
        <w:spacing w:after="0" w:line="92" w:lineRule="exact"/>
        <w:rPr>
          <w:rFonts w:ascii="Times New Roman" w:cs="Times New Roman" w:eastAsia="Times New Roman" w:hAnsi="Times New Roman"/>
          <w:sz w:val="13"/>
          <w:szCs w:val="13"/>
          <w:color w:val="auto"/>
        </w:rPr>
      </w:pPr>
    </w:p>
    <w:p>
      <w:pPr>
        <w:ind w:left="2380" w:right="919" w:hanging="381"/>
        <w:spacing w:after="0" w:line="277" w:lineRule="auto"/>
        <w:tabs>
          <w:tab w:leader="none" w:pos="2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costs and timing of expenses related to the potential acquisition of businesses, talent, technologies, or intellectual property, including potentially significant amortization costs and possible write-downs;</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health epidemics, such as the COVID-19 pandemic, influenza, and other highly communicable diseases or viruses; and</w:t>
      </w:r>
    </w:p>
    <w:p>
      <w:pPr>
        <w:spacing w:after="0" w:line="92" w:lineRule="exact"/>
        <w:rPr>
          <w:rFonts w:ascii="Times New Roman" w:cs="Times New Roman" w:eastAsia="Times New Roman" w:hAnsi="Times New Roman"/>
          <w:sz w:val="13"/>
          <w:szCs w:val="13"/>
          <w:color w:val="auto"/>
        </w:rPr>
      </w:pPr>
    </w:p>
    <w:p>
      <w:pPr>
        <w:ind w:left="2380" w:right="619" w:hanging="381"/>
        <w:spacing w:after="0" w:line="277" w:lineRule="auto"/>
        <w:tabs>
          <w:tab w:leader="none" w:pos="2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general economic conditions in either domestic or international markets, including geopolitical uncertainty and instability and their effects on software spending.</w:t>
      </w:r>
    </w:p>
    <w:p>
      <w:pPr>
        <w:spacing w:after="0" w:line="120" w:lineRule="exact"/>
        <w:rPr>
          <w:sz w:val="20"/>
          <w:szCs w:val="20"/>
          <w:color w:val="auto"/>
        </w:rPr>
      </w:pPr>
    </w:p>
    <w:p>
      <w:pPr>
        <w:ind w:left="1680" w:right="599" w:firstLine="316"/>
        <w:spacing w:after="0" w:line="277" w:lineRule="auto"/>
        <w:rPr>
          <w:sz w:val="20"/>
          <w:szCs w:val="20"/>
          <w:color w:val="auto"/>
        </w:rPr>
      </w:pPr>
      <w:r>
        <w:rPr>
          <w:rFonts w:ascii="Times New Roman" w:cs="Times New Roman" w:eastAsia="Times New Roman" w:hAnsi="Times New Roman"/>
          <w:sz w:val="13"/>
          <w:szCs w:val="13"/>
          <w:color w:val="auto"/>
        </w:rPr>
        <w:t>Any one or more of the factors above may result in significant fluctuations in our quarterly results of operations, which may negatively impact the trading price of our Class A common stock. You should not rely on our past results as an indicator of our future performance.</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10159"/>
          </w:cols>
          <w:pgMar w:left="300" w:top="367" w:right="1440" w:bottom="1440" w:gutter="0" w:footer="0" w:header="0"/>
        </w:sectPr>
      </w:pPr>
    </w:p>
    <w:bookmarkStart w:id="22" w:name="page23"/>
    <w:bookmarkEnd w:id="2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799" w:firstLine="316"/>
        <w:spacing w:after="0" w:line="258" w:lineRule="auto"/>
        <w:rPr>
          <w:sz w:val="20"/>
          <w:szCs w:val="20"/>
          <w:color w:val="auto"/>
        </w:rPr>
      </w:pPr>
      <w:r>
        <w:rPr>
          <w:rFonts w:ascii="Times New Roman" w:cs="Times New Roman" w:eastAsia="Times New Roman" w:hAnsi="Times New Roman"/>
          <w:sz w:val="13"/>
          <w:szCs w:val="13"/>
          <w:color w:val="auto"/>
        </w:rPr>
        <w:t>The variability and unpredictability of our quarterly results of operations or other operating metrics could result in our failure to meet our expectations or those of investors or analysts with respect to revenues or other metrics for a particular period. If we fail to meet or exceed such expectations for these or any other reasons, the trading price of our Class A common stock would fall, and we would face costly litigation, including securities class action lawsuits.</w:t>
      </w:r>
    </w:p>
    <w:p>
      <w:pPr>
        <w:spacing w:after="0" w:line="20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We may not be able to effectively manage our growth.</w:t>
      </w:r>
    </w:p>
    <w:p>
      <w:pPr>
        <w:spacing w:after="0" w:line="87" w:lineRule="exact"/>
        <w:rPr>
          <w:sz w:val="20"/>
          <w:szCs w:val="20"/>
          <w:color w:val="auto"/>
        </w:rPr>
      </w:pPr>
    </w:p>
    <w:p>
      <w:pPr>
        <w:ind w:left="1680" w:right="599" w:firstLine="316"/>
        <w:spacing w:after="0" w:line="254" w:lineRule="auto"/>
        <w:rPr>
          <w:sz w:val="20"/>
          <w:szCs w:val="20"/>
          <w:color w:val="auto"/>
        </w:rPr>
      </w:pPr>
      <w:r>
        <w:rPr>
          <w:rFonts w:ascii="Times New Roman" w:cs="Times New Roman" w:eastAsia="Times New Roman" w:hAnsi="Times New Roman"/>
          <w:sz w:val="13"/>
          <w:szCs w:val="13"/>
          <w:color w:val="auto"/>
        </w:rPr>
        <w:t>We have experienced rapid growth and increased demand for our platform. The growth and expansion of our business and platform may place a significant strain on our management, operational, and financial resources. We are required to manage multiple relationships with various strategic partners, customers, and other third parties. In the event of further growth of our operations or in the number of our third-party relationships, our computer systems, procedures, or internal controls may not be adequate to support our operations, and our management may not be able to manage such growth effectively. To effectively manage our growth, we must continue to implement and improve our operational, financial, and management information systems and expand, train, and manage our employee base.</w:t>
      </w:r>
    </w:p>
    <w:p>
      <w:pPr>
        <w:spacing w:after="0" w:line="210" w:lineRule="exact"/>
        <w:rPr>
          <w:sz w:val="20"/>
          <w:szCs w:val="20"/>
          <w:color w:val="auto"/>
        </w:rPr>
      </w:pPr>
    </w:p>
    <w:p>
      <w:pPr>
        <w:ind w:left="1680" w:right="85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The COVID-19 pandemic has affected how we and our customers operate and has adversely affected the global economy, and the duration and extent to which this will affect our business, future results of operations, and financial condition remains uncertain.</w:t>
      </w:r>
    </w:p>
    <w:p>
      <w:pPr>
        <w:spacing w:after="0" w:line="39" w:lineRule="exact"/>
        <w:rPr>
          <w:sz w:val="20"/>
          <w:szCs w:val="20"/>
          <w:color w:val="auto"/>
        </w:rPr>
      </w:pPr>
    </w:p>
    <w:p>
      <w:pPr>
        <w:ind w:left="1680" w:right="599" w:firstLine="316"/>
        <w:spacing w:after="0" w:line="254" w:lineRule="auto"/>
        <w:rPr>
          <w:sz w:val="20"/>
          <w:szCs w:val="20"/>
          <w:color w:val="auto"/>
        </w:rPr>
      </w:pPr>
      <w:r>
        <w:rPr>
          <w:rFonts w:ascii="Times New Roman" w:cs="Times New Roman" w:eastAsia="Times New Roman" w:hAnsi="Times New Roman"/>
          <w:sz w:val="13"/>
          <w:szCs w:val="13"/>
          <w:color w:val="auto"/>
        </w:rPr>
        <w:t>In December 2019, COVID-19 was first reported to the World Health Organization, or WHO, and in January 2020, the WHO declared the outbreak to be a public health emergency. In March 2020, the WHO characterized COVID-19 as a pandemic. Since then, the COVID-19 pandemic and efforts to control its spread have significantly curtailed the movement of people, goods, and services worldwide. As a result, we have temporarily closed our headquarters and most of our other offices, enabled our employees and contractors to work remotely, implemented travel restrictions, and shifted company events and meetings to virtual-only experiences, all of which may continue for an indefinite amount of time and represent a significant disruption in how we operate our business. The operations of our partners, vendors, and customers have likewise been disrupted.</w:t>
      </w:r>
    </w:p>
    <w:p>
      <w:pPr>
        <w:spacing w:after="0" w:line="136" w:lineRule="exact"/>
        <w:rPr>
          <w:sz w:val="20"/>
          <w:szCs w:val="20"/>
          <w:color w:val="auto"/>
        </w:rPr>
      </w:pPr>
    </w:p>
    <w:p>
      <w:pPr>
        <w:ind w:left="1680" w:right="579" w:firstLine="316"/>
        <w:spacing w:after="0" w:line="252" w:lineRule="auto"/>
        <w:rPr>
          <w:sz w:val="20"/>
          <w:szCs w:val="20"/>
          <w:color w:val="auto"/>
        </w:rPr>
      </w:pPr>
      <w:r>
        <w:rPr>
          <w:rFonts w:ascii="Times New Roman" w:cs="Times New Roman" w:eastAsia="Times New Roman" w:hAnsi="Times New Roman"/>
          <w:sz w:val="13"/>
          <w:szCs w:val="13"/>
          <w:color w:val="auto"/>
        </w:rPr>
        <w:t>While the duration and extent of the COVID-19 pandemic depends on future developments that cannot be accurately predicted at this time, such as the extent and effectiveness of containment and mitigation actions, it has already had an adverse effect on the global economy, and the ultimate societal and economic impact of the COVID-19 pandemic remains unknown. In particular, the conditions caused by this pandemic may affect the rate of global IT spending, which could adversely affect demand for our platform. Further, the COVID-19 pandemic has caused us to experience, in some cases, longer sales cycles and an increase in certain prospective and current customers seeking lower prices or other more favorable contract terms, and has limited the ability of our direct sales force to travel to customers and potential customers. In addition, the COVID-19 pandemic could reduce the value or duration of subscriptions, negatively impact collections of accounts receivable, reduce expected spending from our paying customers, cause some of our paying customers to go out of business, and affect contraction or attrition rates of our paying customers, all of which could adversely affect our business, results of operations, and financial condition. Additionally, concerns over the economic impact of COVID-19 have caused extreme volatility in financial and other capital markets, which may adversely affect our stock price and our ability to access capital markets in the future.</w:t>
      </w:r>
    </w:p>
    <w:p>
      <w:pPr>
        <w:spacing w:after="0" w:line="136" w:lineRule="exact"/>
        <w:rPr>
          <w:sz w:val="20"/>
          <w:szCs w:val="20"/>
          <w:color w:val="auto"/>
        </w:rPr>
      </w:pPr>
    </w:p>
    <w:p>
      <w:pPr>
        <w:jc w:val="both"/>
        <w:ind w:left="1680" w:right="819" w:firstLine="316"/>
        <w:spacing w:after="0" w:line="263" w:lineRule="auto"/>
        <w:rPr>
          <w:sz w:val="20"/>
          <w:szCs w:val="20"/>
          <w:color w:val="auto"/>
        </w:rPr>
      </w:pPr>
      <w:r>
        <w:rPr>
          <w:rFonts w:ascii="Times New Roman" w:cs="Times New Roman" w:eastAsia="Times New Roman" w:hAnsi="Times New Roman"/>
          <w:sz w:val="13"/>
          <w:szCs w:val="13"/>
          <w:color w:val="auto"/>
        </w:rPr>
        <w:t>While we have developed and continue to develop plans to help mitigate the potential negative impact of COVID-19, these efforts may not be effective, and any protracted economic downturn will likely limit the effectiveness of our efforts. Accordingly, it is not possible for us to predict the duration and extent to which this will affect our business, future results of operations, and financial condition at this time.</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10159"/>
          </w:cols>
          <w:pgMar w:left="300" w:top="367" w:right="1440" w:bottom="1440" w:gutter="0" w:footer="0" w:header="0"/>
        </w:sectPr>
      </w:pPr>
    </w:p>
    <w:bookmarkStart w:id="23" w:name="page24"/>
    <w:bookmarkEnd w:id="2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1680" w:right="579"/>
        <w:spacing w:after="0" w:line="266" w:lineRule="auto"/>
        <w:rPr>
          <w:sz w:val="20"/>
          <w:szCs w:val="20"/>
          <w:color w:val="auto"/>
        </w:rPr>
      </w:pPr>
      <w:r>
        <w:rPr>
          <w:rFonts w:ascii="Times New Roman" w:cs="Times New Roman" w:eastAsia="Times New Roman" w:hAnsi="Times New Roman"/>
          <w:sz w:val="13"/>
          <w:szCs w:val="13"/>
          <w:b w:val="1"/>
          <w:bCs w:val="1"/>
          <w:i w:val="1"/>
          <w:iCs w:val="1"/>
          <w:color w:val="auto"/>
        </w:rPr>
        <w:t>If we are unable to attract new customers, convert individuals, teams, and organizations using our free and trial versions into paying customers, and expand usage within organizations or develop new features, integrations, capabilities, and enhancements that achieve market acceptance, our revenue growth would be harmed.</w:t>
      </w:r>
    </w:p>
    <w:p>
      <w:pPr>
        <w:spacing w:after="0" w:line="50" w:lineRule="exact"/>
        <w:rPr>
          <w:sz w:val="20"/>
          <w:szCs w:val="20"/>
          <w:color w:val="auto"/>
        </w:rPr>
      </w:pPr>
    </w:p>
    <w:p>
      <w:pPr>
        <w:ind w:left="1680" w:right="579" w:firstLine="316"/>
        <w:spacing w:after="0" w:line="271" w:lineRule="auto"/>
        <w:rPr>
          <w:sz w:val="20"/>
          <w:szCs w:val="20"/>
          <w:color w:val="auto"/>
        </w:rPr>
      </w:pPr>
      <w:r>
        <w:rPr>
          <w:rFonts w:ascii="Times New Roman" w:cs="Times New Roman" w:eastAsia="Times New Roman" w:hAnsi="Times New Roman"/>
          <w:sz w:val="12"/>
          <w:szCs w:val="12"/>
          <w:color w:val="auto"/>
        </w:rPr>
        <w:t>To increase our revenues and achieve profitability, we must increase our customer base through various methods, including but not limited to, adding new customers, converting individuals, teams, and organizations using our free and trial versions into paying customers, and expanding usage within organizations. We encourage customers on our free and trial versions to upgrade to paid subscriptions plans and customers of our Premium plan to upgrade to our Business or Enterprise plans. Additionally, we seek to expand within enterprises by adding new customers, having organizations upgrade to our Business or Enterprise plans, or expanding their use of our platform into other departments within an organization. While we have experienced significant growth in the number of customers, we do not know whether we will continue to achieve similar customer growth rates in the future. Numerous factors may impede our ability to add new customers, convert individuals, teams, and organizations using our free and trial versions into paying customers, expand usage within organizations, and sell subscriptions to our platform, including but not limited to, our failure to attract and effectively train new sales and marketing personnel, failure to retain and motivate our current sales and marketing personnel, failure to develop or expand relationships with partners, failure to compete effectively against alternative products or services, failure to successfully deploy new features and integrations, failure to provide a quality customer experience and customer support, or failure to ensure the effectiveness of our marketing programs. Additionally, as we focus on increasing our sales to larger organizations, we will be required to deploy sophisticated and costly sales efforts, which may result in longer sales cycles. Sales efforts targeted at larger customers typically involve greater costs, longer sales cycles, greater competition, and less predictability in completing some of our sales. In the large enterprise market, the customer’s decision to use our platform can sometimes be an enterprise-wide decision, in which case, we will likely be required to provide greater levels of customer education to familiarize potential customers with the use and benefits of our platform, as well as training and support. In addition, larger enterprises may demand more customization, integration and support services, and features. As a result of these factors, these sales opportunities may require us to devote greater sales, research and development, and customer support resources to these customers, resulting in increased costs, lengthened sales cycles, and diversion of our own sales and professional services resources to a smaller number of larger customers. Moreover, these larger subscription plans may require us to delay revenue recognition on some of these transactions until the technical or implementation requirements have been met. In addition, the ongoing COVID-19 pandemic and related precautionary measures we and other companies are taking are impacting our sales activity. For example, like many other companies, including our customers and prospects, our employees are working remotely, and we have limited all non-essential business travel. Restrictions on travel and in-person meetings have interrupted and could continue to interrupt our sales activity, and we cannot predict whether, for how long, or the extent to which the COVID-19 pandemic and related precautionary measures may have an impact. If our efforts to sell to organizations of all sizes are not successful or do not generate additional revenues, our business, results of operations, and financial condition would suffer.</w:t>
      </w:r>
    </w:p>
    <w:p>
      <w:pPr>
        <w:spacing w:after="0" w:line="200" w:lineRule="exact"/>
        <w:rPr>
          <w:sz w:val="20"/>
          <w:szCs w:val="20"/>
          <w:color w:val="auto"/>
        </w:rPr>
      </w:pPr>
    </w:p>
    <w:p>
      <w:pPr>
        <w:spacing w:after="0" w:line="249" w:lineRule="exact"/>
        <w:rPr>
          <w:sz w:val="20"/>
          <w:szCs w:val="20"/>
          <w:color w:val="auto"/>
        </w:rPr>
      </w:pPr>
    </w:p>
    <w:p>
      <w:pPr>
        <w:ind w:left="1680" w:right="559" w:firstLine="316"/>
        <w:spacing w:after="0" w:line="252" w:lineRule="auto"/>
        <w:rPr>
          <w:sz w:val="20"/>
          <w:szCs w:val="20"/>
          <w:color w:val="auto"/>
        </w:rPr>
      </w:pPr>
      <w:r>
        <w:rPr>
          <w:rFonts w:ascii="Times New Roman" w:cs="Times New Roman" w:eastAsia="Times New Roman" w:hAnsi="Times New Roman"/>
          <w:sz w:val="13"/>
          <w:szCs w:val="13"/>
          <w:color w:val="auto"/>
        </w:rPr>
        <w:t>In addition, we believe that many of our new customers originate from word-of-mouth and other non-paid referrals from existing customers, so we must ensure that our existing customers remain loyal to our platform in order to continue receiving those referrals. Our ability to attract new customers and increase revenues from existing paying customers depends in large part on our ability to continually enhance and improve our platform and the features, integrations, and capabilities we offer, and to introduce compelling new features, integrations, and capabilities that reflect the changing nature of our market in order to maintain and improve the quality and value of our platform. Accordingly, we must continue to invest in research and development and in our ongoing efforts to improve and enhance our platform. The success of any enhancement to our platform depends on several factors, including timely completion and delivery, competitive pricing, adequate quality testing, integration with existing technologies, and overall market acceptance. Any new features, integrations, and capabilities that we develop may not be introduced in a timely or cost-effective manner, may contain errors, failures, vulnerabilities, or bugs, or may not achieve the market acceptance necessary to generate significant revenues. Furthermore, the</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10159"/>
          </w:cols>
          <w:pgMar w:left="300" w:top="367" w:right="1440" w:bottom="1440" w:gutter="0" w:footer="0" w:header="0"/>
        </w:sectPr>
      </w:pPr>
    </w:p>
    <w:bookmarkStart w:id="24" w:name="page25"/>
    <w:bookmarkEnd w:id="2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59"/>
        <w:spacing w:after="0" w:line="263" w:lineRule="auto"/>
        <w:rPr>
          <w:sz w:val="20"/>
          <w:szCs w:val="20"/>
          <w:color w:val="auto"/>
        </w:rPr>
      </w:pPr>
      <w:r>
        <w:rPr>
          <w:rFonts w:ascii="Times New Roman" w:cs="Times New Roman" w:eastAsia="Times New Roman" w:hAnsi="Times New Roman"/>
          <w:sz w:val="13"/>
          <w:szCs w:val="13"/>
          <w:color w:val="auto"/>
        </w:rPr>
        <w:t>COVID-19 pandemic could have an impact on our plans to offer certain new features, integrations, and capabilities in a timely manner, particularly if we experience impacts to productivity due to our employees or their family members experiencing health issues, if our employees continue to work remotely for extended periods, or if there are increasing delays in the hiring and onboarding of new employees.</w:t>
      </w:r>
    </w:p>
    <w:p>
      <w:pPr>
        <w:spacing w:after="0" w:line="129" w:lineRule="exact"/>
        <w:rPr>
          <w:sz w:val="20"/>
          <w:szCs w:val="20"/>
          <w:color w:val="auto"/>
        </w:rPr>
      </w:pPr>
    </w:p>
    <w:p>
      <w:pPr>
        <w:ind w:left="1680" w:right="579" w:firstLine="316"/>
        <w:spacing w:after="0" w:line="250" w:lineRule="auto"/>
        <w:rPr>
          <w:sz w:val="20"/>
          <w:szCs w:val="20"/>
          <w:color w:val="auto"/>
        </w:rPr>
      </w:pPr>
      <w:r>
        <w:rPr>
          <w:rFonts w:ascii="Times New Roman" w:cs="Times New Roman" w:eastAsia="Times New Roman" w:hAnsi="Times New Roman"/>
          <w:sz w:val="13"/>
          <w:szCs w:val="13"/>
          <w:color w:val="auto"/>
        </w:rPr>
        <w:t>Moreover, our business is subscription based, and customers are not obligated to and may not renew their subscriptions after their existing subscriptions expire, and we cannot ensure that customers will renew subscriptions with a similar contract period, with the same or greater number of users, or for the same level of subscription plan or upgrade to Business and Enterprise plans. Customers may or may not renew their subscription plans as a result of a number of factors, including their satisfaction or dissatisfaction with our platform, our pricing or pricing structure, the pricing or capabilities of the products and services offered by our competitors, the effects of general economic conditions, or customers’ budgetary constraints. If customers do not renew their subscriptions, renew on less favorable terms, or fail to add more individuals, teams, and organizations, or if we fail to upgrade individuals, teams, and organizations to our paid subscription plans, or expand the adoption of our platform within organizations, our revenues may decline or grow less quickly than anticipated, which would harm our business, results of operations, and financial condition. Additionally, we continue to monitor how COVID-19 may impact the adoption of our platform generally and our success in engaging with new customers and expanding relationships with existing customers. We also may continue to experience a reduction in renewal rates, particularly within our small and medium-sized customers, as well as reduced customer spend and delayed payments that could materially impact our business, results of operations, and financial condition in future periods. While we believe our revenues are relatively predictable in the near-term as a result of our subscription-based business model, the effect of the COVID-19 pandemic may not be fully reflected in our operating results and overall financial performance until future periods. If we fail to predict customer demands, fail to sufficiently account for the impact of COVID-19 on our sales projections, or fail to attract new customers and maintain and expand new and existing customer relationships, our revenues may grow more slowly than expected, may not grow at all, or may decline, and our business may be harmed.</w:t>
      </w:r>
    </w:p>
    <w:p>
      <w:pPr>
        <w:spacing w:after="0" w:line="219" w:lineRule="exact"/>
        <w:rPr>
          <w:sz w:val="20"/>
          <w:szCs w:val="20"/>
          <w:color w:val="auto"/>
        </w:rPr>
      </w:pPr>
    </w:p>
    <w:p>
      <w:pPr>
        <w:ind w:left="1680" w:right="103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One of our marketing strategies is to offer free and trial subscription plans, and we may not be able to continue to realize the benefits of this strategy.</w:t>
      </w:r>
    </w:p>
    <w:p>
      <w:pPr>
        <w:spacing w:after="0" w:line="39" w:lineRule="exact"/>
        <w:rPr>
          <w:sz w:val="20"/>
          <w:szCs w:val="20"/>
          <w:color w:val="auto"/>
        </w:rPr>
      </w:pPr>
    </w:p>
    <w:p>
      <w:pPr>
        <w:ind w:left="1680" w:right="599" w:firstLine="316"/>
        <w:spacing w:after="0" w:line="253" w:lineRule="auto"/>
        <w:rPr>
          <w:sz w:val="20"/>
          <w:szCs w:val="20"/>
          <w:color w:val="auto"/>
        </w:rPr>
      </w:pPr>
      <w:r>
        <w:rPr>
          <w:rFonts w:ascii="Times New Roman" w:cs="Times New Roman" w:eastAsia="Times New Roman" w:hAnsi="Times New Roman"/>
          <w:sz w:val="13"/>
          <w:szCs w:val="13"/>
          <w:color w:val="auto"/>
        </w:rPr>
        <w:t>We offer free and trial subscription plans to promote brand awareness and organic adoption of our platform. Historically, only a small percentage of individuals, teams, and organizations using our free and trial subscription plans has converted into one of our paid subscription plans. Our marketing strategy depends in part on individuals, teams, and organizations who use our free and trial versions of our platform convincing others within their organizations to use Asana and to become paying customers. To the extent that increasing numbers of these individuals, teams, and organizations do not become, or lead others to become, paying customers, we will not realize the intended benefits of this marketing strategy, we will continue to pay the costs associated with hosting such free and trial versions, our ability to grow our business will be harmed, and our business, results of operations, and financial condition will suffer.</w:t>
      </w:r>
    </w:p>
    <w:p>
      <w:pPr>
        <w:spacing w:after="0" w:line="21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We derive, and expect to continue to derive, substantially all of our revenues from a single solution.</w:t>
      </w:r>
    </w:p>
    <w:p>
      <w:pPr>
        <w:spacing w:after="0" w:line="87" w:lineRule="exact"/>
        <w:rPr>
          <w:sz w:val="20"/>
          <w:szCs w:val="20"/>
          <w:color w:val="auto"/>
        </w:rPr>
      </w:pPr>
    </w:p>
    <w:p>
      <w:pPr>
        <w:ind w:left="1680" w:right="559" w:firstLine="316"/>
        <w:spacing w:after="0" w:line="253" w:lineRule="auto"/>
        <w:rPr>
          <w:sz w:val="20"/>
          <w:szCs w:val="20"/>
          <w:color w:val="auto"/>
        </w:rPr>
      </w:pPr>
      <w:r>
        <w:rPr>
          <w:rFonts w:ascii="Times New Roman" w:cs="Times New Roman" w:eastAsia="Times New Roman" w:hAnsi="Times New Roman"/>
          <w:sz w:val="13"/>
          <w:szCs w:val="13"/>
          <w:color w:val="auto"/>
        </w:rPr>
        <w:t>We derive, and expect to continue to derive, substantially all of our revenues from a single solution. As such, the continued growth in market demand for and market acceptance, including international market acceptance, of our platform is critical to our continued success. Demand for our platform is affected by a number of factors, some of which are beyond our control, such as the rate of market adoption of work management solutions; the timing of development and release of competing new products; the development and acceptance of new features, integrations, and capabilities for our platform; price, product, and service changes by us or our competitors; technological changes and developments within the markets we serve; growth, contraction, and rapid evolution of our market; and general economic conditions and trends. If we are unable to continue to meet the demands of individuals, teams, and organizations or trends in preferences for work management solutions or to achieve more widespread market acceptance of our platform, our business, results of operations, and financial condition would be harmed. Changes</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10159"/>
          </w:cols>
          <w:pgMar w:left="300" w:top="367" w:right="1440" w:bottom="1440" w:gutter="0" w:footer="0" w:header="0"/>
        </w:sectPr>
      </w:pPr>
    </w:p>
    <w:bookmarkStart w:id="25" w:name="page26"/>
    <w:bookmarkEnd w:id="2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79"/>
        <w:spacing w:after="0" w:line="258" w:lineRule="auto"/>
        <w:rPr>
          <w:sz w:val="20"/>
          <w:szCs w:val="20"/>
          <w:color w:val="auto"/>
        </w:rPr>
      </w:pPr>
      <w:r>
        <w:rPr>
          <w:rFonts w:ascii="Times New Roman" w:cs="Times New Roman" w:eastAsia="Times New Roman" w:hAnsi="Times New Roman"/>
          <w:sz w:val="13"/>
          <w:szCs w:val="13"/>
          <w:color w:val="auto"/>
        </w:rPr>
        <w:t>in preferences of our current or potential customers may have a disproportionately greater impact on us than if we offered multiple products. In addition, some current and potential customers, particularly larger organizations, may develop or acquire their own tools or continue to rely on traditional tools and software for their work management solutions, which would reduce or eliminate their demand for our platform. If demand for our platform declines for any of these or other reasons, our business, results of operations, and financial condition would be adversely affected.</w:t>
      </w:r>
    </w:p>
    <w:p>
      <w:pPr>
        <w:spacing w:after="0" w:line="206" w:lineRule="exact"/>
        <w:rPr>
          <w:sz w:val="20"/>
          <w:szCs w:val="20"/>
          <w:color w:val="auto"/>
        </w:rPr>
      </w:pPr>
    </w:p>
    <w:p>
      <w:pPr>
        <w:ind w:left="1680" w:right="77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If the market for work management solutions develops more slowly than we expect or declines, our business would be adversely affected, and the estimates of market opportunity and forecasts of market growth included in this prospectus may prove to be inaccurate.</w:t>
      </w:r>
    </w:p>
    <w:p>
      <w:pPr>
        <w:spacing w:after="0" w:line="39" w:lineRule="exact"/>
        <w:rPr>
          <w:sz w:val="20"/>
          <w:szCs w:val="20"/>
          <w:color w:val="auto"/>
        </w:rPr>
      </w:pPr>
    </w:p>
    <w:p>
      <w:pPr>
        <w:ind w:left="1680" w:right="579" w:firstLine="316"/>
        <w:spacing w:after="0" w:line="252" w:lineRule="auto"/>
        <w:rPr>
          <w:sz w:val="20"/>
          <w:szCs w:val="20"/>
          <w:color w:val="auto"/>
        </w:rPr>
      </w:pPr>
      <w:r>
        <w:rPr>
          <w:rFonts w:ascii="Times New Roman" w:cs="Times New Roman" w:eastAsia="Times New Roman" w:hAnsi="Times New Roman"/>
          <w:sz w:val="13"/>
          <w:szCs w:val="13"/>
          <w:color w:val="auto"/>
        </w:rPr>
        <w:t>It is uncertain whether work management solutions will achieve and sustain high levels of customer demand and market acceptance given the relatively early stage of development of this market. Our success will depend to a substantial extent on the widespread adoption of work management solutions generally. Individuals and organizations may be reluctant or unwilling to migrate to work management solutions from spreadsheets, email, messaging, and legacy project management tools. It is difficult to predict adoption rates and demand for our platform, the future growth rate and size of the market for work management solutions, or the entry of competitive offerings. The expansion of the work management solutions market depends on a number of factors, including the cost, performance, and perceived value associated with work management solutions. If work management solutions do not achieve widespread adoption, or there is a reduction in demand for work management solutions caused by a lack of customer acceptance, technological challenges, weakening economic conditions, security or privacy concerns, competing technologies and products, decreases in corporate spending, or otherwise, it could result in decreased revenues, and our business, results of operations, and financial condition would be adversely affected.</w:t>
      </w:r>
    </w:p>
    <w:p>
      <w:pPr>
        <w:spacing w:after="0" w:line="21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We operate in a highly competitive industry, and competition presents an ongoing threat to the success of our business.</w:t>
      </w:r>
    </w:p>
    <w:p>
      <w:pPr>
        <w:spacing w:after="0" w:line="87" w:lineRule="exact"/>
        <w:rPr>
          <w:sz w:val="20"/>
          <w:szCs w:val="20"/>
          <w:color w:val="auto"/>
        </w:rPr>
      </w:pPr>
    </w:p>
    <w:p>
      <w:pPr>
        <w:ind w:left="1680" w:right="559" w:firstLine="316"/>
        <w:spacing w:after="0" w:line="253" w:lineRule="auto"/>
        <w:rPr>
          <w:sz w:val="20"/>
          <w:szCs w:val="20"/>
          <w:color w:val="auto"/>
        </w:rPr>
      </w:pPr>
      <w:r>
        <w:rPr>
          <w:rFonts w:ascii="Times New Roman" w:cs="Times New Roman" w:eastAsia="Times New Roman" w:hAnsi="Times New Roman"/>
          <w:sz w:val="13"/>
          <w:szCs w:val="13"/>
          <w:color w:val="auto"/>
        </w:rPr>
        <w:t>The market for work management solutions is increasingly competitive, fragmented, and subject to rapidly changing technology, shifting user and customer needs, new market entrants, and frequent introductions of new products and services. We compete with companies that range in size from large and diversified with significant spending resources to smaller companies. Our competition addresses the project management and work management categories, including, but not limited to, solutions relating to email, messaging, and spreadsheets. Our competitors generally fall into the following groups: companies specifically offering work management solutions, such as Smartsheet Inc. and monday.com Ltd.; companies offering productivity suites, such as Microsoft Corporation, or Microsoft, and Alphabet, Inc., or Google; and companies specializing in vertical solutions that address a portion of our market, such as Atlassian Corporation Plc for developers.</w:t>
      </w:r>
    </w:p>
    <w:p>
      <w:pPr>
        <w:spacing w:after="0" w:line="13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We believe that our ability to compete depends upon many factors both within and beyond our control, including the following:</w:t>
      </w:r>
    </w:p>
    <w:p>
      <w:pPr>
        <w:spacing w:after="0" w:line="93" w:lineRule="exact"/>
        <w:rPr>
          <w:sz w:val="20"/>
          <w:szCs w:val="20"/>
          <w:color w:val="auto"/>
        </w:rPr>
      </w:pPr>
    </w:p>
    <w:p>
      <w:pPr>
        <w:ind w:left="2380" w:hanging="381"/>
        <w:spacing w:after="0"/>
        <w:tabs>
          <w:tab w:leader="none" w:pos="23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adaptability of our platform to a broad range of use cases;</w:t>
      </w:r>
    </w:p>
    <w:p>
      <w:pPr>
        <w:spacing w:after="0" w:line="92" w:lineRule="exact"/>
        <w:rPr>
          <w:rFonts w:ascii="Times New Roman" w:cs="Times New Roman" w:eastAsia="Times New Roman" w:hAnsi="Times New Roman"/>
          <w:sz w:val="13"/>
          <w:szCs w:val="13"/>
          <w:color w:val="auto"/>
        </w:rPr>
      </w:pPr>
    </w:p>
    <w:p>
      <w:pPr>
        <w:ind w:left="2380" w:right="699" w:hanging="381"/>
        <w:spacing w:after="0" w:line="277" w:lineRule="auto"/>
        <w:tabs>
          <w:tab w:leader="none" w:pos="23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continued market acceptance of our platform and the timing and market acceptance of new features and enhancements to our platform or the offerings of our competitors;</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ease of use, performance, price, security, and reliability of solutions developed either by us or our competitors;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brand strength;</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selling and marketing efforts, including our ability to grow our market share domestically and internationally;</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size and diversity of our customer base;</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customer support efforts; and</w:t>
      </w:r>
    </w:p>
    <w:p>
      <w:pPr>
        <w:spacing w:after="0" w:line="1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10159"/>
          </w:cols>
          <w:pgMar w:left="300" w:top="367" w:right="1440" w:bottom="1440" w:gutter="0" w:footer="0" w:header="0"/>
        </w:sectPr>
      </w:pPr>
    </w:p>
    <w:bookmarkStart w:id="26" w:name="page27"/>
    <w:bookmarkEnd w:id="2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2380" w:right="999" w:hanging="381"/>
        <w:spacing w:after="0" w:line="277" w:lineRule="auto"/>
        <w:tabs>
          <w:tab w:leader="none" w:pos="23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continue to create easy to use integrations for, and robust, effective partnerships with, other larger enterprise software solutions and tools.</w:t>
      </w:r>
    </w:p>
    <w:p>
      <w:pPr>
        <w:spacing w:after="0" w:line="120" w:lineRule="exact"/>
        <w:rPr>
          <w:sz w:val="20"/>
          <w:szCs w:val="20"/>
          <w:color w:val="auto"/>
        </w:rPr>
      </w:pPr>
    </w:p>
    <w:p>
      <w:pPr>
        <w:ind w:left="1680" w:right="679" w:firstLine="316"/>
        <w:spacing w:after="0" w:line="253" w:lineRule="auto"/>
        <w:rPr>
          <w:sz w:val="20"/>
          <w:szCs w:val="20"/>
          <w:color w:val="auto"/>
        </w:rPr>
      </w:pPr>
      <w:r>
        <w:rPr>
          <w:rFonts w:ascii="Times New Roman" w:cs="Times New Roman" w:eastAsia="Times New Roman" w:hAnsi="Times New Roman"/>
          <w:sz w:val="13"/>
          <w:szCs w:val="13"/>
          <w:color w:val="auto"/>
        </w:rPr>
        <w:t>Many of our current and potential competitors may have longer operating histories, greater brand name recognition, stronger and more extensive partner relationships, significantly greater financial, technical, marketing, and other resources, lower labor and development costs, and larger customer bases than we do. These competitors may engage in more extensive research and development efforts, undertake more far-reaching marketing campaigns, and adopt more aggressive pricing policies that will allow them to build larger customer bases than we have. In addition, some of our potential customers may elect to develop their own internal applications for their work management needs. Our competitors may also offer their products and services at a lower price, or, particularly during the ongoing COVID-19 pandemic, may offer price concessions, delayed payment terms, financing terms, or other terms and conditions that are more enticing to potential customers.</w:t>
      </w:r>
    </w:p>
    <w:p>
      <w:pPr>
        <w:spacing w:after="0" w:line="138" w:lineRule="exact"/>
        <w:rPr>
          <w:sz w:val="20"/>
          <w:szCs w:val="20"/>
          <w:color w:val="auto"/>
        </w:rPr>
      </w:pPr>
    </w:p>
    <w:p>
      <w:pPr>
        <w:ind w:left="1680" w:right="759" w:firstLine="316"/>
        <w:spacing w:after="0" w:line="254" w:lineRule="auto"/>
        <w:rPr>
          <w:sz w:val="20"/>
          <w:szCs w:val="20"/>
          <w:color w:val="auto"/>
        </w:rPr>
      </w:pPr>
      <w:r>
        <w:rPr>
          <w:rFonts w:ascii="Times New Roman" w:cs="Times New Roman" w:eastAsia="Times New Roman" w:hAnsi="Times New Roman"/>
          <w:sz w:val="13"/>
          <w:szCs w:val="13"/>
          <w:color w:val="auto"/>
        </w:rPr>
        <w:t>The work management solutions market is rapidly evolving and highly competitive, with relatively low barriers to entry, and in the future there will likely be an increasing number of similar solutions offered by additional competitors. Large companies we do not currently consider to be competitors may enter the market, through acquisitions or through innovation and expansion of their existing solutions, to compete with us either directly or indirectly. Further, our potential and existing competitors may make acquisitions or enter into strategic relationships and rapidly acquire significant market share due to a larger customer base, superior product offering, more effective sales and marketing operations, or greater financial, technical, and other resources.</w:t>
      </w:r>
    </w:p>
    <w:p>
      <w:pPr>
        <w:spacing w:after="0" w:line="136" w:lineRule="exact"/>
        <w:rPr>
          <w:sz w:val="20"/>
          <w:szCs w:val="20"/>
          <w:color w:val="auto"/>
        </w:rPr>
      </w:pPr>
    </w:p>
    <w:p>
      <w:pPr>
        <w:ind w:left="1680" w:right="799" w:firstLine="316"/>
        <w:spacing w:after="0" w:line="263" w:lineRule="auto"/>
        <w:rPr>
          <w:sz w:val="20"/>
          <w:szCs w:val="20"/>
          <w:color w:val="auto"/>
        </w:rPr>
      </w:pPr>
      <w:r>
        <w:rPr>
          <w:rFonts w:ascii="Times New Roman" w:cs="Times New Roman" w:eastAsia="Times New Roman" w:hAnsi="Times New Roman"/>
          <w:sz w:val="13"/>
          <w:szCs w:val="13"/>
          <w:color w:val="auto"/>
        </w:rPr>
        <w:t>Any one of these competitive pressures in our market, or our failure to compete effectively, may result in price reductions; fewer customers; reduced revenues, gross profit, and gross margin; increased net losses; and loss of market share. Any failure to meet and address these factors would harm our business, results of operations, and financial condition.</w:t>
      </w:r>
    </w:p>
    <w:p>
      <w:pPr>
        <w:spacing w:after="0" w:line="202" w:lineRule="exact"/>
        <w:rPr>
          <w:sz w:val="20"/>
          <w:szCs w:val="20"/>
          <w:color w:val="auto"/>
        </w:rPr>
      </w:pPr>
    </w:p>
    <w:p>
      <w:pPr>
        <w:ind w:left="1680" w:right="69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Failure to effectively develop and expand our direct sales capabilities would harm our ability to expand usage of our platform within our customer base and achieve broader market acceptance of our platform.</w:t>
      </w:r>
    </w:p>
    <w:p>
      <w:pPr>
        <w:spacing w:after="0" w:line="39" w:lineRule="exact"/>
        <w:rPr>
          <w:sz w:val="20"/>
          <w:szCs w:val="20"/>
          <w:color w:val="auto"/>
        </w:rPr>
      </w:pPr>
    </w:p>
    <w:p>
      <w:pPr>
        <w:ind w:left="1680" w:right="579" w:firstLine="316"/>
        <w:spacing w:after="0" w:line="251" w:lineRule="auto"/>
        <w:rPr>
          <w:sz w:val="20"/>
          <w:szCs w:val="20"/>
          <w:color w:val="auto"/>
        </w:rPr>
      </w:pPr>
      <w:r>
        <w:rPr>
          <w:rFonts w:ascii="Times New Roman" w:cs="Times New Roman" w:eastAsia="Times New Roman" w:hAnsi="Times New Roman"/>
          <w:sz w:val="13"/>
          <w:szCs w:val="13"/>
          <w:color w:val="auto"/>
        </w:rPr>
        <w:t>Our ability to expand usage of our platform within our customer base and achieve broader market acceptance among businesses will depend to a significant extent on our ability to expand our sales operations successfully, particularly our direct sales efforts targeted at broadening use of our platform across departments and entire organizations. We plan to continue expanding our direct sales force, both domestically and internationally, to expand use of our platform within our customer base, and reach larger teams and organizations. This expansion will require us to continue to invest significant financial and other resources to train and grow our direct sales force in order to complement our self-service go-to-market approach. Our business, results of operations, and financial condition will be harmed if our efforts do not generate a corresponding increase in revenues. We may not achieve anticipated revenue growth from expanding our direct sales force if we are unable to hire and develop talented direct sales personnel, if our new direct sales personnel are unable to achieve desired productivity levels in a reasonable period of time, or if we are unable to retain our existing direct sales personnel. We believe that there is significant competition for sales personnel with the skills and technical knowledge that we require. Our ability to achieve revenue growth will depend, in large part, on our success in recruiting, training, and retaining sufficient numbers of sales personnel to support our growth.</w:t>
      </w:r>
    </w:p>
    <w:p>
      <w:pPr>
        <w:spacing w:after="0" w:line="215" w:lineRule="exact"/>
        <w:rPr>
          <w:sz w:val="20"/>
          <w:szCs w:val="20"/>
          <w:color w:val="auto"/>
        </w:rPr>
      </w:pPr>
    </w:p>
    <w:p>
      <w:pPr>
        <w:ind w:left="1680" w:right="63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The loss of one or more of our key personnel, in particular our co-founder, President, Chief Executive Officer, and Chair, Dustin Moskovitz, would harm our business.</w:t>
      </w:r>
    </w:p>
    <w:p>
      <w:pPr>
        <w:spacing w:after="0" w:line="39" w:lineRule="exact"/>
        <w:rPr>
          <w:sz w:val="20"/>
          <w:szCs w:val="20"/>
          <w:color w:val="auto"/>
        </w:rPr>
      </w:pPr>
    </w:p>
    <w:p>
      <w:pPr>
        <w:ind w:left="1680" w:right="619" w:firstLine="316"/>
        <w:spacing w:after="0" w:line="295" w:lineRule="auto"/>
        <w:rPr>
          <w:sz w:val="20"/>
          <w:szCs w:val="20"/>
          <w:color w:val="auto"/>
        </w:rPr>
      </w:pPr>
      <w:r>
        <w:rPr>
          <w:rFonts w:ascii="Times New Roman" w:cs="Times New Roman" w:eastAsia="Times New Roman" w:hAnsi="Times New Roman"/>
          <w:sz w:val="12"/>
          <w:szCs w:val="12"/>
          <w:color w:val="auto"/>
        </w:rPr>
        <w:t>Our success depends largely upon the continued services and performance of our senior management and other key personnel. From time to time, there may be changes in our senior management team resulting from the hiring or departure of executives and key employees, which could disrupt our business. Our senior management and key employees are employed on an at-will basis. We currently do not have “key person” insurance on any of</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10159"/>
          </w:cols>
          <w:pgMar w:left="300" w:top="367" w:right="1440" w:bottom="1440" w:gutter="0" w:footer="0" w:header="0"/>
        </w:sectPr>
      </w:pPr>
    </w:p>
    <w:bookmarkStart w:id="27" w:name="page28"/>
    <w:bookmarkEnd w:id="2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jc w:val="both"/>
        <w:ind w:left="1680" w:right="739"/>
        <w:spacing w:after="0" w:line="258" w:lineRule="auto"/>
        <w:rPr>
          <w:sz w:val="20"/>
          <w:szCs w:val="20"/>
          <w:color w:val="auto"/>
        </w:rPr>
      </w:pPr>
      <w:r>
        <w:rPr>
          <w:rFonts w:ascii="Times New Roman" w:cs="Times New Roman" w:eastAsia="Times New Roman" w:hAnsi="Times New Roman"/>
          <w:sz w:val="13"/>
          <w:szCs w:val="13"/>
          <w:color w:val="auto"/>
        </w:rPr>
        <w:t>our employees. The loss of key personnel, including our co-founder, President, Chief Executive Officer, and Chair, Dustin Moskovitz, and other key members of management, as well as our product development, engineering, sales, and marketing personnel, would disrupt our operations and have an adverse effect on our ability to grow our business. Changes in our senior management team may also cause disruptions in, and harm to, our business, results of operations, and financial condition.</w:t>
      </w:r>
    </w:p>
    <w:p>
      <w:pPr>
        <w:spacing w:after="0" w:line="206" w:lineRule="exact"/>
        <w:rPr>
          <w:sz w:val="20"/>
          <w:szCs w:val="20"/>
          <w:color w:val="auto"/>
        </w:rPr>
      </w:pPr>
    </w:p>
    <w:p>
      <w:pPr>
        <w:ind w:left="1680" w:right="75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We must continue to attract and retain highly qualified personnel in very competitive markets to continue to execute on our business strategy and growth plans.</w:t>
      </w:r>
    </w:p>
    <w:p>
      <w:pPr>
        <w:spacing w:after="0" w:line="39" w:lineRule="exact"/>
        <w:rPr>
          <w:sz w:val="20"/>
          <w:szCs w:val="20"/>
          <w:color w:val="auto"/>
        </w:rPr>
      </w:pPr>
    </w:p>
    <w:p>
      <w:pPr>
        <w:ind w:left="1680" w:right="559" w:firstLine="316"/>
        <w:spacing w:after="0" w:line="253" w:lineRule="auto"/>
        <w:rPr>
          <w:sz w:val="20"/>
          <w:szCs w:val="20"/>
          <w:color w:val="auto"/>
        </w:rPr>
      </w:pPr>
      <w:r>
        <w:rPr>
          <w:rFonts w:ascii="Times New Roman" w:cs="Times New Roman" w:eastAsia="Times New Roman" w:hAnsi="Times New Roman"/>
          <w:sz w:val="13"/>
          <w:szCs w:val="13"/>
          <w:color w:val="auto"/>
        </w:rPr>
        <w:t>To execute our business model, we must attract and retain highly qualified personnel. Competition for executive officers, software engineers, sales personnel, and other key personnel in our industry and in the San Francisco Bay Area, where our headquarters is located, and in other locations where we maintain offices, is intense. As we become a more mature company, we may find our recruiting efforts more challenging. The incentives to attract, retain, and motivate employees provided by our stock options and other equity awards, or by other compensation arrangements, may not be as effective as in the past. Many of the companies with which we compete for experienced personnel have greater resources than we have. Our recruiting efforts may also be limited by laws and regulations, such as restrictive immigration laws, and restrictions on travel or availability of visas (including during the ongoing COVID-19 pandemic). If we do not succeed in attracting excellent personnel or retaining or motivating existing personnel, we may be unable to innovate quickly enough to support our business model or grow effectively.</w:t>
      </w:r>
    </w:p>
    <w:p>
      <w:pPr>
        <w:spacing w:after="0" w:line="209" w:lineRule="exact"/>
        <w:rPr>
          <w:sz w:val="20"/>
          <w:szCs w:val="20"/>
          <w:color w:val="auto"/>
        </w:rPr>
      </w:pPr>
    </w:p>
    <w:p>
      <w:pPr>
        <w:ind w:left="1680" w:right="979"/>
        <w:spacing w:after="0" w:line="266" w:lineRule="auto"/>
        <w:rPr>
          <w:sz w:val="20"/>
          <w:szCs w:val="20"/>
          <w:color w:val="auto"/>
        </w:rPr>
      </w:pPr>
      <w:r>
        <w:rPr>
          <w:rFonts w:ascii="Times New Roman" w:cs="Times New Roman" w:eastAsia="Times New Roman" w:hAnsi="Times New Roman"/>
          <w:sz w:val="13"/>
          <w:szCs w:val="13"/>
          <w:b w:val="1"/>
          <w:bCs w:val="1"/>
          <w:i w:val="1"/>
          <w:iCs w:val="1"/>
          <w:color w:val="auto"/>
        </w:rPr>
        <w:t>Our failure to protect our sites, networks, and systems against security breaches, or otherwise to protect our confidential information or the confidential information of our users, customers, or other third parties, would damage our reputation and brand, and substantially harm our business and results of operations.</w:t>
      </w:r>
    </w:p>
    <w:p>
      <w:pPr>
        <w:spacing w:after="0" w:line="50" w:lineRule="exact"/>
        <w:rPr>
          <w:sz w:val="20"/>
          <w:szCs w:val="20"/>
          <w:color w:val="auto"/>
        </w:rPr>
      </w:pPr>
    </w:p>
    <w:p>
      <w:pPr>
        <w:ind w:left="1680" w:right="579" w:firstLine="316"/>
        <w:spacing w:after="0" w:line="251" w:lineRule="auto"/>
        <w:rPr>
          <w:sz w:val="20"/>
          <w:szCs w:val="20"/>
          <w:color w:val="auto"/>
        </w:rPr>
      </w:pPr>
      <w:r>
        <w:rPr>
          <w:rFonts w:ascii="Times New Roman" w:cs="Times New Roman" w:eastAsia="Times New Roman" w:hAnsi="Times New Roman"/>
          <w:sz w:val="13"/>
          <w:szCs w:val="13"/>
          <w:color w:val="auto"/>
        </w:rPr>
        <w:t>Breaches of our security measures or those of our third-party service providers or cyber security incidents would result in unauthorized access to our sites, networks, systems, and accounts; unauthorized access to, and misappropriation of, individuals’ personal information or other confidential or proprietary information of ourselves, our customers, or other third parties; viruses, worms, spyware, or other malware being served from our platform, mobile application, networks, or systems; deletion or modification of content or the display of unauthorized content on our platform; interruption, disruption, or malfunction of operations; costs relating to breach remediation, deployment of additional personnel and protection technologies, and response to governmental investigations and media inquiries and coverage; engagement of third-party experts and consultants; or litigation, regulatory action, and other potential liabilities. If any of these breaches of security should occur, we cannot guarantee that recovery protocols and backup systems will be sufficient to prevent data loss. Additionally, if any of these breaches occur, our reputation and brand could be damaged, our business may suffer, we could be required to expend significant capital and other resources to alleviate problems caused by such breaches, and we could be exposed to risk of loss, litigation or regulatory action, and other potential liability. Actual or anticipated security breaches or attacks may cause us to incur increasing costs, including costs to deploy additional personnel and protection technologies, train employees, and engage third-party experts and consultants. Additionally, there is an increased risk that we may experience cybersecurity-related events such as COVID-19-themed phishing attacks and other security challenges as a result of most of our employees and our service providers working remotely from non-corporate-managed networks during the ongoing COVID-19 pandemic and potentially beyond.</w:t>
      </w:r>
    </w:p>
    <w:p>
      <w:pPr>
        <w:spacing w:after="0" w:line="138" w:lineRule="exact"/>
        <w:rPr>
          <w:sz w:val="20"/>
          <w:szCs w:val="20"/>
          <w:color w:val="auto"/>
        </w:rPr>
      </w:pPr>
    </w:p>
    <w:p>
      <w:pPr>
        <w:ind w:left="1680" w:right="579" w:firstLine="316"/>
        <w:spacing w:after="0" w:line="254" w:lineRule="auto"/>
        <w:rPr>
          <w:sz w:val="20"/>
          <w:szCs w:val="20"/>
          <w:color w:val="auto"/>
        </w:rPr>
      </w:pPr>
      <w:r>
        <w:rPr>
          <w:rFonts w:ascii="Times New Roman" w:cs="Times New Roman" w:eastAsia="Times New Roman" w:hAnsi="Times New Roman"/>
          <w:sz w:val="13"/>
          <w:szCs w:val="13"/>
          <w:color w:val="auto"/>
        </w:rPr>
        <w:t>Any compromise or breach of our security measures, or those of our third-party service providers, could violate applicable privacy, data protection, data security, network and information systems security, and other laws, and cause significant legal and financial exposure, adverse publicity, and a loss of confidence in our security measures, which could have a material adverse effect on our business, results of operations, and financial condition. We continue to devote significant resources to protect against security breaches, and we may need to devote significant resources in the future to address problems caused by breaches, including notifying affected subscribers and responding to any resulting litigation, which in turn, diverts resources from the growth and expansion of our business.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10159"/>
          </w:cols>
          <w:pgMar w:left="300" w:top="367" w:right="1440" w:bottom="1440" w:gutter="0" w:footer="0" w:header="0"/>
        </w:sectPr>
      </w:pPr>
    </w:p>
    <w:bookmarkStart w:id="28" w:name="page29"/>
    <w:bookmarkEnd w:id="2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1680" w:right="101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If we fail to manage our technical operations infrastructure, or experience service outages, interruptions, or delays in the deployment of our platform, our results of operations may be harmed.</w:t>
      </w:r>
    </w:p>
    <w:p>
      <w:pPr>
        <w:spacing w:after="0" w:line="39" w:lineRule="exact"/>
        <w:rPr>
          <w:sz w:val="20"/>
          <w:szCs w:val="20"/>
          <w:color w:val="auto"/>
        </w:rPr>
      </w:pPr>
    </w:p>
    <w:p>
      <w:pPr>
        <w:ind w:left="1680" w:right="679" w:firstLine="316"/>
        <w:spacing w:after="0" w:line="253" w:lineRule="auto"/>
        <w:rPr>
          <w:sz w:val="20"/>
          <w:szCs w:val="20"/>
          <w:color w:val="auto"/>
        </w:rPr>
      </w:pPr>
      <w:r>
        <w:rPr>
          <w:rFonts w:ascii="Times New Roman" w:cs="Times New Roman" w:eastAsia="Times New Roman" w:hAnsi="Times New Roman"/>
          <w:sz w:val="13"/>
          <w:szCs w:val="13"/>
          <w:color w:val="auto"/>
        </w:rPr>
        <w:t>We may experience system slowdowns and interruptions from time to time. In addition, continued growth in our customer base could place additional demands on our platform and could cause or exacerbate slowdowns or interrupt the availability of our platform. If there is a substantial increase in the volume of usage on our platform, we will be required to further expand and upgrade our technology and infrastructure. There can be no assurance that we will be able to accurately project the rate or timing of increases, if any, in the use of our platform or expand and upgrade our systems and infrastructure to accommodate such increases on a timely basis. In such cases, if our users are not able to access our platform or encounter slowdowns when doing so, we may lose customers or partners. In order to remain competitive, we must continue to enhance and improve the responsiveness, functionality, and features of our platform. Our disaster recovery plan may not be sufficient to address all aspects or any unanticipated consequence or incidents, and our insurance may not be sufficient to compensate us for the losses that could occur.</w:t>
      </w:r>
    </w:p>
    <w:p>
      <w:pPr>
        <w:spacing w:after="0" w:line="135" w:lineRule="exact"/>
        <w:rPr>
          <w:sz w:val="20"/>
          <w:szCs w:val="20"/>
          <w:color w:val="auto"/>
        </w:rPr>
      </w:pPr>
    </w:p>
    <w:p>
      <w:pPr>
        <w:ind w:left="1680" w:right="599" w:firstLine="316"/>
        <w:spacing w:after="0" w:line="251" w:lineRule="auto"/>
        <w:rPr>
          <w:sz w:val="20"/>
          <w:szCs w:val="20"/>
          <w:color w:val="auto"/>
        </w:rPr>
      </w:pPr>
      <w:r>
        <w:rPr>
          <w:rFonts w:ascii="Times New Roman" w:cs="Times New Roman" w:eastAsia="Times New Roman" w:hAnsi="Times New Roman"/>
          <w:sz w:val="13"/>
          <w:szCs w:val="13"/>
          <w:color w:val="auto"/>
        </w:rPr>
        <w:t>Moreover, Amazon Web Services, or AWS, provides the cloud computing infrastructure that we use to host our platform, mobile application, and many of the internal tools we use to operate our business. We have a long-term commitment with AWS, and our platform, mobile application, and internal tools use computing, storage capabilities, bandwidth, and other services provided by AWS. Any significant disruption of, limitation of our access to, or other interference with our use of AWS would negatively impact our operations and could seriously harm our business. In addition, any transition of the cloud services currently provided by AWS to another cloud services provider would require significant time and expense and could disrupt or degrade delivery of our platform. Our business relies on the availability of our platform for our users and customers, and we may lose users or customers if they are not able to access our platform or encounter difficulties in doing so. The level of service provided by AWS could affect the availability or speed of our platform, which may also impact the usage of, and our customers’ satisfaction with, our platform and could seriously harm our business and reputation. If AWS increases pricing terms, terminates or seeks to terminate our contractual relationship, establishes more favorable relationships with our competitors, or changes or interprets its terms of service or policies in a manner that is unfavorable with respect to us, our business, results of operations, and financial condition could be harmed.</w:t>
      </w:r>
    </w:p>
    <w:p>
      <w:pPr>
        <w:spacing w:after="0" w:line="141" w:lineRule="exact"/>
        <w:rPr>
          <w:sz w:val="20"/>
          <w:szCs w:val="20"/>
          <w:color w:val="auto"/>
        </w:rPr>
      </w:pPr>
    </w:p>
    <w:p>
      <w:pPr>
        <w:ind w:left="1680" w:right="819" w:firstLine="316"/>
        <w:spacing w:after="0" w:line="256" w:lineRule="auto"/>
        <w:rPr>
          <w:sz w:val="20"/>
          <w:szCs w:val="20"/>
          <w:color w:val="auto"/>
        </w:rPr>
      </w:pPr>
      <w:r>
        <w:rPr>
          <w:rFonts w:ascii="Times New Roman" w:cs="Times New Roman" w:eastAsia="Times New Roman" w:hAnsi="Times New Roman"/>
          <w:sz w:val="13"/>
          <w:szCs w:val="13"/>
          <w:color w:val="auto"/>
        </w:rPr>
        <w:t>In addition, we rely on hardware and infrastructure purchased or leased from third parties and software licensed from third parties to operate critical business functions. Our business would be disrupted if any of this third-party hardware, software, and infrastructure becomes unavailable on commercially reasonable terms, or at all. Furthermore, delays or complications with respect to the transition of critical business functions from one third-party product to another, or any errors or defects in third-party hardware, software, or infrastructure could result in errors or a failure of our platform, which could harm our business and results of operations.</w:t>
      </w:r>
    </w:p>
    <w:p>
      <w:pPr>
        <w:spacing w:after="0" w:line="2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Real or perceived errors, failures, vulnerabilities, or bugs in our platform would harm our business, results of operations, and financial condition.</w:t>
      </w:r>
    </w:p>
    <w:p>
      <w:pPr>
        <w:spacing w:after="0" w:line="87" w:lineRule="exact"/>
        <w:rPr>
          <w:sz w:val="20"/>
          <w:szCs w:val="20"/>
          <w:color w:val="auto"/>
        </w:rPr>
      </w:pPr>
    </w:p>
    <w:p>
      <w:pPr>
        <w:ind w:left="1680" w:right="579" w:firstLine="316"/>
        <w:spacing w:after="0" w:line="253" w:lineRule="auto"/>
        <w:rPr>
          <w:sz w:val="20"/>
          <w:szCs w:val="20"/>
          <w:color w:val="auto"/>
        </w:rPr>
      </w:pPr>
      <w:r>
        <w:rPr>
          <w:rFonts w:ascii="Times New Roman" w:cs="Times New Roman" w:eastAsia="Times New Roman" w:hAnsi="Times New Roman"/>
          <w:sz w:val="13"/>
          <w:szCs w:val="13"/>
          <w:color w:val="auto"/>
        </w:rPr>
        <w:t>The software technology underlying and integrating with our platform is inherently complex and may contain material defects or errors. Errors, failures, vulnerabilities, or bugs have in the past, and may in the future, occur in our platform and mobile application, especially when updates are deployed or new features, integrations, or capabilities are rolled out. Any such errors, failures, vulnerabilities, or bugs may not be found until after new features, integrations, or capabilities have been released. Furthermore, we will need to ensure that our platform can scale to meet the evolving needs of customers, particularly as we increase our focus on larger teams and organizations. Real or perceived errors, failures, vulnerabilities, or bugs in our platform and mobile application could result in an interruption in the availability of our platform, negative publicity, unfavorable user experience, loss or leaking of personal data and data of organizations, loss of or delay in market acceptance of our platform, loss of competitive position, regulatory fines, or claims by organizations for losses sustained by them, all of which would harm our business, results of operations, and financial condition.</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24</w:t>
      </w:r>
    </w:p>
    <w:p>
      <w:pPr>
        <w:sectPr>
          <w:pgSz w:w="11900" w:h="16838" w:orient="portrait"/>
          <w:cols w:equalWidth="0" w:num="1">
            <w:col w:w="10159"/>
          </w:cols>
          <w:pgMar w:left="300" w:top="367" w:right="1440" w:bottom="1440" w:gutter="0" w:footer="0" w:header="0"/>
        </w:sectPr>
      </w:pPr>
    </w:p>
    <w:bookmarkStart w:id="29" w:name="page30"/>
    <w:bookmarkEnd w:id="2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1680" w:right="103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If we are unable to ensure that our platform interoperates with a variety of software applications that are developed by others, including our integration partners, we may become less competitive and our results of operations may be harmed.</w:t>
      </w:r>
    </w:p>
    <w:p>
      <w:pPr>
        <w:spacing w:after="0" w:line="39" w:lineRule="exact"/>
        <w:rPr>
          <w:sz w:val="20"/>
          <w:szCs w:val="20"/>
          <w:color w:val="auto"/>
        </w:rPr>
      </w:pPr>
    </w:p>
    <w:p>
      <w:pPr>
        <w:ind w:left="1680" w:right="579" w:firstLine="316"/>
        <w:spacing w:after="0" w:line="254" w:lineRule="auto"/>
        <w:rPr>
          <w:sz w:val="20"/>
          <w:szCs w:val="20"/>
          <w:color w:val="auto"/>
        </w:rPr>
      </w:pPr>
      <w:r>
        <w:rPr>
          <w:rFonts w:ascii="Times New Roman" w:cs="Times New Roman" w:eastAsia="Times New Roman" w:hAnsi="Times New Roman"/>
          <w:sz w:val="13"/>
          <w:szCs w:val="13"/>
          <w:color w:val="auto"/>
        </w:rPr>
        <w:t>Our platform must integrate with a variety of hardware and software platforms, and we need to continuously modify and enhance our platform to adapt to changes in hardware, software, and browser technologies. In particular, we have developed our platform to be able to easily integrate with third-party applications, including the applications of software providers that compete with us as well as our partners, through the interaction of APIs. In general, we rely on the providers of such software systems to allow us access to their APIs to enable these integrations. We are typically subject to standard terms and conditions of such providers, which govern the distribution, operation, and fees of such software systems, and which are subject to change by such providers from time to time. Our business will be harmed if any provider of such software systems:</w:t>
      </w:r>
    </w:p>
    <w:p>
      <w:pPr>
        <w:spacing w:after="0" w:line="69" w:lineRule="exact"/>
        <w:rPr>
          <w:sz w:val="20"/>
          <w:szCs w:val="20"/>
          <w:color w:val="auto"/>
        </w:rPr>
      </w:pPr>
    </w:p>
    <w:p>
      <w:pPr>
        <w:ind w:left="2380" w:hanging="381"/>
        <w:spacing w:after="0"/>
        <w:tabs>
          <w:tab w:leader="none" w:pos="23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discontinues or limits our access to its software or APIs;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modifies its terms of service or other policies, including fees charged to, or other restrictions on us, or other application developers;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how information is accessed by us or our customers;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establishes more favorable relationships with one or more of our competitors; or</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develops or otherwise favors its own competitive offerings over our platform.</w:t>
      </w:r>
    </w:p>
    <w:p>
      <w:pPr>
        <w:spacing w:after="0" w:line="161" w:lineRule="exact"/>
        <w:rPr>
          <w:sz w:val="20"/>
          <w:szCs w:val="20"/>
          <w:color w:val="auto"/>
        </w:rPr>
      </w:pPr>
    </w:p>
    <w:p>
      <w:pPr>
        <w:ind w:left="1680" w:right="679" w:firstLine="316"/>
        <w:spacing w:after="0" w:line="253" w:lineRule="auto"/>
        <w:rPr>
          <w:sz w:val="20"/>
          <w:szCs w:val="20"/>
          <w:color w:val="auto"/>
        </w:rPr>
      </w:pPr>
      <w:r>
        <w:rPr>
          <w:rFonts w:ascii="Times New Roman" w:cs="Times New Roman" w:eastAsia="Times New Roman" w:hAnsi="Times New Roman"/>
          <w:sz w:val="13"/>
          <w:szCs w:val="13"/>
          <w:color w:val="auto"/>
        </w:rPr>
        <w:t>Third-party services and products are constantly evolving, and we may not be able to modify our platform to assure its compatibility with that of other third parties. In addition, some of our competitors may be able to disrupt the operations or compatibility of our platform with their products or services, or exert strong business influence on our ability to, and terms on which we, operate our platform.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would be harmed. If we are not permitted or able to integrate with these and other third-party applications in the future, our business, results of operations, and financial condition would be harmed.</w:t>
      </w:r>
    </w:p>
    <w:p>
      <w:pPr>
        <w:spacing w:after="0" w:line="138" w:lineRule="exact"/>
        <w:rPr>
          <w:sz w:val="20"/>
          <w:szCs w:val="20"/>
          <w:color w:val="auto"/>
        </w:rPr>
      </w:pPr>
    </w:p>
    <w:p>
      <w:pPr>
        <w:ind w:left="1680" w:right="579" w:firstLine="316"/>
        <w:spacing w:after="0" w:line="252" w:lineRule="auto"/>
        <w:rPr>
          <w:sz w:val="20"/>
          <w:szCs w:val="20"/>
          <w:color w:val="auto"/>
        </w:rPr>
      </w:pPr>
      <w:r>
        <w:rPr>
          <w:rFonts w:ascii="Times New Roman" w:cs="Times New Roman" w:eastAsia="Times New Roman" w:hAnsi="Times New Roman"/>
          <w:sz w:val="13"/>
          <w:szCs w:val="13"/>
          <w:color w:val="auto"/>
        </w:rPr>
        <w:t>Further, our platform includes a mobile application to enable individuals, teams, and organizations to access our platform through their mobile devices. If our mobile application does not perform well, our business will suffer. In addition, our platform interoperates with servers, mobile devices, and software applications predominantly through the use of protocols, many of which are created and maintained by third parties. We, therefore, depend on the interoperability of our platform with such third-party services, mobile devices, and mobile operating systems, as well as cloud-enabled hardware, software, networking, browsers, database technologies, and protocols that we do not control. The loss of interoperability, whether due to actions of third parties or otherwise, and any changes in technologies that degrade the functionality of our platform or give preferential treatment to competitive services could adversely affect adoption and usage of our platform. Also, we may not be successful in developing or maintaining relationships with key participants in the mobile industry or in ensuring that Asana operates effectively with a range of operating systems, networks, devices, browsers, protocols, and standards. If we are unable to effectively anticipate and manage these risks, or if it is difficult for customers to access and use our platform, our business, results of operations, and financial condition may be harmed.</w:t>
      </w:r>
    </w:p>
    <w:p>
      <w:pPr>
        <w:spacing w:after="0" w:line="210" w:lineRule="exact"/>
        <w:rPr>
          <w:sz w:val="20"/>
          <w:szCs w:val="20"/>
          <w:color w:val="auto"/>
        </w:rPr>
      </w:pPr>
    </w:p>
    <w:p>
      <w:pPr>
        <w:jc w:val="both"/>
        <w:ind w:left="1680" w:right="57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Our culture has contributed to our success, and if we cannot maintain this culture as we grow, we could lose the high employee engagement fostered by our culture, which could harm our business.</w:t>
      </w:r>
    </w:p>
    <w:p>
      <w:pPr>
        <w:spacing w:after="0" w:line="39" w:lineRule="exact"/>
        <w:rPr>
          <w:sz w:val="20"/>
          <w:szCs w:val="20"/>
          <w:color w:val="auto"/>
        </w:rPr>
      </w:pPr>
    </w:p>
    <w:p>
      <w:pPr>
        <w:jc w:val="both"/>
        <w:ind w:left="1680" w:right="579" w:firstLine="316"/>
        <w:spacing w:after="0" w:line="263" w:lineRule="auto"/>
        <w:rPr>
          <w:sz w:val="20"/>
          <w:szCs w:val="20"/>
          <w:color w:val="auto"/>
        </w:rPr>
      </w:pPr>
      <w:r>
        <w:rPr>
          <w:rFonts w:ascii="Times New Roman" w:cs="Times New Roman" w:eastAsia="Times New Roman" w:hAnsi="Times New Roman"/>
          <w:sz w:val="13"/>
          <w:szCs w:val="13"/>
          <w:color w:val="auto"/>
        </w:rPr>
        <w:t>We believe that a critical component of our success has been our culture. We have invested substantial time and resources in building out our team with an emphasis on shared values and a commitment to diversity and inclusion. As we continue to grow and develop the infrastructure associated with being a public company, we</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25</w:t>
      </w:r>
    </w:p>
    <w:p>
      <w:pPr>
        <w:sectPr>
          <w:pgSz w:w="11900" w:h="16838" w:orient="portrait"/>
          <w:cols w:equalWidth="0" w:num="1">
            <w:col w:w="10159"/>
          </w:cols>
          <w:pgMar w:left="300" w:top="367" w:right="1440" w:bottom="1440" w:gutter="0" w:footer="0" w:header="0"/>
        </w:sectPr>
      </w:pPr>
    </w:p>
    <w:bookmarkStart w:id="30" w:name="page31"/>
    <w:bookmarkEnd w:id="3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59"/>
        <w:spacing w:after="0" w:line="263" w:lineRule="auto"/>
        <w:rPr>
          <w:sz w:val="20"/>
          <w:szCs w:val="20"/>
          <w:color w:val="auto"/>
        </w:rPr>
      </w:pPr>
      <w:r>
        <w:rPr>
          <w:rFonts w:ascii="Times New Roman" w:cs="Times New Roman" w:eastAsia="Times New Roman" w:hAnsi="Times New Roman"/>
          <w:sz w:val="13"/>
          <w:szCs w:val="13"/>
          <w:color w:val="auto"/>
        </w:rPr>
        <w:t>will need to maintain our culture among a larger number of employees dispersed in various geographic regions. Any failure to preserve our culture could negatively affect our future success, including our ability to retain and recruit personnel and to effectively focus on and pursue our mission to help humanity by enabling the world’s teams to work together effortlessly.</w:t>
      </w:r>
    </w:p>
    <w:p>
      <w:pPr>
        <w:spacing w:after="0" w:line="202" w:lineRule="exact"/>
        <w:rPr>
          <w:sz w:val="20"/>
          <w:szCs w:val="20"/>
          <w:color w:val="auto"/>
        </w:rPr>
      </w:pPr>
    </w:p>
    <w:p>
      <w:pPr>
        <w:ind w:left="1680" w:right="81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Our business depends on a strong brand, and if we are not able to maintain and enhance our brand, our ability to expand our base of customers may be impaired, and our business and results of operations will be harmed.</w:t>
      </w:r>
    </w:p>
    <w:p>
      <w:pPr>
        <w:spacing w:after="0" w:line="39" w:lineRule="exact"/>
        <w:rPr>
          <w:sz w:val="20"/>
          <w:szCs w:val="20"/>
          <w:color w:val="auto"/>
        </w:rPr>
      </w:pPr>
    </w:p>
    <w:p>
      <w:pPr>
        <w:ind w:left="1680" w:right="719" w:firstLine="316"/>
        <w:spacing w:after="0" w:line="278" w:lineRule="auto"/>
        <w:rPr>
          <w:sz w:val="20"/>
          <w:szCs w:val="20"/>
          <w:color w:val="auto"/>
        </w:rPr>
      </w:pPr>
      <w:r>
        <w:rPr>
          <w:rFonts w:ascii="Times New Roman" w:cs="Times New Roman" w:eastAsia="Times New Roman" w:hAnsi="Times New Roman"/>
          <w:sz w:val="12"/>
          <w:szCs w:val="12"/>
          <w:color w:val="auto"/>
        </w:rPr>
        <w:t>We believe that the brand identity that we have developed has significantly contributed to the success of our business. We also believe that maintaining and enhancing the “Asana” brand is critical to expanding our customer base and establishing and maintaining relationships with partners. Successful promotion of our brand will depend largely on the effectiveness of our marketing efforts and on our ability to ensure that our platform remains high-quality, reliable, and useful at competitive prices, as well as with respect to our free and trial versions. Maintaining and enhancing our brand may require us to make substantial investments and these investments may not be successful. If we fail to promote and maintain the “Asana” brand, or if we incur excessive expenses in this effort, our business, results of operations, and financial condition would be adversely affected. We anticipate that, as our market becomes increasingly competitive, maintaining and enhancing our brand may become more difficult and expensive.</w:t>
      </w:r>
    </w:p>
    <w:p>
      <w:pPr>
        <w:spacing w:after="0" w:line="19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If we fail to offer high-quality customer support, our business and reputation will suffer.</w:t>
      </w:r>
    </w:p>
    <w:p>
      <w:pPr>
        <w:spacing w:after="0" w:line="87" w:lineRule="exact"/>
        <w:rPr>
          <w:sz w:val="20"/>
          <w:szCs w:val="20"/>
          <w:color w:val="auto"/>
        </w:rPr>
      </w:pPr>
    </w:p>
    <w:p>
      <w:pPr>
        <w:ind w:left="1680" w:right="599" w:firstLine="316"/>
        <w:spacing w:after="0" w:line="252" w:lineRule="auto"/>
        <w:rPr>
          <w:sz w:val="20"/>
          <w:szCs w:val="20"/>
          <w:color w:val="auto"/>
        </w:rPr>
      </w:pPr>
      <w:r>
        <w:rPr>
          <w:rFonts w:ascii="Times New Roman" w:cs="Times New Roman" w:eastAsia="Times New Roman" w:hAnsi="Times New Roman"/>
          <w:sz w:val="13"/>
          <w:szCs w:val="13"/>
          <w:color w:val="auto"/>
        </w:rPr>
        <w:t>While we have designed our platform to be easy to adopt and use, once individuals, teams, and organizations begin using Asana, they rely on our support services to resolve any related issues. High-quality user and customer education and customer experience have been key to the adoption of our platform and for the conversion of individuals, teams, and organizations on our free and trial versions into paying customers. The importance of high-quality customer experience will increase as we expand our business and pursue new customers. For instance, if we do not help organizations on our platform quickly resolve issues and provide effective ongoing user experience at the individual, team, and organizational levels, our ability to convert organizations on our free and trial versions into paying customers will suffer, and our reputation with existing or potential customers will be harmed. Further, our sales are highly dependent on our business reputation and on positive recommendations from existing individuals, teams, and organizations on our platform. Any failure to maintain high-quality customer experience, or a market perception that we do not maintain high-quality customer experience, could harm our reputation, our ability to sell our platform to existing and prospective customers, and our business, results of operations, and financial condition.</w:t>
      </w:r>
    </w:p>
    <w:p>
      <w:pPr>
        <w:spacing w:after="0" w:line="136" w:lineRule="exact"/>
        <w:rPr>
          <w:sz w:val="20"/>
          <w:szCs w:val="20"/>
          <w:color w:val="auto"/>
        </w:rPr>
      </w:pPr>
    </w:p>
    <w:p>
      <w:pPr>
        <w:ind w:left="1680" w:right="639" w:firstLine="316"/>
        <w:spacing w:after="0" w:line="256" w:lineRule="auto"/>
        <w:rPr>
          <w:sz w:val="20"/>
          <w:szCs w:val="20"/>
          <w:color w:val="auto"/>
        </w:rPr>
      </w:pPr>
      <w:r>
        <w:rPr>
          <w:rFonts w:ascii="Times New Roman" w:cs="Times New Roman" w:eastAsia="Times New Roman" w:hAnsi="Times New Roman"/>
          <w:sz w:val="13"/>
          <w:szCs w:val="13"/>
          <w:color w:val="auto"/>
        </w:rPr>
        <w:t>In addition, as we continue to grow our operations and reach a larger and increasingly global customer and user base, we need to be able to provide efficient customer support that meets the needs of organizations on our platform globally at scale. The number of organizations on our platform has grown significantly, which puts additional pressure on our support organization. We will need to hire additional support personnel to provide efficient product support globally at scale, and if we are unable to provide such support, our business, results of operations, and financial condition would be harmed.</w:t>
      </w:r>
    </w:p>
    <w:p>
      <w:pPr>
        <w:spacing w:after="0" w:line="207" w:lineRule="exact"/>
        <w:rPr>
          <w:sz w:val="20"/>
          <w:szCs w:val="20"/>
          <w:color w:val="auto"/>
        </w:rPr>
      </w:pPr>
    </w:p>
    <w:p>
      <w:pPr>
        <w:ind w:left="1680" w:right="67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39" w:lineRule="exact"/>
        <w:rPr>
          <w:sz w:val="20"/>
          <w:szCs w:val="20"/>
          <w:color w:val="auto"/>
        </w:rPr>
      </w:pPr>
    </w:p>
    <w:p>
      <w:pPr>
        <w:ind w:left="1680" w:right="679" w:firstLine="316"/>
        <w:spacing w:after="0" w:line="256" w:lineRule="auto"/>
        <w:rPr>
          <w:sz w:val="20"/>
          <w:szCs w:val="20"/>
          <w:color w:val="auto"/>
        </w:rPr>
      </w:pPr>
      <w:r>
        <w:rPr>
          <w:rFonts w:ascii="Times New Roman" w:cs="Times New Roman" w:eastAsia="Times New Roman" w:hAnsi="Times New Roman"/>
          <w:sz w:val="13"/>
          <w:szCs w:val="13"/>
          <w:color w:val="auto"/>
        </w:rPr>
        <w:t>Market opportunity estimates and growth forecasts included in this prospectus, including those we have generated ourselves, are subject to significant uncertainty and are based on assumptions and estimates that may not prove to be accurate. Not every organization covered by our market opportunity estimates will necessarily buy work management solutions at all, and some or many of those companies may choose to continue using legacy tools, spreadsheets, email, manual processes, or other tools offered by our competitors. It is impossible to build every product feature that every customer wants, and our competitors may develop and offer features that</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26</w:t>
      </w:r>
    </w:p>
    <w:p>
      <w:pPr>
        <w:sectPr>
          <w:pgSz w:w="11900" w:h="16838" w:orient="portrait"/>
          <w:cols w:equalWidth="0" w:num="1">
            <w:col w:w="10159"/>
          </w:cols>
          <w:pgMar w:left="300" w:top="367" w:right="1440" w:bottom="1440" w:gutter="0" w:footer="0" w:header="0"/>
        </w:sectPr>
      </w:pPr>
    </w:p>
    <w:bookmarkStart w:id="31" w:name="page32"/>
    <w:bookmarkEnd w:id="3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79"/>
        <w:spacing w:after="0" w:line="256" w:lineRule="auto"/>
        <w:rPr>
          <w:sz w:val="20"/>
          <w:szCs w:val="20"/>
          <w:color w:val="auto"/>
        </w:rPr>
      </w:pPr>
      <w:r>
        <w:rPr>
          <w:rFonts w:ascii="Times New Roman" w:cs="Times New Roman" w:eastAsia="Times New Roman" w:hAnsi="Times New Roman"/>
          <w:sz w:val="13"/>
          <w:szCs w:val="13"/>
          <w:color w:val="auto"/>
        </w:rPr>
        <w:t>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revenues for us. Even if the market in which we compete meets the size estimates and growth forecasted in this prospectus, our business could fail to grow for a variety of reasons outside of our control, including competition in our industry. If any of these risks materialize, it could adversely affect our results of operations.</w:t>
      </w:r>
    </w:p>
    <w:p>
      <w:pPr>
        <w:spacing w:after="0" w:line="207" w:lineRule="exact"/>
        <w:rPr>
          <w:sz w:val="20"/>
          <w:szCs w:val="20"/>
          <w:color w:val="auto"/>
        </w:rPr>
      </w:pPr>
    </w:p>
    <w:p>
      <w:pPr>
        <w:ind w:left="1680" w:right="73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We rely on third parties maintaining open marketplaces to distribute our mobile application. If such third parties interfere with the distribution of our platform, our business would be adversely affected.</w:t>
      </w:r>
    </w:p>
    <w:p>
      <w:pPr>
        <w:spacing w:after="0" w:line="39" w:lineRule="exact"/>
        <w:rPr>
          <w:sz w:val="20"/>
          <w:szCs w:val="20"/>
          <w:color w:val="auto"/>
        </w:rPr>
      </w:pPr>
    </w:p>
    <w:p>
      <w:pPr>
        <w:ind w:left="1680" w:right="579" w:firstLine="316"/>
        <w:spacing w:after="0" w:line="258" w:lineRule="auto"/>
        <w:rPr>
          <w:sz w:val="20"/>
          <w:szCs w:val="20"/>
          <w:color w:val="auto"/>
        </w:rPr>
      </w:pPr>
      <w:r>
        <w:rPr>
          <w:rFonts w:ascii="Times New Roman" w:cs="Times New Roman" w:eastAsia="Times New Roman" w:hAnsi="Times New Roman"/>
          <w:sz w:val="13"/>
          <w:szCs w:val="13"/>
          <w:color w:val="auto"/>
        </w:rPr>
        <w:t>We rely on third parties maintaining open marketplaces, including the Apple App Store and Google Play, which make our mobile application available for download. We cannot assure you that the marketplaces through which we distribute our mobile application will maintain their current structures or that such marketplaces will not charge us fees to list our application for download. We are also dependent on these third-party marketplaces to enable us and our users to timely update our mobile application, and to incorporate new features, integrations, and capabilities.</w:t>
      </w:r>
    </w:p>
    <w:p>
      <w:pPr>
        <w:spacing w:after="0" w:line="133" w:lineRule="exact"/>
        <w:rPr>
          <w:sz w:val="20"/>
          <w:szCs w:val="20"/>
          <w:color w:val="auto"/>
        </w:rPr>
      </w:pPr>
    </w:p>
    <w:p>
      <w:pPr>
        <w:ind w:left="1680" w:right="859" w:firstLine="316"/>
        <w:spacing w:after="0" w:line="263" w:lineRule="auto"/>
        <w:rPr>
          <w:sz w:val="20"/>
          <w:szCs w:val="20"/>
          <w:color w:val="auto"/>
        </w:rPr>
      </w:pPr>
      <w:r>
        <w:rPr>
          <w:rFonts w:ascii="Times New Roman" w:cs="Times New Roman" w:eastAsia="Times New Roman" w:hAnsi="Times New Roman"/>
          <w:sz w:val="13"/>
          <w:szCs w:val="13"/>
          <w:color w:val="auto"/>
        </w:rPr>
        <w:t>In addition, Apple Inc. and Google, among others, for competitive or other reasons, could stop allowing or supporting access to our mobile application through their products, could allow access for us only at an unsustainable cost, or could make changes to the terms of access in order to make our mobile application less desirable or harder to access.</w:t>
      </w:r>
    </w:p>
    <w:p>
      <w:pPr>
        <w:spacing w:after="0" w:line="202" w:lineRule="exact"/>
        <w:rPr>
          <w:sz w:val="20"/>
          <w:szCs w:val="20"/>
          <w:color w:val="auto"/>
        </w:rPr>
      </w:pPr>
    </w:p>
    <w:p>
      <w:pPr>
        <w:ind w:left="1680" w:right="65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We rely on traditional web search engines to direct traffic to our website. If our website fails to rank prominently in unpaid search results, traffic to our website could decline and our business would be adversely affected.</w:t>
      </w:r>
    </w:p>
    <w:p>
      <w:pPr>
        <w:spacing w:after="0" w:line="39" w:lineRule="exact"/>
        <w:rPr>
          <w:sz w:val="20"/>
          <w:szCs w:val="20"/>
          <w:color w:val="auto"/>
        </w:rPr>
      </w:pPr>
    </w:p>
    <w:p>
      <w:pPr>
        <w:ind w:left="1680" w:right="599" w:firstLine="316"/>
        <w:spacing w:after="0" w:line="254" w:lineRule="auto"/>
        <w:rPr>
          <w:sz w:val="20"/>
          <w:szCs w:val="20"/>
          <w:color w:val="auto"/>
        </w:rPr>
      </w:pPr>
      <w:r>
        <w:rPr>
          <w:rFonts w:ascii="Times New Roman" w:cs="Times New Roman" w:eastAsia="Times New Roman" w:hAnsi="Times New Roman"/>
          <w:sz w:val="13"/>
          <w:szCs w:val="13"/>
          <w:color w:val="auto"/>
        </w:rPr>
        <w:t>Our success depends in part on our ability to attract users through unpaid Internet search results on traditional web search engines such as Google. The number of users we attract to our website from search engines is due in large part to how and where our website ranks in unpaid search results. These rankings can be affected by a number of factors, many of which are not in our direct control, and they may change frequently. For example, a search engine may change its ranking algorithms, methodologies, or design layouts. As a result, links to our website may not be prominent enough to drive traffic to our website, and we may not know how or otherwise be in a position to influence the results. Any reduction in the number of users directed to our website could reduce our revenues or require us to increase our sales and marketing expenditures.</w:t>
      </w:r>
    </w:p>
    <w:p>
      <w:pPr>
        <w:spacing w:after="0" w:line="210" w:lineRule="exact"/>
        <w:rPr>
          <w:sz w:val="20"/>
          <w:szCs w:val="20"/>
          <w:color w:val="auto"/>
        </w:rPr>
      </w:pPr>
    </w:p>
    <w:p>
      <w:pPr>
        <w:ind w:left="1680" w:right="61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We may become subject to intellectual property rights claims and other litigation that are expensive to support, and if resolved adversely, could have a material adverse effect on us.</w:t>
      </w:r>
    </w:p>
    <w:p>
      <w:pPr>
        <w:spacing w:after="0" w:line="39" w:lineRule="exact"/>
        <w:rPr>
          <w:sz w:val="20"/>
          <w:szCs w:val="20"/>
          <w:color w:val="auto"/>
        </w:rPr>
      </w:pPr>
    </w:p>
    <w:p>
      <w:pPr>
        <w:ind w:left="1680" w:right="579" w:firstLine="316"/>
        <w:spacing w:after="0" w:line="251" w:lineRule="auto"/>
        <w:rPr>
          <w:sz w:val="20"/>
          <w:szCs w:val="20"/>
          <w:color w:val="auto"/>
        </w:rPr>
      </w:pPr>
      <w:r>
        <w:rPr>
          <w:rFonts w:ascii="Times New Roman" w:cs="Times New Roman" w:eastAsia="Times New Roman" w:hAnsi="Times New Roman"/>
          <w:sz w:val="13"/>
          <w:szCs w:val="13"/>
          <w:color w:val="auto"/>
        </w:rPr>
        <w:t>There is considerable patent and other intellectual property development activity in our industry. Our competitors, as well as a number of other entities, including non-practicing entities and individuals, may own or claim to own intellectual property relating to our industry. As we face increasing competition and our public profile increases, the possibility of intellectual property rights claims against us may also increase. From time to time, our competitors or other third parties have claimed, and may in the future claim, that we are infringing upon, misappropriating, or violating their intellectual property rights, even if we are unaware of the intellectual property rights that such parties may claim cover our platform or some or all of the other technologies we use in our business. The costs of supporting such litigation, regardless of merit, are considerable, and such litigation may divert management and key personnel’s attention and resources, which might seriously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27</w:t>
      </w:r>
    </w:p>
    <w:p>
      <w:pPr>
        <w:sectPr>
          <w:pgSz w:w="11900" w:h="16838" w:orient="portrait"/>
          <w:cols w:equalWidth="0" w:num="1">
            <w:col w:w="10159"/>
          </w:cols>
          <w:pgMar w:left="300" w:top="367" w:right="1440" w:bottom="1440" w:gutter="0" w:footer="0" w:header="0"/>
        </w:sectPr>
      </w:pPr>
    </w:p>
    <w:bookmarkStart w:id="32" w:name="page33"/>
    <w:bookmarkEnd w:id="3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99"/>
        <w:spacing w:after="0" w:line="258" w:lineRule="auto"/>
        <w:rPr>
          <w:sz w:val="20"/>
          <w:szCs w:val="20"/>
          <w:color w:val="auto"/>
        </w:rPr>
      </w:pPr>
      <w:r>
        <w:rPr>
          <w:rFonts w:ascii="Times New Roman" w:cs="Times New Roman" w:eastAsia="Times New Roman" w:hAnsi="Times New Roman"/>
          <w:sz w:val="13"/>
          <w:szCs w:val="13"/>
          <w:color w:val="auto"/>
        </w:rPr>
        <w:t>and expense. Similarly, if any litigation to which we may be a party fails to settle and we go to trial, we may be subject to an unfavorable judgment which may not be reversible upon appeal. For example, the terms of a judgment may require us to cease some or all of our operations or require the payment of substantial amounts to the other party. Any of these events would cause our business and results of operations to be materially and adversely affected as a result.</w:t>
      </w:r>
    </w:p>
    <w:p>
      <w:pPr>
        <w:spacing w:after="0" w:line="133" w:lineRule="exact"/>
        <w:rPr>
          <w:sz w:val="20"/>
          <w:szCs w:val="20"/>
          <w:color w:val="auto"/>
        </w:rPr>
      </w:pPr>
    </w:p>
    <w:p>
      <w:pPr>
        <w:ind w:left="1680" w:right="559" w:firstLine="316"/>
        <w:spacing w:after="0" w:line="253" w:lineRule="auto"/>
        <w:rPr>
          <w:sz w:val="20"/>
          <w:szCs w:val="20"/>
          <w:color w:val="auto"/>
        </w:rPr>
      </w:pPr>
      <w:r>
        <w:rPr>
          <w:rFonts w:ascii="Times New Roman" w:cs="Times New Roman" w:eastAsia="Times New Roman" w:hAnsi="Times New Roman"/>
          <w:sz w:val="13"/>
          <w:szCs w:val="13"/>
          <w:color w:val="auto"/>
        </w:rPr>
        <w:t>We are also frequently required to indemnify our reseller partners and customers in the event of any third-party infringement claims against our customers and third parties who offer our platform, and such indemnification obligations may be excluded from contractual limitation of liability provisions that limit our exposure. These claims may require us to initiate or defend protracted and costly litigation on behalf of our customers and reseller partners, regardless of the merits of these claims. If any of these claims succeed, we may be forced to pay damages on behalf of our customers and reseller partners, may be required to modify our allegedly infringing platform to make it non-infringing, or may be required to obtain licenses for the products used. If we cannot obtain all necessary licenses on commercially reasonable terms, our customers may be forced to stop using our platform, and our reseller partners may be forced to stop selling our platform.</w:t>
      </w:r>
    </w:p>
    <w:p>
      <w:pPr>
        <w:spacing w:after="0" w:line="211" w:lineRule="exact"/>
        <w:rPr>
          <w:sz w:val="20"/>
          <w:szCs w:val="20"/>
          <w:color w:val="auto"/>
        </w:rPr>
      </w:pPr>
    </w:p>
    <w:p>
      <w:pPr>
        <w:ind w:left="1680" w:right="67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If we are unable to protect our intellectual property rights, the value of our brand and other intangible assets may be diminished, and our business may be adversely affected.</w:t>
      </w:r>
    </w:p>
    <w:p>
      <w:pPr>
        <w:spacing w:after="0" w:line="39" w:lineRule="exact"/>
        <w:rPr>
          <w:sz w:val="20"/>
          <w:szCs w:val="20"/>
          <w:color w:val="auto"/>
        </w:rPr>
      </w:pPr>
    </w:p>
    <w:p>
      <w:pPr>
        <w:ind w:left="1680" w:right="659" w:firstLine="316"/>
        <w:spacing w:after="0" w:line="251" w:lineRule="auto"/>
        <w:rPr>
          <w:sz w:val="20"/>
          <w:szCs w:val="20"/>
          <w:color w:val="auto"/>
        </w:rPr>
      </w:pPr>
      <w:r>
        <w:rPr>
          <w:rFonts w:ascii="Times New Roman" w:cs="Times New Roman" w:eastAsia="Times New Roman" w:hAnsi="Times New Roman"/>
          <w:sz w:val="13"/>
          <w:szCs w:val="13"/>
          <w:color w:val="auto"/>
        </w:rPr>
        <w:t>Our success is dependent, in part, upon protecting our intellectual property rights and proprietary information. We rely and expect to continue to rely on a combination of trademark, copyright, patent, and trade secret protection laws to protect our intellectual property rights and proprietary information. Additionally, we maintain a policy requiring our employees, consultants, independent contractors, and third parties who are engaged to develop any material intellectual property for us to enter into confidentiality and invention assignment agreements to control access to and use of our proprietary information and to ensure that any intellectual property developed by such employees, contractors, consultants, and other third parties are assigned to us. However, we cannot guarantee that the confidentiality and proprietary agreements or other employee, consultant, or independent contractor agreements we enter into adequately protect our intellectual property rights and other proprietary information. In addition, we cannot guarantee that these agreements will not be breached, that we will have adequate remedies for any breach, or that the applicable counter-parties to such agreements will not assert rights to our intellectual property rights or other proprietary information arising out of these relationships. Furthermore, the steps we have taken and may take in the future may not prevent misappropriation of our proprietary solutions or technologies, particularly with respect to officers and employees who are no longer employed by us.</w:t>
      </w:r>
    </w:p>
    <w:p>
      <w:pPr>
        <w:spacing w:after="0" w:line="141" w:lineRule="exact"/>
        <w:rPr>
          <w:sz w:val="20"/>
          <w:szCs w:val="20"/>
          <w:color w:val="auto"/>
        </w:rPr>
      </w:pPr>
    </w:p>
    <w:p>
      <w:pPr>
        <w:ind w:left="1680" w:right="639" w:firstLine="316"/>
        <w:spacing w:after="0" w:line="278" w:lineRule="auto"/>
        <w:rPr>
          <w:sz w:val="20"/>
          <w:szCs w:val="20"/>
          <w:color w:val="auto"/>
        </w:rPr>
      </w:pPr>
      <w:r>
        <w:rPr>
          <w:rFonts w:ascii="Times New Roman" w:cs="Times New Roman" w:eastAsia="Times New Roman" w:hAnsi="Times New Roman"/>
          <w:sz w:val="12"/>
          <w:szCs w:val="12"/>
          <w:color w:val="auto"/>
        </w:rPr>
        <w:t>Furthermore, third parties may knowingly or unknowingly infringe or circumvent our intellectual property rights, and we may not be able to prevent infringement without incurring substantial expense. Litigation brought to protect and enforce our intellectual property rights would be costly, time-consuming, and distracting to management and key personnel,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If the protection of our intellectual property rights is inadequate to prevent use or misappropriation by third parties, the value of our brand and other intangible assets may be diminished and competitors may be able to more effectively mimic our platform and methods of operations. Any of these events would have a material adverse effect on our business, results of operations, and financial condition.</w:t>
      </w:r>
    </w:p>
    <w:p>
      <w:pPr>
        <w:spacing w:after="0" w:line="19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Our failure to obtain or maintain the right to use certain of our intellectual property would negatively affect our business.</w:t>
      </w:r>
    </w:p>
    <w:p>
      <w:pPr>
        <w:spacing w:after="0" w:line="87" w:lineRule="exact"/>
        <w:rPr>
          <w:sz w:val="20"/>
          <w:szCs w:val="20"/>
          <w:color w:val="auto"/>
        </w:rPr>
      </w:pPr>
    </w:p>
    <w:p>
      <w:pPr>
        <w:ind w:left="1680" w:right="659" w:firstLine="316"/>
        <w:spacing w:after="0" w:line="295" w:lineRule="auto"/>
        <w:rPr>
          <w:sz w:val="20"/>
          <w:szCs w:val="20"/>
          <w:color w:val="auto"/>
        </w:rPr>
      </w:pPr>
      <w:r>
        <w:rPr>
          <w:rFonts w:ascii="Times New Roman" w:cs="Times New Roman" w:eastAsia="Times New Roman" w:hAnsi="Times New Roman"/>
          <w:sz w:val="12"/>
          <w:szCs w:val="12"/>
          <w:color w:val="auto"/>
        </w:rPr>
        <w:t>Our future success and competitive position depends in part upon our ability to obtain or maintain certain intellectual property used in our platform. While we have been issued patents for certain aspects of our intellectual property in the United States and have additional patent applications pending in the United States, we have not applied for patent protection in foreign jurisdictions, and may be unable to obtain patent protection for</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28</w:t>
      </w:r>
    </w:p>
    <w:p>
      <w:pPr>
        <w:sectPr>
          <w:pgSz w:w="11900" w:h="16838" w:orient="portrait"/>
          <w:cols w:equalWidth="0" w:num="1">
            <w:col w:w="10159"/>
          </w:cols>
          <w:pgMar w:left="300" w:top="367" w:right="1440" w:bottom="1440" w:gutter="0" w:footer="0" w:header="0"/>
        </w:sectPr>
      </w:pPr>
    </w:p>
    <w:bookmarkStart w:id="33" w:name="page34"/>
    <w:bookmarkEnd w:id="3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99"/>
        <w:spacing w:after="0" w:line="263" w:lineRule="auto"/>
        <w:rPr>
          <w:sz w:val="20"/>
          <w:szCs w:val="20"/>
          <w:color w:val="auto"/>
        </w:rPr>
      </w:pPr>
      <w:r>
        <w:rPr>
          <w:rFonts w:ascii="Times New Roman" w:cs="Times New Roman" w:eastAsia="Times New Roman" w:hAnsi="Times New Roman"/>
          <w:sz w:val="13"/>
          <w:szCs w:val="13"/>
          <w:color w:val="auto"/>
        </w:rPr>
        <w:t>the technology covered in our patent applications. In addition, we cannot ensure that any of the patent applications will be approved or that the claims allowed on any issued patents will be sufficiently broad to protect our technology or platform and provide us with competitive advantages. Furthermore, any issued patents may be challenged, invalidated, or circumvented by third parties.</w:t>
      </w:r>
    </w:p>
    <w:p>
      <w:pPr>
        <w:spacing w:after="0" w:line="129" w:lineRule="exact"/>
        <w:rPr>
          <w:sz w:val="20"/>
          <w:szCs w:val="20"/>
          <w:color w:val="auto"/>
        </w:rPr>
      </w:pPr>
    </w:p>
    <w:p>
      <w:pPr>
        <w:ind w:left="1680" w:right="579" w:firstLine="316"/>
        <w:spacing w:after="0" w:line="256" w:lineRule="auto"/>
        <w:rPr>
          <w:sz w:val="20"/>
          <w:szCs w:val="20"/>
          <w:color w:val="auto"/>
        </w:rPr>
      </w:pPr>
      <w:r>
        <w:rPr>
          <w:rFonts w:ascii="Times New Roman" w:cs="Times New Roman" w:eastAsia="Times New Roman" w:hAnsi="Times New Roman"/>
          <w:sz w:val="13"/>
          <w:szCs w:val="13"/>
          <w:color w:val="auto"/>
        </w:rPr>
        <w:t>Many patent applications in the United States may not be public for a period of time after they are filed, and since publication of discoveries in the scientific or patent literature tends to lag behind actual discoveries by several months, we cannot be certain that we will be the first creator of inventions covered by any patent application we make or that we will be the first to file patent applications on such inventions. Because some patent applications may not be public for a period of time, there is also a risk that we could adopt a technology without knowledge of a pending patent application, which technology would infringe a third-party patent once that patent is issued.</w:t>
      </w:r>
    </w:p>
    <w:p>
      <w:pPr>
        <w:spacing w:after="0" w:line="133" w:lineRule="exact"/>
        <w:rPr>
          <w:sz w:val="20"/>
          <w:szCs w:val="20"/>
          <w:color w:val="auto"/>
        </w:rPr>
      </w:pPr>
    </w:p>
    <w:p>
      <w:pPr>
        <w:ind w:left="1680" w:right="599" w:firstLine="316"/>
        <w:spacing w:after="0" w:line="254" w:lineRule="auto"/>
        <w:rPr>
          <w:sz w:val="20"/>
          <w:szCs w:val="20"/>
          <w:color w:val="auto"/>
        </w:rPr>
      </w:pPr>
      <w:r>
        <w:rPr>
          <w:rFonts w:ascii="Times New Roman" w:cs="Times New Roman" w:eastAsia="Times New Roman" w:hAnsi="Times New Roman"/>
          <w:sz w:val="13"/>
          <w:szCs w:val="13"/>
          <w:color w:val="auto"/>
        </w:rPr>
        <w:t>We also rely on unpatented proprietary technology. It is possible that others will independently develop the same or similar technology or otherwise obtain access to our unpatented technology. To protect our trade secrets and other proprietary information, we require employees, consultants, and independent contractors to enter into confidentiality agreements.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would be materially adversely affected.</w:t>
      </w:r>
    </w:p>
    <w:p>
      <w:pPr>
        <w:spacing w:after="0" w:line="136" w:lineRule="exact"/>
        <w:rPr>
          <w:sz w:val="20"/>
          <w:szCs w:val="20"/>
          <w:color w:val="auto"/>
        </w:rPr>
      </w:pPr>
    </w:p>
    <w:p>
      <w:pPr>
        <w:ind w:left="1680" w:right="579" w:firstLine="316"/>
        <w:spacing w:after="0" w:line="276" w:lineRule="auto"/>
        <w:rPr>
          <w:sz w:val="20"/>
          <w:szCs w:val="20"/>
          <w:color w:val="auto"/>
        </w:rPr>
      </w:pPr>
      <w:r>
        <w:rPr>
          <w:rFonts w:ascii="Times New Roman" w:cs="Times New Roman" w:eastAsia="Times New Roman" w:hAnsi="Times New Roman"/>
          <w:sz w:val="12"/>
          <w:szCs w:val="12"/>
          <w:color w:val="auto"/>
        </w:rPr>
        <w:t>We rely on our trademarks, trade names, and brand names to distinguish our solutions from the products of our competitors, and have registered or applied to register many of these trademarks in the United States and certain countries outside the United States. However, occasionally third parties may have already registered identical or similar marks for products or solutions that also address the software market. As we rely in part on brand names and trademark protection to enforce our intellectual property rights, efforts by third parties to limit use of our brand names or trademarks and barriers to the registration of brand names and trademarks in various countries may restrict our ability to promote and maintain a cohesive brand throughout our key markets.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In the event that our trademarks are successfully challenged, we could be forced to rebrand our platform, which would result in loss of brand recognition and would require us to devote resources to advertising and marketing new brands.</w:t>
      </w:r>
    </w:p>
    <w:p>
      <w:pPr>
        <w:spacing w:after="0" w:line="19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Any future litigation against us could be costly and time-consuming to defend.</w:t>
      </w:r>
    </w:p>
    <w:p>
      <w:pPr>
        <w:spacing w:after="0" w:line="87" w:lineRule="exact"/>
        <w:rPr>
          <w:sz w:val="20"/>
          <w:szCs w:val="20"/>
          <w:color w:val="auto"/>
        </w:rPr>
      </w:pPr>
    </w:p>
    <w:p>
      <w:pPr>
        <w:ind w:left="1680" w:right="619" w:firstLine="316"/>
        <w:spacing w:after="0" w:line="253" w:lineRule="auto"/>
        <w:rPr>
          <w:sz w:val="20"/>
          <w:szCs w:val="20"/>
          <w:color w:val="auto"/>
        </w:rPr>
      </w:pPr>
      <w:r>
        <w:rPr>
          <w:rFonts w:ascii="Times New Roman" w:cs="Times New Roman" w:eastAsia="Times New Roman" w:hAnsi="Times New Roman"/>
          <w:sz w:val="13"/>
          <w:szCs w:val="13"/>
          <w:color w:val="auto"/>
        </w:rPr>
        <w:t>We have in the past and may in the future become subject to legal proceedings and claims that arise in the ordinary course of business. We could be sued or face regulatory action for defamation, civil rights infringement, negligence, intellectual property rights infringement, invasion of privacy, personal injury, product liability, regulatory compliance, or other legal claims relating to information that is published or made available via our platform. Litigation might result in substantial costs and may divert management and key personnel’s attention and resources, which might seriously harm our business, results of operations, and financial condition.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have a material adverse effect on our business, results of operations, and financial condition.</w:t>
      </w:r>
    </w:p>
    <w:p>
      <w:pPr>
        <w:spacing w:after="0" w:line="209" w:lineRule="exact"/>
        <w:rPr>
          <w:sz w:val="20"/>
          <w:szCs w:val="20"/>
          <w:color w:val="auto"/>
        </w:rPr>
      </w:pPr>
    </w:p>
    <w:p>
      <w:pPr>
        <w:ind w:left="1680" w:right="101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Our use of “open source” and third-party software could impose unanticipated conditions or restrictions on our ability to commercialize our solutions and could subject us to possible litigation.</w:t>
      </w:r>
    </w:p>
    <w:p>
      <w:pPr>
        <w:spacing w:after="0" w:line="39" w:lineRule="exact"/>
        <w:rPr>
          <w:sz w:val="20"/>
          <w:szCs w:val="20"/>
          <w:color w:val="auto"/>
        </w:rPr>
      </w:pPr>
    </w:p>
    <w:p>
      <w:pPr>
        <w:ind w:left="1680" w:right="719" w:firstLine="316"/>
        <w:spacing w:after="0" w:line="277" w:lineRule="auto"/>
        <w:rPr>
          <w:sz w:val="20"/>
          <w:szCs w:val="20"/>
          <w:color w:val="auto"/>
        </w:rPr>
      </w:pPr>
      <w:r>
        <w:rPr>
          <w:rFonts w:ascii="Times New Roman" w:cs="Times New Roman" w:eastAsia="Times New Roman" w:hAnsi="Times New Roman"/>
          <w:sz w:val="13"/>
          <w:szCs w:val="13"/>
          <w:color w:val="auto"/>
        </w:rPr>
        <w:t>A portion of the technologies we use in our platform and mobile application incorporates “open source” software, and we may incorporate open source software in our platform and mobile application in the future.</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29</w:t>
      </w:r>
    </w:p>
    <w:p>
      <w:pPr>
        <w:sectPr>
          <w:pgSz w:w="11900" w:h="16838" w:orient="portrait"/>
          <w:cols w:equalWidth="0" w:num="1">
            <w:col w:w="10159"/>
          </w:cols>
          <w:pgMar w:left="300" w:top="367" w:right="1440" w:bottom="1440" w:gutter="0" w:footer="0" w:header="0"/>
        </w:sectPr>
      </w:pPr>
    </w:p>
    <w:bookmarkStart w:id="34" w:name="page35"/>
    <w:bookmarkEnd w:id="3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99"/>
        <w:spacing w:after="0" w:line="250" w:lineRule="auto"/>
        <w:rPr>
          <w:sz w:val="20"/>
          <w:szCs w:val="20"/>
          <w:color w:val="auto"/>
        </w:rPr>
      </w:pPr>
      <w:r>
        <w:rPr>
          <w:rFonts w:ascii="Times New Roman" w:cs="Times New Roman" w:eastAsia="Times New Roman" w:hAnsi="Times New Roman"/>
          <w:sz w:val="13"/>
          <w:szCs w:val="13"/>
          <w:color w:val="auto"/>
        </w:rPr>
        <w:t>From time to time, companies that use third-party open source software have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Some open source licenses require end-users who distribute or make available across a network software and services that include open source software to make available all or part of such software, which in some circumstances could include valuable proprietary code, at no cost, or license such code under the terms of the particular open source license.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applicable terms of such license, including claims for infringement of intellectual property rights or for breach of contract. Additionally, if a third-party software provider has incorporated open source software into software that we license from such provider, we could be required to disclose source code that incorporates or is a modification of such licensed software. Furthermore, there is an increasing number of open-source software license types, almost none of which have been tested in a court of law, resulting in a dearth of guidance regarding the proper legal interpretation of such license types. If an author or other third party that distributes open source software that we use or license were to allege that we had not complied with the conditions of the applicable open source license, we could expend substantial time and resources to re-engineer some or all of our software or be required to incur significant legal expenses defending against such allegations and could be subject to significant damages, enjoined from the sale of our platform that contained the open source software, and required to comply with the foregoing conditions, including public release of certain portions of our proprietary source code.</w:t>
      </w:r>
    </w:p>
    <w:p>
      <w:pPr>
        <w:spacing w:after="0" w:line="145" w:lineRule="exact"/>
        <w:rPr>
          <w:sz w:val="20"/>
          <w:szCs w:val="20"/>
          <w:color w:val="auto"/>
        </w:rPr>
      </w:pPr>
    </w:p>
    <w:p>
      <w:pPr>
        <w:ind w:left="1680" w:right="579" w:firstLine="316"/>
        <w:spacing w:after="0" w:line="258" w:lineRule="auto"/>
        <w:rPr>
          <w:sz w:val="20"/>
          <w:szCs w:val="20"/>
          <w:color w:val="auto"/>
        </w:rPr>
      </w:pPr>
      <w:r>
        <w:rPr>
          <w:rFonts w:ascii="Times New Roman" w:cs="Times New Roman" w:eastAsia="Times New Roman" w:hAnsi="Times New Roman"/>
          <w:sz w:val="13"/>
          <w:szCs w:val="13"/>
          <w:color w:val="auto"/>
        </w:rPr>
        <w:t>In addition, the use of third-party open source software typically exposes us to greater risks than the use of third-party commercial software because open-source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be harmful to our business, financial condition, or operating results.</w:t>
      </w:r>
    </w:p>
    <w:p>
      <w:pPr>
        <w:spacing w:after="0" w:line="133" w:lineRule="exact"/>
        <w:rPr>
          <w:sz w:val="20"/>
          <w:szCs w:val="20"/>
          <w:color w:val="auto"/>
        </w:rPr>
      </w:pPr>
    </w:p>
    <w:p>
      <w:pPr>
        <w:ind w:left="1680" w:right="599" w:firstLine="316"/>
        <w:spacing w:after="0" w:line="279" w:lineRule="auto"/>
        <w:rPr>
          <w:sz w:val="20"/>
          <w:szCs w:val="20"/>
          <w:color w:val="auto"/>
        </w:rPr>
      </w:pPr>
      <w:r>
        <w:rPr>
          <w:rFonts w:ascii="Times New Roman" w:cs="Times New Roman" w:eastAsia="Times New Roman" w:hAnsi="Times New Roman"/>
          <w:sz w:val="12"/>
          <w:szCs w:val="12"/>
          <w:color w:val="auto"/>
        </w:rPr>
        <w:t>We rely on software licensed from third parties to offer our platform. In addition, we may need to obtain future licenses from third parties to use intellectual property rights associated with the development of our platform, which might not be available on acceptable terms, or at all. Any loss of the right to use any third-party software required for the development and maintenance of our platform or mobile application could result in loss of functionality or availability of our platform or mobile application until equivalent technology is either developed by us, or, if available, is identified, obtained, and integrated. Any errors or defects in third-party software could result in errors or a failure of our platform or mobile application. Any of the foregoing would disrupt the distribution and sale of subscriptions to our platform and harm our business, results of operations, and financial condition.</w:t>
      </w:r>
    </w:p>
    <w:p>
      <w:pPr>
        <w:spacing w:after="0" w:line="197" w:lineRule="exact"/>
        <w:rPr>
          <w:sz w:val="20"/>
          <w:szCs w:val="20"/>
          <w:color w:val="auto"/>
        </w:rPr>
      </w:pPr>
    </w:p>
    <w:p>
      <w:pPr>
        <w:ind w:left="1680" w:right="559"/>
        <w:spacing w:after="0" w:line="266" w:lineRule="auto"/>
        <w:rPr>
          <w:sz w:val="20"/>
          <w:szCs w:val="20"/>
          <w:color w:val="auto"/>
        </w:rPr>
      </w:pPr>
      <w:r>
        <w:rPr>
          <w:rFonts w:ascii="Times New Roman" w:cs="Times New Roman" w:eastAsia="Times New Roman" w:hAnsi="Times New Roman"/>
          <w:sz w:val="13"/>
          <w:szCs w:val="13"/>
          <w:b w:val="1"/>
          <w:bCs w:val="1"/>
          <w:i w:val="1"/>
          <w:iCs w:val="1"/>
          <w:color w:val="auto"/>
        </w:rPr>
        <w:t>We receive, process, store, and use business and personal information, which subjects us to governmental regulation and other legal obligations related to data protection and security, and our actual or perceived failure to comply with such obligations could harm our business and expose us to liability.</w:t>
      </w:r>
    </w:p>
    <w:p>
      <w:pPr>
        <w:spacing w:after="0" w:line="50" w:lineRule="exact"/>
        <w:rPr>
          <w:sz w:val="20"/>
          <w:szCs w:val="20"/>
          <w:color w:val="auto"/>
        </w:rPr>
      </w:pPr>
    </w:p>
    <w:p>
      <w:pPr>
        <w:ind w:left="1680" w:right="579" w:firstLine="316"/>
        <w:spacing w:after="0" w:line="253" w:lineRule="auto"/>
        <w:rPr>
          <w:sz w:val="20"/>
          <w:szCs w:val="20"/>
          <w:color w:val="auto"/>
        </w:rPr>
      </w:pPr>
      <w:r>
        <w:rPr>
          <w:rFonts w:ascii="Times New Roman" w:cs="Times New Roman" w:eastAsia="Times New Roman" w:hAnsi="Times New Roman"/>
          <w:sz w:val="13"/>
          <w:szCs w:val="13"/>
          <w:color w:val="auto"/>
        </w:rPr>
        <w:t>We receive, process, store, and use business and personal information belonging to our users and customers. There are numerous federal, state, local, and foreign laws and regulations regarding data protection and the storing, sharing, use, processing, disclosure, and protection of business and personal information. These laws continue to evolve in scope and are subject to differing interpretations, and may contain inconsistencies or pose conflicts with other legal requirements. We seek to comply with applicable laws, regulations, policies, legal obligations, and industry standards and have developed privacy policies, data processing addenda, and internal privacy procedures to reflect such compliance. However, it is possible that these obligations may be interpreted and applied in a manner that is inconsistent from one jurisdiction to another and may conflict with other rules or our practices. Failure or perceived failure by us to comply with our privacy policies, privacy-related obligations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30</w:t>
      </w:r>
    </w:p>
    <w:p>
      <w:pPr>
        <w:sectPr>
          <w:pgSz w:w="11900" w:h="16838" w:orient="portrait"/>
          <w:cols w:equalWidth="0" w:num="1">
            <w:col w:w="10159"/>
          </w:cols>
          <w:pgMar w:left="300" w:top="367" w:right="1440" w:bottom="1440" w:gutter="0" w:footer="0" w:header="0"/>
        </w:sectPr>
      </w:pPr>
    </w:p>
    <w:bookmarkStart w:id="35" w:name="page36"/>
    <w:bookmarkEnd w:id="3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59"/>
        <w:spacing w:after="0" w:line="256" w:lineRule="auto"/>
        <w:rPr>
          <w:sz w:val="20"/>
          <w:szCs w:val="20"/>
          <w:color w:val="auto"/>
        </w:rPr>
      </w:pPr>
      <w:r>
        <w:rPr>
          <w:rFonts w:ascii="Times New Roman" w:cs="Times New Roman" w:eastAsia="Times New Roman" w:hAnsi="Times New Roman"/>
          <w:sz w:val="13"/>
          <w:szCs w:val="13"/>
          <w:color w:val="auto"/>
        </w:rPr>
        <w:t>to users, customers, or other third parties, or our privacy-related legal obligations, or any data compromise that results in the unauthorized release or transfer of business or personal information or other user or customer data, may result in domestic or foreign governmental enforcement actions, fines, litigation, or public statements against us by our users, customers, consumers, regulators, consumer advocacy groups, or others, which would have an adverse effect on our reputation and business. We could also incur significant costs investigating and defending such claims and, if we are found liable, significant damages.</w:t>
      </w:r>
    </w:p>
    <w:p>
      <w:pPr>
        <w:spacing w:after="0" w:line="133" w:lineRule="exact"/>
        <w:rPr>
          <w:sz w:val="20"/>
          <w:szCs w:val="20"/>
          <w:color w:val="auto"/>
        </w:rPr>
      </w:pPr>
    </w:p>
    <w:p>
      <w:pPr>
        <w:ind w:left="1680" w:right="619" w:firstLine="316"/>
        <w:spacing w:after="0" w:line="251" w:lineRule="auto"/>
        <w:rPr>
          <w:sz w:val="20"/>
          <w:szCs w:val="20"/>
          <w:color w:val="auto"/>
        </w:rPr>
      </w:pPr>
      <w:r>
        <w:rPr>
          <w:rFonts w:ascii="Times New Roman" w:cs="Times New Roman" w:eastAsia="Times New Roman" w:hAnsi="Times New Roman"/>
          <w:sz w:val="13"/>
          <w:szCs w:val="13"/>
          <w:color w:val="auto"/>
        </w:rPr>
        <w:t>Data protection regulation is an area of increased focus and changing requirements. Any significant change in applicable laws, regulations, or industry practices regarding the use or disclosure of our users’ or customers’ data, or regarding the manner in which the express or implied consent of users or customers for the use and disclosure of such data is obtained, could require us to modify our platform, possibly in a material manner, and may limit our ability to develop new services and features that make use of the data that our users and customers voluntarily share. For example, the General Data Protection Regulation 2016/679, or GDPR, which came into effect in the European Union in May 2018 and superseded prior E.U. data protection legislation, imposes more stringent data protection requirements and provides for greater penalties for noncompliance. The GDPR enhances data protection obligations for processors and controllers of personal information, including, for example, expanded disclosures of requirements, limitations on retention of personal information, mandatory data breach notification requirements, and additional obligations. Non-compliance with the GDPR can trigger fines of up to the greater of €20 million or 4% of our global revenues. While we instituted a GDPR compliance strategy and program that we continue to evaluate and improve as our platform changes and expands, we still do not know how E.U. regulators will interpret or enforce many aspects of the GDPR, and some regulators may do so in an inconsistent manner, making such a prediction even more difficult. Further, the United Kingdom has initiated the formal process to leave the European Union, creating uncertainty with regard to the regulation of data protection in the United Kingdom. While the United Kingdom has committed to maintaining data protection laws and regulations designed to be consistent with the GDPR, it remains unclear how data protection law in the United Kingdom will continue to develop once a formal exit occurs, and how data transfers to and from the United Kingdom will be regulated.</w:t>
      </w:r>
    </w:p>
    <w:p>
      <w:pPr>
        <w:spacing w:after="0" w:line="136" w:lineRule="exact"/>
        <w:rPr>
          <w:sz w:val="20"/>
          <w:szCs w:val="20"/>
          <w:color w:val="auto"/>
        </w:rPr>
      </w:pPr>
    </w:p>
    <w:p>
      <w:pPr>
        <w:ind w:left="1680" w:right="579" w:firstLine="316"/>
        <w:spacing w:after="0" w:line="251" w:lineRule="auto"/>
        <w:rPr>
          <w:sz w:val="20"/>
          <w:szCs w:val="20"/>
          <w:color w:val="auto"/>
        </w:rPr>
      </w:pPr>
      <w:r>
        <w:rPr>
          <w:rFonts w:ascii="Times New Roman" w:cs="Times New Roman" w:eastAsia="Times New Roman" w:hAnsi="Times New Roman"/>
          <w:sz w:val="13"/>
          <w:szCs w:val="13"/>
          <w:color w:val="auto"/>
        </w:rPr>
        <w:t>In addition to the European Union, a growing number of other global jurisdictions are considering or have passed legislation implementing data protection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GDPR. Others, such as those in Russia, India, and China, would potentially impose more stringent obligations, including data localization requirements. If we are unable to develop and offer products that meet legal requirements or help our users and customers 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platform, harm to our reputation, and become subject to investigations, claims, and other remedies, which would expose us to significant fines, penalties, and other damages, all of which would harm our business.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w:t>
      </w:r>
    </w:p>
    <w:p>
      <w:pPr>
        <w:spacing w:after="0" w:line="141" w:lineRule="exact"/>
        <w:rPr>
          <w:sz w:val="20"/>
          <w:szCs w:val="20"/>
          <w:color w:val="auto"/>
        </w:rPr>
      </w:pPr>
    </w:p>
    <w:p>
      <w:pPr>
        <w:ind w:left="1680" w:right="579" w:firstLine="316"/>
        <w:spacing w:after="0" w:line="254" w:lineRule="auto"/>
        <w:rPr>
          <w:sz w:val="20"/>
          <w:szCs w:val="20"/>
          <w:color w:val="auto"/>
        </w:rPr>
      </w:pPr>
      <w:r>
        <w:rPr>
          <w:rFonts w:ascii="Times New Roman" w:cs="Times New Roman" w:eastAsia="Times New Roman" w:hAnsi="Times New Roman"/>
          <w:sz w:val="13"/>
          <w:szCs w:val="13"/>
          <w:color w:val="auto"/>
        </w:rPr>
        <w:t>Data protection legislation is also becoming increasingly common in the United States at both the federal and state level. For example, the California Consumer Privacy Act of 2018, or the CCPA, came into effect on January 1, 2020. The CCPA requires companies that process information on California residents to make new disclosures to consumers about their data collection, use, and sharing practices, allows consumers to opt out of certain data sharing with third parties and exercise certain individual rights regarding their personal information, provides a new cause of action for data breaches, and provides for penalties for noncompliance of up to $7,500 per violation. While we are positioned as a “service provider” under the CCPA with respect to most of our data activities, have conducted a CCPA compliance review process, and do not currently share data with third parties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31</w:t>
      </w:r>
    </w:p>
    <w:p>
      <w:pPr>
        <w:sectPr>
          <w:pgSz w:w="11900" w:h="16838" w:orient="portrait"/>
          <w:cols w:equalWidth="0" w:num="1">
            <w:col w:w="10159"/>
          </w:cols>
          <w:pgMar w:left="300" w:top="367" w:right="1440" w:bottom="1440" w:gutter="0" w:footer="0" w:header="0"/>
        </w:sectPr>
      </w:pPr>
    </w:p>
    <w:bookmarkStart w:id="36" w:name="page37"/>
    <w:bookmarkEnd w:id="3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39"/>
        <w:spacing w:after="0" w:line="251" w:lineRule="auto"/>
        <w:rPr>
          <w:sz w:val="20"/>
          <w:szCs w:val="20"/>
          <w:color w:val="auto"/>
        </w:rPr>
      </w:pPr>
      <w:r>
        <w:rPr>
          <w:rFonts w:ascii="Times New Roman" w:cs="Times New Roman" w:eastAsia="Times New Roman" w:hAnsi="Times New Roman"/>
          <w:sz w:val="13"/>
          <w:szCs w:val="13"/>
          <w:color w:val="auto"/>
        </w:rPr>
        <w:t>in a way that would be currently considered a “sale” under the CCPA, regulations from the California attorney general’s office on the specific requirements of the CCPA have just recently been finalized and it remains unclear how stringent the California attorney general’s office will be in enforcing the law. It also remains unclear how much private litigation will ensue under the data breach private right of action, and whether existing amendments that are favorable to us that exclude business to business information and employee information from certain of the CCPA’s requirements will remain in effect after January 1, 2021, which would potentially result in additional compliance obligations. Additionally, a new California ballot initiative, the California Privacy Rights Act, appears to have garnered enough signatures to be included on the November 2020 ballot in California, and if voted into law by California residents, would impose additional data protection obligations on companies doing business in California, including additional consumer rights processes and opt outs for certain uses of sensitive data. It would also create a new California data protection agency specifically tasked to enforce the law, which would likely result in increased regulatory scrutiny of California businesses in the areas of data protection and security. Similar laws have been proposed in other states and at the federal level, and if passed, such laws may have potentially conflicting requirements that would make compliance challenging.</w:t>
      </w:r>
    </w:p>
    <w:p>
      <w:pPr>
        <w:spacing w:after="0" w:line="141" w:lineRule="exact"/>
        <w:rPr>
          <w:sz w:val="20"/>
          <w:szCs w:val="20"/>
          <w:color w:val="auto"/>
        </w:rPr>
      </w:pPr>
    </w:p>
    <w:p>
      <w:pPr>
        <w:ind w:left="1680" w:right="559" w:firstLine="316"/>
        <w:spacing w:after="0" w:line="256" w:lineRule="auto"/>
        <w:rPr>
          <w:sz w:val="20"/>
          <w:szCs w:val="20"/>
          <w:color w:val="auto"/>
        </w:rPr>
      </w:pPr>
      <w:r>
        <w:rPr>
          <w:rFonts w:ascii="Times New Roman" w:cs="Times New Roman" w:eastAsia="Times New Roman" w:hAnsi="Times New Roman"/>
          <w:sz w:val="13"/>
          <w:szCs w:val="13"/>
          <w:color w:val="auto"/>
        </w:rPr>
        <w:t>Furthermore, the Federal Trade Commission and many state attorneys general continue to enforce federal and state consumer protection laws against companies for online collection, use, dissemination, and security practices that appear to be unfair or deceptive. There are a number of legislative proposals in the United States, at both the federal and state level, and in the European Union and more globally, that could impose new obligations in areas such as e-commerce and other related legislation or liability for copyright infringement by third parties. We cannot yet determine the impact that future laws, regulations, and standards may have on our business.</w:t>
      </w:r>
    </w:p>
    <w:p>
      <w:pPr>
        <w:spacing w:after="0" w:line="207" w:lineRule="exact"/>
        <w:rPr>
          <w:sz w:val="20"/>
          <w:szCs w:val="20"/>
          <w:color w:val="auto"/>
        </w:rPr>
      </w:pPr>
    </w:p>
    <w:p>
      <w:pPr>
        <w:ind w:left="1680" w:right="65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We are subject to anti-corruption, anti-bribery, and similar laws, and our failure to comply with these laws could subject us to criminal penalties or significant fines and harm our business and reputation.</w:t>
      </w:r>
    </w:p>
    <w:p>
      <w:pPr>
        <w:spacing w:after="0" w:line="39" w:lineRule="exact"/>
        <w:rPr>
          <w:sz w:val="20"/>
          <w:szCs w:val="20"/>
          <w:color w:val="auto"/>
        </w:rPr>
      </w:pPr>
    </w:p>
    <w:p>
      <w:pPr>
        <w:ind w:left="1680" w:right="579" w:firstLine="316"/>
        <w:spacing w:after="0" w:line="252" w:lineRule="auto"/>
        <w:rPr>
          <w:sz w:val="20"/>
          <w:szCs w:val="20"/>
          <w:color w:val="auto"/>
        </w:rPr>
      </w:pPr>
      <w:r>
        <w:rPr>
          <w:rFonts w:ascii="Times New Roman" w:cs="Times New Roman" w:eastAsia="Times New Roman" w:hAnsi="Times New Roman"/>
          <w:sz w:val="13"/>
          <w:szCs w:val="13"/>
          <w:color w:val="auto"/>
        </w:rPr>
        <w:t>We are subject to anti-corruption and anti-bribery and similar laws, such as the U.S. Foreign Corrupt Practices Act of 1977, as amended, or the FCPA, the U.S. domestic bribery statute contained in 18 U.S.C. § 201, U.S. Travel Act, the USA PATRIOT Act, the U.K. Bribery Act 2010, and other anti-corruption, anti-bribery, and anti-money laundering laws in countries in which we conduct activities. Anti-corruption and anti-bribery laws have been enforced aggressively in recent years and are interpreted broadly and prohibit companies and their employees and agents from promising, authorizing, making, or offering improper payments or other benefits to government officials and others in the private sector. As we increase our international sales and business,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w:t>
      </w:r>
    </w:p>
    <w:p>
      <w:pPr>
        <w:spacing w:after="0" w:line="212" w:lineRule="exact"/>
        <w:rPr>
          <w:sz w:val="20"/>
          <w:szCs w:val="20"/>
          <w:color w:val="auto"/>
        </w:rPr>
      </w:pPr>
    </w:p>
    <w:p>
      <w:pPr>
        <w:ind w:left="1680" w:right="63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We are subject to various export, import, and trade and economic sanction laws and regulations controls that could impair our ability to compete in international markets and subject us to liability for noncompliance.</w:t>
      </w:r>
    </w:p>
    <w:p>
      <w:pPr>
        <w:spacing w:after="0" w:line="39" w:lineRule="exact"/>
        <w:rPr>
          <w:sz w:val="20"/>
          <w:szCs w:val="20"/>
          <w:color w:val="auto"/>
        </w:rPr>
      </w:pPr>
    </w:p>
    <w:p>
      <w:pPr>
        <w:ind w:left="1680" w:right="619" w:firstLine="316"/>
        <w:spacing w:after="0" w:line="252" w:lineRule="auto"/>
        <w:rPr>
          <w:sz w:val="20"/>
          <w:szCs w:val="20"/>
          <w:color w:val="auto"/>
        </w:rPr>
      </w:pPr>
      <w:r>
        <w:rPr>
          <w:rFonts w:ascii="Times New Roman" w:cs="Times New Roman" w:eastAsia="Times New Roman" w:hAnsi="Times New Roman"/>
          <w:sz w:val="13"/>
          <w:szCs w:val="13"/>
          <w:color w:val="auto"/>
        </w:rPr>
        <w:t>Our business activities are subject to various export, import, and trade and economic sanction laws and regulations, including, among others, the U.S. Export Administration Regulations, administered by the Department of Commerce’s Bureau of Industry and Security, or BIS, and economic and trade sanctions regulations maintained by the U.S. Department of the Treasury’s Office of Foreign Assets Control, or OFAC, which we refer to collectively as Trade Controls. Trade Controls may prohibit or restrict the sale or supply of certain products, including encryption items and other technology, and services to certain governments, persons, entities, countries, and territories, including those that are the target of comprehensive sanctions. We incorporate encryption technology into our platform, which may subject its export outside of the United States to various export authorization requirements, including licensing, compliance with license exceptions, or other appropriate government authorization, including the filing of an encryption classification request or self-classification report with the U.S. Commerce Department. In addition, various other countries regulate the import and export of certain encryption and other technology, including through import permitting and licensing requirements, and</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32</w:t>
      </w:r>
    </w:p>
    <w:p>
      <w:pPr>
        <w:sectPr>
          <w:pgSz w:w="11900" w:h="16838" w:orient="portrait"/>
          <w:cols w:equalWidth="0" w:num="1">
            <w:col w:w="10159"/>
          </w:cols>
          <w:pgMar w:left="300" w:top="367" w:right="1440" w:bottom="1440" w:gutter="0" w:footer="0" w:header="0"/>
        </w:sectPr>
      </w:pPr>
    </w:p>
    <w:bookmarkStart w:id="37" w:name="page38"/>
    <w:bookmarkEnd w:id="3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have enacted laws that could limit our ability to distribute our platform or could limit the ability of organizations to use our platform in those countries.</w:t>
      </w:r>
    </w:p>
    <w:p>
      <w:pPr>
        <w:spacing w:after="0" w:line="161" w:lineRule="exact"/>
        <w:rPr>
          <w:sz w:val="20"/>
          <w:szCs w:val="20"/>
          <w:color w:val="auto"/>
        </w:rPr>
      </w:pPr>
    </w:p>
    <w:p>
      <w:pPr>
        <w:ind w:left="1680" w:right="599" w:firstLine="316"/>
        <w:spacing w:after="0" w:line="252" w:lineRule="auto"/>
        <w:rPr>
          <w:sz w:val="20"/>
          <w:szCs w:val="20"/>
          <w:color w:val="auto"/>
        </w:rPr>
      </w:pPr>
      <w:r>
        <w:rPr>
          <w:rFonts w:ascii="Times New Roman" w:cs="Times New Roman" w:eastAsia="Times New Roman" w:hAnsi="Times New Roman"/>
          <w:sz w:val="13"/>
          <w:szCs w:val="13"/>
          <w:color w:val="auto"/>
        </w:rPr>
        <w:t>Until recently, we did not have a comprehensive Trade Controls compliance program. Although we have since implemented controls designed to promote and achieve compliance with applicable Trade Controls, we may have previously provided certain services to some customers in apparent violation of U.S. sanctions laws and exported software and source code prior to submitting required filings and obtaining authorization from BIS regarding exports of our software. As a result, we have submitted voluntary self-disclosures concerning these activities to OFAC and BIS. It is possible that these activities may result in administrative fines or penalties. In addition, if we are found to be in violation of U.S. economic sanctions or export control laws for other activities, it could result in fines and penalties. We may also be adversely affected through reputational harm, loss of access to certain markets, or otherwise. While we continue to review and assess the facts and circumstances surrounding these or other possible violations, we are simultaneously working to further enhance our compliance program regarding applicable Trade Controls. These controls include the implementation of IP address blocking functionality, screenings of our users against government lists of restricted and prohibited persons, training our employees, and the development of a global Trade Controls policy.</w:t>
      </w:r>
    </w:p>
    <w:p>
      <w:pPr>
        <w:spacing w:after="0" w:line="136" w:lineRule="exact"/>
        <w:rPr>
          <w:sz w:val="20"/>
          <w:szCs w:val="20"/>
          <w:color w:val="auto"/>
        </w:rPr>
      </w:pPr>
    </w:p>
    <w:p>
      <w:pPr>
        <w:ind w:left="1680" w:right="659" w:firstLine="316"/>
        <w:spacing w:after="0" w:line="254" w:lineRule="auto"/>
        <w:rPr>
          <w:sz w:val="20"/>
          <w:szCs w:val="20"/>
          <w:color w:val="auto"/>
        </w:rPr>
      </w:pPr>
      <w:r>
        <w:rPr>
          <w:rFonts w:ascii="Times New Roman" w:cs="Times New Roman" w:eastAsia="Times New Roman" w:hAnsi="Times New Roman"/>
          <w:sz w:val="13"/>
          <w:szCs w:val="13"/>
          <w:color w:val="auto"/>
        </w:rPr>
        <w:t>Although we seek to conduct our business in full compliance with Trade Controls, we cannot guarantee that these controls will be fully effective. Violations of Trade Controls may subject our company, including responsible personnel, to various adverse consequences, including civil or criminal penalties, government investigations, and loss of export privileges. Further, obtaining the necessary authorizations, including any required licenses, for particular transactions or uses of our platform may be time-consuming, is not guaranteed, and may result in the delay or loss of sales opportunities. In addition, if our reseller partners fail to obtain any required import, export, or re-export licenses or permits, this could result in a violation of law by us, and we may also suffer reputational harm and other negative consequences, including government investigations and penalties.</w:t>
      </w:r>
    </w:p>
    <w:p>
      <w:pPr>
        <w:spacing w:after="0" w:line="136" w:lineRule="exact"/>
        <w:rPr>
          <w:sz w:val="20"/>
          <w:szCs w:val="20"/>
          <w:color w:val="auto"/>
        </w:rPr>
      </w:pPr>
    </w:p>
    <w:p>
      <w:pPr>
        <w:ind w:left="1680" w:right="639" w:firstLine="316"/>
        <w:spacing w:after="0" w:line="258" w:lineRule="auto"/>
        <w:rPr>
          <w:sz w:val="20"/>
          <w:szCs w:val="20"/>
          <w:color w:val="auto"/>
        </w:rPr>
      </w:pPr>
      <w:r>
        <w:rPr>
          <w:rFonts w:ascii="Times New Roman" w:cs="Times New Roman" w:eastAsia="Times New Roman" w:hAnsi="Times New Roman"/>
          <w:sz w:val="13"/>
          <w:szCs w:val="13"/>
          <w:color w:val="auto"/>
        </w:rPr>
        <w:t>Finally, changes in our platform or future changes in Trade Controls could result in our inability to provide our platform to certain customers or decreased use of our platform by existing or potential customers with international operations. Any decreased use of our platform or mobile application or increased limitations on our ability to export or sell our platform and mobile application would adversely affect our business, results of operations, and financial condition.</w:t>
      </w:r>
    </w:p>
    <w:p>
      <w:pPr>
        <w:spacing w:after="0" w:line="20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Sales to customers outside the United States and our international operations expose us to risks inherent in international sales and operations.</w:t>
      </w:r>
    </w:p>
    <w:p>
      <w:pPr>
        <w:spacing w:after="0" w:line="87" w:lineRule="exact"/>
        <w:rPr>
          <w:sz w:val="20"/>
          <w:szCs w:val="20"/>
          <w:color w:val="auto"/>
        </w:rPr>
      </w:pPr>
    </w:p>
    <w:p>
      <w:pPr>
        <w:ind w:left="1680" w:right="599" w:firstLine="316"/>
        <w:spacing w:after="0" w:line="258" w:lineRule="auto"/>
        <w:rPr>
          <w:sz w:val="20"/>
          <w:szCs w:val="20"/>
          <w:color w:val="auto"/>
        </w:rPr>
      </w:pPr>
      <w:r>
        <w:rPr>
          <w:rFonts w:ascii="Times New Roman" w:cs="Times New Roman" w:eastAsia="Times New Roman" w:hAnsi="Times New Roman"/>
          <w:sz w:val="13"/>
          <w:szCs w:val="13"/>
          <w:color w:val="auto"/>
        </w:rPr>
        <w:t>For fiscal 2020, 41% of our revenues were generated from customers outside the United States. We have operations in Dublin, London, Munich, Reykjavik, Sydney, Tokyo, and Vancouver, in addition to New York and San Francisco. Operating in international markets requires significant resources and management attention and subjects us to regulatory, economic, and political risks that are different from those in the United States. In addition, we will face risks in doing business internationally that could adversely affect our business and results of operations, including:</w:t>
      </w:r>
    </w:p>
    <w:p>
      <w:pPr>
        <w:spacing w:after="0" w:line="65" w:lineRule="exact"/>
        <w:rPr>
          <w:sz w:val="20"/>
          <w:szCs w:val="20"/>
          <w:color w:val="auto"/>
        </w:rPr>
      </w:pPr>
    </w:p>
    <w:p>
      <w:pPr>
        <w:ind w:left="2380" w:hanging="381"/>
        <w:spacing w:after="0"/>
        <w:tabs>
          <w:tab w:leader="none" w:pos="2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need to localize and adapt our platform for specific countries, including translation into foreign languages and associated expenses;</w:t>
      </w:r>
    </w:p>
    <w:p>
      <w:pPr>
        <w:spacing w:after="0" w:line="92" w:lineRule="exact"/>
        <w:rPr>
          <w:rFonts w:ascii="Times New Roman" w:cs="Times New Roman" w:eastAsia="Times New Roman" w:hAnsi="Times New Roman"/>
          <w:sz w:val="13"/>
          <w:szCs w:val="13"/>
          <w:color w:val="auto"/>
        </w:rPr>
      </w:pPr>
    </w:p>
    <w:p>
      <w:pPr>
        <w:ind w:left="2380" w:right="579" w:hanging="381"/>
        <w:spacing w:after="0" w:line="277" w:lineRule="auto"/>
        <w:tabs>
          <w:tab w:leader="none" w:pos="2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data privacy laws that impose different and potentially conflicting obligations with respect to how personal data is processed or require that customer data be stored in a designated territory;</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difficulties in staffing and managing foreign operations;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regulatory and other delays and difficulties in setting up foreign operations;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different pricing environments, longer sales cycles, longer accounts receivable payment cycles, and collections issues;</w:t>
      </w:r>
    </w:p>
    <w:p>
      <w:pPr>
        <w:spacing w:after="0" w:line="1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33</w:t>
      </w:r>
    </w:p>
    <w:p>
      <w:pPr>
        <w:sectPr>
          <w:pgSz w:w="11900" w:h="16838" w:orient="portrait"/>
          <w:cols w:equalWidth="0" w:num="1">
            <w:col w:w="10159"/>
          </w:cols>
          <w:pgMar w:left="300" w:top="367" w:right="1440" w:bottom="1440" w:gutter="0" w:footer="0" w:header="0"/>
        </w:sectPr>
      </w:pPr>
    </w:p>
    <w:bookmarkStart w:id="38" w:name="page39"/>
    <w:bookmarkEnd w:id="3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2380" w:hanging="381"/>
        <w:spacing w:after="0"/>
        <w:tabs>
          <w:tab w:leader="none" w:pos="2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new and different sources of competition;</w:t>
      </w:r>
    </w:p>
    <w:p>
      <w:pPr>
        <w:spacing w:after="0" w:line="92" w:lineRule="exact"/>
        <w:rPr>
          <w:rFonts w:ascii="Times New Roman" w:cs="Times New Roman" w:eastAsia="Times New Roman" w:hAnsi="Times New Roman"/>
          <w:sz w:val="13"/>
          <w:szCs w:val="13"/>
          <w:color w:val="auto"/>
        </w:rPr>
      </w:pPr>
    </w:p>
    <w:p>
      <w:pPr>
        <w:ind w:left="2380" w:right="599" w:hanging="381"/>
        <w:spacing w:after="0" w:line="277" w:lineRule="auto"/>
        <w:tabs>
          <w:tab w:leader="none" w:pos="2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weaker protection for intellectual property and other legal rights than in the United States and practical difficulties in enforcing intellectual property and other rights outside of the United States;</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laws and business practices favoring local competitors;</w:t>
      </w:r>
    </w:p>
    <w:p>
      <w:pPr>
        <w:spacing w:after="0" w:line="92" w:lineRule="exact"/>
        <w:rPr>
          <w:rFonts w:ascii="Times New Roman" w:cs="Times New Roman" w:eastAsia="Times New Roman" w:hAnsi="Times New Roman"/>
          <w:sz w:val="13"/>
          <w:szCs w:val="13"/>
          <w:color w:val="auto"/>
        </w:rPr>
      </w:pPr>
    </w:p>
    <w:p>
      <w:pPr>
        <w:ind w:left="2380" w:right="899" w:hanging="381"/>
        <w:spacing w:after="0" w:line="277" w:lineRule="auto"/>
        <w:tabs>
          <w:tab w:leader="none" w:pos="2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compliance challenges related to the complexity of multiple, conflicting, and changing governmental laws and regulations, including employment, tax, privacy, and data protection laws and regulations;</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increased financial accounting and reporting burdens and complexities;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declines in the values of foreign currencies relative to the U.S. dollar;</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restrictions on the transfer of funds;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potentially adverse tax consequences;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cost of and potential outcomes of any claims or litigation;</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future accounting pronouncements and changes in accounting policies;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tax laws or tax regulations;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health or similar issues, such as a pandemic or epidemic; and</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regional and local economic and political conditions.</w:t>
      </w:r>
    </w:p>
    <w:p>
      <w:pPr>
        <w:spacing w:after="0" w:line="161" w:lineRule="exact"/>
        <w:rPr>
          <w:sz w:val="20"/>
          <w:szCs w:val="20"/>
          <w:color w:val="auto"/>
        </w:rPr>
      </w:pPr>
    </w:p>
    <w:p>
      <w:pPr>
        <w:ind w:left="1680" w:right="619" w:firstLine="316"/>
        <w:spacing w:after="0" w:line="256" w:lineRule="auto"/>
        <w:rPr>
          <w:sz w:val="20"/>
          <w:szCs w:val="20"/>
          <w:color w:val="auto"/>
        </w:rPr>
      </w:pPr>
      <w:r>
        <w:rPr>
          <w:rFonts w:ascii="Times New Roman" w:cs="Times New Roman" w:eastAsia="Times New Roman" w:hAnsi="Times New Roman"/>
          <w:sz w:val="13"/>
          <w:szCs w:val="13"/>
          <w:color w:val="auto"/>
        </w:rPr>
        <w:t>As we continue to expand our business globally, our success will depend, in large part, on our ability to anticipate and effectively manage these risks. These factors and others could harm our ability to increase international revenues and, consequently, would materially impact our business and results of operations. The expansion of our existing international operations and entry into additional international markets will require significant management attention and financial resources. Our failure to successfully manage our international operations and the associated risks effectively could limit the future growth of our business.</w:t>
      </w:r>
    </w:p>
    <w:p>
      <w:pPr>
        <w:spacing w:after="0" w:line="207" w:lineRule="exact"/>
        <w:rPr>
          <w:sz w:val="20"/>
          <w:szCs w:val="20"/>
          <w:color w:val="auto"/>
        </w:rPr>
      </w:pPr>
    </w:p>
    <w:p>
      <w:pPr>
        <w:ind w:left="1680" w:right="79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If we experience excessive fraudulent activity, we could incur substantial costs and lose the right to accept credit cards for payment, which could cause our customer base to decline significantly.</w:t>
      </w:r>
    </w:p>
    <w:p>
      <w:pPr>
        <w:spacing w:after="0" w:line="39" w:lineRule="exact"/>
        <w:rPr>
          <w:sz w:val="20"/>
          <w:szCs w:val="20"/>
          <w:color w:val="auto"/>
        </w:rPr>
      </w:pPr>
    </w:p>
    <w:p>
      <w:pPr>
        <w:ind w:left="1680" w:right="579" w:firstLine="316"/>
        <w:spacing w:after="0" w:line="275" w:lineRule="auto"/>
        <w:rPr>
          <w:sz w:val="20"/>
          <w:szCs w:val="20"/>
          <w:color w:val="auto"/>
        </w:rPr>
      </w:pPr>
      <w:r>
        <w:rPr>
          <w:rFonts w:ascii="Times New Roman" w:cs="Times New Roman" w:eastAsia="Times New Roman" w:hAnsi="Times New Roman"/>
          <w:sz w:val="12"/>
          <w:szCs w:val="12"/>
          <w:color w:val="auto"/>
        </w:rPr>
        <w:t>A large portion of our customers authorize us to bill their credit card accounts through our third-party payment processing partners for our paid subscription plans. If customers pay for their subscription plans with stolen credit cards, we could incur substantial third-party vendor costs for which we may not be reimbursed. Further, our customers provide us with credit card billing information online,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subscription plans,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Our third-party payment processing partners must also maintain compliance with current and future merchant standards to accept credit cards as payment for our paid subscription plans. Substantial losses due to fraud or our inability to accept credit card payments would cause our customer base to significantly decrease and would harm our business.</w:t>
      </w:r>
    </w:p>
    <w:p>
      <w:pPr>
        <w:spacing w:after="0" w:line="198" w:lineRule="exact"/>
        <w:rPr>
          <w:sz w:val="20"/>
          <w:szCs w:val="20"/>
          <w:color w:val="auto"/>
        </w:rPr>
      </w:pPr>
    </w:p>
    <w:p>
      <w:pPr>
        <w:ind w:left="1680" w:right="57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We may engage in merger and acquisition activities, which would require significant management attention, disrupt our business, dilute stockholder value, and adversely affect our business, results of operations, and financial condition.</w:t>
      </w:r>
    </w:p>
    <w:p>
      <w:pPr>
        <w:spacing w:after="0" w:line="39" w:lineRule="exact"/>
        <w:rPr>
          <w:sz w:val="20"/>
          <w:szCs w:val="20"/>
          <w:color w:val="auto"/>
        </w:rPr>
      </w:pPr>
    </w:p>
    <w:p>
      <w:pPr>
        <w:ind w:left="1680" w:right="939" w:firstLine="316"/>
        <w:spacing w:after="0" w:line="277" w:lineRule="auto"/>
        <w:rPr>
          <w:sz w:val="20"/>
          <w:szCs w:val="20"/>
          <w:color w:val="auto"/>
        </w:rPr>
      </w:pPr>
      <w:r>
        <w:rPr>
          <w:rFonts w:ascii="Times New Roman" w:cs="Times New Roman" w:eastAsia="Times New Roman" w:hAnsi="Times New Roman"/>
          <w:sz w:val="13"/>
          <w:szCs w:val="13"/>
          <w:color w:val="auto"/>
        </w:rPr>
        <w:t>As part of our business strategy to expand our platform and grow our business in response to changing technologies, customer demand, and competitive pressures, we may in the future make investments or</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34</w:t>
      </w:r>
    </w:p>
    <w:p>
      <w:pPr>
        <w:sectPr>
          <w:pgSz w:w="11900" w:h="16838" w:orient="portrait"/>
          <w:cols w:equalWidth="0" w:num="1">
            <w:col w:w="10159"/>
          </w:cols>
          <w:pgMar w:left="300" w:top="367" w:right="1440" w:bottom="1440" w:gutter="0" w:footer="0" w:header="0"/>
        </w:sectPr>
      </w:pPr>
    </w:p>
    <w:bookmarkStart w:id="39" w:name="page40"/>
    <w:bookmarkEnd w:id="3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59"/>
        <w:spacing w:after="0" w:line="253" w:lineRule="auto"/>
        <w:rPr>
          <w:sz w:val="20"/>
          <w:szCs w:val="20"/>
          <w:color w:val="auto"/>
        </w:rPr>
      </w:pPr>
      <w:r>
        <w:rPr>
          <w:rFonts w:ascii="Times New Roman" w:cs="Times New Roman" w:eastAsia="Times New Roman" w:hAnsi="Times New Roman"/>
          <w:sz w:val="13"/>
          <w:szCs w:val="13"/>
          <w:color w:val="auto"/>
        </w:rPr>
        <w:t>acquisitions in other companies, products, or technologies. The identification of suitable acquisition candidates can be difficult, time-consuming, and costly, and we may not be able to complete acquisitions on favorable terms, if at all. If we do complete acquisitions, we may not ultimately strengthen our competitive position or achieve the goals of such acquisition, and any acquisitions we complete could be viewed negatively by customers or investors. We may encounter difficult or unforeseen expenditures in integrating an acquisition, particularly if we cannot retain the key personnel of the acquired company. Existing and potential customers may also delay or reduce their use of our platform due to a concern that the acquisition may decrease effectiveness of our platform (including any newly acquired product). In addition, if we fail to successfully integrate such acquisitions, or the assets, technologies, or personnel associated with such acquisitions, into our company, the business and results of operations of the combined company would be adversely affected.</w:t>
      </w:r>
    </w:p>
    <w:p>
      <w:pPr>
        <w:spacing w:after="0" w:line="135" w:lineRule="exact"/>
        <w:rPr>
          <w:sz w:val="20"/>
          <w:szCs w:val="20"/>
          <w:color w:val="auto"/>
        </w:rPr>
      </w:pPr>
    </w:p>
    <w:p>
      <w:pPr>
        <w:ind w:left="1680" w:right="559" w:firstLine="316"/>
        <w:spacing w:after="0" w:line="253" w:lineRule="auto"/>
        <w:rPr>
          <w:sz w:val="20"/>
          <w:szCs w:val="20"/>
          <w:color w:val="auto"/>
        </w:rPr>
      </w:pPr>
      <w:r>
        <w:rPr>
          <w:rFonts w:ascii="Times New Roman" w:cs="Times New Roman" w:eastAsia="Times New Roman" w:hAnsi="Times New Roman"/>
          <w:sz w:val="13"/>
          <w:szCs w:val="13"/>
          <w:color w:val="auto"/>
        </w:rPr>
        <w:t>Acquisitions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stockholders and third parties, and adversely impact our business, financial condition, and results of operations. We may not successfully evaluate or utilize the acquired technology and accurately forecast the financial impact of an acquisition transaction, including accounting charges. We may have to pay cash for any such acquisition which would limit other potential uses for our cash. If we incur debt to fund any such acquisition,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existing stockholders’ ownership would be diluted.</w:t>
      </w:r>
    </w:p>
    <w:p>
      <w:pPr>
        <w:spacing w:after="0" w:line="20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We may need additional capital, and we cannot be sure that additional financing will be available.</w:t>
      </w:r>
    </w:p>
    <w:p>
      <w:pPr>
        <w:spacing w:after="0" w:line="87" w:lineRule="exact"/>
        <w:rPr>
          <w:sz w:val="20"/>
          <w:szCs w:val="20"/>
          <w:color w:val="auto"/>
        </w:rPr>
      </w:pPr>
    </w:p>
    <w:p>
      <w:pPr>
        <w:ind w:left="1680" w:right="599" w:firstLine="316"/>
        <w:spacing w:after="0" w:line="252" w:lineRule="auto"/>
        <w:rPr>
          <w:sz w:val="20"/>
          <w:szCs w:val="20"/>
          <w:color w:val="auto"/>
        </w:rPr>
      </w:pPr>
      <w:r>
        <w:rPr>
          <w:rFonts w:ascii="Times New Roman" w:cs="Times New Roman" w:eastAsia="Times New Roman" w:hAnsi="Times New Roman"/>
          <w:sz w:val="13"/>
          <w:szCs w:val="13"/>
          <w:color w:val="auto"/>
        </w:rPr>
        <w:t>Historically, we have financed our operations and capital expenditures primarily through sales of our capital stock and debt securities that are convertible into our capital stock. In the future, we may raise additional capital through additional debt or equity financings to support our business growth, to respond to business opportunities, challenges, or unforeseen circumstances,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the rights of existing stockholders, and existing stockholders may experience dilution.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spacing w:after="0" w:line="210" w:lineRule="exact"/>
        <w:rPr>
          <w:sz w:val="20"/>
          <w:szCs w:val="20"/>
          <w:color w:val="auto"/>
        </w:rPr>
      </w:pPr>
    </w:p>
    <w:p>
      <w:pPr>
        <w:ind w:left="1680" w:right="59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Our operating activities may be restricted as a result of covenants related to the indebtedness under our loan and security agreement, and we may be required to repay the outstanding indebtedness in an event of default, which would have an adverse effect on our business.</w:t>
      </w:r>
    </w:p>
    <w:p>
      <w:pPr>
        <w:spacing w:after="0" w:line="39" w:lineRule="exact"/>
        <w:rPr>
          <w:sz w:val="20"/>
          <w:szCs w:val="20"/>
          <w:color w:val="auto"/>
        </w:rPr>
      </w:pPr>
    </w:p>
    <w:p>
      <w:pPr>
        <w:ind w:left="1680" w:right="659" w:firstLine="316"/>
        <w:spacing w:after="0" w:line="253" w:lineRule="auto"/>
        <w:rPr>
          <w:sz w:val="20"/>
          <w:szCs w:val="20"/>
          <w:color w:val="auto"/>
        </w:rPr>
      </w:pPr>
      <w:r>
        <w:rPr>
          <w:rFonts w:ascii="Times New Roman" w:cs="Times New Roman" w:eastAsia="Times New Roman" w:hAnsi="Times New Roman"/>
          <w:sz w:val="13"/>
          <w:szCs w:val="13"/>
          <w:color w:val="auto"/>
        </w:rPr>
        <w:t>In April 2020, we entered into a five-year loan and security agreement with Silicon Valley Bank. The agreement provides for a senior secured term loan facility, in an aggregate principal amount of up to $40.0 million, to be used for the construction of our new corporate headquarters. The loan and security agreement subjects us to various customary covenants, including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engage in transactions with affiliates,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35</w:t>
      </w:r>
    </w:p>
    <w:p>
      <w:pPr>
        <w:sectPr>
          <w:pgSz w:w="11900" w:h="16838" w:orient="portrait"/>
          <w:cols w:equalWidth="0" w:num="1">
            <w:col w:w="10159"/>
          </w:cols>
          <w:pgMar w:left="300" w:top="367" w:right="1440" w:bottom="1440" w:gutter="0" w:footer="0" w:header="0"/>
        </w:sectPr>
      </w:pPr>
    </w:p>
    <w:bookmarkStart w:id="40" w:name="page41"/>
    <w:bookmarkEnd w:id="4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79"/>
        <w:spacing w:after="0" w:line="258" w:lineRule="auto"/>
        <w:rPr>
          <w:sz w:val="20"/>
          <w:szCs w:val="20"/>
          <w:color w:val="auto"/>
        </w:rPr>
      </w:pPr>
      <w:r>
        <w:rPr>
          <w:rFonts w:ascii="Times New Roman" w:cs="Times New Roman" w:eastAsia="Times New Roman" w:hAnsi="Times New Roman"/>
          <w:sz w:val="13"/>
          <w:szCs w:val="13"/>
          <w:color w:val="auto"/>
        </w:rPr>
        <w:t>and to encumber our intellectual property. In addition, the loan and security agreement contains customary affirmative and negative covenants, including maintaining certain liquidity thresholds, and restrictions and limitations on our ability to incur additional indebtedness, dispose of assets, engage in certain merger or acquisition transactions, pay dividends or make distributions, and certain other restrictions on our activities. Our business may be adversely affected by these restrictions on our ability to operate our business.</w:t>
      </w:r>
    </w:p>
    <w:p>
      <w:pPr>
        <w:spacing w:after="0" w:line="133" w:lineRule="exact"/>
        <w:rPr>
          <w:sz w:val="20"/>
          <w:szCs w:val="20"/>
          <w:color w:val="auto"/>
        </w:rPr>
      </w:pPr>
    </w:p>
    <w:p>
      <w:pPr>
        <w:ind w:left="1680" w:right="579" w:firstLine="316"/>
        <w:spacing w:after="0" w:line="252" w:lineRule="auto"/>
        <w:rPr>
          <w:sz w:val="20"/>
          <w:szCs w:val="20"/>
          <w:color w:val="auto"/>
        </w:rPr>
      </w:pPr>
      <w:r>
        <w:rPr>
          <w:rFonts w:ascii="Times New Roman" w:cs="Times New Roman" w:eastAsia="Times New Roman" w:hAnsi="Times New Roman"/>
          <w:sz w:val="13"/>
          <w:szCs w:val="13"/>
          <w:color w:val="auto"/>
        </w:rPr>
        <w:t>Additionally, we may be required to repay the outstanding indebtedness under the loan facility if an event of default occurs under the loan and security agreement. Under the loan and security agreement, an event of default will occur if, among other things, we fail to make payments under the loan and security agreement; we breach certain of our covenants under the loan and security agreement, subject to specified cure periods with respect to certain breaches; we or our assets become subject to certain legal proceedings, such as bankruptcy proceedings; we are unable to pay our debts as they become due; or we default on contracts with third parties which would permit Silicon Valley Bank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Silicon Valley Bank could also exercise its rights as collateral agent to take possession of, and to dispose of, the collateral securing the term loans, which collateral includes substantially all of our property (excluding intellectual property, which is subject to a negative pledge). Our business, financial condition, and results of operations could be materially adversely affected as a result of any of these events.</w:t>
      </w:r>
    </w:p>
    <w:p>
      <w:pPr>
        <w:spacing w:after="0" w:line="21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Our reported financial results may be adversely affected by changes in accounting principles generally accepted in the United States.</w:t>
      </w:r>
    </w:p>
    <w:p>
      <w:pPr>
        <w:spacing w:after="0" w:line="87" w:lineRule="exact"/>
        <w:rPr>
          <w:sz w:val="20"/>
          <w:szCs w:val="20"/>
          <w:color w:val="auto"/>
        </w:rPr>
      </w:pPr>
    </w:p>
    <w:p>
      <w:pPr>
        <w:ind w:left="1680" w:right="579" w:firstLine="316"/>
        <w:spacing w:after="0" w:line="258" w:lineRule="auto"/>
        <w:rPr>
          <w:sz w:val="20"/>
          <w:szCs w:val="20"/>
          <w:color w:val="auto"/>
        </w:rPr>
      </w:pPr>
      <w:r>
        <w:rPr>
          <w:rFonts w:ascii="Times New Roman" w:cs="Times New Roman" w:eastAsia="Times New Roman" w:hAnsi="Times New Roman"/>
          <w:sz w:val="13"/>
          <w:szCs w:val="13"/>
          <w:color w:val="auto"/>
        </w:rPr>
        <w:t>Generally accepted accounting principles in the United States are subject to interpretation by the Financial Accounting Standards Board, or FASB, the American Institute of Certified Public Accountants, the Securities and Exchange Commission, or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206" w:lineRule="exact"/>
        <w:rPr>
          <w:sz w:val="20"/>
          <w:szCs w:val="20"/>
          <w:color w:val="auto"/>
        </w:rPr>
      </w:pPr>
    </w:p>
    <w:p>
      <w:pPr>
        <w:ind w:left="1680" w:right="57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A failure to establish and maintain an effective system of disclosure controls and internal control over financial reporting, could adversely affect our ability to produce timely and accurate financial statements or comply with applicable regulations.</w:t>
      </w:r>
    </w:p>
    <w:p>
      <w:pPr>
        <w:spacing w:after="0" w:line="39" w:lineRule="exact"/>
        <w:rPr>
          <w:sz w:val="20"/>
          <w:szCs w:val="20"/>
          <w:color w:val="auto"/>
        </w:rPr>
      </w:pPr>
    </w:p>
    <w:p>
      <w:pPr>
        <w:ind w:left="1680" w:right="559" w:firstLine="316"/>
        <w:spacing w:after="0" w:line="251" w:lineRule="auto"/>
        <w:rPr>
          <w:sz w:val="20"/>
          <w:szCs w:val="20"/>
          <w:color w:val="auto"/>
        </w:rPr>
      </w:pPr>
      <w:r>
        <w:rPr>
          <w:rFonts w:ascii="Times New Roman" w:cs="Times New Roman" w:eastAsia="Times New Roman" w:hAnsi="Times New Roman"/>
          <w:sz w:val="13"/>
          <w:szCs w:val="13"/>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or the Exchange Act, is accumulated and communicated to our principal executive and financial officers. We are also continuing to improve our internal control over financial reporting. For example, as we have prepared to become a public company, we have worked to improve the controls around our key accounting processes and our quarterly close process, and we have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 If any of these new or improved controls and systems do not perform as expected, we may experience material weaknesses in our controls. In addition to our results determined in accordance with GAAP, we believe certain non-GAAP measures may be useful in evaluating our operating performance. We present certain non-GAAP financial measures in this prospectus and intend to continue to present certain non-GAAP financial measures in future filings with the SEC and other public statements. Any failure to accurately report and present our non-GAAP financial measures could cause</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36</w:t>
      </w:r>
    </w:p>
    <w:p>
      <w:pPr>
        <w:sectPr>
          <w:pgSz w:w="11900" w:h="16838" w:orient="portrait"/>
          <w:cols w:equalWidth="0" w:num="1">
            <w:col w:w="10159"/>
          </w:cols>
          <w:pgMar w:left="300" w:top="367" w:right="1440" w:bottom="1440" w:gutter="0" w:footer="0" w:header="0"/>
        </w:sectPr>
      </w:pPr>
    </w:p>
    <w:bookmarkStart w:id="41" w:name="page42"/>
    <w:bookmarkEnd w:id="4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979"/>
        <w:spacing w:after="0" w:line="277" w:lineRule="auto"/>
        <w:rPr>
          <w:sz w:val="20"/>
          <w:szCs w:val="20"/>
          <w:color w:val="auto"/>
        </w:rPr>
      </w:pPr>
      <w:r>
        <w:rPr>
          <w:rFonts w:ascii="Times New Roman" w:cs="Times New Roman" w:eastAsia="Times New Roman" w:hAnsi="Times New Roman"/>
          <w:sz w:val="13"/>
          <w:szCs w:val="13"/>
          <w:color w:val="auto"/>
        </w:rPr>
        <w:t>investors to lose confidence in our reported financial and other information, which would likely have a negative effect on the trading price of our Class A common stock.</w:t>
      </w:r>
    </w:p>
    <w:p>
      <w:pPr>
        <w:spacing w:after="0" w:line="120" w:lineRule="exact"/>
        <w:rPr>
          <w:sz w:val="20"/>
          <w:szCs w:val="20"/>
          <w:color w:val="auto"/>
        </w:rPr>
      </w:pPr>
    </w:p>
    <w:p>
      <w:pPr>
        <w:ind w:left="1680" w:right="599" w:firstLine="316"/>
        <w:spacing w:after="0" w:line="251" w:lineRule="auto"/>
        <w:rPr>
          <w:sz w:val="20"/>
          <w:szCs w:val="20"/>
          <w:color w:val="auto"/>
        </w:rPr>
      </w:pPr>
      <w:r>
        <w:rPr>
          <w:rFonts w:ascii="Times New Roman" w:cs="Times New Roman" w:eastAsia="Times New Roman" w:hAnsi="Times New Roman"/>
          <w:sz w:val="13"/>
          <w:szCs w:val="13"/>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NYSE.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139" w:lineRule="exact"/>
        <w:rPr>
          <w:sz w:val="20"/>
          <w:szCs w:val="20"/>
          <w:color w:val="auto"/>
        </w:rPr>
      </w:pPr>
    </w:p>
    <w:p>
      <w:pPr>
        <w:ind w:left="1680" w:right="739" w:firstLine="316"/>
        <w:spacing w:after="0" w:line="256" w:lineRule="auto"/>
        <w:rPr>
          <w:sz w:val="20"/>
          <w:szCs w:val="20"/>
          <w:color w:val="auto"/>
        </w:rPr>
      </w:pPr>
      <w:r>
        <w:rPr>
          <w:rFonts w:ascii="Times New Roman" w:cs="Times New Roman" w:eastAsia="Times New Roman" w:hAnsi="Times New Roman"/>
          <w:sz w:val="13"/>
          <w:szCs w:val="13"/>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trading price of our Class A common stock.</w:t>
      </w:r>
    </w:p>
    <w:p>
      <w:pPr>
        <w:spacing w:after="0" w:line="207" w:lineRule="exact"/>
        <w:rPr>
          <w:sz w:val="20"/>
          <w:szCs w:val="20"/>
          <w:color w:val="auto"/>
        </w:rPr>
      </w:pPr>
    </w:p>
    <w:p>
      <w:pPr>
        <w:ind w:left="1680" w:right="79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Changes in tax laws or regulations could be enacted or existing tax laws or regulations could be applied to us or our customers in a manner that could increase the costs of our platform and harm our business.</w:t>
      </w:r>
    </w:p>
    <w:p>
      <w:pPr>
        <w:spacing w:after="0" w:line="39" w:lineRule="exact"/>
        <w:rPr>
          <w:sz w:val="20"/>
          <w:szCs w:val="20"/>
          <w:color w:val="auto"/>
        </w:rPr>
      </w:pPr>
    </w:p>
    <w:p>
      <w:pPr>
        <w:ind w:left="1680" w:right="619" w:firstLine="316"/>
        <w:spacing w:after="0" w:line="295" w:lineRule="auto"/>
        <w:rPr>
          <w:sz w:val="20"/>
          <w:szCs w:val="20"/>
          <w:color w:val="auto"/>
        </w:rPr>
      </w:pPr>
      <w:r>
        <w:rPr>
          <w:rFonts w:ascii="Times New Roman" w:cs="Times New Roman" w:eastAsia="Times New Roman" w:hAnsi="Times New Roman"/>
          <w:sz w:val="12"/>
          <w:szCs w:val="12"/>
          <w:color w:val="auto"/>
        </w:rPr>
        <w:t>Income, sales, use, or other tax laws, statutes, rules, regulations, or ordinances could be enacted or amended at any time (possibly with retroactive effect), and could be applied solely or disproportionately to products and services provided over the internet. These enactments or amendments could reduce our sales activity due to the inherent cost increase the taxes would represent and ultimately harm our results of operations and cash flows.</w:t>
      </w:r>
    </w:p>
    <w:p>
      <w:pPr>
        <w:spacing w:after="0" w:line="112" w:lineRule="exact"/>
        <w:rPr>
          <w:sz w:val="20"/>
          <w:szCs w:val="20"/>
          <w:color w:val="auto"/>
        </w:rPr>
      </w:pPr>
    </w:p>
    <w:p>
      <w:pPr>
        <w:ind w:left="1680" w:right="599" w:firstLine="316"/>
        <w:spacing w:after="0" w:line="256" w:lineRule="auto"/>
        <w:rPr>
          <w:sz w:val="20"/>
          <w:szCs w:val="20"/>
          <w:color w:val="auto"/>
        </w:rPr>
      </w:pPr>
      <w:r>
        <w:rPr>
          <w:rFonts w:ascii="Times New Roman" w:cs="Times New Roman" w:eastAsia="Times New Roman" w:hAnsi="Times New Roman"/>
          <w:sz w:val="13"/>
          <w:szCs w:val="13"/>
          <w:color w:val="auto"/>
        </w:rPr>
        <w:t>The application of U.S. federal, state, local, and international tax laws to services provided electronically is unclear and continuously evolving. Existing tax laws, statutes, rules, regulations, or ordinances could be interpreted or applied adversely to us, possibly with retroactive effect, which could require us or our customers to pay additional tax amounts, as well as require us or our customers to pay fines or penalties, as well as interest for past amounts. If we are unsuccessful in collecting such taxes due from our customers, we would be held liable for such costs, thereby adversely affecting our results of operations and harming our business.</w:t>
      </w:r>
    </w:p>
    <w:p>
      <w:pPr>
        <w:spacing w:after="0" w:line="133" w:lineRule="exact"/>
        <w:rPr>
          <w:sz w:val="20"/>
          <w:szCs w:val="20"/>
          <w:color w:val="auto"/>
        </w:rPr>
      </w:pPr>
    </w:p>
    <w:p>
      <w:pPr>
        <w:ind w:left="1680" w:right="579" w:firstLine="316"/>
        <w:spacing w:after="0" w:line="253" w:lineRule="auto"/>
        <w:rPr>
          <w:sz w:val="20"/>
          <w:szCs w:val="20"/>
          <w:color w:val="auto"/>
        </w:rPr>
      </w:pPr>
      <w:r>
        <w:rPr>
          <w:rFonts w:ascii="Times New Roman" w:cs="Times New Roman" w:eastAsia="Times New Roman" w:hAnsi="Times New Roman"/>
          <w:sz w:val="13"/>
          <w:szCs w:val="13"/>
          <w:color w:val="auto"/>
        </w:rPr>
        <w:t>We may be subject to taxation in several jurisdictions around the world with increasingly complex tax laws, the application of which can be uncertain. Although we have not been required to pay income taxes, other than in immaterial amounts in certain foreign jurisdictions to date, the amount of taxes we pay in these jurisdictions could increase substantially as a result of changes in the applicable tax principles, including increased tax rates, new tax laws, or revised interpretations of existing tax laws and precedents, which could harm our liquidity and results of operations.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any of which would harm us and our results of operations.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37</w:t>
      </w:r>
    </w:p>
    <w:p>
      <w:pPr>
        <w:sectPr>
          <w:pgSz w:w="11900" w:h="16838" w:orient="portrait"/>
          <w:cols w:equalWidth="0" w:num="1">
            <w:col w:w="10159"/>
          </w:cols>
          <w:pgMar w:left="300" w:top="367" w:right="1440" w:bottom="1440" w:gutter="0" w:footer="0" w:header="0"/>
        </w:sectPr>
      </w:pPr>
    </w:p>
    <w:bookmarkStart w:id="42" w:name="page43"/>
    <w:bookmarkEnd w:id="4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1680" w:right="59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Our business, results of operations, and financial condition may be harmed if we are required to collect sales or other related taxes for subscriptions to our platform in jurisdictions where we have not historically done so.</w:t>
      </w:r>
    </w:p>
    <w:p>
      <w:pPr>
        <w:spacing w:after="0" w:line="39" w:lineRule="exact"/>
        <w:rPr>
          <w:sz w:val="20"/>
          <w:szCs w:val="20"/>
          <w:color w:val="auto"/>
        </w:rPr>
      </w:pPr>
    </w:p>
    <w:p>
      <w:pPr>
        <w:ind w:left="1680" w:right="579" w:firstLine="316"/>
        <w:spacing w:after="0" w:line="256" w:lineRule="auto"/>
        <w:rPr>
          <w:sz w:val="20"/>
          <w:szCs w:val="20"/>
          <w:color w:val="auto"/>
        </w:rPr>
      </w:pPr>
      <w:r>
        <w:rPr>
          <w:rFonts w:ascii="Times New Roman" w:cs="Times New Roman" w:eastAsia="Times New Roman" w:hAnsi="Times New Roman"/>
          <w:sz w:val="13"/>
          <w:szCs w:val="13"/>
          <w:color w:val="auto"/>
        </w:rPr>
        <w:t>We collect sales tax in a number of jurisdictions. One or more states or countries may seek to impose incremental or new sales, use, or other tax collection obligations on us. A successful assertion by a state, country, or other jurisdiction that we should have been or should be collecting additional sales, use, or other taxes could, among other things, result in substantial tax payments, create significant administrative burdens for us, discourage potential customers from subscribing to our platform due to the incremental cost of any such sales or other related taxes, or otherwise harm our business, results of operations, and financial condition.</w:t>
      </w:r>
    </w:p>
    <w:p>
      <w:pPr>
        <w:spacing w:after="0" w:line="2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Our ability to use our net operating loss carryforwards and certain other tax attributes may be limited.</w:t>
      </w:r>
    </w:p>
    <w:p>
      <w:pPr>
        <w:spacing w:after="0" w:line="87" w:lineRule="exact"/>
        <w:rPr>
          <w:sz w:val="20"/>
          <w:szCs w:val="20"/>
          <w:color w:val="auto"/>
        </w:rPr>
      </w:pPr>
    </w:p>
    <w:p>
      <w:pPr>
        <w:ind w:left="1680" w:right="599" w:firstLine="316"/>
        <w:spacing w:after="0" w:line="253" w:lineRule="auto"/>
        <w:rPr>
          <w:sz w:val="20"/>
          <w:szCs w:val="20"/>
          <w:color w:val="auto"/>
        </w:rPr>
      </w:pPr>
      <w:r>
        <w:rPr>
          <w:rFonts w:ascii="Times New Roman" w:cs="Times New Roman" w:eastAsia="Times New Roman" w:hAnsi="Times New Roman"/>
          <w:sz w:val="13"/>
          <w:szCs w:val="13"/>
          <w:color w:val="auto"/>
        </w:rPr>
        <w:t>We do not expect to become profitable in the near future, may never achieve profitability, and have incurred substantial net operating losses, or NOLs, during our history. In general, under Sections 382 and 383 of the Internal Revenue Code of 1986, as amended, a corporation that undergoes an “ownership change” is subject to limitations on its ability to utilize its pre-change NOLs or tax credits to offset future taxable income or taxes. For these purposes, an ownership change generally occurs where the aggregate change in stock ownership by one or more stockholders or groups of stockholders owning at least 5% of a corporation’s stock exceeds more than 50 percentage points over a three-year period. While we do not believe we have experienced ownership changes in the past, it is possible we have done so, and we may experience ownership changes in the future as a result of our listing on the NYSE, or subsequent shifts in our stock ownership (some of which shifts are outside our control). As a result, even if we attain profitability, we may be unable to use a material portion of our NOLs and other tax attributes.</w:t>
      </w:r>
    </w:p>
    <w:p>
      <w:pPr>
        <w:spacing w:after="0" w:line="20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We may face exposure to foreign currency exchange rate fluctuations.</w:t>
      </w:r>
    </w:p>
    <w:p>
      <w:pPr>
        <w:spacing w:after="0" w:line="87" w:lineRule="exact"/>
        <w:rPr>
          <w:sz w:val="20"/>
          <w:szCs w:val="20"/>
          <w:color w:val="auto"/>
        </w:rPr>
      </w:pPr>
    </w:p>
    <w:p>
      <w:pPr>
        <w:ind w:left="1680" w:right="619" w:firstLine="316"/>
        <w:spacing w:after="0" w:line="256" w:lineRule="auto"/>
        <w:rPr>
          <w:sz w:val="20"/>
          <w:szCs w:val="20"/>
          <w:color w:val="auto"/>
        </w:rPr>
      </w:pPr>
      <w:r>
        <w:rPr>
          <w:rFonts w:ascii="Times New Roman" w:cs="Times New Roman" w:eastAsia="Times New Roman" w:hAnsi="Times New Roman"/>
          <w:sz w:val="13"/>
          <w:szCs w:val="13"/>
          <w:color w:val="auto"/>
        </w:rPr>
        <w:t>While we have historically transacted in U.S. dollars with the majority of our customers and vendors, we have transacted in some foreign currencies with such parties and for our payroll in those foreign jurisdictions where we have operations, and expect to continue to transact in more foreign currencies in the future. Accordingly, declines in the value of foreign currencies relative to the U.S. dollar can adversely affect our revenues and results of operations due to transactional and translational remeasurement that is reflected in our earnings. Also, fluctuations in the values of foreign currencies relative to the U.S. dollar could make it more difficult to detect underlying trends in our business and results of operations.</w:t>
      </w:r>
    </w:p>
    <w:p>
      <w:pPr>
        <w:spacing w:after="0" w:line="2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If our estimates or judgments relating to our critical accounting policies prove to be incorrect, our results of operations could be adversely affected.</w:t>
      </w:r>
    </w:p>
    <w:p>
      <w:pPr>
        <w:spacing w:after="0" w:line="87" w:lineRule="exact"/>
        <w:rPr>
          <w:sz w:val="20"/>
          <w:szCs w:val="20"/>
          <w:color w:val="auto"/>
        </w:rPr>
      </w:pPr>
    </w:p>
    <w:p>
      <w:pPr>
        <w:ind w:left="1680" w:right="559" w:firstLine="316"/>
        <w:spacing w:after="0" w:line="252" w:lineRule="auto"/>
        <w:rPr>
          <w:sz w:val="20"/>
          <w:szCs w:val="20"/>
          <w:color w:val="auto"/>
        </w:rPr>
      </w:pPr>
      <w:r>
        <w:rPr>
          <w:rFonts w:ascii="Times New Roman" w:cs="Times New Roman" w:eastAsia="Times New Roman" w:hAnsi="Times New Roman"/>
          <w:sz w:val="13"/>
          <w:szCs w:val="13"/>
          <w:color w:val="auto"/>
        </w:rPr>
        <w:t>The preparation of financial statements in conformity with GAAP requires management to make estimates and assumptions that affect the amounts reported in our consolidated financial statements. We base our estimates on historical experience and on various other assumptions that we believe to be reasonable under the circumstances, as provided in the section titled “Management’s Discussion and Analysis of Financial Condition and Results of Operations.” The results of these estimates form the basis for making judgments about the carrying values of assets, liabilities, and equity, and the amount of revenues and expenses that are not readily apparent from other sources. Significant assumptions and estimates used in preparing our consolidated financial statements include those related to the useful lives and carrying values of long-lived assets, the fair value of the convertible note, the fair value of common stock, stock-based compensation expense, the period of benefit for deferred contract acquisition costs, and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38</w:t>
      </w:r>
    </w:p>
    <w:p>
      <w:pPr>
        <w:sectPr>
          <w:pgSz w:w="11900" w:h="16838" w:orient="portrait"/>
          <w:cols w:equalWidth="0" w:num="1">
            <w:col w:w="10159"/>
          </w:cols>
          <w:pgMar w:left="300" w:top="367" w:right="1440" w:bottom="1440" w:gutter="0" w:footer="0" w:header="0"/>
        </w:sectPr>
      </w:pPr>
    </w:p>
    <w:bookmarkStart w:id="43" w:name="page44"/>
    <w:bookmarkEnd w:id="4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Catastrophic events may disrupt our business.</w:t>
      </w:r>
    </w:p>
    <w:p>
      <w:pPr>
        <w:spacing w:after="0" w:line="87" w:lineRule="exact"/>
        <w:rPr>
          <w:sz w:val="20"/>
          <w:szCs w:val="20"/>
          <w:color w:val="auto"/>
        </w:rPr>
      </w:pPr>
    </w:p>
    <w:p>
      <w:pPr>
        <w:ind w:left="1680" w:right="579" w:firstLine="316"/>
        <w:spacing w:after="0" w:line="251" w:lineRule="auto"/>
        <w:rPr>
          <w:sz w:val="20"/>
          <w:szCs w:val="20"/>
          <w:color w:val="auto"/>
        </w:rPr>
      </w:pPr>
      <w:r>
        <w:rPr>
          <w:rFonts w:ascii="Times New Roman" w:cs="Times New Roman" w:eastAsia="Times New Roman" w:hAnsi="Times New Roman"/>
          <w:sz w:val="13"/>
          <w:szCs w:val="13"/>
          <w:color w:val="auto"/>
        </w:rPr>
        <w:t>Natural disasters or other catastrophic events may cause damage or disruption to our operations, international commerce, and the global economy, and thus could harm our business. In particular, the COVID-19 pandemic, including the reactions of governments, markets, and the general public, may result in a number of adverse consequences for our business, operations, and results of operations, many of which are beyond our control. We have our headquarters and a large employee presence in San Francisco, California, and the west coast of the United States contains active earthquake zones. In the event of a major earthquake, hurricane, or catastrophic event such as fire, power loss, telecommunications failure, cyber-attack, war, or terrorist attack, we may be unable to continue our operations and may endure system interruptions, reputational harm, delays in our platform development, lengthy interruptions in our platform, breaches of data security, and loss of critical data, all of which would harm our business, results of operations, and financial condition. Acts of terrorism would also cause disruptions to the internet or the economy as a whole. In addition, the insurance we maintain would likely not be adequate to cover our losses resulting from disasters or other business interruptions. Our disaster recovery plan may not be sufficient to address all aspects or any unanticipated consequence or incident, and our insurance may not be sufficient to compensate us for the losses that could occur.</w:t>
      </w:r>
    </w:p>
    <w:p>
      <w:pPr>
        <w:spacing w:after="0" w:line="215" w:lineRule="exact"/>
        <w:rPr>
          <w:sz w:val="20"/>
          <w:szCs w:val="20"/>
          <w:color w:val="auto"/>
        </w:rPr>
      </w:pPr>
    </w:p>
    <w:p>
      <w:pPr>
        <w:ind w:left="1680" w:right="799"/>
        <w:spacing w:after="0" w:line="266" w:lineRule="auto"/>
        <w:rPr>
          <w:sz w:val="20"/>
          <w:szCs w:val="20"/>
          <w:color w:val="auto"/>
        </w:rPr>
      </w:pPr>
      <w:r>
        <w:rPr>
          <w:rFonts w:ascii="Times New Roman" w:cs="Times New Roman" w:eastAsia="Times New Roman" w:hAnsi="Times New Roman"/>
          <w:sz w:val="13"/>
          <w:szCs w:val="13"/>
          <w:b w:val="1"/>
          <w:bCs w:val="1"/>
          <w:i w:val="1"/>
          <w:iCs w:val="1"/>
          <w:color w:val="auto"/>
        </w:rPr>
        <w:t>We are an emerging growth company under the JOBS Act, and we are permitted to rely on exemptions from certain disclosure requirements. We cannot be certain if the reduced disclosure requirements applicable to emerging growth companies will make our Class A common stock less attractive to investors.</w:t>
      </w:r>
    </w:p>
    <w:p>
      <w:pPr>
        <w:spacing w:after="0" w:line="50" w:lineRule="exact"/>
        <w:rPr>
          <w:sz w:val="20"/>
          <w:szCs w:val="20"/>
          <w:color w:val="auto"/>
        </w:rPr>
      </w:pPr>
    </w:p>
    <w:p>
      <w:pPr>
        <w:ind w:left="1680" w:right="599" w:firstLine="316"/>
        <w:spacing w:after="0" w:line="252" w:lineRule="auto"/>
        <w:rPr>
          <w:sz w:val="20"/>
          <w:szCs w:val="20"/>
          <w:color w:val="auto"/>
        </w:rPr>
      </w:pPr>
      <w:r>
        <w:rPr>
          <w:rFonts w:ascii="Times New Roman" w:cs="Times New Roman" w:eastAsia="Times New Roman" w:hAnsi="Times New Roman"/>
          <w:sz w:val="13"/>
          <w:szCs w:val="13"/>
          <w:color w:val="auto"/>
        </w:rPr>
        <w:t>We are an “emerging growth company” as defined in the JOBS Act. For as long as we continue to be an emerging growth company, which could be as long as five years following the completion of our listing on the NYSE, we may choose to take advantage of certain exemptions from various reporting requirements applicable to other public companies that are not emerging growth companies, including not being required to comply with the auditor attestation requirements of Section 404, reduced PCAOB reporting requirements,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and extended transition periods for complying with new or revised accounting standards. We cannot predict if investors will find our Class A common stock less attractive because we may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21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Risks Related To Ownership of Our Class A Common Stock</w:t>
      </w:r>
    </w:p>
    <w:p>
      <w:pPr>
        <w:spacing w:after="0" w:line="15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Our listing differs significantly from an underwritten initial public offering.</w:t>
      </w:r>
    </w:p>
    <w:p>
      <w:pPr>
        <w:spacing w:after="0" w:line="87" w:lineRule="exact"/>
        <w:rPr>
          <w:sz w:val="20"/>
          <w:szCs w:val="20"/>
          <w:color w:val="auto"/>
        </w:rPr>
      </w:pPr>
    </w:p>
    <w:p>
      <w:pPr>
        <w:ind w:left="1680" w:right="759" w:firstLine="316"/>
        <w:spacing w:after="0" w:line="277" w:lineRule="auto"/>
        <w:rPr>
          <w:sz w:val="20"/>
          <w:szCs w:val="20"/>
          <w:color w:val="auto"/>
        </w:rPr>
      </w:pPr>
      <w:r>
        <w:rPr>
          <w:rFonts w:ascii="Times New Roman" w:cs="Times New Roman" w:eastAsia="Times New Roman" w:hAnsi="Times New Roman"/>
          <w:sz w:val="13"/>
          <w:szCs w:val="13"/>
          <w:color w:val="auto"/>
        </w:rPr>
        <w:t>This is not an underwritten initial public offering of our Class A common stock. This listing of our Class A common stock on the NYSE differs from an underwritten initial public offering in several significant ways, which include, but are not limited to, the following:</w:t>
      </w:r>
    </w:p>
    <w:p>
      <w:pPr>
        <w:spacing w:after="0" w:line="52" w:lineRule="exact"/>
        <w:rPr>
          <w:sz w:val="20"/>
          <w:szCs w:val="20"/>
          <w:color w:val="auto"/>
        </w:rPr>
      </w:pPr>
    </w:p>
    <w:p>
      <w:pPr>
        <w:ind w:left="2380" w:right="599" w:hanging="381"/>
        <w:spacing w:after="0" w:line="276" w:lineRule="auto"/>
        <w:tabs>
          <w:tab w:leader="none" w:pos="23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are no underwriters. Consequently, prior to the opening of trading on the NYSE, there will be no book building process and no price at which underwriters initially sell shares to the public to help inform efficient and sufficient price discovery with respect to the opening trades on the NYSE. Therefore, buy and sell orders submitted prior to and at the opening of trading of our Class A common stock on the NYSE will not have the benefit of being informed by a published price range or a price at which the underwriters initially sell shares to the public, as would be the case in an underwritten initial public offering. Moreover, there will be no underwriters assuming risk in connection with the initial resale of shares of our Class A common stock. Unlike the case in a traditional underwritten offering, this registration statement does not include the registration of additional shares that may be used at the option of the underwriters in connection with overallotment activity. Moreover, we will not engage in, and have not and will not, directly or indirectly, request the financial advisors to engage in, any special selling efforts or stabilization or price support activities in connection with any sales made pursuant to</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39</w:t>
      </w:r>
    </w:p>
    <w:p>
      <w:pPr>
        <w:sectPr>
          <w:pgSz w:w="11900" w:h="16838" w:orient="portrait"/>
          <w:cols w:equalWidth="0" w:num="1">
            <w:col w:w="10159"/>
          </w:cols>
          <w:pgMar w:left="300" w:top="367" w:right="1440" w:bottom="1440" w:gutter="0" w:footer="0" w:header="0"/>
        </w:sectPr>
      </w:pPr>
    </w:p>
    <w:bookmarkStart w:id="44" w:name="page45"/>
    <w:bookmarkEnd w:id="4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2400" w:right="599"/>
        <w:spacing w:after="0" w:line="251" w:lineRule="auto"/>
        <w:rPr>
          <w:sz w:val="20"/>
          <w:szCs w:val="20"/>
          <w:color w:val="auto"/>
        </w:rPr>
      </w:pPr>
      <w:r>
        <w:rPr>
          <w:rFonts w:ascii="Times New Roman" w:cs="Times New Roman" w:eastAsia="Times New Roman" w:hAnsi="Times New Roman"/>
          <w:sz w:val="13"/>
          <w:szCs w:val="13"/>
          <w:color w:val="auto"/>
        </w:rPr>
        <w:t>this registration statement. In an underwritten initial public offering, the underwriters may engage in “covered” short sales in an amount of shares representing the underwriters’ option to purchase additional shares. To close a covered short position, the underwriters purchase shares in the open market or exercise the underwriters’ option to purchase additional shares. In determining the source of shares to close the covered short position, the underwriters typically consider, among other things, the price of shares available for purchase in the open market as compared to the price at which they may purchase shares through the underwriters’ option to purchase additional shares. Purchases in the open market to cover short positions, as well as other purchases underwriters may undertake for their own accounts, may have the effect of preventing a decline in the trading price of shares of our Class A common stock. Given that there will be no underwriters’ option to purchase additional shares and no underwriters engaging in stabilizing transactions with respect to the trading of our Class A common stock on the NYSE, there could be greater volatility in the trading price of our Class A common stock during the period immediately following the listing. See also “—The trading price of our Class A common stock may be volatile, and could, upon listing on the NYSE, decline significantly and rapidly.”</w:t>
      </w:r>
    </w:p>
    <w:p>
      <w:pPr>
        <w:spacing w:after="0" w:line="74" w:lineRule="exact"/>
        <w:rPr>
          <w:sz w:val="20"/>
          <w:szCs w:val="20"/>
          <w:color w:val="auto"/>
        </w:rPr>
      </w:pPr>
    </w:p>
    <w:p>
      <w:pPr>
        <w:jc w:val="both"/>
        <w:ind w:left="2380" w:right="599" w:hanging="381"/>
        <w:spacing w:after="0" w:line="276" w:lineRule="auto"/>
        <w:tabs>
          <w:tab w:leader="none" w:pos="238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not a fixed or determined number of shares of Class A common stock available for sale in connection with the registration and the listing. Therefore, there can be no assurance that any Registered Stockholders or other existing stockholders will sell any of their shares of Class A common stock, and there may initially be a lack of supply of, or demand for, shares of Class A common stock on the NYSE.</w:t>
      </w:r>
    </w:p>
    <w:p>
      <w:pPr>
        <w:spacing w:after="0" w:line="1" w:lineRule="exact"/>
        <w:rPr>
          <w:rFonts w:ascii="Times New Roman" w:cs="Times New Roman" w:eastAsia="Times New Roman" w:hAnsi="Times New Roman"/>
          <w:sz w:val="12"/>
          <w:szCs w:val="12"/>
          <w:color w:val="auto"/>
        </w:rPr>
      </w:pPr>
    </w:p>
    <w:p>
      <w:pPr>
        <w:ind w:left="2380" w:right="639"/>
        <w:spacing w:after="0" w:line="25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Alternatively, we may have a large number of Registered Stockholders or other existing stockholders who choose to sell their shares of Class A common stock in the near term, resulting in potential oversupply of our Class A common stock, which could adversely impact the trading price of our Class A common stock once listed on the NYSE and thereafter.</w:t>
      </w:r>
    </w:p>
    <w:p>
      <w:pPr>
        <w:spacing w:after="0" w:line="67" w:lineRule="exact"/>
        <w:rPr>
          <w:rFonts w:ascii="Times New Roman" w:cs="Times New Roman" w:eastAsia="Times New Roman" w:hAnsi="Times New Roman"/>
          <w:sz w:val="12"/>
          <w:szCs w:val="12"/>
          <w:color w:val="auto"/>
        </w:rPr>
      </w:pPr>
    </w:p>
    <w:p>
      <w:pPr>
        <w:ind w:left="2380" w:right="619" w:hanging="381"/>
        <w:spacing w:after="0" w:line="251" w:lineRule="auto"/>
        <w:tabs>
          <w:tab w:leader="none" w:pos="23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our Registered Stockholders or other existing stockholders have entered into contractual lock-up agreements or other restrictions on transfer. In an underwritten initial public offering, it is customary for an issuer’s officers, directors, and most or all of its other stockholders to enter into a 180-day contractual lock-up arrangement with the underwriters to help promote orderly trading immediately after such initial public offering. Consequently, any of our stockholders, including our directors and officers who own our Class A or Class B common stock and other significant stockholders, may sell any or all of their shares at any time (subject to any restrictions under applicable law, and in the case of shares of Class B common stock, upon conversion of any shares of Class B common stock into Class A common stock at the time of sale), including immediately upon listing. If such sales were to occur in a significant volume in a short period of time following the listing, it may result in an oversupply of our Class A common stock in the market, which could adversely impact the trading price of our Class A common stock. See also “—None of our stockholders are party to any contractual lock-up agreement or other contractual restrictions on transfer. Following our listing, sales of substantial amounts of our Class A common stock in the public markets, or the perception that sales might occur, could cause the trading price of our Class A common stock to decline.”</w:t>
      </w:r>
    </w:p>
    <w:p>
      <w:pPr>
        <w:spacing w:after="0" w:line="73" w:lineRule="exact"/>
        <w:rPr>
          <w:rFonts w:ascii="Times New Roman" w:cs="Times New Roman" w:eastAsia="Times New Roman" w:hAnsi="Times New Roman"/>
          <w:sz w:val="13"/>
          <w:szCs w:val="13"/>
          <w:color w:val="auto"/>
        </w:rPr>
      </w:pPr>
    </w:p>
    <w:p>
      <w:pPr>
        <w:jc w:val="both"/>
        <w:ind w:left="2380" w:right="579" w:hanging="381"/>
        <w:spacing w:after="0" w:line="276" w:lineRule="auto"/>
        <w:tabs>
          <w:tab w:leader="none" w:pos="238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will not conduct a traditional “roadshow” with underwriters prior to the opening of trading of our Class A common stock on the NYSE. Instead, we hosted an investor day on September 10, 2020 and are engaging in certain other investor education meetings. On September 4, 2020, we announced the date for such day over financial news outlets in a manner consistent with typical corporate outreach to investors.</w:t>
      </w:r>
    </w:p>
    <w:p>
      <w:pPr>
        <w:spacing w:after="0" w:line="1" w:lineRule="exact"/>
        <w:rPr>
          <w:rFonts w:ascii="Times New Roman" w:cs="Times New Roman" w:eastAsia="Times New Roman" w:hAnsi="Times New Roman"/>
          <w:sz w:val="12"/>
          <w:szCs w:val="12"/>
          <w:color w:val="auto"/>
        </w:rPr>
      </w:pPr>
    </w:p>
    <w:p>
      <w:pPr>
        <w:ind w:left="2380" w:right="619"/>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We will prepare an electronic presentation for this investor day, which content will be similar to a traditional roadshow presentation. We will make a version of the presentation publicly available, without restrictions, on our website. There can be no guarantee that the investor day and other investor education meetings will be as effective a method of investor education as a traditional “roadshow” conducted in connection with an underwritten initial public offering. As a result, there may not be efficient or sufficient price discovery with respect to our Class A common stock or sufficient demand among potential investors immediately after our listing, which could result in a more volatile trading price of our Class A common stock.</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40</w:t>
      </w:r>
    </w:p>
    <w:p>
      <w:pPr>
        <w:sectPr>
          <w:pgSz w:w="11900" w:h="16838" w:orient="portrait"/>
          <w:cols w:equalWidth="0" w:num="1">
            <w:col w:w="10159"/>
          </w:cols>
          <w:pgMar w:left="300" w:top="367" w:right="1440" w:bottom="1440" w:gutter="0" w:footer="0" w:header="0"/>
        </w:sectPr>
      </w:pPr>
    </w:p>
    <w:bookmarkStart w:id="45" w:name="page46"/>
    <w:bookmarkEnd w:id="4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719" w:firstLine="316"/>
        <w:spacing w:after="0" w:line="277" w:lineRule="auto"/>
        <w:rPr>
          <w:sz w:val="20"/>
          <w:szCs w:val="20"/>
          <w:color w:val="auto"/>
        </w:rPr>
      </w:pPr>
      <w:r>
        <w:rPr>
          <w:rFonts w:ascii="Times New Roman" w:cs="Times New Roman" w:eastAsia="Times New Roman" w:hAnsi="Times New Roman"/>
          <w:sz w:val="13"/>
          <w:szCs w:val="13"/>
          <w:color w:val="auto"/>
        </w:rPr>
        <w:t>Such differences from an underwritten initial public offering could result in a volatile trading price for our Class A common stock and uncertain trading volume, which may adversely affect your ability to sell any Class A common stock that you may purchase.</w:t>
      </w:r>
    </w:p>
    <w:p>
      <w:pPr>
        <w:spacing w:after="0" w:line="1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We have agreed to indemnify certain of the Registered Stockholders for certain claims arising in connection with sales under this prospectus.</w:t>
      </w:r>
    </w:p>
    <w:p>
      <w:pPr>
        <w:spacing w:after="0" w:line="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Large indemnity payments would adversely affect our business, results of operations, and financial condition.</w:t>
      </w:r>
    </w:p>
    <w:p>
      <w:pPr>
        <w:spacing w:after="0" w:line="22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The trading price of our Class A common stock may be volatile and could, upon listing on the NYSE, decline significantly and rapidly.</w:t>
      </w:r>
    </w:p>
    <w:p>
      <w:pPr>
        <w:spacing w:after="0" w:line="87" w:lineRule="exact"/>
        <w:rPr>
          <w:sz w:val="20"/>
          <w:szCs w:val="20"/>
          <w:color w:val="auto"/>
        </w:rPr>
      </w:pPr>
    </w:p>
    <w:p>
      <w:pPr>
        <w:ind w:left="1680" w:right="579" w:firstLine="316"/>
        <w:spacing w:after="0" w:line="250" w:lineRule="auto"/>
        <w:rPr>
          <w:sz w:val="20"/>
          <w:szCs w:val="20"/>
          <w:color w:val="auto"/>
        </w:rPr>
      </w:pPr>
      <w:r>
        <w:rPr>
          <w:rFonts w:ascii="Times New Roman" w:cs="Times New Roman" w:eastAsia="Times New Roman" w:hAnsi="Times New Roman"/>
          <w:sz w:val="13"/>
          <w:szCs w:val="13"/>
          <w:color w:val="auto"/>
        </w:rPr>
        <w:t>The listing of our Class A common stock and the registration of the Registered Stockholders’ shares of Class A common stock is a novel process that is not an underwritten initial public offering. We have engaged Morgan Stanley &amp; Co. LLC, or Morgan Stanley; J.P. Morgan Securities LLC, or J.P. Morgan; Credit Suisse Securities (USA) LLC, or Credit Suisse; and Jefferies LLC, or Jefferies; to serve as our financial advisors. There will be no book building process and no price at which underwriters initially sell shares to the public to help inform efficient and sufficient price discovery with respect to the opening trades on the NYSE. As there has not been a recent sustained history of trading in our common stock in a private placement market prior to listing, NYSE listing rules require that a designated market maker, or DMM, consult with our financial advisors in order to effect a fair and orderly opening of trading of our Class A common stock without coordination with us, consistent with the federal securities laws in connection with our direct listing. Accordingly, the DMM will consult with Morgan Stanley in order for the DMM to effect a fair and orderly opening of our Class A common stock on the NYSE, without coordination with us, consistent with the federal securities laws in connection with our direct listing. In addition, the DMM may also consult with our other financial advisors, also without coordination with us, in connection with our direct listing. Pursuant to such NYSE rules, and based upon information known to it at that time, Morgan Stanley and our other financial advisors are expected to provide input to the DMM regarding their understanding of the ownership of our outstanding common stock and pre-listing selling and buying interest in our Class A common stock that they become aware of from potential investors and holders of our Class A common stock, including after consultation with certain institutional investors (which may include certain of the Registered Stockholders), in each case, without coordination with us. The DMM, in consultation with our financial advisors, is also expected to consider the information in the section titled “Sale Price History of our Capital Stock.” Based on information provided to the NYSE, the opening public price of our Class A common stock on the NYSE will be determined by buy and sell orders collected by the NYSE from broker-dealers, and the NYSE is where buy orders can be matched with sell orders at a single price. Based on such orders, the DMM will determine an opening price for our Class A common stock pursuant to NYSE rules. However, because our financial advisors will not have engaged in a book building process, they will not be able to provide input to the DMM that is based on or informed by that process. For more information, see the section titled “Plan of Distribution.”</w:t>
      </w:r>
    </w:p>
    <w:p>
      <w:pPr>
        <w:spacing w:after="0" w:line="143" w:lineRule="exact"/>
        <w:rPr>
          <w:sz w:val="20"/>
          <w:szCs w:val="20"/>
          <w:color w:val="auto"/>
        </w:rPr>
      </w:pPr>
    </w:p>
    <w:p>
      <w:pPr>
        <w:jc w:val="both"/>
        <w:ind w:left="1680" w:right="599" w:firstLine="316"/>
        <w:spacing w:after="0" w:line="258" w:lineRule="auto"/>
        <w:rPr>
          <w:sz w:val="20"/>
          <w:szCs w:val="20"/>
          <w:color w:val="auto"/>
        </w:rPr>
      </w:pPr>
      <w:r>
        <w:rPr>
          <w:rFonts w:ascii="Times New Roman" w:cs="Times New Roman" w:eastAsia="Times New Roman" w:hAnsi="Times New Roman"/>
          <w:sz w:val="13"/>
          <w:szCs w:val="13"/>
          <w:color w:val="auto"/>
        </w:rPr>
        <w:t>Moreover, prior to the opening trade, there will not be a price at which underwriters initially sell shares of Class A common stock to the public as there would be in an underwritten initial public offering. The absence of a predetermined initial public offering price could impact the range of buy and sell orders collected by the NYSE from various broker-dealers. Consequently, upon listing on the NYSE, the trading price of our Class A common stock may be more volatile than in an underwritten initial public offering and could decline significantly and rapidly.</w:t>
      </w:r>
    </w:p>
    <w:p>
      <w:pPr>
        <w:spacing w:after="0" w:line="133" w:lineRule="exact"/>
        <w:rPr>
          <w:sz w:val="20"/>
          <w:szCs w:val="20"/>
          <w:color w:val="auto"/>
        </w:rPr>
      </w:pPr>
    </w:p>
    <w:p>
      <w:pPr>
        <w:ind w:left="1680" w:right="659" w:firstLine="316"/>
        <w:spacing w:after="0" w:line="258" w:lineRule="auto"/>
        <w:rPr>
          <w:sz w:val="20"/>
          <w:szCs w:val="20"/>
          <w:color w:val="auto"/>
        </w:rPr>
      </w:pPr>
      <w:r>
        <w:rPr>
          <w:rFonts w:ascii="Times New Roman" w:cs="Times New Roman" w:eastAsia="Times New Roman" w:hAnsi="Times New Roman"/>
          <w:sz w:val="13"/>
          <w:szCs w:val="13"/>
          <w:color w:val="auto"/>
        </w:rPr>
        <w:t>Further, if the trading price of our Class A common stock is above the level that investors determine is reasonable for our Class A common stock, some investors may attempt to short our Class A common stock after trading begins, which would create additional downward pressure on the trading price of our Class A common stock, and there will be more ability for such investors to short our Class A common stock in early trading than is typical for an underwritten public offering given the lack of contractual lock-up agreements or other restrictions on transfer.</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41</w:t>
      </w:r>
    </w:p>
    <w:p>
      <w:pPr>
        <w:sectPr>
          <w:pgSz w:w="11900" w:h="16838" w:orient="portrait"/>
          <w:cols w:equalWidth="0" w:num="1">
            <w:col w:w="10159"/>
          </w:cols>
          <w:pgMar w:left="300" w:top="367" w:right="1440" w:bottom="1440" w:gutter="0" w:footer="0" w:header="0"/>
        </w:sectPr>
      </w:pPr>
    </w:p>
    <w:bookmarkStart w:id="46" w:name="page47"/>
    <w:bookmarkEnd w:id="4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39" w:firstLine="316"/>
        <w:spacing w:after="0" w:line="277" w:lineRule="auto"/>
        <w:rPr>
          <w:sz w:val="20"/>
          <w:szCs w:val="20"/>
          <w:color w:val="auto"/>
        </w:rPr>
      </w:pPr>
      <w:r>
        <w:rPr>
          <w:rFonts w:ascii="Times New Roman" w:cs="Times New Roman" w:eastAsia="Times New Roman" w:hAnsi="Times New Roman"/>
          <w:sz w:val="13"/>
          <w:szCs w:val="13"/>
          <w:color w:val="auto"/>
        </w:rPr>
        <w:t>The trading price of our Class A common stock following the listing also could be subject to wide fluctuations in response to numerous factors in addition to the ones described in the preceding Risk Factors, many of which are beyond our control, including:</w:t>
      </w:r>
    </w:p>
    <w:p>
      <w:pPr>
        <w:spacing w:after="0" w:line="52" w:lineRule="exact"/>
        <w:rPr>
          <w:sz w:val="20"/>
          <w:szCs w:val="20"/>
          <w:color w:val="auto"/>
        </w:rPr>
      </w:pPr>
    </w:p>
    <w:p>
      <w:pPr>
        <w:ind w:left="2380" w:hanging="381"/>
        <w:spacing w:after="0"/>
        <w:tabs>
          <w:tab w:leader="none" w:pos="23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actual or anticipated fluctuations in our results of operations;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shares of our Class A common stock made available for trading;</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overall performance of the equity markets and the economy as a whole;</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the financial projections we may provide to the public or our failure to meet these projections;</w:t>
      </w:r>
    </w:p>
    <w:p>
      <w:pPr>
        <w:spacing w:after="0" w:line="92" w:lineRule="exact"/>
        <w:rPr>
          <w:rFonts w:ascii="Times New Roman" w:cs="Times New Roman" w:eastAsia="Times New Roman" w:hAnsi="Times New Roman"/>
          <w:sz w:val="13"/>
          <w:szCs w:val="13"/>
          <w:color w:val="auto"/>
        </w:rPr>
      </w:pPr>
    </w:p>
    <w:p>
      <w:pPr>
        <w:ind w:left="2380" w:right="599" w:hanging="381"/>
        <w:spacing w:after="0" w:line="277" w:lineRule="auto"/>
        <w:tabs>
          <w:tab w:leader="none" w:pos="23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of securities analysts to initiate or maintain coverage of us, changes in financial estimates by any securities analysts who follow our company, or our failure to meet these estimates or the expectations of investors;</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pricing of subscription plans to our platform;</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actual or anticipated changes in our growth rate relative to that of our competitors;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the anticipated future size or growth rate of our addressable markets;</w:t>
      </w:r>
    </w:p>
    <w:p>
      <w:pPr>
        <w:spacing w:after="0" w:line="92" w:lineRule="exact"/>
        <w:rPr>
          <w:rFonts w:ascii="Times New Roman" w:cs="Times New Roman" w:eastAsia="Times New Roman" w:hAnsi="Times New Roman"/>
          <w:sz w:val="13"/>
          <w:szCs w:val="13"/>
          <w:color w:val="auto"/>
        </w:rPr>
      </w:pPr>
    </w:p>
    <w:p>
      <w:pPr>
        <w:ind w:left="2380" w:right="699" w:hanging="381"/>
        <w:spacing w:after="0" w:line="277" w:lineRule="auto"/>
        <w:tabs>
          <w:tab w:leader="none" w:pos="23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announcements of new products, or of acquisitions, strategic partnerships, joint ventures, or capital-raising activities or commitments, by us or by our competitors;</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additions or departures of board members, management, or key personnel;</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rumors and market speculation involving us or other companies in our industry;</w:t>
      </w:r>
    </w:p>
    <w:p>
      <w:pPr>
        <w:spacing w:after="0" w:line="92" w:lineRule="exact"/>
        <w:rPr>
          <w:rFonts w:ascii="Times New Roman" w:cs="Times New Roman" w:eastAsia="Times New Roman" w:hAnsi="Times New Roman"/>
          <w:sz w:val="13"/>
          <w:szCs w:val="13"/>
          <w:color w:val="auto"/>
        </w:rPr>
      </w:pPr>
    </w:p>
    <w:p>
      <w:pPr>
        <w:ind w:left="2380" w:right="779" w:hanging="381"/>
        <w:spacing w:after="0" w:line="277" w:lineRule="auto"/>
        <w:tabs>
          <w:tab w:leader="none" w:pos="23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new laws or regulations or new interpretations of existing laws or regulations applicable to our business, including those related to data privacy and cyber security in the United States or globally;</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lawsuits threatened or filed against us;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events or factors, including those resulting from war, incidents of terrorism, or responses to these events;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health epidemics, such as the COVID-19 pandemic, influenza, and other highly communicable diseases or viruses; and</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sales or expectations with respect to sales of shares of our Class A common stock by us or our security holders.</w:t>
      </w:r>
    </w:p>
    <w:p>
      <w:pPr>
        <w:spacing w:after="0" w:line="161" w:lineRule="exact"/>
        <w:rPr>
          <w:sz w:val="20"/>
          <w:szCs w:val="20"/>
          <w:color w:val="auto"/>
        </w:rPr>
      </w:pPr>
    </w:p>
    <w:p>
      <w:pPr>
        <w:ind w:left="1680" w:right="559" w:firstLine="316"/>
        <w:spacing w:after="0" w:line="253" w:lineRule="auto"/>
        <w:rPr>
          <w:sz w:val="20"/>
          <w:szCs w:val="20"/>
          <w:color w:val="auto"/>
        </w:rPr>
      </w:pPr>
      <w:r>
        <w:rPr>
          <w:rFonts w:ascii="Times New Roman" w:cs="Times New Roman" w:eastAsia="Times New Roman" w:hAnsi="Times New Roman"/>
          <w:sz w:val="13"/>
          <w:szCs w:val="13"/>
          <w:color w:val="auto"/>
        </w:rPr>
        <w:t>In addition, stock markets with respect to newly public companies, particularly companies in the technology industry, have experienced significant price and volume fluctuations that have affected and continue to affect the stock prices of these companies. Stock prices of many companies, including technology companies, have fluctuated in a manner often unrelated to the operating performance of those companies. These fluctuations may be even more pronounced in the trading market for our Class A common stock shortly following the listing of our Class A common stock on the NYSE as a result of the supply and demand forces described above. In the past, companies that have experienced volatility in the trading price for their stock have been subject to securities class action litigation. If we were to become involved in securities litigation, it could subject us to substantial costs, divert resources and the attention of management from our business, and adversely affect our business, results of operations, and financial condition.</w:t>
      </w:r>
    </w:p>
    <w:p>
      <w:pPr>
        <w:spacing w:after="0" w:line="211" w:lineRule="exact"/>
        <w:rPr>
          <w:sz w:val="20"/>
          <w:szCs w:val="20"/>
          <w:color w:val="auto"/>
        </w:rPr>
      </w:pPr>
    </w:p>
    <w:p>
      <w:pPr>
        <w:ind w:left="1680" w:right="83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The trading price of our Class A common stock, upon listing on the NYSE, may have little or no relationship to the historical sales prices of our capital stock in private transactions, and such private transactions have been limited.</w:t>
      </w:r>
    </w:p>
    <w:p>
      <w:pPr>
        <w:spacing w:after="0" w:line="39" w:lineRule="exact"/>
        <w:rPr>
          <w:sz w:val="20"/>
          <w:szCs w:val="20"/>
          <w:color w:val="auto"/>
        </w:rPr>
      </w:pPr>
    </w:p>
    <w:p>
      <w:pPr>
        <w:ind w:left="1680" w:right="919" w:firstLine="316"/>
        <w:spacing w:after="0" w:line="277" w:lineRule="auto"/>
        <w:rPr>
          <w:sz w:val="20"/>
          <w:szCs w:val="20"/>
          <w:color w:val="auto"/>
        </w:rPr>
      </w:pPr>
      <w:r>
        <w:rPr>
          <w:rFonts w:ascii="Times New Roman" w:cs="Times New Roman" w:eastAsia="Times New Roman" w:hAnsi="Times New Roman"/>
          <w:sz w:val="13"/>
          <w:szCs w:val="13"/>
          <w:color w:val="auto"/>
        </w:rPr>
        <w:t>Prior to the listing of our Class A common stock on the NYSE, there has been no public market for our capital stock. There has been limited trading of our capital stock historically in private transactions. In the section</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42</w:t>
      </w:r>
    </w:p>
    <w:p>
      <w:pPr>
        <w:sectPr>
          <w:pgSz w:w="11900" w:h="16838" w:orient="portrait"/>
          <w:cols w:equalWidth="0" w:num="1">
            <w:col w:w="10159"/>
          </w:cols>
          <w:pgMar w:left="300" w:top="367" w:right="1440" w:bottom="1440" w:gutter="0" w:footer="0" w:header="0"/>
        </w:sectPr>
      </w:pPr>
    </w:p>
    <w:bookmarkStart w:id="47" w:name="page48"/>
    <w:bookmarkEnd w:id="4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79"/>
        <w:spacing w:after="0" w:line="252" w:lineRule="auto"/>
        <w:rPr>
          <w:sz w:val="20"/>
          <w:szCs w:val="20"/>
          <w:color w:val="auto"/>
        </w:rPr>
      </w:pPr>
      <w:r>
        <w:rPr>
          <w:rFonts w:ascii="Times New Roman" w:cs="Times New Roman" w:eastAsia="Times New Roman" w:hAnsi="Times New Roman"/>
          <w:sz w:val="13"/>
          <w:szCs w:val="13"/>
          <w:color w:val="auto"/>
        </w:rPr>
        <w:t>titled “Sale Price History of our Capital Stock,” we have provided the historical sales prices of our capital stock in private transactions. However, we have only recently permitted our capital stock to be transferred in private transactions, and from March 16, 2020 to June 14, 2020, as economic conditions worsened during the COVID-19 pandemic, we restricted the ability of our stockholders to transfer shares of our capital stock at a price per share below $13.04, which was the estimated fair value of our common stock determined by our board of directors, and from June 15, 2020 to July 31, 2020, we restricted the ability of our stockholders to transfer shares of our capital stock at a price per share below $14.24, which was the estimated fair value of our common stock determined by our board of directors. Given the limited history of sales and the price-based limitation we implemented beginning in March 2020, this information may have little or no relation to broader market demand for our Class A common stock and thus the initial trading price of our Class A common stock on the NYSE once trading begins. As a result, you should not place undue reliance on these historical sales prices as they may differ materially from the opening trading prices and subsequent trading prices of our Class A common stock on the NYSE. For more information about how the initial listing price on the NYSE will be determined, see the section titled “Plan of Distribution.”</w:t>
      </w:r>
    </w:p>
    <w:p>
      <w:pPr>
        <w:spacing w:after="0" w:line="210" w:lineRule="exact"/>
        <w:rPr>
          <w:sz w:val="20"/>
          <w:szCs w:val="20"/>
          <w:color w:val="auto"/>
        </w:rPr>
      </w:pPr>
    </w:p>
    <w:p>
      <w:pPr>
        <w:ind w:left="1680" w:right="93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An active, liquid, and orderly market for our Class A common stock may not develop or be sustained. You may be unable to sell your shares of Class A common stock at or above the price at which you purchased them.</w:t>
      </w:r>
    </w:p>
    <w:p>
      <w:pPr>
        <w:spacing w:after="0" w:line="39" w:lineRule="exact"/>
        <w:rPr>
          <w:sz w:val="20"/>
          <w:szCs w:val="20"/>
          <w:color w:val="auto"/>
        </w:rPr>
      </w:pPr>
    </w:p>
    <w:p>
      <w:pPr>
        <w:ind w:left="1680" w:right="579" w:firstLine="316"/>
        <w:spacing w:after="0" w:line="250" w:lineRule="auto"/>
        <w:rPr>
          <w:sz w:val="20"/>
          <w:szCs w:val="20"/>
          <w:color w:val="auto"/>
        </w:rPr>
      </w:pPr>
      <w:r>
        <w:rPr>
          <w:rFonts w:ascii="Times New Roman" w:cs="Times New Roman" w:eastAsia="Times New Roman" w:hAnsi="Times New Roman"/>
          <w:sz w:val="13"/>
          <w:szCs w:val="13"/>
          <w:color w:val="auto"/>
        </w:rPr>
        <w:t>We currently expect our Class A common stock to be listed and traded on the NYSE. Prior to listing on the NYSE, there has been no public market for our Class A common stock. Moreover, consistent with Regulation M and other federal securities laws applicable to our listing, we have not consulted with Registered Stockholders or other existing stockholders regarding their desire or plans to sell shares in the public market following the listing or discussed with potential investors their intentions to buy our Class A common stock in the open market. While our Class A common stock may be sold after our listing on the NYSE by the Registered Stockholders pursuant to this prospectus or by our other existing stockholders in accordance with Rule 144 of the Securities Act of 1933, as amended, or the Securities Act, unlike an underwritten initial public offering, there can be no assurance that any Registered Stockholders or other existing stockholders will sell any of their shares of Class A common stock, and there may initially be a lack of supply of, or demand for, Class A common stock on the NYSE. Conversely, there can be no assurance that the Registered Stockholders and other existing stockholders will not sell all of their shares of Class A common stock, resulting in an oversupply of our Class A common stock on the NYSE. In the case of a lack of supply of our Class A common stock, the trading price of our Class A common stock may rise to an unsustainable level. Further, institutional investors may be discouraged from purchasing our Class A common stock if they are unable to purchase a block of our Class A common stock in the open market in a sufficient size for their investment objectives due to a potential unwillingness of our existing stockholders to sell a sufficient amount of Class A common stock at the price offered by such institutional investors and the greater influence individual investors have in setting the trading price. If institutional investors are unable to purchase our Class A common stock in a sufficient amount for their investment objectives, the market for our Class A common stock may be more volatile without the influence of long-term institutional investors holding significant amounts of our Class A common stock. In the case of a lack of demand for our Class A common stock, the trading price of our Class A common stock could decline significantly and rapidly after our listing. Therefore, an active, liquid, and orderly trading market for our Class A common stock may not initially develop or be sustained, which could significantly depress the trading price of our Class A common stock and/or result in significant volatility, which could affect your ability to sell your shares of Class A common stock.</w:t>
      </w:r>
    </w:p>
    <w:p>
      <w:pPr>
        <w:spacing w:after="0" w:line="21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Our largest stockholder will have the ability to influence the outcome of director elections and other matters requiring stockholder approval.</w:t>
      </w:r>
    </w:p>
    <w:p>
      <w:pPr>
        <w:spacing w:after="0" w:line="87" w:lineRule="exact"/>
        <w:rPr>
          <w:sz w:val="20"/>
          <w:szCs w:val="20"/>
          <w:color w:val="auto"/>
        </w:rPr>
      </w:pPr>
    </w:p>
    <w:p>
      <w:pPr>
        <w:ind w:left="1680" w:right="579" w:firstLine="316"/>
        <w:spacing w:after="0" w:line="258" w:lineRule="auto"/>
        <w:rPr>
          <w:sz w:val="20"/>
          <w:szCs w:val="20"/>
          <w:color w:val="auto"/>
        </w:rPr>
      </w:pPr>
      <w:r>
        <w:rPr>
          <w:rFonts w:ascii="Times New Roman" w:cs="Times New Roman" w:eastAsia="Times New Roman" w:hAnsi="Times New Roman"/>
          <w:sz w:val="13"/>
          <w:szCs w:val="13"/>
          <w:color w:val="auto"/>
        </w:rPr>
        <w:t>Immediately following the effectiveness of the registration statement of which this prospectus forms a part, Dustin Moskovitz, our co-founder, President, Chief Executive Officer, Chair, and largest stockholder, will beneficially own approximately 36.0% of our outstanding Class A common stock and Class B common stock, together as a single class, representing 39.0% of the voting power of our capital stock as of July 31, 2020. Additionally, if the two 3.5% senior mandatory convertible promissory notes due 2025 convert into Class B</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43</w:t>
      </w:r>
    </w:p>
    <w:p>
      <w:pPr>
        <w:sectPr>
          <w:pgSz w:w="11900" w:h="16838" w:orient="portrait"/>
          <w:cols w:equalWidth="0" w:num="1">
            <w:col w:w="10159"/>
          </w:cols>
          <w:pgMar w:left="300" w:top="367" w:right="1440" w:bottom="1440" w:gutter="0" w:footer="0" w:header="0"/>
        </w:sectPr>
      </w:pPr>
    </w:p>
    <w:bookmarkStart w:id="48" w:name="page49"/>
    <w:bookmarkEnd w:id="4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99"/>
        <w:spacing w:after="0" w:line="253" w:lineRule="auto"/>
        <w:rPr>
          <w:sz w:val="20"/>
          <w:szCs w:val="20"/>
          <w:color w:val="auto"/>
        </w:rPr>
      </w:pPr>
      <w:r>
        <w:rPr>
          <w:rFonts w:ascii="Times New Roman" w:cs="Times New Roman" w:eastAsia="Times New Roman" w:hAnsi="Times New Roman"/>
          <w:sz w:val="13"/>
          <w:szCs w:val="13"/>
          <w:color w:val="auto"/>
        </w:rPr>
        <w:t>common stock on or before its maturity date, the number of shares of our Class A common stock beneficially owned by Mr. Moskovitz will increase by a number of shares between 17,012,822 and 27,220,504 shares, or 6.8 and 10.2 additional percentage points of our voting power, respectively, based on the outstanding shares of our Class A common stock and Class B common stock, together as a single class, as of July 31, 2020. Mr. Moskovitz could exert substantial influence over matters requiring approval by our stockholders. This concentration of ownership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209" w:lineRule="exact"/>
        <w:rPr>
          <w:sz w:val="20"/>
          <w:szCs w:val="20"/>
          <w:color w:val="auto"/>
        </w:rPr>
      </w:pPr>
    </w:p>
    <w:p>
      <w:pPr>
        <w:ind w:left="1680" w:right="599"/>
        <w:spacing w:after="0" w:line="257" w:lineRule="auto"/>
        <w:rPr>
          <w:sz w:val="20"/>
          <w:szCs w:val="20"/>
          <w:color w:val="auto"/>
        </w:rPr>
      </w:pPr>
      <w:r>
        <w:rPr>
          <w:rFonts w:ascii="Times New Roman" w:cs="Times New Roman" w:eastAsia="Times New Roman" w:hAnsi="Times New Roman"/>
          <w:sz w:val="13"/>
          <w:szCs w:val="13"/>
          <w:b w:val="1"/>
          <w:bCs w:val="1"/>
          <w:i w:val="1"/>
          <w:iCs w:val="1"/>
          <w:color w:val="auto"/>
        </w:rPr>
        <w:t>The dual class structure of our common stock has the effect of concentrating voting control with those stockholders who held our capital stock prior to the listing of our Class A common stock on the NYSE, including our founders, directors, executive officers, and their respective affiliates, who held in the aggregate 67.8% of the voting power of our capital stock as of July 31, 2020.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57" w:lineRule="exact"/>
        <w:rPr>
          <w:sz w:val="20"/>
          <w:szCs w:val="20"/>
          <w:color w:val="auto"/>
        </w:rPr>
      </w:pPr>
    </w:p>
    <w:p>
      <w:pPr>
        <w:ind w:left="1680" w:right="599" w:firstLine="316"/>
        <w:spacing w:after="0" w:line="252" w:lineRule="auto"/>
        <w:rPr>
          <w:sz w:val="20"/>
          <w:szCs w:val="20"/>
          <w:color w:val="auto"/>
        </w:rPr>
      </w:pPr>
      <w:r>
        <w:rPr>
          <w:rFonts w:ascii="Times New Roman" w:cs="Times New Roman" w:eastAsia="Times New Roman" w:hAnsi="Times New Roman"/>
          <w:sz w:val="13"/>
          <w:szCs w:val="13"/>
          <w:color w:val="auto"/>
        </w:rPr>
        <w:t>Our Class B common stock has 10 votes per share, and our Class A common stock, which is the stock we are listing on the NYSE and is being registered pursuant to the registration statement of which this prospectus forms a part, has one vote per share. As of July 31, 2020, our founders, directors, executive officers, and their affiliates held in the aggregate 67.8% of the voting power of our capital stock. Because of the 10-to-one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136" w:lineRule="exact"/>
        <w:rPr>
          <w:sz w:val="20"/>
          <w:szCs w:val="20"/>
          <w:color w:val="auto"/>
        </w:rPr>
      </w:pPr>
    </w:p>
    <w:p>
      <w:pPr>
        <w:ind w:left="1680" w:right="559" w:firstLine="316"/>
        <w:spacing w:after="0" w:line="252" w:lineRule="auto"/>
        <w:rPr>
          <w:sz w:val="20"/>
          <w:szCs w:val="20"/>
          <w:color w:val="auto"/>
        </w:rPr>
      </w:pPr>
      <w:r>
        <w:rPr>
          <w:rFonts w:ascii="Times New Roman" w:cs="Times New Roman" w:eastAsia="Times New Roman" w:hAnsi="Times New Roman"/>
          <w:sz w:val="13"/>
          <w:szCs w:val="13"/>
          <w:color w:val="auto"/>
        </w:rPr>
        <w:t>Future transfers by holders of Class B common stock will generally result in those shares converting to Class A common stock, subject to limited exceptions, such as certain transfers effected for estate planning purposes. In addition, each share of Class B common stock will convert automatically into one share of Class A common stock upon the date that is the earlier of (i) the date that is specified by the affirmative vote of the holders of two-thirds of the then-outstanding shares of Class B common stock, (ii) one year after the death or permanent disability of Mr. Moskovitz, or (iii) the later of the date that is (x) ten years from the date set forth on the cover page of this prospectus and (y) the date that Mr. Moskovitz no longer serves as our Chief Executive Officer or as a member of our board of directors. The conversion of Class B common stock to Class A common stock will have the effect, over time, of increasing the relative voting power of those holders of Class B common stock who retain their shares over the long term. As a result, it is possible that, in addition to Mr. Moskovitz, one or more of the persons or entities holding our Class B common stock could gain significant voting control as other holders of Class B common stock sell or otherwise convert their shares into Class A common stock.</w:t>
      </w:r>
    </w:p>
    <w:p>
      <w:pPr>
        <w:spacing w:after="0" w:line="21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We cannot predict the effect our dual class structure may have on the trading price of our Class A common stock.</w:t>
      </w:r>
    </w:p>
    <w:p>
      <w:pPr>
        <w:spacing w:after="0" w:line="87" w:lineRule="exact"/>
        <w:rPr>
          <w:sz w:val="20"/>
          <w:szCs w:val="20"/>
          <w:color w:val="auto"/>
        </w:rPr>
      </w:pPr>
    </w:p>
    <w:p>
      <w:pPr>
        <w:ind w:left="1680" w:right="739" w:firstLine="316"/>
        <w:spacing w:after="0" w:line="277" w:lineRule="auto"/>
        <w:rPr>
          <w:sz w:val="20"/>
          <w:szCs w:val="20"/>
          <w:color w:val="auto"/>
        </w:rPr>
      </w:pPr>
      <w:r>
        <w:rPr>
          <w:rFonts w:ascii="Times New Roman" w:cs="Times New Roman" w:eastAsia="Times New Roman" w:hAnsi="Times New Roman"/>
          <w:sz w:val="13"/>
          <w:szCs w:val="13"/>
          <w:color w:val="auto"/>
        </w:rPr>
        <w:t>We cannot predict whether our dual class structure will result in a lower or more volatile trading price of our Class A common stock, in adverse publicity, or other adverse consequences. For example, certain index</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44</w:t>
      </w:r>
    </w:p>
    <w:p>
      <w:pPr>
        <w:sectPr>
          <w:pgSz w:w="11900" w:h="16838" w:orient="portrait"/>
          <w:cols w:equalWidth="0" w:num="1">
            <w:col w:w="10159"/>
          </w:cols>
          <w:pgMar w:left="300" w:top="367" w:right="1440" w:bottom="1440" w:gutter="0" w:footer="0" w:header="0"/>
        </w:sectPr>
      </w:pPr>
    </w:p>
    <w:bookmarkStart w:id="49" w:name="page50"/>
    <w:bookmarkEnd w:id="4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59"/>
        <w:spacing w:after="0" w:line="251" w:lineRule="auto"/>
        <w:rPr>
          <w:sz w:val="20"/>
          <w:szCs w:val="20"/>
          <w:color w:val="auto"/>
        </w:rPr>
      </w:pPr>
      <w:r>
        <w:rPr>
          <w:rFonts w:ascii="Times New Roman" w:cs="Times New Roman" w:eastAsia="Times New Roman" w:hAnsi="Times New Roman"/>
          <w:sz w:val="13"/>
          <w:szCs w:val="13"/>
          <w:color w:val="auto"/>
        </w:rPr>
        <w:t>providers have announced restrictions on including companies with multiple-class share structures in certain of their indices. In July 2017, FTSE Russell announced that it plans to require new constituents of its indices to have greater than 5% of the company’s voting rights in the hands of public stockholders, and S&amp;P Dow Jones announced that it will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policies, the dual 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Because of the dual 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of our Class A common stock could be adversely affected.</w:t>
      </w:r>
    </w:p>
    <w:p>
      <w:pPr>
        <w:spacing w:after="0" w:line="210" w:lineRule="exact"/>
        <w:rPr>
          <w:sz w:val="20"/>
          <w:szCs w:val="20"/>
          <w:color w:val="auto"/>
        </w:rPr>
      </w:pPr>
    </w:p>
    <w:p>
      <w:pPr>
        <w:ind w:left="1680" w:right="579"/>
        <w:spacing w:after="0" w:line="266" w:lineRule="auto"/>
        <w:rPr>
          <w:sz w:val="20"/>
          <w:szCs w:val="20"/>
          <w:color w:val="auto"/>
        </w:rPr>
      </w:pPr>
      <w:r>
        <w:rPr>
          <w:rFonts w:ascii="Times New Roman" w:cs="Times New Roman" w:eastAsia="Times New Roman" w:hAnsi="Times New Roman"/>
          <w:sz w:val="13"/>
          <w:szCs w:val="13"/>
          <w:b w:val="1"/>
          <w:bCs w:val="1"/>
          <w:i w:val="1"/>
          <w:iCs w:val="1"/>
          <w:color w:val="auto"/>
        </w:rPr>
        <w:t>None of our stockholders are party to any contractual lock-up agreement or other contractual restrictions on transfer. Following our listing, sales of substantial amounts of our Class A common stock in the public markets, or the perception that sales might occur, could cause the trading price of our Class A common stock to decline.</w:t>
      </w:r>
    </w:p>
    <w:p>
      <w:pPr>
        <w:spacing w:after="0" w:line="50" w:lineRule="exact"/>
        <w:rPr>
          <w:sz w:val="20"/>
          <w:szCs w:val="20"/>
          <w:color w:val="auto"/>
        </w:rPr>
      </w:pPr>
    </w:p>
    <w:p>
      <w:pPr>
        <w:ind w:left="1680" w:right="639" w:firstLine="316"/>
        <w:spacing w:after="0" w:line="263" w:lineRule="auto"/>
        <w:rPr>
          <w:sz w:val="20"/>
          <w:szCs w:val="20"/>
          <w:color w:val="auto"/>
        </w:rPr>
      </w:pPr>
      <w:r>
        <w:rPr>
          <w:rFonts w:ascii="Times New Roman" w:cs="Times New Roman" w:eastAsia="Times New Roman" w:hAnsi="Times New Roman"/>
          <w:sz w:val="13"/>
          <w:szCs w:val="13"/>
          <w:color w:val="auto"/>
        </w:rPr>
        <w:t>In addition to the supply and demand and volatility factors discussed above, sales of a substantial number of shares of our Class A common stock into the public market, particularly sales by our founders, directors, executive officers, and principal stockholders, or the perception that these sales might occur in large quantities, could cause the trading price of our Class A common stock to decline.</w:t>
      </w:r>
    </w:p>
    <w:p>
      <w:pPr>
        <w:spacing w:after="0" w:line="129" w:lineRule="exact"/>
        <w:rPr>
          <w:sz w:val="20"/>
          <w:szCs w:val="20"/>
          <w:color w:val="auto"/>
        </w:rPr>
      </w:pPr>
    </w:p>
    <w:p>
      <w:pPr>
        <w:ind w:left="1680" w:right="579" w:firstLine="316"/>
        <w:spacing w:after="0" w:line="251" w:lineRule="auto"/>
        <w:rPr>
          <w:sz w:val="20"/>
          <w:szCs w:val="20"/>
          <w:color w:val="auto"/>
        </w:rPr>
      </w:pPr>
      <w:r>
        <w:rPr>
          <w:rFonts w:ascii="Times New Roman" w:cs="Times New Roman" w:eastAsia="Times New Roman" w:hAnsi="Times New Roman"/>
          <w:sz w:val="13"/>
          <w:szCs w:val="13"/>
          <w:color w:val="auto"/>
        </w:rPr>
        <w:t>As of July 31, 2020, giving effect to the conversion of all outstanding shares of our preferred stock to shares of Class B common stock upon the effectiveness of the registration statement of which this prospectus forms a part, we had 151,315,662 shares of common stock outstanding, of which 134,452,092 are Class B common stock and 16,863,570 are Class A common stock, all of which are “restricted securities” (as defined in Rule 144 under the Securities Act). Approximately 58.5 million of these shares of Class B common stock may be converted to Class A common stock and then immediately sold either by the Registered Stockholders pursuant to this prospectus or by our other existing stockholders under Rule 144 since such shares held by such other stockholders will have been beneficially owned by non-affiliates for at least one year. Moreover, once we have been a reporting company subject to the reporting requirements of Section 13 or Section 15(d) of the Exchange Act for 90 days and assuming the availability of certain public information about us, (i) non-affiliates who have beneficially owned our common stock for at least six months may rely on Rule 144 to sell their shares of common stock, and (ii) our directors, executive officers, and other affiliates who have beneficially owned our common stock for at least six months, including certain of the shares of Class A common stock covered by this prospectus to the extent not sold hereunder, will be entitled to sell their shares of our Class A common stock subject to volume limitations under Rule 144 and various vesting agreements.</w:t>
      </w:r>
    </w:p>
    <w:p>
      <w:pPr>
        <w:spacing w:after="0" w:line="141" w:lineRule="exact"/>
        <w:rPr>
          <w:sz w:val="20"/>
          <w:szCs w:val="20"/>
          <w:color w:val="auto"/>
        </w:rPr>
      </w:pPr>
    </w:p>
    <w:p>
      <w:pPr>
        <w:ind w:left="1680" w:right="879" w:firstLine="316"/>
        <w:spacing w:after="0" w:line="258" w:lineRule="auto"/>
        <w:rPr>
          <w:sz w:val="20"/>
          <w:szCs w:val="20"/>
          <w:color w:val="auto"/>
        </w:rPr>
      </w:pPr>
      <w:r>
        <w:rPr>
          <w:rFonts w:ascii="Times New Roman" w:cs="Times New Roman" w:eastAsia="Times New Roman" w:hAnsi="Times New Roman"/>
          <w:sz w:val="13"/>
          <w:szCs w:val="13"/>
          <w:color w:val="auto"/>
        </w:rPr>
        <w:t>In addition, following the effectiveness of the registration statement of which this prospectus forms a part, we intend to file a registration statement to register all shares subject to options and RSUs outstanding or reserved for future issuance under our equity compensation plans. As of July 31, 2020, we had 33,024,339 options outstanding that, if fully exercised, would result in the issuance of shares of Class A common stock and Class B common stock, as well as 3,500,031 shares of Class A common stock subject to RSU awards.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45</w:t>
      </w:r>
    </w:p>
    <w:p>
      <w:pPr>
        <w:sectPr>
          <w:pgSz w:w="11900" w:h="16838" w:orient="portrait"/>
          <w:cols w:equalWidth="0" w:num="1">
            <w:col w:w="10159"/>
          </w:cols>
          <w:pgMar w:left="300" w:top="367" w:right="1440" w:bottom="1440" w:gutter="0" w:footer="0" w:header="0"/>
        </w:sectPr>
      </w:pPr>
    </w:p>
    <w:bookmarkStart w:id="50" w:name="page51"/>
    <w:bookmarkEnd w:id="5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59"/>
        <w:spacing w:after="0" w:line="277" w:lineRule="auto"/>
        <w:rPr>
          <w:sz w:val="20"/>
          <w:szCs w:val="20"/>
          <w:color w:val="auto"/>
        </w:rPr>
      </w:pPr>
      <w:r>
        <w:rPr>
          <w:rFonts w:ascii="Times New Roman" w:cs="Times New Roman" w:eastAsia="Times New Roman" w:hAnsi="Times New Roman"/>
          <w:sz w:val="13"/>
          <w:szCs w:val="13"/>
          <w:color w:val="auto"/>
        </w:rPr>
        <w:t>Accordingly, these shares will be able to be freely sold in the public market upon issuance, subject to applicable vesting requirements and compliance by affiliates with Rule 144.</w:t>
      </w:r>
    </w:p>
    <w:p>
      <w:pPr>
        <w:spacing w:after="0" w:line="1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None of our securityholders are subject to any contractual lock-up or other restriction on the transfer or sale of their shares.</w:t>
      </w:r>
    </w:p>
    <w:p>
      <w:pPr>
        <w:spacing w:after="0" w:line="161" w:lineRule="exact"/>
        <w:rPr>
          <w:sz w:val="20"/>
          <w:szCs w:val="20"/>
          <w:color w:val="auto"/>
        </w:rPr>
      </w:pPr>
    </w:p>
    <w:p>
      <w:pPr>
        <w:ind w:left="1680" w:right="579" w:firstLine="316"/>
        <w:spacing w:after="0" w:line="256" w:lineRule="auto"/>
        <w:rPr>
          <w:sz w:val="20"/>
          <w:szCs w:val="20"/>
          <w:color w:val="auto"/>
        </w:rPr>
      </w:pPr>
      <w:r>
        <w:rPr>
          <w:rFonts w:ascii="Times New Roman" w:cs="Times New Roman" w:eastAsia="Times New Roman" w:hAnsi="Times New Roman"/>
          <w:sz w:val="13"/>
          <w:szCs w:val="13"/>
          <w:color w:val="auto"/>
        </w:rPr>
        <w:t>Following the effectiveness of the registration statement of which this prospectus forms a part, the holders of up to 120,517,455 shares of our Class B common stock will have rights, subject to some conditions, to require us to file registration statements for the public resale of the Class A common stock issuable upon conversion of such shares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w:t>
      </w:r>
    </w:p>
    <w:p>
      <w:pPr>
        <w:spacing w:after="0" w:line="207" w:lineRule="exact"/>
        <w:rPr>
          <w:sz w:val="20"/>
          <w:szCs w:val="20"/>
          <w:color w:val="auto"/>
        </w:rPr>
      </w:pPr>
    </w:p>
    <w:p>
      <w:pPr>
        <w:ind w:left="1680" w:right="75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Our business and financial performance may differ from any projections that we disclose or any information that may be attributed to us by third parties.</w:t>
      </w:r>
    </w:p>
    <w:p>
      <w:pPr>
        <w:spacing w:after="0" w:line="39" w:lineRule="exact"/>
        <w:rPr>
          <w:sz w:val="20"/>
          <w:szCs w:val="20"/>
          <w:color w:val="auto"/>
        </w:rPr>
      </w:pPr>
    </w:p>
    <w:p>
      <w:pPr>
        <w:ind w:left="1680" w:right="579" w:firstLine="316"/>
        <w:spacing w:after="0" w:line="253" w:lineRule="auto"/>
        <w:rPr>
          <w:sz w:val="20"/>
          <w:szCs w:val="20"/>
          <w:color w:val="auto"/>
        </w:rPr>
      </w:pPr>
      <w:r>
        <w:rPr>
          <w:rFonts w:ascii="Times New Roman" w:cs="Times New Roman" w:eastAsia="Times New Roman" w:hAnsi="Times New Roman"/>
          <w:sz w:val="13"/>
          <w:szCs w:val="13"/>
          <w:color w:val="auto"/>
        </w:rPr>
        <w:t>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211" w:lineRule="exact"/>
        <w:rPr>
          <w:sz w:val="20"/>
          <w:szCs w:val="20"/>
          <w:color w:val="auto"/>
        </w:rPr>
      </w:pPr>
    </w:p>
    <w:p>
      <w:pPr>
        <w:ind w:left="1680" w:right="69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Our trading price and trading volume could decline if securities or industry analysts do not publish research about our business, or if they publish unfavorable research.</w:t>
      </w:r>
    </w:p>
    <w:p>
      <w:pPr>
        <w:spacing w:after="0" w:line="39" w:lineRule="exact"/>
        <w:rPr>
          <w:sz w:val="20"/>
          <w:szCs w:val="20"/>
          <w:color w:val="auto"/>
        </w:rPr>
      </w:pPr>
    </w:p>
    <w:p>
      <w:pPr>
        <w:ind w:left="1680" w:right="579" w:firstLine="316"/>
        <w:spacing w:after="0" w:line="253" w:lineRule="auto"/>
        <w:rPr>
          <w:sz w:val="20"/>
          <w:szCs w:val="20"/>
          <w:color w:val="auto"/>
        </w:rPr>
      </w:pPr>
      <w:r>
        <w:rPr>
          <w:rFonts w:ascii="Times New Roman" w:cs="Times New Roman" w:eastAsia="Times New Roman" w:hAnsi="Times New Roman"/>
          <w:sz w:val="13"/>
          <w:szCs w:val="13"/>
          <w:color w:val="auto"/>
        </w:rPr>
        <w:t>Equity research analysts do not currently provide coverage of our Class A common stock, and we cannot assure that any equity research analysts will adequately provide research coverage of our Class A common stock after the listing of our Class A common stock on the NYSE. A lack of adequate research coverage may harm the liquidity and trading price of our Class A common stock. To the extent equity research analysts do provide research coverage of our Class A common stock, we will not have any control over the content and opinions included in their reports. The trading price of our Class A common stock could decline if one or more equity research analysts downgrade our stock or publish other unfavorable commentary or research. If one or more equity research analysts cease coverage of our company, or fail to regularly publish reports on us, the demand for our Class A common stock could decrease, which in turn could cause our trading price or trading volume to decline.</w:t>
      </w:r>
    </w:p>
    <w:p>
      <w:pPr>
        <w:spacing w:after="0" w:line="211" w:lineRule="exact"/>
        <w:rPr>
          <w:sz w:val="20"/>
          <w:szCs w:val="20"/>
          <w:color w:val="auto"/>
        </w:rPr>
      </w:pPr>
    </w:p>
    <w:p>
      <w:pPr>
        <w:ind w:left="1680" w:right="77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39" w:lineRule="exact"/>
        <w:rPr>
          <w:sz w:val="20"/>
          <w:szCs w:val="20"/>
          <w:color w:val="auto"/>
        </w:rPr>
      </w:pPr>
    </w:p>
    <w:p>
      <w:pPr>
        <w:ind w:left="1680" w:right="579" w:firstLine="316"/>
        <w:spacing w:after="0" w:line="253" w:lineRule="auto"/>
        <w:rPr>
          <w:sz w:val="20"/>
          <w:szCs w:val="20"/>
          <w:color w:val="auto"/>
        </w:rPr>
      </w:pPr>
      <w:r>
        <w:rPr>
          <w:rFonts w:ascii="Times New Roman" w:cs="Times New Roman" w:eastAsia="Times New Roman" w:hAnsi="Times New Roman"/>
          <w:sz w:val="13"/>
          <w:szCs w:val="13"/>
          <w:color w:val="auto"/>
        </w:rPr>
        <w:t>As a public company, we will be subject to the reporting requirements of the Exchange Act, the listing standards of the NYSE,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Furthermore, several members of our management team do not have prior experience in running a public company.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46</w:t>
      </w:r>
    </w:p>
    <w:p>
      <w:pPr>
        <w:sectPr>
          <w:pgSz w:w="11900" w:h="16838" w:orient="portrait"/>
          <w:cols w:equalWidth="0" w:num="1">
            <w:col w:w="10159"/>
          </w:cols>
          <w:pgMar w:left="300" w:top="367" w:right="1440" w:bottom="1440" w:gutter="0" w:footer="0" w:header="0"/>
        </w:sectPr>
      </w:pPr>
    </w:p>
    <w:bookmarkStart w:id="51" w:name="page52"/>
    <w:bookmarkEnd w:id="5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79"/>
        <w:spacing w:after="0" w:line="273" w:lineRule="auto"/>
        <w:rPr>
          <w:sz w:val="20"/>
          <w:szCs w:val="20"/>
          <w:color w:val="auto"/>
        </w:rPr>
      </w:pPr>
      <w:r>
        <w:rPr>
          <w:rFonts w:ascii="Times New Roman" w:cs="Times New Roman" w:eastAsia="Times New Roman" w:hAnsi="Times New Roman"/>
          <w:sz w:val="12"/>
          <w:szCs w:val="12"/>
          <w:color w:val="auto"/>
        </w:rPr>
        <w:t>requirements, we may need to hire more employees in the future or engage outside consultants, which will increase our operating expenses. 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We also expect that being a public company that is subject to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members who can serve on our audit committee and compensation committee, and qualified executive officers. As a result of the disclosure obligations required of a public company, our business and financial condition will become more visible, which may result in an increased risk of threatened or actual litigation, including by competitors and other third parties. If such claims are successful, our business, results of operations, and financial condition would be harmed, and even if the claims do not result in litigation or are resolved in our favor, these claims, and the time and resources necessary to resolve them, would divert the resources of our management and harm our business, results of operations, and financial condition.</w:t>
      </w:r>
    </w:p>
    <w:p>
      <w:pPr>
        <w:spacing w:after="0" w:line="35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We do not intend to pay dividends for the foreseeable future.</w:t>
      </w:r>
    </w:p>
    <w:p>
      <w:pPr>
        <w:spacing w:after="0" w:line="87" w:lineRule="exact"/>
        <w:rPr>
          <w:sz w:val="20"/>
          <w:szCs w:val="20"/>
          <w:color w:val="auto"/>
        </w:rPr>
      </w:pPr>
    </w:p>
    <w:p>
      <w:pPr>
        <w:ind w:left="1680" w:right="579" w:firstLine="316"/>
        <w:spacing w:after="0" w:line="256" w:lineRule="auto"/>
        <w:rPr>
          <w:sz w:val="20"/>
          <w:szCs w:val="20"/>
          <w:color w:val="auto"/>
        </w:rPr>
      </w:pPr>
      <w:r>
        <w:rPr>
          <w:rFonts w:ascii="Times New Roman" w:cs="Times New Roman" w:eastAsia="Times New Roman" w:hAnsi="Times New Roman"/>
          <w:sz w:val="13"/>
          <w:szCs w:val="13"/>
          <w:color w:val="auto"/>
        </w:rPr>
        <w:t>We have never declared or paid any cash dividends on our capital stock, and we do not intend to pay any cash dividends in the foreseeable future. We expect to retain future earnings, if any, to fund the development and growth of our business. Any future determination to pay dividends on our capital stock will be at the discretion of our board of directors. In addition, our senior secured term loan facility contains restrictions on our ability to pay dividends. Accordingly, investors must rely on sales of their Class A common stock after price appreciation, which may never occur, as the only way to realize any future gains on their investments.</w:t>
      </w:r>
    </w:p>
    <w:p>
      <w:pPr>
        <w:spacing w:after="0" w:line="2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Additional stock issuances could result in significant dilution to our stockholders.</w:t>
      </w:r>
    </w:p>
    <w:p>
      <w:pPr>
        <w:spacing w:after="0" w:line="87" w:lineRule="exact"/>
        <w:rPr>
          <w:sz w:val="20"/>
          <w:szCs w:val="20"/>
          <w:color w:val="auto"/>
        </w:rPr>
      </w:pPr>
    </w:p>
    <w:p>
      <w:pPr>
        <w:ind w:left="1680" w:right="579" w:firstLine="316"/>
        <w:spacing w:after="0" w:line="253" w:lineRule="auto"/>
        <w:rPr>
          <w:sz w:val="20"/>
          <w:szCs w:val="20"/>
          <w:color w:val="auto"/>
        </w:rPr>
      </w:pPr>
      <w:r>
        <w:rPr>
          <w:rFonts w:ascii="Times New Roman" w:cs="Times New Roman" w:eastAsia="Times New Roman" w:hAnsi="Times New Roman"/>
          <w:sz w:val="13"/>
          <w:szCs w:val="13"/>
          <w:color w:val="auto"/>
        </w:rPr>
        <w:t>We may issue our capital stock or securities convertible into our capital stock from time to time in connection with a financing, acquisition, investments, or otherwise. Additional issuances of our stock will result in dilution to existing holders of our stock. Also, to the extent outstanding stock options to purchase our stock are exercised or RSUs settle, there will be further dilution. The amount of dilution could be substantial depending upon the size of the issuance or exercise. Additionally, in January and June 2020, we issued and sold to the Dustin Moskovitz Trust, an affiliated trust of</w:t>
      </w:r>
    </w:p>
    <w:p>
      <w:pPr>
        <w:spacing w:after="0" w:line="2" w:lineRule="exact"/>
        <w:rPr>
          <w:sz w:val="20"/>
          <w:szCs w:val="20"/>
          <w:color w:val="auto"/>
        </w:rPr>
      </w:pPr>
    </w:p>
    <w:p>
      <w:pPr>
        <w:ind w:left="1680" w:right="719"/>
        <w:spacing w:after="0" w:line="252" w:lineRule="auto"/>
        <w:rPr>
          <w:sz w:val="20"/>
          <w:szCs w:val="20"/>
          <w:color w:val="auto"/>
        </w:rPr>
      </w:pPr>
      <w:r>
        <w:rPr>
          <w:rFonts w:ascii="Times New Roman" w:cs="Times New Roman" w:eastAsia="Times New Roman" w:hAnsi="Times New Roman"/>
          <w:sz w:val="13"/>
          <w:szCs w:val="13"/>
          <w:color w:val="auto"/>
        </w:rPr>
        <w:t>Mr. Moskovitz, two 3.5% senior mandatory convertible promissory notes due 2025 for an aggregate principal amount of $450.0 million, which will convert into a number of shares of our Class B common stock between an aggregate of 17,012,822 and 27,220,504 shares on or prior to their maturity dates. Any such issuances could result in substantial dilution to our existing stockholders and cause the trading price of our Class A common stock to decline.</w:t>
      </w:r>
    </w:p>
    <w:p>
      <w:pPr>
        <w:spacing w:after="0" w:line="209" w:lineRule="exact"/>
        <w:rPr>
          <w:sz w:val="20"/>
          <w:szCs w:val="20"/>
          <w:color w:val="auto"/>
        </w:rPr>
      </w:pPr>
    </w:p>
    <w:p>
      <w:pPr>
        <w:ind w:left="1680" w:right="67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p>
    <w:p>
      <w:pPr>
        <w:spacing w:after="0" w:line="39" w:lineRule="exact"/>
        <w:rPr>
          <w:sz w:val="20"/>
          <w:szCs w:val="20"/>
          <w:color w:val="auto"/>
        </w:rPr>
      </w:pPr>
    </w:p>
    <w:p>
      <w:pPr>
        <w:ind w:left="1680" w:right="819" w:firstLine="316"/>
        <w:spacing w:after="0" w:line="277" w:lineRule="auto"/>
        <w:rPr>
          <w:sz w:val="20"/>
          <w:szCs w:val="20"/>
          <w:color w:val="auto"/>
        </w:rPr>
      </w:pPr>
      <w:r>
        <w:rPr>
          <w:rFonts w:ascii="Times New Roman" w:cs="Times New Roman" w:eastAsia="Times New Roman" w:hAnsi="Times New Roman"/>
          <w:sz w:val="13"/>
          <w:szCs w:val="13"/>
          <w:color w:val="auto"/>
        </w:rPr>
        <w:t>There are provisions in our restated certificate of incorporation and restated bylaws, as they will be in effect following the effectiveness of the registration statement of which this prospectus forms a part, that may make it</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47</w:t>
      </w:r>
    </w:p>
    <w:p>
      <w:pPr>
        <w:sectPr>
          <w:pgSz w:w="11900" w:h="16838" w:orient="portrait"/>
          <w:cols w:equalWidth="0" w:num="1">
            <w:col w:w="10159"/>
          </w:cols>
          <w:pgMar w:left="300" w:top="367" w:right="1440" w:bottom="1440" w:gutter="0" w:footer="0" w:header="0"/>
        </w:sectPr>
      </w:pPr>
    </w:p>
    <w:bookmarkStart w:id="52" w:name="page53"/>
    <w:bookmarkEnd w:id="5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1059"/>
        <w:spacing w:after="0" w:line="277" w:lineRule="auto"/>
        <w:rPr>
          <w:sz w:val="20"/>
          <w:szCs w:val="20"/>
          <w:color w:val="auto"/>
        </w:rPr>
      </w:pPr>
      <w:r>
        <w:rPr>
          <w:rFonts w:ascii="Times New Roman" w:cs="Times New Roman" w:eastAsia="Times New Roman" w:hAnsi="Times New Roman"/>
          <w:sz w:val="13"/>
          <w:szCs w:val="13"/>
          <w:color w:val="auto"/>
        </w:rPr>
        <w:t>difficult for a third party to acquire, or attempt to acquire, control of our company, even if a change in control were considered favorable by our stockholders. These anti-takeover provisions include:</w:t>
      </w:r>
    </w:p>
    <w:p>
      <w:pPr>
        <w:spacing w:after="0" w:line="52" w:lineRule="exact"/>
        <w:rPr>
          <w:sz w:val="20"/>
          <w:szCs w:val="20"/>
          <w:color w:val="auto"/>
        </w:rPr>
      </w:pPr>
    </w:p>
    <w:p>
      <w:pPr>
        <w:ind w:left="2380" w:hanging="381"/>
        <w:spacing w:after="0"/>
        <w:tabs>
          <w:tab w:leader="none" w:pos="238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classified board of directors so that not all members of our board of directors are elected at one time;</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ability of our board of directors to determine the number of directors and to fill any vacancies and newly created directorships;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requirement that our directors may only be removed for cause;</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prohibition on cumulative voting for directors;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requirement of a super-majority to amend some provisions in our restated certificate of incorporation and restated bylaws;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authorization of the issuance of “blank check” preferred stock that our board of directors could use to implement a stockholder rights plan;</w:t>
      </w:r>
    </w:p>
    <w:p>
      <w:pPr>
        <w:spacing w:after="0" w:line="104" w:lineRule="exact"/>
        <w:rPr>
          <w:rFonts w:ascii="Times New Roman" w:cs="Times New Roman" w:eastAsia="Times New Roman" w:hAnsi="Times New Roman"/>
          <w:sz w:val="12"/>
          <w:szCs w:val="12"/>
          <w:color w:val="auto"/>
        </w:rPr>
      </w:pPr>
    </w:p>
    <w:p>
      <w:pPr>
        <w:ind w:left="2380" w:right="779" w:hanging="381"/>
        <w:spacing w:after="0" w:line="258" w:lineRule="auto"/>
        <w:tabs>
          <w:tab w:leader="none" w:pos="238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 for a dual class common stock structure in which holders of our Class B common stock, which has 10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w:t>
      </w:r>
    </w:p>
    <w:p>
      <w:pPr>
        <w:spacing w:after="0" w:line="64"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inability of our stockholders to call special meetings of stockholders; and</w:t>
      </w:r>
    </w:p>
    <w:p>
      <w:pPr>
        <w:spacing w:after="0" w:line="92" w:lineRule="exact"/>
        <w:rPr>
          <w:rFonts w:ascii="Times New Roman" w:cs="Times New Roman" w:eastAsia="Times New Roman" w:hAnsi="Times New Roman"/>
          <w:sz w:val="13"/>
          <w:szCs w:val="13"/>
          <w:color w:val="auto"/>
        </w:rPr>
      </w:pPr>
    </w:p>
    <w:p>
      <w:pPr>
        <w:ind w:left="2380" w:right="1079" w:hanging="381"/>
        <w:spacing w:after="0" w:line="277" w:lineRule="auto"/>
        <w:tabs>
          <w:tab w:leader="none" w:pos="238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prohibition on stockholder actions by written consent, thereby requiring that all stockholder actions be taken at a meeting of our stockholders.</w:t>
      </w:r>
    </w:p>
    <w:p>
      <w:pPr>
        <w:spacing w:after="0" w:line="120" w:lineRule="exact"/>
        <w:rPr>
          <w:sz w:val="20"/>
          <w:szCs w:val="20"/>
          <w:color w:val="auto"/>
        </w:rPr>
      </w:pPr>
    </w:p>
    <w:p>
      <w:pPr>
        <w:ind w:left="1680" w:right="599" w:firstLine="316"/>
        <w:spacing w:after="0" w:line="254" w:lineRule="auto"/>
        <w:rPr>
          <w:sz w:val="20"/>
          <w:szCs w:val="20"/>
          <w:color w:val="auto"/>
        </w:rPr>
      </w:pPr>
      <w:r>
        <w:rPr>
          <w:rFonts w:ascii="Times New Roman" w:cs="Times New Roman" w:eastAsia="Times New Roman" w:hAnsi="Times New Roman"/>
          <w:sz w:val="13"/>
          <w:szCs w:val="13"/>
          <w:color w:val="auto"/>
        </w:rPr>
        <w:t>Moreover, because we are incorporated in Delaware, we are governed by the provisions of Section 203 of the Delaware General Corporation Law, which prohibit a person who owns 15% or more of our outstanding voting stock from merging or combining with us for a three-year period beginning on the date of the transaction in which the person acquired in excess of 15% of our outstanding voting stock, unless the merger or combination is approved in a prescribed manner. Any provision in our restated certificate of incorporation, our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10" w:lineRule="exact"/>
        <w:rPr>
          <w:sz w:val="20"/>
          <w:szCs w:val="20"/>
          <w:color w:val="auto"/>
        </w:rPr>
      </w:pPr>
    </w:p>
    <w:p>
      <w:pPr>
        <w:ind w:left="1680" w:right="639"/>
        <w:spacing w:after="0" w:line="266" w:lineRule="auto"/>
        <w:rPr>
          <w:sz w:val="20"/>
          <w:szCs w:val="20"/>
          <w:color w:val="auto"/>
        </w:rPr>
      </w:pPr>
      <w:r>
        <w:rPr>
          <w:rFonts w:ascii="Times New Roman" w:cs="Times New Roman" w:eastAsia="Times New Roman" w:hAnsi="Times New Roman"/>
          <w:sz w:val="13"/>
          <w:szCs w:val="13"/>
          <w:b w:val="1"/>
          <w:bCs w:val="1"/>
          <w:i w:val="1"/>
          <w:iCs w:val="1"/>
          <w:color w:val="auto"/>
        </w:rPr>
        <w:t>Our amended and restated certificate of incorporation will designate the Court of Chancery of the State of Delaware and, to the extent enforceable, the federal district courts of the United States of America as the exclusive forums for certain disputes between us and our stockholders, which will restrict our stockholders’ ability to choose the judicial forum for disputes with us or our directors, officers, or employees.</w:t>
      </w:r>
    </w:p>
    <w:p>
      <w:pPr>
        <w:spacing w:after="0" w:line="50" w:lineRule="exact"/>
        <w:rPr>
          <w:sz w:val="20"/>
          <w:szCs w:val="20"/>
          <w:color w:val="auto"/>
        </w:rPr>
      </w:pPr>
    </w:p>
    <w:p>
      <w:pPr>
        <w:ind w:left="1680" w:right="619" w:firstLine="316"/>
        <w:spacing w:after="0" w:line="252" w:lineRule="auto"/>
        <w:rPr>
          <w:sz w:val="20"/>
          <w:szCs w:val="20"/>
          <w:color w:val="auto"/>
        </w:rPr>
      </w:pPr>
      <w:r>
        <w:rPr>
          <w:rFonts w:ascii="Times New Roman" w:cs="Times New Roman" w:eastAsia="Times New Roman" w:hAnsi="Times New Roman"/>
          <w:sz w:val="13"/>
          <w:szCs w:val="13"/>
          <w:color w:val="auto"/>
        </w:rPr>
        <w:t>Our amended and restated certificate of incorporation, as will be in effect following the effectiveness of the registration statement of which this prospectus forms a part, will provide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or our stockholders arising pursuant to the Delaware General Corporation Law, our certificate of incorporation, or our bylaws, any action to interpret, apply, enforce, or determine the validity of our certificate of incorporation or bylaws, any action as to which the Delaware General Corporation Law confers jurisdiction to the Court of Chancery of the State of Delaware, or any action asserting a claim governed by the internal affairs doctrine. The provisions would not apply to suits brought to enforce a duty or liability created by the Securities Act,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48</w:t>
      </w:r>
    </w:p>
    <w:p>
      <w:pPr>
        <w:sectPr>
          <w:pgSz w:w="11900" w:h="16838" w:orient="portrait"/>
          <w:cols w:equalWidth="0" w:num="1">
            <w:col w:w="10159"/>
          </w:cols>
          <w:pgMar w:left="300" w:top="367" w:right="1440" w:bottom="1440" w:gutter="0" w:footer="0" w:header="0"/>
        </w:sectPr>
      </w:pPr>
    </w:p>
    <w:bookmarkStart w:id="53" w:name="page54"/>
    <w:bookmarkEnd w:id="5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jc w:val="both"/>
        <w:ind w:left="1680" w:right="859"/>
        <w:spacing w:after="0" w:line="263" w:lineRule="auto"/>
        <w:rPr>
          <w:sz w:val="20"/>
          <w:szCs w:val="20"/>
          <w:color w:val="auto"/>
        </w:rPr>
      </w:pPr>
      <w:r>
        <w:rPr>
          <w:rFonts w:ascii="Times New Roman" w:cs="Times New Roman" w:eastAsia="Times New Roman" w:hAnsi="Times New Roman"/>
          <w:sz w:val="13"/>
          <w:szCs w:val="13"/>
          <w:color w:val="auto"/>
        </w:rPr>
        <w:t>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w:t>
      </w:r>
    </w:p>
    <w:p>
      <w:pPr>
        <w:spacing w:after="0" w:line="129" w:lineRule="exact"/>
        <w:rPr>
          <w:sz w:val="20"/>
          <w:szCs w:val="20"/>
          <w:color w:val="auto"/>
        </w:rPr>
      </w:pPr>
    </w:p>
    <w:p>
      <w:pPr>
        <w:ind w:left="1680" w:right="559" w:firstLine="316"/>
        <w:spacing w:after="0" w:line="253" w:lineRule="auto"/>
        <w:rPr>
          <w:sz w:val="20"/>
          <w:szCs w:val="20"/>
          <w:color w:val="auto"/>
        </w:rPr>
      </w:pPr>
      <w:r>
        <w:rPr>
          <w:rFonts w:ascii="Times New Roman" w:cs="Times New Roman" w:eastAsia="Times New Roman" w:hAnsi="Times New Roman"/>
          <w:sz w:val="13"/>
          <w:szCs w:val="13"/>
          <w:color w:val="auto"/>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such a claim arising under the Securities Act against us, our directors, officers, or other employees in a venue other than in the federal district courts of the United States of America.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49</w:t>
      </w:r>
    </w:p>
    <w:p>
      <w:pPr>
        <w:sectPr>
          <w:pgSz w:w="11900" w:h="16838" w:orient="portrait"/>
          <w:cols w:equalWidth="0" w:num="1">
            <w:col w:w="10159"/>
          </w:cols>
          <w:pgMar w:left="300" w:top="367" w:right="1440" w:bottom="1440" w:gutter="0" w:footer="0" w:header="0"/>
        </w:sectPr>
      </w:pPr>
    </w:p>
    <w:bookmarkStart w:id="54" w:name="page55"/>
    <w:bookmarkEnd w:id="5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3"/>
          <w:szCs w:val="13"/>
          <w:b w:val="1"/>
          <w:bCs w:val="1"/>
          <w:color w:val="auto"/>
        </w:rPr>
        <w:t>SPECIAL NOTE REGARDING FORWARD-LOOKING STATEMENTS</w:t>
      </w:r>
    </w:p>
    <w:p>
      <w:pPr>
        <w:spacing w:after="0" w:line="163" w:lineRule="exact"/>
        <w:rPr>
          <w:sz w:val="20"/>
          <w:szCs w:val="20"/>
          <w:color w:val="auto"/>
        </w:rPr>
      </w:pPr>
    </w:p>
    <w:p>
      <w:pPr>
        <w:ind w:left="1680" w:right="559" w:firstLine="316"/>
        <w:spacing w:after="0" w:line="273" w:lineRule="auto"/>
        <w:rPr>
          <w:sz w:val="20"/>
          <w:szCs w:val="20"/>
          <w:color w:val="auto"/>
        </w:rPr>
      </w:pPr>
      <w:r>
        <w:rPr>
          <w:rFonts w:ascii="Times New Roman" w:cs="Times New Roman" w:eastAsia="Times New Roman" w:hAnsi="Times New Roman"/>
          <w:sz w:val="12"/>
          <w:szCs w:val="12"/>
          <w:color w:val="auto"/>
        </w:rPr>
        <w:t>This prospectus contains forward-looking statements. All statements contained in this prospectus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“would,” “expect,” “objective,” “plan,” “potential,” “seek,” “grow,” “target,” “if,”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w:t>
      </w:r>
    </w:p>
    <w:p>
      <w:pPr>
        <w:spacing w:after="0" w:line="1" w:lineRule="exact"/>
        <w:rPr>
          <w:sz w:val="20"/>
          <w:szCs w:val="20"/>
          <w:color w:val="auto"/>
        </w:rPr>
      </w:pPr>
    </w:p>
    <w:p>
      <w:pPr>
        <w:ind w:left="1680" w:right="679"/>
        <w:spacing w:after="0" w:line="269" w:lineRule="auto"/>
        <w:rPr>
          <w:sz w:val="20"/>
          <w:szCs w:val="20"/>
          <w:color w:val="auto"/>
        </w:rPr>
      </w:pPr>
      <w:r>
        <w:rPr>
          <w:rFonts w:ascii="Times New Roman" w:cs="Times New Roman" w:eastAsia="Times New Roman" w:hAnsi="Times New Roman"/>
          <w:sz w:val="12"/>
          <w:szCs w:val="12"/>
          <w:color w:val="auto"/>
        </w:rPr>
        <w:t>term business operations and objectives, and financial needs. These forward-looking statements are subject to a number of risks, uncertainties, and assumptions, including those described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w:t>
      </w:r>
    </w:p>
    <w:p>
      <w:pPr>
        <w:spacing w:after="0" w:line="2" w:lineRule="exact"/>
        <w:rPr>
          <w:sz w:val="20"/>
          <w:szCs w:val="20"/>
          <w:color w:val="auto"/>
        </w:rPr>
      </w:pPr>
    </w:p>
    <w:p>
      <w:pPr>
        <w:ind w:left="1680" w:right="899"/>
        <w:spacing w:after="0" w:line="253" w:lineRule="auto"/>
        <w:rPr>
          <w:sz w:val="20"/>
          <w:szCs w:val="20"/>
          <w:color w:val="auto"/>
        </w:rPr>
      </w:pPr>
      <w:r>
        <w:rPr>
          <w:rFonts w:ascii="Times New Roman" w:cs="Times New Roman" w:eastAsia="Times New Roman" w:hAnsi="Times New Roman"/>
          <w:sz w:val="13"/>
          <w:szCs w:val="13"/>
          <w:color w:val="auto"/>
        </w:rPr>
        <w:t>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 Forward-looking statements contained in this prospectus include, but are not limited to, statements about:</w:t>
      </w:r>
    </w:p>
    <w:p>
      <w:pPr>
        <w:spacing w:after="0" w:line="68" w:lineRule="exact"/>
        <w:rPr>
          <w:sz w:val="20"/>
          <w:szCs w:val="20"/>
          <w:color w:val="auto"/>
        </w:rPr>
      </w:pPr>
    </w:p>
    <w:p>
      <w:pPr>
        <w:ind w:left="2380" w:right="1259" w:hanging="381"/>
        <w:spacing w:after="0" w:line="277" w:lineRule="auto"/>
        <w:tabs>
          <w:tab w:leader="none" w:pos="23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grow or maintain our dollar-based net retention rate, expand usage of our platform within organizations, and sell subscriptions to our platform;</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convert individuals, teams, and organizations on our free and trial versions into paying customers;</w:t>
      </w:r>
    </w:p>
    <w:p>
      <w:pPr>
        <w:spacing w:after="0" w:line="92" w:lineRule="exact"/>
        <w:rPr>
          <w:rFonts w:ascii="Times New Roman" w:cs="Times New Roman" w:eastAsia="Times New Roman" w:hAnsi="Times New Roman"/>
          <w:sz w:val="13"/>
          <w:szCs w:val="13"/>
          <w:color w:val="auto"/>
        </w:rPr>
      </w:pPr>
    </w:p>
    <w:p>
      <w:pPr>
        <w:ind w:left="2380" w:right="679" w:hanging="381"/>
        <w:spacing w:after="0" w:line="277" w:lineRule="auto"/>
        <w:tabs>
          <w:tab w:leader="none" w:pos="23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timing and success of new features, integrations, capabilities, and enhancements by us, or by our competitors to their products, or any other changes in the competitive landscape of our market;</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achieve widespread acceptance and use of our platform;</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growth in the work management market;</w:t>
      </w:r>
    </w:p>
    <w:p>
      <w:pPr>
        <w:spacing w:after="0" w:line="92" w:lineRule="exact"/>
        <w:rPr>
          <w:rFonts w:ascii="Times New Roman" w:cs="Times New Roman" w:eastAsia="Times New Roman" w:hAnsi="Times New Roman"/>
          <w:sz w:val="13"/>
          <w:szCs w:val="13"/>
          <w:color w:val="auto"/>
        </w:rPr>
      </w:pPr>
    </w:p>
    <w:p>
      <w:pPr>
        <w:ind w:left="2380" w:right="599" w:hanging="381"/>
        <w:spacing w:after="0" w:line="277" w:lineRule="auto"/>
        <w:tabs>
          <w:tab w:leader="none" w:pos="23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and timing of operating expenses and capital expenditures, as well as entry into operating leases, that we may incur to maintain and expand our business and operations and to remain competitive;</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focus on growth to drive long-term value;</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timing of expenses and our expectations regarding our cost of revenues, gross margin, and operating expenses;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effect of uncertainties related to the global COVID-19 pandemic on our business, results of operations, and financial condition;</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expansion of our sales and marketing activities;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protections against security breaches, technical difficulties, or interruptions to our platform;</w:t>
      </w:r>
    </w:p>
    <w:p>
      <w:pPr>
        <w:spacing w:after="0" w:line="92" w:lineRule="exact"/>
        <w:rPr>
          <w:rFonts w:ascii="Times New Roman" w:cs="Times New Roman" w:eastAsia="Times New Roman" w:hAnsi="Times New Roman"/>
          <w:sz w:val="13"/>
          <w:szCs w:val="13"/>
          <w:color w:val="auto"/>
        </w:rPr>
      </w:pPr>
    </w:p>
    <w:p>
      <w:pPr>
        <w:ind w:left="2380" w:right="799" w:hanging="381"/>
        <w:spacing w:after="0" w:line="277" w:lineRule="auto"/>
        <w:tabs>
          <w:tab w:leader="none" w:pos="23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successfully defend litigation brought against us, potential dispute-related settlement payments, or other litigation-related costs;</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expectations about additional hiring;</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potential pricing pressure as a result of competition or otherwise;</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anticipated fluctuations in foreign currency exchange rates;</w:t>
      </w:r>
    </w:p>
    <w:p>
      <w:pPr>
        <w:spacing w:after="0" w:line="1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50</w:t>
      </w:r>
    </w:p>
    <w:p>
      <w:pPr>
        <w:sectPr>
          <w:pgSz w:w="11900" w:h="16838" w:orient="portrait"/>
          <w:cols w:equalWidth="0" w:num="1">
            <w:col w:w="10159"/>
          </w:cols>
          <w:pgMar w:left="300" w:top="367" w:right="1440" w:bottom="1440" w:gutter="0" w:footer="0" w:header="0"/>
        </w:sectPr>
      </w:pPr>
    </w:p>
    <w:bookmarkStart w:id="55" w:name="page56"/>
    <w:bookmarkEnd w:id="5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2380" w:right="639" w:hanging="381"/>
        <w:spacing w:after="0" w:line="277" w:lineRule="auto"/>
        <w:tabs>
          <w:tab w:leader="none" w:pos="23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potential costs and the anticipated timing of expenses related to the acquisition of businesses, talent, technologies, or intellectual property, including potentially significant amortization costs and possible write-downs; and</w:t>
      </w:r>
    </w:p>
    <w:p>
      <w:pPr>
        <w:spacing w:after="0" w:line="52" w:lineRule="exact"/>
        <w:rPr>
          <w:rFonts w:ascii="Times New Roman" w:cs="Times New Roman" w:eastAsia="Times New Roman" w:hAnsi="Times New Roman"/>
          <w:sz w:val="13"/>
          <w:szCs w:val="13"/>
          <w:color w:val="auto"/>
        </w:rPr>
      </w:pPr>
    </w:p>
    <w:p>
      <w:pPr>
        <w:ind w:left="2380" w:right="819" w:hanging="381"/>
        <w:spacing w:after="0" w:line="277" w:lineRule="auto"/>
        <w:tabs>
          <w:tab w:leader="none" w:pos="23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general economic conditions in either domestic or international markets, including the societal and economic impact of the COVID-19 pandemic, including on the rate of global IT spending, and geopolitical uncertainty and instability.</w:t>
      </w:r>
    </w:p>
    <w:p>
      <w:pPr>
        <w:spacing w:after="0" w:line="1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We caution you that the foregoing list may not contain all of the forward-looking statements made in this prospectus.</w:t>
      </w:r>
    </w:p>
    <w:p>
      <w:pPr>
        <w:spacing w:after="0" w:line="161" w:lineRule="exact"/>
        <w:rPr>
          <w:sz w:val="20"/>
          <w:szCs w:val="20"/>
          <w:color w:val="auto"/>
        </w:rPr>
      </w:pPr>
    </w:p>
    <w:p>
      <w:pPr>
        <w:ind w:left="1680" w:right="639" w:firstLine="316"/>
        <w:spacing w:after="0" w:line="258" w:lineRule="auto"/>
        <w:rPr>
          <w:sz w:val="20"/>
          <w:szCs w:val="20"/>
          <w:color w:val="auto"/>
        </w:rPr>
      </w:pPr>
      <w:r>
        <w:rPr>
          <w:rFonts w:ascii="Times New Roman" w:cs="Times New Roman" w:eastAsia="Times New Roman" w:hAnsi="Times New Roman"/>
          <w:sz w:val="13"/>
          <w:szCs w:val="13"/>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Except as required by law, we do not intend to update any of these forward-looking statements after the date of this prospectus or to conform these statements to actual results or revised expectations.</w:t>
      </w:r>
    </w:p>
    <w:p>
      <w:pPr>
        <w:spacing w:after="0" w:line="133" w:lineRule="exact"/>
        <w:rPr>
          <w:sz w:val="20"/>
          <w:szCs w:val="20"/>
          <w:color w:val="auto"/>
        </w:rPr>
      </w:pPr>
    </w:p>
    <w:p>
      <w:pPr>
        <w:ind w:left="1680" w:right="639" w:firstLine="316"/>
        <w:spacing w:after="0" w:line="263" w:lineRule="auto"/>
        <w:rPr>
          <w:sz w:val="20"/>
          <w:szCs w:val="20"/>
          <w:color w:val="auto"/>
        </w:rPr>
      </w:pPr>
      <w:r>
        <w:rPr>
          <w:rFonts w:ascii="Times New Roman" w:cs="Times New Roman" w:eastAsia="Times New Roman" w:hAnsi="Times New Roman"/>
          <w:sz w:val="13"/>
          <w:szCs w:val="13"/>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51</w:t>
      </w:r>
    </w:p>
    <w:p>
      <w:pPr>
        <w:sectPr>
          <w:pgSz w:w="11900" w:h="16838" w:orient="portrait"/>
          <w:cols w:equalWidth="0" w:num="1">
            <w:col w:w="10159"/>
          </w:cols>
          <w:pgMar w:left="300" w:top="367" w:right="1440" w:bottom="1440" w:gutter="0" w:footer="0" w:header="0"/>
        </w:sectPr>
      </w:pPr>
    </w:p>
    <w:bookmarkStart w:id="56" w:name="page57"/>
    <w:bookmarkEnd w:id="5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MARKET, INDUSTRY AND OTHER DATA</w:t>
      </w:r>
    </w:p>
    <w:p>
      <w:pPr>
        <w:spacing w:after="0" w:line="163" w:lineRule="exact"/>
        <w:rPr>
          <w:sz w:val="20"/>
          <w:szCs w:val="20"/>
          <w:color w:val="auto"/>
        </w:rPr>
      </w:pPr>
    </w:p>
    <w:p>
      <w:pPr>
        <w:ind w:left="1680" w:right="579" w:firstLine="316"/>
        <w:spacing w:after="0" w:line="253" w:lineRule="auto"/>
        <w:rPr>
          <w:sz w:val="20"/>
          <w:szCs w:val="20"/>
          <w:color w:val="auto"/>
        </w:rPr>
      </w:pPr>
      <w:r>
        <w:rPr>
          <w:rFonts w:ascii="Times New Roman" w:cs="Times New Roman" w:eastAsia="Times New Roman" w:hAnsi="Times New Roman"/>
          <w:sz w:val="13"/>
          <w:szCs w:val="13"/>
          <w:color w:val="auto"/>
        </w:rPr>
        <w:t>This prospectus contains estimates and information concerning our industry, our business, and the market for our platform, including our general expectations of our market position, market growth forecasts, our market opportunity, and size of the markets in which we participate, that are based on industry publications, surveys, and reports that have been prepared by independent third parties. This information involves a number of assumptions and limitations, and you are cautioned not to give undue weight to these estimates. Although we have not independently verified the accuracy or completeness of the data contained in these industry publications, surveys, and reports, we believe the publications, surveys, and reports are generally reliable, although such information is inherently subject to uncertainties and imprecision. The industry in which we operate is subject to a high degree of uncertainty and risk due to a variety of factors, including those described in the section titled “Risk Factors.” These and other factors could cause results to differ materially from those expressed in these publications and reports.</w:t>
      </w:r>
    </w:p>
    <w:p>
      <w:pPr>
        <w:spacing w:after="0" w:line="135" w:lineRule="exact"/>
        <w:rPr>
          <w:sz w:val="20"/>
          <w:szCs w:val="20"/>
          <w:color w:val="auto"/>
        </w:rPr>
      </w:pPr>
    </w:p>
    <w:p>
      <w:pPr>
        <w:ind w:left="1680" w:right="739" w:firstLine="316"/>
        <w:spacing w:after="0" w:line="277" w:lineRule="auto"/>
        <w:rPr>
          <w:sz w:val="20"/>
          <w:szCs w:val="20"/>
          <w:color w:val="auto"/>
        </w:rPr>
      </w:pPr>
      <w:r>
        <w:rPr>
          <w:rFonts w:ascii="Times New Roman" w:cs="Times New Roman" w:eastAsia="Times New Roman" w:hAnsi="Times New Roman"/>
          <w:sz w:val="13"/>
          <w:szCs w:val="13"/>
          <w:color w:val="auto"/>
        </w:rPr>
        <w:t>The source of certain statistical data, estimates, and forecasts contained in this prospectus are the following industry publications or reports that have been prepared by independent third parties:</w:t>
      </w:r>
    </w:p>
    <w:p>
      <w:pPr>
        <w:spacing w:after="0" w:line="52" w:lineRule="exact"/>
        <w:rPr>
          <w:sz w:val="20"/>
          <w:szCs w:val="20"/>
          <w:color w:val="auto"/>
        </w:rPr>
      </w:pPr>
    </w:p>
    <w:p>
      <w:pPr>
        <w:ind w:left="2380" w:right="699" w:hanging="381"/>
        <w:spacing w:after="0" w:line="277" w:lineRule="auto"/>
        <w:tabs>
          <w:tab w:leader="none" w:pos="23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International Data Corporation, Inc., Worldwide Collaborative Applications Forecast, 2019-2023: Accelerating Enterprise Collaboration, June 2019</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International Data Corporation, Inc., Worldwide Project and Portfolio Management Forecast, 2019-2023, June 2019</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McKinsey Global Institute, The Social Economy: Unlocking Value and Productivity Through Social Technologies, July 2012</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Forrester Research, Inc., New Technologies Create The Need To Design For New Categories of Information Workers, September 2019</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Forrester Research, Inc., The Forrester Wave</w:t>
      </w:r>
      <w:r>
        <w:rPr>
          <w:rFonts w:ascii="Times New Roman" w:cs="Times New Roman" w:eastAsia="Times New Roman" w:hAnsi="Times New Roman"/>
          <w:sz w:val="10"/>
          <w:szCs w:val="10"/>
          <w:color w:val="auto"/>
        </w:rPr>
        <w:t>™</w:t>
      </w:r>
      <w:r>
        <w:rPr>
          <w:rFonts w:ascii="Times New Roman" w:cs="Times New Roman" w:eastAsia="Times New Roman" w:hAnsi="Times New Roman"/>
          <w:sz w:val="13"/>
          <w:szCs w:val="13"/>
          <w:color w:val="auto"/>
        </w:rPr>
        <w:t>: Collaborative Work Management Tools For The Enterprise, Q4 2018, October 2018</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Culture Amp Pty Ltd, FY20 Annual Engagement Survey (December) for Asana, December 2019</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publicly available reports</w:t>
      </w:r>
    </w:p>
    <w:p>
      <w:pPr>
        <w:spacing w:after="0" w:line="1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52</w:t>
      </w:r>
    </w:p>
    <w:p>
      <w:pPr>
        <w:sectPr>
          <w:pgSz w:w="11900" w:h="16838" w:orient="portrait"/>
          <w:cols w:equalWidth="0" w:num="1">
            <w:col w:w="10159"/>
          </w:cols>
          <w:pgMar w:left="300" w:top="367" w:right="1440" w:bottom="1440" w:gutter="0" w:footer="0" w:header="0"/>
        </w:sectPr>
      </w:pPr>
    </w:p>
    <w:bookmarkStart w:id="57" w:name="page58"/>
    <w:bookmarkEnd w:id="5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USE OF PROCEEDS</w:t>
      </w:r>
    </w:p>
    <w:p>
      <w:pPr>
        <w:spacing w:after="0" w:line="163" w:lineRule="exact"/>
        <w:rPr>
          <w:sz w:val="20"/>
          <w:szCs w:val="20"/>
          <w:color w:val="auto"/>
        </w:rPr>
      </w:pPr>
    </w:p>
    <w:p>
      <w:pPr>
        <w:ind w:left="1680" w:right="619" w:firstLine="316"/>
        <w:spacing w:after="0" w:line="263" w:lineRule="auto"/>
        <w:rPr>
          <w:sz w:val="20"/>
          <w:szCs w:val="20"/>
          <w:color w:val="auto"/>
        </w:rPr>
      </w:pPr>
      <w:r>
        <w:rPr>
          <w:rFonts w:ascii="Times New Roman" w:cs="Times New Roman" w:eastAsia="Times New Roman" w:hAnsi="Times New Roman"/>
          <w:sz w:val="13"/>
          <w:szCs w:val="13"/>
          <w:color w:val="auto"/>
        </w:rPr>
        <w:t>Registered Stockholders may, or may not, elect to sell shares of our Class A common stock covered by this prospectus. To the extent any Registered Stockholder chooses to sell shares of our Class A common stock covered by this prospectus, we will not receive any proceeds from any such sales of our Class A common stock. See the section titled “Principal and Registered Stockholders.”</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53</w:t>
      </w:r>
    </w:p>
    <w:p>
      <w:pPr>
        <w:sectPr>
          <w:pgSz w:w="11900" w:h="16838" w:orient="portrait"/>
          <w:cols w:equalWidth="0" w:num="1">
            <w:col w:w="10159"/>
          </w:cols>
          <w:pgMar w:left="300" w:top="367" w:right="1440" w:bottom="1440" w:gutter="0" w:footer="0" w:header="0"/>
        </w:sectPr>
      </w:pPr>
    </w:p>
    <w:bookmarkStart w:id="58" w:name="page59"/>
    <w:bookmarkEnd w:id="5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DIVIDEND POLICY</w:t>
      </w:r>
    </w:p>
    <w:p>
      <w:pPr>
        <w:spacing w:after="0" w:line="163" w:lineRule="exact"/>
        <w:rPr>
          <w:sz w:val="20"/>
          <w:szCs w:val="20"/>
          <w:color w:val="auto"/>
        </w:rPr>
      </w:pPr>
    </w:p>
    <w:p>
      <w:pPr>
        <w:ind w:left="1680" w:right="599" w:firstLine="316"/>
        <w:spacing w:after="0" w:line="254" w:lineRule="auto"/>
        <w:rPr>
          <w:sz w:val="20"/>
          <w:szCs w:val="20"/>
          <w:color w:val="auto"/>
        </w:rPr>
      </w:pPr>
      <w:r>
        <w:rPr>
          <w:rFonts w:ascii="Times New Roman" w:cs="Times New Roman" w:eastAsia="Times New Roman" w:hAnsi="Times New Roman"/>
          <w:sz w:val="13"/>
          <w:szCs w:val="13"/>
          <w:color w:val="auto"/>
        </w:rPr>
        <w:t>We have never declared or paid any cash dividends on our capital stock, and we do not currently intend to pay any cash dividends for the foreseeable future. We expect to retain future earnings, if any, to fund the development and growth of our business. Any future determination to pay dividends on our capital stock will be at the discretion of our board of directors and will depend upon, among other factors, our results of operations, financial condition, current and anticipated cash needs, plans for expansion, and other factors that our board of directors may deem relevant. In addition, the terms of our senior secured term loan facility place restrictions on our ability to declare or pay cash dividends, even if no amounts are currently outstanding.</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54</w:t>
      </w:r>
    </w:p>
    <w:p>
      <w:pPr>
        <w:sectPr>
          <w:pgSz w:w="11900" w:h="16838" w:orient="portrait"/>
          <w:cols w:equalWidth="0" w:num="1">
            <w:col w:w="10159"/>
          </w:cols>
          <w:pgMar w:left="300" w:top="367" w:right="1440" w:bottom="1440" w:gutter="0" w:footer="0" w:header="0"/>
        </w:sectPr>
      </w:pPr>
    </w:p>
    <w:bookmarkStart w:id="59" w:name="page60"/>
    <w:bookmarkEnd w:id="5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CAPITALIZATION</w:t>
      </w:r>
    </w:p>
    <w:p>
      <w:pPr>
        <w:spacing w:after="0" w:line="16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following table sets forth our cash, cash equivalents, and marketable securities, and our capitalization as of July 31, 2020 as follows:</w:t>
      </w:r>
    </w:p>
    <w:p>
      <w:pPr>
        <w:spacing w:after="0" w:line="93" w:lineRule="exact"/>
        <w:rPr>
          <w:sz w:val="20"/>
          <w:szCs w:val="20"/>
          <w:color w:val="auto"/>
        </w:rPr>
      </w:pPr>
    </w:p>
    <w:p>
      <w:pPr>
        <w:ind w:left="2380" w:hanging="381"/>
        <w:spacing w:after="0"/>
        <w:tabs>
          <w:tab w:leader="none" w:pos="23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an actual basis; and</w:t>
      </w:r>
    </w:p>
    <w:p>
      <w:pPr>
        <w:spacing w:after="0" w:line="92" w:lineRule="exact"/>
        <w:rPr>
          <w:rFonts w:ascii="Times New Roman" w:cs="Times New Roman" w:eastAsia="Times New Roman" w:hAnsi="Times New Roman"/>
          <w:sz w:val="13"/>
          <w:szCs w:val="13"/>
          <w:color w:val="auto"/>
        </w:rPr>
      </w:pPr>
    </w:p>
    <w:p>
      <w:pPr>
        <w:ind w:left="2380" w:right="1019" w:hanging="381"/>
        <w:spacing w:after="0" w:line="277" w:lineRule="auto"/>
        <w:tabs>
          <w:tab w:leader="none" w:pos="23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a pro forma basis, giving effect to the automatic conversion of all outstanding shares of our preferred stock into an aggregate of 73,577,455 shares of our Class B common stock, as if such conversion had occurred on July 31, 2020.</w:t>
      </w:r>
    </w:p>
    <w:p>
      <w:pPr>
        <w:spacing w:after="0" w:line="120" w:lineRule="exact"/>
        <w:rPr>
          <w:sz w:val="20"/>
          <w:szCs w:val="20"/>
          <w:color w:val="auto"/>
        </w:rPr>
      </w:pPr>
    </w:p>
    <w:p>
      <w:pPr>
        <w:ind w:left="1680" w:right="919" w:firstLine="316"/>
        <w:spacing w:after="0" w:line="263" w:lineRule="auto"/>
        <w:rPr>
          <w:sz w:val="20"/>
          <w:szCs w:val="20"/>
          <w:color w:val="auto"/>
        </w:rPr>
      </w:pPr>
      <w:r>
        <w:rPr>
          <w:rFonts w:ascii="Times New Roman" w:cs="Times New Roman" w:eastAsia="Times New Roman" w:hAnsi="Times New Roman"/>
          <w:sz w:val="13"/>
          <w:szCs w:val="13"/>
          <w:color w:val="auto"/>
        </w:rPr>
        <w:t>You should read this table together with our consolidated financial statements and the accompanying notes, and the sections titled “Selected Consolidated Financial Data” and “Management’s Discussion and Analysis of Financial Condition and Results of Operations” that are included elsewhere in this prospectus.</w:t>
      </w:r>
    </w:p>
    <w:p>
      <w:pPr>
        <w:spacing w:after="0" w:line="144"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6"/>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As of July 31, 2020</w:t>
            </w:r>
          </w:p>
        </w:tc>
      </w:tr>
      <w:tr>
        <w:trPr>
          <w:trHeight w:val="96"/>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640" w:type="dxa"/>
            <w:vAlign w:val="bottom"/>
            <w:tcBorders>
              <w:top w:val="single" w:sz="8" w:color="auto"/>
              <w:bottom w:val="single" w:sz="8" w:color="auto"/>
            </w:tcBorders>
            <w:gridSpan w:val="2"/>
          </w:tcPr>
          <w:p>
            <w:pPr>
              <w:jc w:val="right"/>
              <w:ind w:right="262"/>
              <w:spacing w:after="0" w:line="97" w:lineRule="exact"/>
              <w:rPr>
                <w:sz w:val="20"/>
                <w:szCs w:val="20"/>
                <w:color w:val="auto"/>
              </w:rPr>
            </w:pPr>
            <w:r>
              <w:rPr>
                <w:rFonts w:ascii="Times New Roman" w:cs="Times New Roman" w:eastAsia="Times New Roman" w:hAnsi="Times New Roman"/>
                <w:sz w:val="10"/>
                <w:szCs w:val="10"/>
                <w:b w:val="1"/>
                <w:bCs w:val="1"/>
                <w:color w:val="auto"/>
              </w:rPr>
              <w:t>Actual</w:t>
            </w:r>
          </w:p>
        </w:tc>
        <w:tc>
          <w:tcPr>
            <w:tcW w:w="14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gridSpan w:val="2"/>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Pro Forma</w:t>
            </w:r>
          </w:p>
        </w:tc>
        <w:tc>
          <w:tcPr>
            <w:tcW w:w="80" w:type="dxa"/>
            <w:vAlign w:val="bottom"/>
          </w:tcPr>
          <w:p>
            <w:pPr>
              <w:spacing w:after="0"/>
              <w:rPr>
                <w:sz w:val="8"/>
                <w:szCs w:val="8"/>
                <w:color w:val="auto"/>
              </w:rPr>
            </w:pPr>
          </w:p>
        </w:tc>
      </w:tr>
      <w:tr>
        <w:trPr>
          <w:trHeight w:val="79"/>
        </w:trPr>
        <w:tc>
          <w:tcPr>
            <w:tcW w:w="20" w:type="dxa"/>
            <w:vAlign w:val="bottom"/>
          </w:tcPr>
          <w:p>
            <w:pPr>
              <w:spacing w:after="0"/>
              <w:rPr>
                <w:sz w:val="6"/>
                <w:szCs w:val="6"/>
                <w:color w:val="auto"/>
              </w:rPr>
            </w:pPr>
          </w:p>
        </w:tc>
        <w:tc>
          <w:tcPr>
            <w:tcW w:w="6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gridSpan w:val="5"/>
          </w:tcPr>
          <w:p>
            <w:pPr>
              <w:jc w:val="center"/>
              <w:ind w:right="15"/>
              <w:spacing w:after="0" w:line="80" w:lineRule="exact"/>
              <w:rPr>
                <w:sz w:val="20"/>
                <w:szCs w:val="20"/>
                <w:color w:val="auto"/>
              </w:rPr>
            </w:pPr>
            <w:r>
              <w:rPr>
                <w:rFonts w:ascii="Times New Roman" w:cs="Times New Roman" w:eastAsia="Times New Roman" w:hAnsi="Times New Roman"/>
                <w:sz w:val="9"/>
                <w:szCs w:val="9"/>
                <w:b w:val="1"/>
                <w:bCs w:val="1"/>
                <w:color w:val="auto"/>
              </w:rPr>
              <w:t>(in thousands, except per</w:t>
            </w:r>
          </w:p>
        </w:tc>
        <w:tc>
          <w:tcPr>
            <w:tcW w:w="80" w:type="dxa"/>
            <w:vAlign w:val="bottom"/>
          </w:tcPr>
          <w:p>
            <w:pPr>
              <w:spacing w:after="0"/>
              <w:rPr>
                <w:sz w:val="6"/>
                <w:szCs w:val="6"/>
                <w:color w:val="auto"/>
              </w:rPr>
            </w:pPr>
          </w:p>
        </w:tc>
      </w:tr>
      <w:tr>
        <w:trPr>
          <w:trHeight w:val="123"/>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6"/>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share values)</w:t>
            </w:r>
          </w:p>
        </w:tc>
      </w:tr>
      <w:tr>
        <w:trPr>
          <w:trHeight w:val="164"/>
        </w:trPr>
        <w:tc>
          <w:tcPr>
            <w:tcW w:w="20" w:type="dxa"/>
            <w:vAlign w:val="bottom"/>
          </w:tcPr>
          <w:p>
            <w:pPr>
              <w:spacing w:after="0"/>
              <w:rPr>
                <w:sz w:val="14"/>
                <w:szCs w:val="14"/>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cash equivalents, and marketable securities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455,925</w:t>
            </w:r>
          </w:p>
        </w:tc>
        <w:tc>
          <w:tcPr>
            <w:tcW w:w="1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455,925</w:t>
            </w:r>
          </w:p>
        </w:tc>
        <w:tc>
          <w:tcPr>
            <w:tcW w:w="80" w:type="dxa"/>
            <w:vAlign w:val="bottom"/>
            <w:shd w:val="clear" w:color="auto" w:fill="CCEEFF"/>
          </w:tcPr>
          <w:p>
            <w:pPr>
              <w:spacing w:after="0"/>
              <w:rPr>
                <w:sz w:val="14"/>
                <w:szCs w:val="14"/>
                <w:color w:val="auto"/>
              </w:rPr>
            </w:pPr>
          </w:p>
        </w:tc>
      </w:tr>
      <w:tr>
        <w:trPr>
          <w:trHeight w:val="165"/>
        </w:trPr>
        <w:tc>
          <w:tcPr>
            <w:tcW w:w="6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Term loan, net</w:t>
            </w:r>
            <w:r>
              <w:rPr>
                <w:rFonts w:ascii="Times New Roman" w:cs="Times New Roman" w:eastAsia="Times New Roman" w:hAnsi="Times New Roman"/>
                <w:sz w:val="10"/>
                <w:szCs w:val="10"/>
                <w:color w:val="auto"/>
              </w:rPr>
              <w:t>(1)</w:t>
            </w:r>
          </w:p>
        </w:tc>
        <w:tc>
          <w:tcPr>
            <w:tcW w:w="26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2,920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2,920</w:t>
            </w:r>
          </w:p>
        </w:tc>
        <w:tc>
          <w:tcPr>
            <w:tcW w:w="8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Convertible notes, net due January and June 2025—related party</w:t>
            </w:r>
            <w:r>
              <w:rPr>
                <w:rFonts w:ascii="Times New Roman" w:cs="Times New Roman" w:eastAsia="Times New Roman" w:hAnsi="Times New Roman"/>
                <w:sz w:val="10"/>
                <w:szCs w:val="10"/>
                <w:color w:val="auto"/>
              </w:rPr>
              <w:t>(2)</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330,472</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330,472</w:t>
            </w:r>
          </w:p>
        </w:tc>
        <w:tc>
          <w:tcPr>
            <w:tcW w:w="80" w:type="dxa"/>
            <w:vAlign w:val="bottom"/>
            <w:shd w:val="clear" w:color="auto" w:fill="CCEEFF"/>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Redeemable convertible preferred stock, $0.00001 par value; 151,101 shares authorized, 73,577 shares issued and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61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outstanding, actual; no shares authorized, issued, and outstanding, pro forma</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250,581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5"/>
        </w:trPr>
        <w:tc>
          <w:tcPr>
            <w:tcW w:w="20" w:type="dxa"/>
            <w:vAlign w:val="bottom"/>
          </w:tcPr>
          <w:p>
            <w:pPr>
              <w:spacing w:after="0"/>
              <w:rPr>
                <w:sz w:val="13"/>
                <w:szCs w:val="13"/>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Stockholders’ (deficit) equity:</w:t>
            </w:r>
          </w:p>
        </w:tc>
        <w:tc>
          <w:tcPr>
            <w:tcW w:w="2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61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auto"/>
              </w:rPr>
              <w:t>Preferred stock, $0.00001 par value; no shares authorized, issued, and outstanding, actual; 15,000 shares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61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authorized and no shares issued and outstanding, pro forma</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42"/>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43"/>
        </w:trPr>
        <w:tc>
          <w:tcPr>
            <w:tcW w:w="20" w:type="dxa"/>
            <w:vAlign w:val="bottom"/>
          </w:tcPr>
          <w:p>
            <w:pPr>
              <w:spacing w:after="0"/>
              <w:rPr>
                <w:sz w:val="12"/>
                <w:szCs w:val="12"/>
                <w:color w:val="auto"/>
              </w:rPr>
            </w:pPr>
          </w:p>
        </w:tc>
        <w:tc>
          <w:tcPr>
            <w:tcW w:w="618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3"/>
                <w:szCs w:val="13"/>
                <w:color w:val="auto"/>
              </w:rPr>
              <w:t>Class A common stock, $0.00001 par value; 270,000 shares authorized, 16,864 shares issued and outstanding,</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6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actual; 1,000,000 shares authorized, 16,864 shares issued and outstanding, pro forma</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42"/>
        </w:trPr>
        <w:tc>
          <w:tcPr>
            <w:tcW w:w="20" w:type="dxa"/>
            <w:vAlign w:val="bottom"/>
          </w:tcPr>
          <w:p>
            <w:pPr>
              <w:spacing w:after="0"/>
              <w:rPr>
                <w:sz w:val="12"/>
                <w:szCs w:val="12"/>
                <w:color w:val="auto"/>
              </w:rPr>
            </w:pPr>
          </w:p>
        </w:tc>
        <w:tc>
          <w:tcPr>
            <w:tcW w:w="61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auto"/>
              </w:rPr>
              <w:t>Class B common stock, $0.00001 par value; 270,000 shares authorized, 60,875 shares issued and outstanding,</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61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actual; 500,000 shares authorized, 134,452 shares issued and outstanding, pro forma</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234,990</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485,570</w:t>
            </w: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02"/>
              <w:spacing w:after="0"/>
              <w:rPr>
                <w:sz w:val="20"/>
                <w:szCs w:val="20"/>
                <w:color w:val="auto"/>
              </w:rPr>
            </w:pPr>
            <w:r>
              <w:rPr>
                <w:rFonts w:ascii="Times New Roman" w:cs="Times New Roman" w:eastAsia="Times New Roman" w:hAnsi="Times New Roman"/>
                <w:sz w:val="13"/>
                <w:szCs w:val="13"/>
                <w:color w:val="auto"/>
              </w:rPr>
              <w:t>(48)</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(48)</w:t>
            </w:r>
          </w:p>
        </w:tc>
      </w:tr>
      <w:tr>
        <w:trPr>
          <w:trHeight w:val="155"/>
        </w:trPr>
        <w:tc>
          <w:tcPr>
            <w:tcW w:w="20" w:type="dxa"/>
            <w:vAlign w:val="bottom"/>
          </w:tcPr>
          <w:p>
            <w:pPr>
              <w:spacing w:after="0"/>
              <w:rPr>
                <w:sz w:val="13"/>
                <w:szCs w:val="13"/>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deficit</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3"/>
                <w:szCs w:val="13"/>
                <w:color w:val="auto"/>
                <w:w w:val="94"/>
              </w:rPr>
              <w:t>(406,647)</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4"/>
              </w:rPr>
              <w:t>(406,647)</w:t>
            </w:r>
          </w:p>
        </w:tc>
      </w:tr>
      <w:tr>
        <w:trPr>
          <w:trHeight w:val="154"/>
        </w:trPr>
        <w:tc>
          <w:tcPr>
            <w:tcW w:w="20" w:type="dxa"/>
            <w:vAlign w:val="bottom"/>
          </w:tcPr>
          <w:p>
            <w:pPr>
              <w:spacing w:after="0"/>
              <w:rPr>
                <w:sz w:val="13"/>
                <w:szCs w:val="13"/>
                <w:color w:val="auto"/>
              </w:rPr>
            </w:pPr>
          </w:p>
        </w:tc>
        <w:tc>
          <w:tcPr>
            <w:tcW w:w="61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stockholders’ (deficit) equity</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(171,704</w:t>
            </w:r>
          </w:p>
        </w:tc>
        <w:tc>
          <w:tcPr>
            <w:tcW w:w="180" w:type="dxa"/>
            <w:vAlign w:val="bottom"/>
          </w:tcPr>
          <w:p>
            <w:pPr>
              <w:jc w:val="right"/>
              <w:ind w:right="102"/>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78,877</w:t>
            </w:r>
          </w:p>
        </w:tc>
        <w:tc>
          <w:tcPr>
            <w:tcW w:w="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61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capitalization</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412,269</w:t>
            </w:r>
          </w:p>
        </w:tc>
        <w:tc>
          <w:tcPr>
            <w:tcW w:w="18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412,269</w:t>
            </w:r>
          </w:p>
        </w:tc>
        <w:tc>
          <w:tcPr>
            <w:tcW w:w="80" w:type="dxa"/>
            <w:vAlign w:val="bottom"/>
            <w:shd w:val="clear" w:color="auto" w:fill="CCEEFF"/>
          </w:tcPr>
          <w:p>
            <w:pPr>
              <w:spacing w:after="0"/>
              <w:rPr>
                <w:sz w:val="13"/>
                <w:szCs w:val="13"/>
                <w:color w:val="auto"/>
              </w:rPr>
            </w:pPr>
          </w:p>
        </w:tc>
      </w:tr>
      <w:tr>
        <w:trPr>
          <w:trHeight w:val="29"/>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67945</wp:posOffset>
            </wp:positionV>
            <wp:extent cx="548005"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48005" cy="6350"/>
                    </a:xfrm>
                    <a:prstGeom prst="rect">
                      <a:avLst/>
                    </a:prstGeom>
                    <a:noFill/>
                  </pic:spPr>
                </pic:pic>
              </a:graphicData>
            </a:graphic>
          </wp:anchor>
        </w:drawing>
      </w:r>
    </w:p>
    <w:p>
      <w:pPr>
        <w:spacing w:after="0" w:line="111" w:lineRule="exact"/>
        <w:rPr>
          <w:sz w:val="20"/>
          <w:szCs w:val="20"/>
          <w:color w:val="auto"/>
        </w:rPr>
      </w:pPr>
    </w:p>
    <w:p>
      <w:pPr>
        <w:ind w:left="2000" w:hanging="311"/>
        <w:spacing w:after="0"/>
        <w:tabs>
          <w:tab w:leader="none" w:pos="2000" w:val="left"/>
        </w:tabs>
        <w:numPr>
          <w:ilvl w:val="0"/>
          <w:numId w:val="2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current portion and is net of issuance costs. For additional information, see Note 6 to our consolidated financial statements included elsewhere in this prospectus.</w:t>
      </w:r>
    </w:p>
    <w:p>
      <w:pPr>
        <w:spacing w:after="0" w:line="1" w:lineRule="exact"/>
        <w:rPr>
          <w:rFonts w:ascii="Times New Roman" w:cs="Times New Roman" w:eastAsia="Times New Roman" w:hAnsi="Times New Roman"/>
          <w:sz w:val="10"/>
          <w:szCs w:val="10"/>
          <w:color w:val="auto"/>
        </w:rPr>
      </w:pPr>
    </w:p>
    <w:p>
      <w:pPr>
        <w:ind w:left="2000" w:right="579" w:hanging="311"/>
        <w:spacing w:after="0" w:line="238" w:lineRule="auto"/>
        <w:tabs>
          <w:tab w:leader="none" w:pos="2000" w:val="left"/>
        </w:tabs>
        <w:numPr>
          <w:ilvl w:val="0"/>
          <w:numId w:val="2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two 3.5% senior mandatory convertible promissory notes, net of debt discount, due in January and June 2025. For additional information, see “Description of Capital Stock —Senior Mandatory Convertible Promissory Notes.”</w:t>
      </w:r>
    </w:p>
    <w:p>
      <w:pPr>
        <w:spacing w:after="0" w:line="132" w:lineRule="exact"/>
        <w:rPr>
          <w:sz w:val="20"/>
          <w:szCs w:val="20"/>
          <w:color w:val="auto"/>
        </w:rPr>
      </w:pPr>
    </w:p>
    <w:p>
      <w:pPr>
        <w:ind w:left="1680" w:right="799" w:firstLine="316"/>
        <w:spacing w:after="0" w:line="263" w:lineRule="auto"/>
        <w:rPr>
          <w:sz w:val="20"/>
          <w:szCs w:val="20"/>
          <w:color w:val="auto"/>
        </w:rPr>
      </w:pPr>
      <w:r>
        <w:rPr>
          <w:rFonts w:ascii="Times New Roman" w:cs="Times New Roman" w:eastAsia="Times New Roman" w:hAnsi="Times New Roman"/>
          <w:sz w:val="13"/>
          <w:szCs w:val="13"/>
          <w:color w:val="auto"/>
        </w:rPr>
        <w:t>The pro forma column in the table above is based on 16,863,570 shares of Class A common stock and 134,452,092 shares of Class B common stock outstanding as of July 31, 2020 (assuming the conversion of the outstanding redeemable preferred stock into Class B common stock), and excludes:</w:t>
      </w:r>
    </w:p>
    <w:p>
      <w:pPr>
        <w:spacing w:after="0" w:line="61" w:lineRule="exact"/>
        <w:rPr>
          <w:sz w:val="20"/>
          <w:szCs w:val="20"/>
          <w:color w:val="auto"/>
        </w:rPr>
      </w:pPr>
    </w:p>
    <w:p>
      <w:pPr>
        <w:ind w:left="2380" w:right="559" w:hanging="381"/>
        <w:spacing w:after="0" w:line="277" w:lineRule="auto"/>
        <w:tabs>
          <w:tab w:leader="none" w:pos="238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32,271,025 shares of our Class A common stock issuable upon the exercise of options to purchase shares of our Class A common stock that were outstanding as of July 31, 2020, with a weighted-average exercise price of $2.62 per share;</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55</w:t>
      </w:r>
    </w:p>
    <w:p>
      <w:pPr>
        <w:sectPr>
          <w:pgSz w:w="11900" w:h="16838" w:orient="portrait"/>
          <w:cols w:equalWidth="0" w:num="1">
            <w:col w:w="10159"/>
          </w:cols>
          <w:pgMar w:left="300" w:top="367" w:right="1440" w:bottom="1440" w:gutter="0" w:footer="0" w:header="0"/>
        </w:sectPr>
      </w:pPr>
    </w:p>
    <w:bookmarkStart w:id="60" w:name="page61"/>
    <w:bookmarkEnd w:id="6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2380" w:right="719" w:hanging="381"/>
        <w:spacing w:after="0" w:line="277" w:lineRule="auto"/>
        <w:tabs>
          <w:tab w:leader="none" w:pos="23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753,314 shares of our Class B common stock issuable upon the exercise of options to purchase shares of our Class B common stock that were outstanding as of July 31, 2020, with a weighted-average exercise price of $0.17 per share;</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3,500,031 RSUs for shares of our Class A common stock outstanding as of July 31, 2020;</w:t>
      </w:r>
    </w:p>
    <w:p>
      <w:pPr>
        <w:spacing w:after="0" w:line="92" w:lineRule="exact"/>
        <w:rPr>
          <w:rFonts w:ascii="Times New Roman" w:cs="Times New Roman" w:eastAsia="Times New Roman" w:hAnsi="Times New Roman"/>
          <w:sz w:val="13"/>
          <w:szCs w:val="13"/>
          <w:color w:val="auto"/>
        </w:rPr>
      </w:pPr>
    </w:p>
    <w:p>
      <w:pPr>
        <w:ind w:left="2380" w:right="879" w:hanging="381"/>
        <w:spacing w:after="0" w:line="277" w:lineRule="auto"/>
        <w:tabs>
          <w:tab w:leader="none" w:pos="23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between 11,282,390 and 18,051,810 shares of our Class B common stock issuable upon the conversion of our 3.5% senior mandatory convertible promissory note due 2025 that was outstanding as of July 31, 2020;</w:t>
      </w:r>
    </w:p>
    <w:p>
      <w:pPr>
        <w:spacing w:after="0" w:line="52" w:lineRule="exact"/>
        <w:rPr>
          <w:rFonts w:ascii="Times New Roman" w:cs="Times New Roman" w:eastAsia="Times New Roman" w:hAnsi="Times New Roman"/>
          <w:sz w:val="13"/>
          <w:szCs w:val="13"/>
          <w:color w:val="auto"/>
        </w:rPr>
      </w:pPr>
    </w:p>
    <w:p>
      <w:pPr>
        <w:ind w:left="2380" w:right="999" w:hanging="381"/>
        <w:spacing w:after="0" w:line="277" w:lineRule="auto"/>
        <w:tabs>
          <w:tab w:leader="none" w:pos="23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between 5,730,432 and 9,168,694 shares of our Class B common stock issuable upon the conversion of our 3.5% senior mandatory convertible promissory note due 2025 that was outstanding as of July 31, 2020;</w:t>
      </w:r>
    </w:p>
    <w:p>
      <w:pPr>
        <w:spacing w:after="0" w:line="52" w:lineRule="exact"/>
        <w:rPr>
          <w:rFonts w:ascii="Times New Roman" w:cs="Times New Roman" w:eastAsia="Times New Roman" w:hAnsi="Times New Roman"/>
          <w:sz w:val="13"/>
          <w:szCs w:val="13"/>
          <w:color w:val="auto"/>
        </w:rPr>
      </w:pPr>
    </w:p>
    <w:p>
      <w:pPr>
        <w:ind w:left="2380" w:right="739" w:hanging="381"/>
        <w:spacing w:after="0" w:line="263" w:lineRule="auto"/>
        <w:tabs>
          <w:tab w:leader="none" w:pos="23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6,220,354 shares of our Class A common stock reserved for future issuance under our 2012 Stock Plan, as of July 31, 2020, all of which will become available for future issuance under our 2020 Equity Incentive Plan in connection with the effectiveness of the registration statement of which this prospectus forms a part; and</w:t>
      </w:r>
    </w:p>
    <w:p>
      <w:pPr>
        <w:spacing w:after="0" w:line="61" w:lineRule="exact"/>
        <w:rPr>
          <w:rFonts w:ascii="Times New Roman" w:cs="Times New Roman" w:eastAsia="Times New Roman" w:hAnsi="Times New Roman"/>
          <w:sz w:val="13"/>
          <w:szCs w:val="13"/>
          <w:color w:val="auto"/>
        </w:rPr>
      </w:pPr>
    </w:p>
    <w:p>
      <w:pPr>
        <w:ind w:left="2380" w:right="599" w:hanging="381"/>
        <w:spacing w:after="0" w:line="256" w:lineRule="auto"/>
        <w:tabs>
          <w:tab w:leader="none" w:pos="23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18,000,000 additional shares of our Class A common stock reserved for future issuance under our 2020 Equity Incentive Plan and 2,000,000 shares of common stock reserved for future issuance under our Employee Stock Purchase Plan, or ESPP, which plans will become effective in connection with the effectiveness of the registration statement of which this prospectus forms a part and will contain provisions that will automatically increase their share reserves each year, as more fully described in “Executive Compensation—Employee Benefit Plans.”</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56</w:t>
      </w:r>
    </w:p>
    <w:p>
      <w:pPr>
        <w:sectPr>
          <w:pgSz w:w="11900" w:h="16838" w:orient="portrait"/>
          <w:cols w:equalWidth="0" w:num="1">
            <w:col w:w="10159"/>
          </w:cols>
          <w:pgMar w:left="300" w:top="367" w:right="1440" w:bottom="1440" w:gutter="0" w:footer="0" w:header="0"/>
        </w:sectPr>
      </w:pPr>
    </w:p>
    <w:bookmarkStart w:id="61" w:name="page62"/>
    <w:bookmarkEnd w:id="6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3"/>
          <w:szCs w:val="13"/>
          <w:b w:val="1"/>
          <w:bCs w:val="1"/>
          <w:color w:val="auto"/>
        </w:rPr>
        <w:t>SELECTED CONSOLIDATED FINANCIAL DATA</w:t>
      </w:r>
    </w:p>
    <w:p>
      <w:pPr>
        <w:spacing w:after="0" w:line="161" w:lineRule="exact"/>
        <w:rPr>
          <w:sz w:val="20"/>
          <w:szCs w:val="20"/>
          <w:color w:val="auto"/>
        </w:rPr>
      </w:pPr>
    </w:p>
    <w:p>
      <w:pPr>
        <w:ind w:left="1680" w:right="579" w:firstLine="316"/>
        <w:spacing w:after="0" w:line="252" w:lineRule="auto"/>
        <w:rPr>
          <w:sz w:val="20"/>
          <w:szCs w:val="20"/>
          <w:color w:val="auto"/>
        </w:rPr>
      </w:pPr>
      <w:r>
        <w:rPr>
          <w:rFonts w:ascii="Times New Roman" w:cs="Times New Roman" w:eastAsia="Times New Roman" w:hAnsi="Times New Roman"/>
          <w:sz w:val="13"/>
          <w:szCs w:val="13"/>
          <w:i w:val="1"/>
          <w:iCs w:val="1"/>
          <w:color w:val="auto"/>
        </w:rPr>
        <w:t>The selected consolidated statements of operations data for the years ended January 31, 2019 and 2020 and consolidated balance sheet data as of January 31, 2019 and 2020 (except the pro forma share and net loss per share information) have been derived from our audited consolidated financial statements included elsewhere in this prospectus. The consolidated statements of operations data for the six months ended July 31, 2019 and 2020 and the consolidated balance sheet data as of July 31, 2020 are derived from our unaudited interim consolidated financial statements included elsewhere in this prospectus. Our unaudited interim consolidated financial statements were prepared on a basis consistent with our audited consolidated financial statements and include, in our opinion, all adjustments, consisting only of normal recurring adjustments that we consider necessary for the fair statement of the financial information set forth in those statements included elsewhere in this prospectus. Our historical results are not necessarily indicative of the results that may be expected in the future. You should read the following selected consolidated financial data below in conjunction with the section titled “Management’s Discussion and Analysis of Financial Condition and Results of Operations” and our consolidated financial statements included elsewhere in this prospectus.</w:t>
      </w:r>
    </w:p>
    <w:p>
      <w:pPr>
        <w:spacing w:after="0" w:line="145"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6"/>
          </w:tcPr>
          <w:p>
            <w:pPr>
              <w:jc w:val="right"/>
              <w:ind w:right="562"/>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6"/>
          </w:tcPr>
          <w:p>
            <w:pPr>
              <w:jc w:val="right"/>
              <w:ind w:right="302"/>
              <w:spacing w:after="0"/>
              <w:rPr>
                <w:sz w:val="20"/>
                <w:szCs w:val="20"/>
                <w:color w:val="auto"/>
              </w:rPr>
            </w:pPr>
            <w:r>
              <w:rPr>
                <w:rFonts w:ascii="Times New Roman" w:cs="Times New Roman" w:eastAsia="Times New Roman" w:hAnsi="Times New Roman"/>
                <w:sz w:val="10"/>
                <w:szCs w:val="10"/>
                <w:b w:val="1"/>
                <w:bCs w:val="1"/>
                <w:color w:val="auto"/>
              </w:rPr>
              <w:t>Six Months Ended</w:t>
            </w:r>
          </w:p>
        </w:tc>
      </w:tr>
      <w:tr>
        <w:trPr>
          <w:trHeight w:val="123"/>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6"/>
          </w:tcPr>
          <w:p>
            <w:pPr>
              <w:jc w:val="right"/>
              <w:ind w:right="562"/>
              <w:spacing w:after="0"/>
              <w:rPr>
                <w:sz w:val="20"/>
                <w:szCs w:val="20"/>
                <w:color w:val="auto"/>
              </w:rPr>
            </w:pPr>
            <w:r>
              <w:rPr>
                <w:rFonts w:ascii="Times New Roman" w:cs="Times New Roman" w:eastAsia="Times New Roman" w:hAnsi="Times New Roman"/>
                <w:sz w:val="10"/>
                <w:szCs w:val="10"/>
                <w:b w:val="1"/>
                <w:bCs w:val="1"/>
                <w:color w:val="auto"/>
              </w:rPr>
              <w:t>January 31,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4"/>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July 31,</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96"/>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97"/>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60" w:type="dxa"/>
            <w:vAlign w:val="bottom"/>
            <w:tcBorders>
              <w:top w:val="single" w:sz="8" w:color="auto"/>
              <w:bottom w:val="single" w:sz="8" w:color="auto"/>
            </w:tcBorders>
          </w:tcPr>
          <w:p>
            <w:pPr>
              <w:spacing w:after="0"/>
              <w:rPr>
                <w:sz w:val="8"/>
                <w:szCs w:val="8"/>
                <w:color w:val="auto"/>
              </w:rPr>
            </w:pPr>
          </w:p>
        </w:tc>
        <w:tc>
          <w:tcPr>
            <w:tcW w:w="24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96"/>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117"/>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260" w:type="dxa"/>
            <w:vAlign w:val="bottom"/>
            <w:tcBorders>
              <w:top w:val="single" w:sz="8" w:color="auto"/>
              <w:bottom w:val="single" w:sz="8" w:color="auto"/>
            </w:tcBorders>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96"/>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80" w:type="dxa"/>
            <w:vAlign w:val="bottom"/>
            <w:gridSpan w:val="8"/>
          </w:tcPr>
          <w:p>
            <w:pPr>
              <w:jc w:val="right"/>
              <w:ind w:right="22"/>
              <w:spacing w:after="0" w:line="97" w:lineRule="exact"/>
              <w:rPr>
                <w:sz w:val="20"/>
                <w:szCs w:val="20"/>
                <w:color w:val="auto"/>
              </w:rPr>
            </w:pPr>
            <w:r>
              <w:rPr>
                <w:rFonts w:ascii="Times New Roman" w:cs="Times New Roman" w:eastAsia="Times New Roman" w:hAnsi="Times New Roman"/>
                <w:sz w:val="10"/>
                <w:szCs w:val="10"/>
                <w:b w:val="1"/>
                <w:bCs w:val="1"/>
                <w:color w:val="auto"/>
              </w:rPr>
              <w:t>(in thousands, except per share amounts)</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55"/>
        </w:trPr>
        <w:tc>
          <w:tcPr>
            <w:tcW w:w="20" w:type="dxa"/>
            <w:vAlign w:val="bottom"/>
          </w:tcPr>
          <w:p>
            <w:pPr>
              <w:spacing w:after="0"/>
              <w:rPr>
                <w:sz w:val="13"/>
                <w:szCs w:val="13"/>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 Data:</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3"/>
                <w:szCs w:val="13"/>
                <w:color w:val="auto"/>
              </w:rPr>
              <w:t>Revenues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76,770</w:t>
            </w:r>
          </w:p>
        </w:tc>
        <w:tc>
          <w:tcPr>
            <w:tcW w:w="60" w:type="dxa"/>
            <w:vAlign w:val="bottom"/>
          </w:tcPr>
          <w:p>
            <w:pPr>
              <w:spacing w:after="0"/>
              <w:rPr>
                <w:sz w:val="13"/>
                <w:szCs w:val="13"/>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142,606</w:t>
            </w:r>
          </w:p>
        </w:tc>
        <w:tc>
          <w:tcPr>
            <w:tcW w:w="18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61,057</w:t>
            </w:r>
          </w:p>
        </w:tc>
        <w:tc>
          <w:tcPr>
            <w:tcW w:w="26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99,730</w:t>
            </w: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revenues</w:t>
            </w:r>
            <w:r>
              <w:rPr>
                <w:rFonts w:ascii="Times New Roman" w:cs="Times New Roman" w:eastAsia="Times New Roman" w:hAnsi="Times New Roman"/>
                <w:sz w:val="10"/>
                <w:szCs w:val="10"/>
                <w:color w:val="auto"/>
              </w:rPr>
              <w:t>(1)</w:t>
            </w:r>
          </w:p>
        </w:tc>
        <w:tc>
          <w:tcPr>
            <w:tcW w:w="4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13,832</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19,881</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8,751</w:t>
            </w: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13,227</w:t>
            </w:r>
          </w:p>
        </w:tc>
        <w:tc>
          <w:tcPr>
            <w:tcW w:w="80" w:type="dxa"/>
            <w:vAlign w:val="bottom"/>
            <w:shd w:val="clear" w:color="auto" w:fill="CCEEFF"/>
          </w:tcPr>
          <w:p>
            <w:pPr>
              <w:spacing w:after="0"/>
              <w:rPr>
                <w:sz w:val="13"/>
                <w:szCs w:val="13"/>
                <w:color w:val="auto"/>
              </w:rPr>
            </w:pPr>
          </w:p>
        </w:tc>
      </w:tr>
      <w:tr>
        <w:trPr>
          <w:trHeight w:val="154"/>
        </w:trPr>
        <w:tc>
          <w:tcPr>
            <w:tcW w:w="4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62,938</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122,725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52,306</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86,503</w:t>
            </w:r>
          </w:p>
        </w:tc>
        <w:tc>
          <w:tcPr>
            <w:tcW w:w="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Research and development</w:t>
            </w:r>
            <w:r>
              <w:rPr>
                <w:rFonts w:ascii="Times New Roman" w:cs="Times New Roman" w:eastAsia="Times New Roman" w:hAnsi="Times New Roman"/>
                <w:sz w:val="10"/>
                <w:szCs w:val="10"/>
                <w:color w:val="auto"/>
              </w:rPr>
              <w:t>(1)</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42,585</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89,675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29,876</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48,342</w:t>
            </w: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Sales and marketing</w:t>
            </w:r>
            <w:r>
              <w:rPr>
                <w:rFonts w:ascii="Times New Roman" w:cs="Times New Roman" w:eastAsia="Times New Roman" w:hAnsi="Times New Roman"/>
                <w:sz w:val="10"/>
                <w:szCs w:val="10"/>
                <w:color w:val="auto"/>
              </w:rPr>
              <w:t>(1)</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52,106</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105,836</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39,025</w:t>
            </w: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74,913</w:t>
            </w: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General and administrative</w:t>
            </w:r>
            <w:r>
              <w:rPr>
                <w:rFonts w:ascii="Times New Roman" w:cs="Times New Roman" w:eastAsia="Times New Roman" w:hAnsi="Times New Roman"/>
                <w:sz w:val="10"/>
                <w:szCs w:val="10"/>
                <w:color w:val="auto"/>
              </w:rPr>
              <w:t>(1)</w:t>
            </w: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20,260</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46,845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14,649</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25,917</w:t>
            </w:r>
          </w:p>
        </w:tc>
        <w:tc>
          <w:tcPr>
            <w:tcW w:w="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operating expenses</w:t>
            </w:r>
          </w:p>
        </w:tc>
        <w:tc>
          <w:tcPr>
            <w:tcW w:w="4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114,951</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242,356</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83,550</w:t>
            </w: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149,172</w:t>
            </w:r>
          </w:p>
        </w:tc>
        <w:tc>
          <w:tcPr>
            <w:tcW w:w="80" w:type="dxa"/>
            <w:vAlign w:val="bottom"/>
            <w:shd w:val="clear" w:color="auto" w:fill="CCEEFF"/>
          </w:tcPr>
          <w:p>
            <w:pPr>
              <w:spacing w:after="0"/>
              <w:rPr>
                <w:sz w:val="13"/>
                <w:szCs w:val="13"/>
                <w:color w:val="auto"/>
              </w:rPr>
            </w:pPr>
          </w:p>
        </w:tc>
      </w:tr>
      <w:tr>
        <w:trPr>
          <w:trHeight w:val="154"/>
        </w:trPr>
        <w:tc>
          <w:tcPr>
            <w:tcW w:w="4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Loss from operations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(52,013)</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86"/>
              </w:rPr>
              <w:t>(119,631)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(31,244)</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(62,669)</w:t>
            </w: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1,290</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1,755</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1,051</w:t>
            </w: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803</w:t>
            </w: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22"/>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02"/>
              <w:spacing w:after="0"/>
              <w:rPr>
                <w:sz w:val="20"/>
                <w:szCs w:val="20"/>
                <w:color w:val="auto"/>
              </w:rPr>
            </w:pPr>
            <w:r>
              <w:rPr>
                <w:rFonts w:ascii="Times New Roman" w:cs="Times New Roman" w:eastAsia="Times New Roman" w:hAnsi="Times New Roman"/>
                <w:sz w:val="13"/>
                <w:szCs w:val="13"/>
                <w:color w:val="auto"/>
              </w:rPr>
              <w:t>(78)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242"/>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(15,355)</w:t>
            </w:r>
          </w:p>
        </w:tc>
      </w:tr>
      <w:tr>
        <w:trPr>
          <w:trHeight w:val="155"/>
        </w:trPr>
        <w:tc>
          <w:tcPr>
            <w:tcW w:w="20" w:type="dxa"/>
            <w:vAlign w:val="bottom"/>
          </w:tcPr>
          <w:p>
            <w:pPr>
              <w:spacing w:after="0"/>
              <w:rPr>
                <w:sz w:val="13"/>
                <w:szCs w:val="13"/>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income (expense), net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3"/>
                <w:szCs w:val="13"/>
                <w:color w:val="auto"/>
              </w:rPr>
              <w:t>(390)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3"/>
                <w:szCs w:val="13"/>
                <w:color w:val="auto"/>
              </w:rPr>
              <w:t>(226)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w:t>
            </w:r>
          </w:p>
        </w:tc>
        <w:tc>
          <w:tcPr>
            <w:tcW w:w="80" w:type="dxa"/>
            <w:vAlign w:val="bottom"/>
            <w:shd w:val="clear" w:color="auto" w:fill="CCEEFF"/>
          </w:tcPr>
          <w:p>
            <w:pPr>
              <w:spacing w:after="0"/>
              <w:rPr>
                <w:sz w:val="13"/>
                <w:szCs w:val="13"/>
                <w:color w:val="auto"/>
              </w:rPr>
            </w:pPr>
          </w:p>
        </w:tc>
      </w:tr>
      <w:tr>
        <w:trPr>
          <w:trHeight w:val="154"/>
        </w:trPr>
        <w:tc>
          <w:tcPr>
            <w:tcW w:w="4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Loss before provision for income taxes</w:t>
            </w: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(50,900)</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6"/>
              </w:rPr>
              <w:t>(118,344)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(30,419)</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(76,625)</w:t>
            </w: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4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80" w:type="dxa"/>
            <w:vAlign w:val="bottom"/>
            <w:shd w:val="clear" w:color="auto" w:fill="CCEEFF"/>
          </w:tcPr>
          <w:p>
            <w:pPr>
              <w:spacing w:after="0"/>
              <w:rPr>
                <w:sz w:val="13"/>
                <w:szCs w:val="13"/>
                <w:color w:val="auto"/>
              </w:rPr>
            </w:pPr>
          </w:p>
        </w:tc>
      </w:tr>
      <w:tr>
        <w:trPr>
          <w:trHeight w:val="164"/>
        </w:trPr>
        <w:tc>
          <w:tcPr>
            <w:tcW w:w="4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loss</w:t>
            </w:r>
          </w:p>
        </w:tc>
        <w:tc>
          <w:tcPr>
            <w:tcW w:w="4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(50,928</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(118,589</w:t>
            </w:r>
          </w:p>
        </w:tc>
        <w:tc>
          <w:tcPr>
            <w:tcW w:w="180" w:type="dxa"/>
            <w:vAlign w:val="bottom"/>
          </w:tcPr>
          <w:p>
            <w:pPr>
              <w:jc w:val="right"/>
              <w:ind w:right="102"/>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(30,541</w:t>
            </w:r>
          </w:p>
        </w:tc>
        <w:tc>
          <w:tcPr>
            <w:tcW w:w="260" w:type="dxa"/>
            <w:vAlign w:val="bottom"/>
          </w:tcPr>
          <w:p>
            <w:pPr>
              <w:jc w:val="right"/>
              <w:ind w:right="182"/>
              <w:spacing w:after="0"/>
              <w:rPr>
                <w:sz w:val="20"/>
                <w:szCs w:val="20"/>
                <w:color w:val="auto"/>
              </w:rPr>
            </w:pPr>
            <w:r>
              <w:rPr>
                <w:rFonts w:ascii="Times New Roman" w:cs="Times New Roman" w:eastAsia="Times New Roman" w:hAnsi="Times New Roman"/>
                <w:sz w:val="8"/>
                <w:szCs w:val="8"/>
                <w:color w:val="auto"/>
                <w:w w:val="73"/>
              </w:rPr>
              <w:t>)</w:t>
            </w:r>
          </w:p>
        </w:tc>
        <w:tc>
          <w:tcPr>
            <w:tcW w:w="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(76,911</w:t>
            </w:r>
          </w:p>
        </w:tc>
        <w:tc>
          <w:tcPr>
            <w:tcW w:w="80" w:type="dxa"/>
            <w:vAlign w:val="bottom"/>
          </w:tcPr>
          <w:p>
            <w:pPr>
              <w:jc w:val="right"/>
              <w:ind w:right="2"/>
              <w:spacing w:after="0"/>
              <w:rPr>
                <w:sz w:val="20"/>
                <w:szCs w:val="20"/>
                <w:color w:val="auto"/>
              </w:rPr>
            </w:pPr>
            <w:r>
              <w:rPr>
                <w:rFonts w:ascii="Times New Roman" w:cs="Times New Roman" w:eastAsia="Times New Roman" w:hAnsi="Times New Roman"/>
                <w:sz w:val="8"/>
                <w:szCs w:val="8"/>
                <w:color w:val="auto"/>
                <w:w w:val="73"/>
              </w:rPr>
              <w:t>)</w:t>
            </w:r>
          </w:p>
        </w:tc>
      </w:tr>
      <w:tr>
        <w:trPr>
          <w:trHeight w:val="165"/>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 per share</w:t>
            </w:r>
            <w:r>
              <w:rPr>
                <w:rFonts w:ascii="Times New Roman" w:cs="Times New Roman" w:eastAsia="Times New Roman" w:hAnsi="Times New Roman"/>
                <w:sz w:val="10"/>
                <w:szCs w:val="10"/>
                <w:color w:val="auto"/>
              </w:rPr>
              <w:t>(2)</w:t>
            </w: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Basic and diluted</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(0.78)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02"/>
              <w:spacing w:after="0"/>
              <w:rPr>
                <w:sz w:val="20"/>
                <w:szCs w:val="20"/>
                <w:color w:val="auto"/>
              </w:rPr>
            </w:pPr>
            <w:r>
              <w:rPr>
                <w:rFonts w:ascii="Times New Roman" w:cs="Times New Roman" w:eastAsia="Times New Roman" w:hAnsi="Times New Roman"/>
                <w:sz w:val="13"/>
                <w:szCs w:val="13"/>
                <w:color w:val="auto"/>
              </w:rPr>
              <w:t>(1.69)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(0.45)</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(1.01)</w:t>
            </w:r>
          </w:p>
        </w:tc>
      </w:tr>
      <w:tr>
        <w:trPr>
          <w:trHeight w:val="165"/>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Weighted-average shares used in calculating net loss per share</w:t>
            </w:r>
            <w:r>
              <w:rPr>
                <w:rFonts w:ascii="Times New Roman" w:cs="Times New Roman" w:eastAsia="Times New Roman" w:hAnsi="Times New Roman"/>
                <w:sz w:val="10"/>
                <w:szCs w:val="10"/>
                <w:color w:val="auto"/>
              </w:rPr>
              <w:t>(2)</w:t>
            </w: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Basic and diluted</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65,214</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70,335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68,197</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76,015</w:t>
            </w:r>
          </w:p>
        </w:tc>
        <w:tc>
          <w:tcPr>
            <w:tcW w:w="8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 forma net loss per share</w:t>
            </w:r>
            <w:r>
              <w:rPr>
                <w:rFonts w:ascii="Times New Roman" w:cs="Times New Roman" w:eastAsia="Times New Roman" w:hAnsi="Times New Roman"/>
                <w:sz w:val="10"/>
                <w:szCs w:val="10"/>
                <w:color w:val="auto"/>
              </w:rPr>
              <w:t>(2)</w:t>
            </w: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Basic and diluted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02"/>
              <w:spacing w:after="0"/>
              <w:rPr>
                <w:sz w:val="20"/>
                <w:szCs w:val="20"/>
                <w:color w:val="auto"/>
              </w:rPr>
            </w:pPr>
            <w:r>
              <w:rPr>
                <w:rFonts w:ascii="Times New Roman" w:cs="Times New Roman" w:eastAsia="Times New Roman" w:hAnsi="Times New Roman"/>
                <w:sz w:val="13"/>
                <w:szCs w:val="13"/>
                <w:color w:val="auto"/>
              </w:rPr>
              <w:t>(0.82)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(0.51)</w:t>
            </w:r>
          </w:p>
        </w:tc>
      </w:tr>
      <w:tr>
        <w:trPr>
          <w:trHeight w:val="165"/>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Weighted-average shares used in calculating pro forma net loss per share</w:t>
            </w:r>
            <w:r>
              <w:rPr>
                <w:rFonts w:ascii="Times New Roman" w:cs="Times New Roman" w:eastAsia="Times New Roman" w:hAnsi="Times New Roman"/>
                <w:sz w:val="10"/>
                <w:szCs w:val="10"/>
                <w:color w:val="auto"/>
              </w:rPr>
              <w:t>(2)</w:t>
            </w: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Basic and diluted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143,887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149,592</w:t>
            </w:r>
          </w:p>
        </w:tc>
        <w:tc>
          <w:tcPr>
            <w:tcW w:w="80" w:type="dxa"/>
            <w:vAlign w:val="bottom"/>
          </w:tcPr>
          <w:p>
            <w:pPr>
              <w:spacing w:after="0"/>
              <w:rPr>
                <w:sz w:val="14"/>
                <w:szCs w:val="14"/>
                <w:color w:val="auto"/>
              </w:rPr>
            </w:pPr>
          </w:p>
        </w:tc>
      </w:tr>
      <w:tr>
        <w:trPr>
          <w:trHeight w:val="271"/>
        </w:trPr>
        <w:tc>
          <w:tcPr>
            <w:tcW w:w="4420" w:type="dxa"/>
            <w:vAlign w:val="bottom"/>
            <w:gridSpan w:val="2"/>
          </w:tcPr>
          <w:p>
            <w:pPr>
              <w:ind w:left="3900"/>
              <w:spacing w:after="0"/>
              <w:rPr>
                <w:sz w:val="20"/>
                <w:szCs w:val="20"/>
                <w:color w:val="auto"/>
              </w:rPr>
            </w:pPr>
            <w:r>
              <w:rPr>
                <w:rFonts w:ascii="Times New Roman" w:cs="Times New Roman" w:eastAsia="Times New Roman" w:hAnsi="Times New Roman"/>
                <w:sz w:val="13"/>
                <w:szCs w:val="13"/>
                <w:color w:val="auto"/>
              </w:rPr>
              <w:t>57</w:t>
            </w: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r>
    </w:tbl>
    <w:p>
      <w:pPr>
        <w:sectPr>
          <w:pgSz w:w="11900" w:h="16838" w:orient="portrait"/>
          <w:cols w:equalWidth="0" w:num="1">
            <w:col w:w="10159"/>
          </w:cols>
          <w:pgMar w:left="300" w:top="367" w:right="1440" w:bottom="1440" w:gutter="0" w:footer="0" w:header="0"/>
        </w:sectPr>
      </w:pPr>
    </w:p>
    <w:bookmarkStart w:id="62" w:name="page63"/>
    <w:bookmarkEnd w:id="6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209550</wp:posOffset>
            </wp:positionV>
            <wp:extent cx="548005"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48005" cy="6350"/>
                    </a:xfrm>
                    <a:prstGeom prst="rect">
                      <a:avLst/>
                    </a:prstGeom>
                    <a:noFill/>
                  </pic:spPr>
                </pic:pic>
              </a:graphicData>
            </a:graphic>
          </wp:anchor>
        </w:drawing>
      </w:r>
    </w:p>
    <w:p>
      <w:pPr>
        <w:spacing w:after="0" w:line="334" w:lineRule="exact"/>
        <w:rPr>
          <w:sz w:val="20"/>
          <w:szCs w:val="20"/>
          <w:color w:val="auto"/>
        </w:rPr>
      </w:pPr>
    </w:p>
    <w:p>
      <w:pPr>
        <w:ind w:left="2000" w:hanging="311"/>
        <w:spacing w:after="0"/>
        <w:tabs>
          <w:tab w:leader="none" w:pos="2000" w:val="left"/>
        </w:tabs>
        <w:numPr>
          <w:ilvl w:val="0"/>
          <w:numId w:val="3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Amounts include stock-based compensation expense as follows:</w:t>
      </w:r>
    </w:p>
    <w:p>
      <w:pPr>
        <w:spacing w:after="0" w:line="159" w:lineRule="exact"/>
        <w:rPr>
          <w:sz w:val="20"/>
          <w:szCs w:val="20"/>
          <w:color w:val="auto"/>
        </w:rPr>
      </w:pPr>
    </w:p>
    <w:tbl>
      <w:tblPr>
        <w:tblLayout w:type="fixed"/>
        <w:tblInd w:w="168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9"/>
                <w:szCs w:val="9"/>
                <w:b w:val="1"/>
                <w:bCs w:val="1"/>
                <w:color w:val="auto"/>
              </w:rPr>
              <w:t>Year Ended</w:t>
            </w: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5"/>
          </w:tcPr>
          <w:p>
            <w:pPr>
              <w:ind w:left="160"/>
              <w:spacing w:after="0"/>
              <w:rPr>
                <w:sz w:val="20"/>
                <w:szCs w:val="20"/>
                <w:color w:val="auto"/>
              </w:rPr>
            </w:pPr>
            <w:r>
              <w:rPr>
                <w:rFonts w:ascii="Times New Roman" w:cs="Times New Roman" w:eastAsia="Times New Roman" w:hAnsi="Times New Roman"/>
                <w:sz w:val="9"/>
                <w:szCs w:val="9"/>
                <w:b w:val="1"/>
                <w:bCs w:val="1"/>
                <w:color w:val="auto"/>
              </w:rPr>
              <w:t>Six Months Ended</w:t>
            </w:r>
          </w:p>
        </w:tc>
      </w:tr>
      <w:tr>
        <w:trPr>
          <w:trHeight w:val="112"/>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9"/>
                <w:szCs w:val="9"/>
                <w:b w:val="1"/>
                <w:bCs w:val="1"/>
                <w:color w:val="auto"/>
              </w:rPr>
              <w:t>January 31,</w:t>
            </w:r>
          </w:p>
        </w:tc>
        <w:tc>
          <w:tcPr>
            <w:tcW w:w="3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July 31,</w:t>
            </w:r>
          </w:p>
        </w:tc>
        <w:tc>
          <w:tcPr>
            <w:tcW w:w="4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87"/>
        </w:trPr>
        <w:tc>
          <w:tcPr>
            <w:tcW w:w="20" w:type="dxa"/>
            <w:vAlign w:val="bottom"/>
          </w:tcPr>
          <w:p>
            <w:pPr>
              <w:spacing w:after="0"/>
              <w:rPr>
                <w:sz w:val="7"/>
                <w:szCs w:val="7"/>
                <w:color w:val="auto"/>
              </w:rPr>
            </w:pPr>
          </w:p>
        </w:tc>
        <w:tc>
          <w:tcPr>
            <w:tcW w:w="35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jc w:val="right"/>
              <w:ind w:right="111"/>
              <w:spacing w:after="0" w:line="87" w:lineRule="exact"/>
              <w:rPr>
                <w:sz w:val="20"/>
                <w:szCs w:val="20"/>
                <w:color w:val="auto"/>
              </w:rPr>
            </w:pPr>
            <w:r>
              <w:rPr>
                <w:rFonts w:ascii="Times New Roman" w:cs="Times New Roman" w:eastAsia="Times New Roman" w:hAnsi="Times New Roman"/>
                <w:sz w:val="9"/>
                <w:szCs w:val="9"/>
                <w:b w:val="1"/>
                <w:bCs w:val="1"/>
                <w:color w:val="auto"/>
              </w:rPr>
              <w:t>2019</w:t>
            </w:r>
          </w:p>
        </w:tc>
        <w:tc>
          <w:tcPr>
            <w:tcW w:w="1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jc w:val="right"/>
              <w:ind w:right="130"/>
              <w:spacing w:after="0" w:line="87" w:lineRule="exact"/>
              <w:rPr>
                <w:sz w:val="20"/>
                <w:szCs w:val="20"/>
                <w:color w:val="auto"/>
              </w:rPr>
            </w:pPr>
            <w:r>
              <w:rPr>
                <w:rFonts w:ascii="Times New Roman" w:cs="Times New Roman" w:eastAsia="Times New Roman" w:hAnsi="Times New Roman"/>
                <w:sz w:val="9"/>
                <w:szCs w:val="9"/>
                <w:b w:val="1"/>
                <w:bCs w:val="1"/>
                <w:color w:val="auto"/>
                <w:w w:val="99"/>
              </w:rPr>
              <w:t>2020</w:t>
            </w: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ind w:right="131"/>
              <w:spacing w:after="0" w:line="87" w:lineRule="exact"/>
              <w:rPr>
                <w:sz w:val="20"/>
                <w:szCs w:val="20"/>
                <w:color w:val="auto"/>
              </w:rPr>
            </w:pPr>
            <w:r>
              <w:rPr>
                <w:rFonts w:ascii="Times New Roman" w:cs="Times New Roman" w:eastAsia="Times New Roman" w:hAnsi="Times New Roman"/>
                <w:sz w:val="9"/>
                <w:szCs w:val="9"/>
                <w:b w:val="1"/>
                <w:bCs w:val="1"/>
                <w:color w:val="auto"/>
              </w:rPr>
              <w:t>2019</w:t>
            </w:r>
          </w:p>
        </w:tc>
        <w:tc>
          <w:tcPr>
            <w:tcW w:w="1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ind w:right="129"/>
              <w:spacing w:after="0" w:line="87" w:lineRule="exact"/>
              <w:rPr>
                <w:sz w:val="20"/>
                <w:szCs w:val="20"/>
                <w:color w:val="auto"/>
              </w:rPr>
            </w:pPr>
            <w:r>
              <w:rPr>
                <w:rFonts w:ascii="Times New Roman" w:cs="Times New Roman" w:eastAsia="Times New Roman" w:hAnsi="Times New Roman"/>
                <w:sz w:val="9"/>
                <w:szCs w:val="9"/>
                <w:b w:val="1"/>
                <w:bCs w:val="1"/>
                <w:color w:val="auto"/>
              </w:rPr>
              <w:t>2020</w:t>
            </w:r>
          </w:p>
        </w:tc>
        <w:tc>
          <w:tcPr>
            <w:tcW w:w="40" w:type="dxa"/>
            <w:vAlign w:val="bottom"/>
          </w:tcPr>
          <w:p>
            <w:pPr>
              <w:spacing w:after="0"/>
              <w:rPr>
                <w:sz w:val="7"/>
                <w:szCs w:val="7"/>
                <w:color w:val="auto"/>
              </w:rPr>
            </w:pPr>
          </w:p>
        </w:tc>
      </w:tr>
      <w:tr>
        <w:trPr>
          <w:trHeight w:val="87"/>
        </w:trPr>
        <w:tc>
          <w:tcPr>
            <w:tcW w:w="20" w:type="dxa"/>
            <w:vAlign w:val="bottom"/>
          </w:tcPr>
          <w:p>
            <w:pPr>
              <w:spacing w:after="0"/>
              <w:rPr>
                <w:sz w:val="7"/>
                <w:szCs w:val="7"/>
                <w:color w:val="auto"/>
              </w:rPr>
            </w:pPr>
          </w:p>
        </w:tc>
        <w:tc>
          <w:tcPr>
            <w:tcW w:w="35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4"/>
          </w:tcPr>
          <w:p>
            <w:pPr>
              <w:jc w:val="right"/>
              <w:ind w:right="291"/>
              <w:spacing w:after="0" w:line="87" w:lineRule="exact"/>
              <w:rPr>
                <w:sz w:val="20"/>
                <w:szCs w:val="20"/>
                <w:color w:val="auto"/>
              </w:rPr>
            </w:pPr>
            <w:r>
              <w:rPr>
                <w:rFonts w:ascii="Times New Roman" w:cs="Times New Roman" w:eastAsia="Times New Roman" w:hAnsi="Times New Roman"/>
                <w:sz w:val="9"/>
                <w:szCs w:val="9"/>
                <w:b w:val="1"/>
                <w:bCs w:val="1"/>
                <w:color w:val="auto"/>
              </w:rPr>
              <w:t>(in thousands)</w:t>
            </w: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07"/>
        </w:trPr>
        <w:tc>
          <w:tcPr>
            <w:tcW w:w="20" w:type="dxa"/>
            <w:vAlign w:val="bottom"/>
          </w:tcPr>
          <w:p>
            <w:pPr>
              <w:spacing w:after="0"/>
              <w:rPr>
                <w:sz w:val="9"/>
                <w:szCs w:val="9"/>
                <w:color w:val="auto"/>
              </w:rPr>
            </w:pPr>
          </w:p>
        </w:tc>
        <w:tc>
          <w:tcPr>
            <w:tcW w:w="354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0"/>
                <w:szCs w:val="10"/>
                <w:color w:val="auto"/>
              </w:rPr>
              <w:t>Cost of revenues</w:t>
            </w:r>
          </w:p>
        </w:tc>
        <w:tc>
          <w:tcPr>
            <w:tcW w:w="1780" w:type="dxa"/>
            <w:vAlign w:val="bottom"/>
            <w:gridSpan w:val="2"/>
            <w:shd w:val="clear" w:color="auto" w:fill="CCEEFF"/>
          </w:tcPr>
          <w:p>
            <w:pPr>
              <w:jc w:val="right"/>
              <w:ind w:right="8"/>
              <w:spacing w:after="0" w:line="107"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37</w:t>
            </w:r>
          </w:p>
        </w:tc>
        <w:tc>
          <w:tcPr>
            <w:tcW w:w="340" w:type="dxa"/>
            <w:vAlign w:val="bottom"/>
            <w:gridSpan w:val="2"/>
            <w:shd w:val="clear" w:color="auto" w:fill="CCEEFF"/>
          </w:tcPr>
          <w:p>
            <w:pPr>
              <w:jc w:val="right"/>
              <w:ind w:right="48"/>
              <w:spacing w:after="0" w:line="107"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103</w:t>
            </w:r>
          </w:p>
        </w:tc>
        <w:tc>
          <w:tcPr>
            <w:tcW w:w="280" w:type="dxa"/>
            <w:vAlign w:val="bottom"/>
            <w:gridSpan w:val="2"/>
            <w:shd w:val="clear" w:color="auto" w:fill="CCEEFF"/>
          </w:tcPr>
          <w:p>
            <w:pPr>
              <w:jc w:val="right"/>
              <w:ind w:right="60"/>
              <w:spacing w:after="0" w:line="107"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13</w:t>
            </w:r>
          </w:p>
        </w:tc>
        <w:tc>
          <w:tcPr>
            <w:tcW w:w="300" w:type="dxa"/>
            <w:vAlign w:val="bottom"/>
            <w:gridSpan w:val="2"/>
            <w:shd w:val="clear" w:color="auto" w:fill="CCEEFF"/>
          </w:tcPr>
          <w:p>
            <w:pPr>
              <w:jc w:val="right"/>
              <w:ind w:right="80"/>
              <w:spacing w:after="0" w:line="107"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100</w:t>
            </w:r>
          </w:p>
        </w:tc>
        <w:tc>
          <w:tcPr>
            <w:tcW w:w="40" w:type="dxa"/>
            <w:vAlign w:val="bottom"/>
            <w:shd w:val="clear" w:color="auto" w:fill="CCEEFF"/>
          </w:tcPr>
          <w:p>
            <w:pPr>
              <w:spacing w:after="0"/>
              <w:rPr>
                <w:sz w:val="9"/>
                <w:szCs w:val="9"/>
                <w:color w:val="auto"/>
              </w:rPr>
            </w:pPr>
          </w:p>
        </w:tc>
      </w:tr>
      <w:tr>
        <w:trPr>
          <w:trHeight w:val="107"/>
        </w:trPr>
        <w:tc>
          <w:tcPr>
            <w:tcW w:w="20" w:type="dxa"/>
            <w:vAlign w:val="bottom"/>
          </w:tcPr>
          <w:p>
            <w:pPr>
              <w:spacing w:after="0"/>
              <w:rPr>
                <w:sz w:val="9"/>
                <w:szCs w:val="9"/>
                <w:color w:val="auto"/>
              </w:rPr>
            </w:pPr>
          </w:p>
        </w:tc>
        <w:tc>
          <w:tcPr>
            <w:tcW w:w="354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Research and development</w:t>
            </w:r>
          </w:p>
        </w:tc>
        <w:tc>
          <w:tcPr>
            <w:tcW w:w="1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5,160</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24,869</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1,882</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4,737</w:t>
            </w:r>
          </w:p>
        </w:tc>
        <w:tc>
          <w:tcPr>
            <w:tcW w:w="40" w:type="dxa"/>
            <w:vAlign w:val="bottom"/>
          </w:tcPr>
          <w:p>
            <w:pPr>
              <w:spacing w:after="0"/>
              <w:rPr>
                <w:sz w:val="9"/>
                <w:szCs w:val="9"/>
                <w:color w:val="auto"/>
              </w:rPr>
            </w:pPr>
          </w:p>
        </w:tc>
      </w:tr>
      <w:tr>
        <w:trPr>
          <w:trHeight w:val="107"/>
        </w:trPr>
        <w:tc>
          <w:tcPr>
            <w:tcW w:w="20" w:type="dxa"/>
            <w:vAlign w:val="bottom"/>
          </w:tcPr>
          <w:p>
            <w:pPr>
              <w:spacing w:after="0"/>
              <w:rPr>
                <w:sz w:val="9"/>
                <w:szCs w:val="9"/>
                <w:color w:val="auto"/>
              </w:rPr>
            </w:pPr>
          </w:p>
        </w:tc>
        <w:tc>
          <w:tcPr>
            <w:tcW w:w="354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0"/>
                <w:szCs w:val="10"/>
                <w:color w:val="auto"/>
              </w:rPr>
              <w:t>Sales and marketing</w:t>
            </w:r>
          </w:p>
        </w:tc>
        <w:tc>
          <w:tcPr>
            <w:tcW w:w="1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2,108</w:t>
            </w: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10,177</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961</w:t>
            </w: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2,621</w:t>
            </w:r>
          </w:p>
        </w:tc>
        <w:tc>
          <w:tcPr>
            <w:tcW w:w="40" w:type="dxa"/>
            <w:vAlign w:val="bottom"/>
            <w:shd w:val="clear" w:color="auto" w:fill="CCEEFF"/>
          </w:tcPr>
          <w:p>
            <w:pPr>
              <w:spacing w:after="0"/>
              <w:rPr>
                <w:sz w:val="9"/>
                <w:szCs w:val="9"/>
                <w:color w:val="auto"/>
              </w:rPr>
            </w:pPr>
          </w:p>
        </w:tc>
      </w:tr>
      <w:tr>
        <w:trPr>
          <w:trHeight w:val="107"/>
        </w:trPr>
        <w:tc>
          <w:tcPr>
            <w:tcW w:w="20" w:type="dxa"/>
            <w:vAlign w:val="bottom"/>
          </w:tcPr>
          <w:p>
            <w:pPr>
              <w:spacing w:after="0"/>
              <w:rPr>
                <w:sz w:val="9"/>
                <w:szCs w:val="9"/>
                <w:color w:val="auto"/>
              </w:rPr>
            </w:pPr>
          </w:p>
        </w:tc>
        <w:tc>
          <w:tcPr>
            <w:tcW w:w="354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General and administrative</w:t>
            </w:r>
          </w:p>
        </w:tc>
        <w:tc>
          <w:tcPr>
            <w:tcW w:w="16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1,242</w:t>
            </w: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13,237</w:t>
            </w: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572</w:t>
            </w: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1,900</w:t>
            </w:r>
          </w:p>
        </w:tc>
        <w:tc>
          <w:tcPr>
            <w:tcW w:w="40" w:type="dxa"/>
            <w:vAlign w:val="bottom"/>
          </w:tcPr>
          <w:p>
            <w:pPr>
              <w:spacing w:after="0"/>
              <w:rPr>
                <w:sz w:val="9"/>
                <w:szCs w:val="9"/>
                <w:color w:val="auto"/>
              </w:rPr>
            </w:pPr>
          </w:p>
        </w:tc>
      </w:tr>
      <w:tr>
        <w:trPr>
          <w:trHeight w:val="106"/>
        </w:trPr>
        <w:tc>
          <w:tcPr>
            <w:tcW w:w="20" w:type="dxa"/>
            <w:vAlign w:val="bottom"/>
          </w:tcPr>
          <w:p>
            <w:pPr>
              <w:spacing w:after="0"/>
              <w:rPr>
                <w:sz w:val="9"/>
                <w:szCs w:val="9"/>
                <w:color w:val="auto"/>
              </w:rPr>
            </w:pPr>
          </w:p>
        </w:tc>
        <w:tc>
          <w:tcPr>
            <w:tcW w:w="3540" w:type="dxa"/>
            <w:vAlign w:val="bottom"/>
            <w:shd w:val="clear" w:color="auto" w:fill="CCEEFF"/>
          </w:tcPr>
          <w:p>
            <w:pPr>
              <w:ind w:left="200"/>
              <w:spacing w:after="0" w:line="106" w:lineRule="exact"/>
              <w:rPr>
                <w:sz w:val="20"/>
                <w:szCs w:val="20"/>
                <w:color w:val="auto"/>
              </w:rPr>
            </w:pPr>
            <w:r>
              <w:rPr>
                <w:rFonts w:ascii="Times New Roman" w:cs="Times New Roman" w:eastAsia="Times New Roman" w:hAnsi="Times New Roman"/>
                <w:sz w:val="10"/>
                <w:szCs w:val="10"/>
                <w:color w:val="auto"/>
              </w:rPr>
              <w:t>Total stock-based compensation expense</w:t>
            </w:r>
          </w:p>
        </w:tc>
        <w:tc>
          <w:tcPr>
            <w:tcW w:w="1660" w:type="dxa"/>
            <w:vAlign w:val="bottom"/>
            <w:shd w:val="clear" w:color="auto" w:fill="CCEEFF"/>
          </w:tcPr>
          <w:p>
            <w:pPr>
              <w:spacing w:after="0"/>
              <w:rPr>
                <w:sz w:val="9"/>
                <w:szCs w:val="9"/>
                <w:color w:val="auto"/>
              </w:rPr>
            </w:pPr>
          </w:p>
        </w:tc>
        <w:tc>
          <w:tcPr>
            <w:tcW w:w="120" w:type="dxa"/>
            <w:vAlign w:val="bottom"/>
            <w:shd w:val="clear" w:color="auto" w:fill="CCEEFF"/>
          </w:tcPr>
          <w:p>
            <w:pPr>
              <w:jc w:val="right"/>
              <w:ind w:right="8"/>
              <w:spacing w:after="0" w:line="106" w:lineRule="exact"/>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8,547</w:t>
            </w: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jc w:val="right"/>
              <w:ind w:right="48"/>
              <w:spacing w:after="0" w:line="106" w:lineRule="exact"/>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48,386</w:t>
            </w:r>
          </w:p>
        </w:tc>
        <w:tc>
          <w:tcPr>
            <w:tcW w:w="280" w:type="dxa"/>
            <w:vAlign w:val="bottom"/>
            <w:gridSpan w:val="2"/>
            <w:shd w:val="clear" w:color="auto" w:fill="CCEEFF"/>
          </w:tcPr>
          <w:p>
            <w:pPr>
              <w:jc w:val="right"/>
              <w:ind w:right="60"/>
              <w:spacing w:after="0" w:line="106"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3,428</w:t>
            </w:r>
          </w:p>
        </w:tc>
        <w:tc>
          <w:tcPr>
            <w:tcW w:w="300" w:type="dxa"/>
            <w:vAlign w:val="bottom"/>
            <w:gridSpan w:val="2"/>
            <w:shd w:val="clear" w:color="auto" w:fill="CCEEFF"/>
          </w:tcPr>
          <w:p>
            <w:pPr>
              <w:jc w:val="right"/>
              <w:ind w:right="80"/>
              <w:spacing w:after="0" w:line="106"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9,358</w:t>
            </w:r>
          </w:p>
        </w:tc>
        <w:tc>
          <w:tcPr>
            <w:tcW w:w="40" w:type="dxa"/>
            <w:vAlign w:val="bottom"/>
            <w:shd w:val="clear" w:color="auto" w:fill="CCEEFF"/>
          </w:tcPr>
          <w:p>
            <w:pPr>
              <w:spacing w:after="0"/>
              <w:rPr>
                <w:sz w:val="9"/>
                <w:szCs w:val="9"/>
                <w:color w:val="auto"/>
              </w:rPr>
            </w:pPr>
          </w:p>
        </w:tc>
      </w:tr>
      <w:tr>
        <w:trPr>
          <w:trHeight w:val="29"/>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82" w:lineRule="exact"/>
        <w:rPr>
          <w:sz w:val="20"/>
          <w:szCs w:val="20"/>
          <w:color w:val="auto"/>
        </w:rPr>
      </w:pPr>
    </w:p>
    <w:p>
      <w:pPr>
        <w:ind w:left="2000" w:right="619"/>
        <w:spacing w:after="0" w:line="258" w:lineRule="auto"/>
        <w:rPr>
          <w:sz w:val="20"/>
          <w:szCs w:val="20"/>
          <w:color w:val="auto"/>
        </w:rPr>
      </w:pPr>
      <w:r>
        <w:rPr>
          <w:rFonts w:ascii="Times New Roman" w:cs="Times New Roman" w:eastAsia="Times New Roman" w:hAnsi="Times New Roman"/>
          <w:sz w:val="10"/>
          <w:szCs w:val="10"/>
          <w:color w:val="auto"/>
        </w:rPr>
        <w:t>Stock-based compensation expense for fiscal 2019 and fiscal 2020 includes $3.8 million and $38.7 million, respectively, of compensation expense related to tender offers described in Note 11 to our consolidated financial statements included elsewhere in this prospectus.</w:t>
      </w:r>
    </w:p>
    <w:p>
      <w:pPr>
        <w:spacing w:after="0" w:line="53" w:lineRule="exact"/>
        <w:rPr>
          <w:sz w:val="20"/>
          <w:szCs w:val="20"/>
          <w:color w:val="auto"/>
        </w:rPr>
      </w:pPr>
    </w:p>
    <w:p>
      <w:pPr>
        <w:ind w:left="2000" w:right="679" w:hanging="311"/>
        <w:spacing w:after="0" w:line="258" w:lineRule="auto"/>
        <w:tabs>
          <w:tab w:leader="none" w:pos="2000" w:val="left"/>
        </w:tabs>
        <w:numPr>
          <w:ilvl w:val="0"/>
          <w:numId w:val="3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See Note 2 and Note 9 to our consolidated financial statements included elsewhere in this prospectus for an explanation of the method used to calculate our basic and diluted net loss per share, our basic and diluted pro forma net loss per share, and the weighted-average number of shares used in the computation of the per share amounts.</w:t>
      </w:r>
    </w:p>
    <w:p>
      <w:pPr>
        <w:spacing w:after="0" w:line="130"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80" w:type="dxa"/>
            <w:vAlign w:val="bottom"/>
            <w:gridSpan w:val="2"/>
            <w:vMerge w:val="restart"/>
          </w:tcPr>
          <w:p>
            <w:pPr>
              <w:jc w:val="right"/>
              <w:ind w:right="238"/>
              <w:spacing w:after="0"/>
              <w:rPr>
                <w:sz w:val="20"/>
                <w:szCs w:val="20"/>
                <w:color w:val="auto"/>
              </w:rPr>
            </w:pPr>
            <w:r>
              <w:rPr>
                <w:rFonts w:ascii="Times New Roman" w:cs="Times New Roman" w:eastAsia="Times New Roman" w:hAnsi="Times New Roman"/>
                <w:sz w:val="10"/>
                <w:szCs w:val="10"/>
                <w:b w:val="1"/>
                <w:bCs w:val="1"/>
                <w:color w:val="auto"/>
              </w:rPr>
              <w:t>As of January 31,</w:t>
            </w:r>
          </w:p>
        </w:tc>
        <w:tc>
          <w:tcPr>
            <w:tcW w:w="180" w:type="dxa"/>
            <w:vAlign w:val="bottom"/>
            <w:vMerge w:val="restart"/>
          </w:tcPr>
          <w:p>
            <w:pPr>
              <w:spacing w:after="0"/>
              <w:rPr>
                <w:sz w:val="10"/>
                <w:szCs w:val="10"/>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rPr>
              <w:t>As of</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4"/>
                <w:szCs w:val="4"/>
                <w:color w:val="auto"/>
              </w:rPr>
            </w:pPr>
          </w:p>
        </w:tc>
        <w:tc>
          <w:tcPr>
            <w:tcW w:w="42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380" w:type="dxa"/>
            <w:vAlign w:val="bottom"/>
            <w:tcBorders>
              <w:bottom w:val="single" w:sz="8" w:color="auto"/>
            </w:tcBorders>
            <w:gridSpan w:val="2"/>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740" w:type="dxa"/>
            <w:vAlign w:val="bottom"/>
            <w:gridSpan w:val="2"/>
            <w:vMerge w:val="restart"/>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July 31,</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2019</w:t>
            </w:r>
          </w:p>
        </w:tc>
        <w:tc>
          <w:tcPr>
            <w:tcW w:w="700" w:type="dxa"/>
            <w:vAlign w:val="bottom"/>
            <w:vMerge w:val="restart"/>
          </w:tcPr>
          <w:p>
            <w:pPr>
              <w:jc w:val="right"/>
              <w:ind w:right="98"/>
              <w:spacing w:after="0"/>
              <w:rPr>
                <w:sz w:val="20"/>
                <w:szCs w:val="20"/>
                <w:color w:val="auto"/>
              </w:rPr>
            </w:pPr>
            <w:r>
              <w:rPr>
                <w:rFonts w:ascii="Times New Roman" w:cs="Times New Roman" w:eastAsia="Times New Roman" w:hAnsi="Times New Roman"/>
                <w:sz w:val="10"/>
                <w:szCs w:val="10"/>
                <w:b w:val="1"/>
                <w:bCs w:val="1"/>
                <w:color w:val="auto"/>
              </w:rPr>
              <w:t>2020</w:t>
            </w:r>
          </w:p>
        </w:tc>
        <w:tc>
          <w:tcPr>
            <w:tcW w:w="1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02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center"/>
              <w:ind w:left="79"/>
              <w:spacing w:after="0"/>
              <w:rPr>
                <w:sz w:val="20"/>
                <w:szCs w:val="20"/>
                <w:color w:val="auto"/>
              </w:rPr>
            </w:pPr>
            <w:r>
              <w:rPr>
                <w:rFonts w:ascii="Times New Roman" w:cs="Times New Roman" w:eastAsia="Times New Roman" w:hAnsi="Times New Roman"/>
                <w:sz w:val="10"/>
                <w:szCs w:val="10"/>
                <w:b w:val="1"/>
                <w:bCs w:val="1"/>
                <w:color w:val="auto"/>
                <w:w w:val="99"/>
              </w:rPr>
              <w:t>2020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880" w:type="dxa"/>
            <w:vAlign w:val="bottom"/>
            <w:tcBorders>
              <w:top w:val="single" w:sz="8" w:color="auto"/>
            </w:tcBorders>
            <w:gridSpan w:val="2"/>
          </w:tcPr>
          <w:p>
            <w:pPr>
              <w:jc w:val="right"/>
              <w:ind w:right="140"/>
              <w:spacing w:after="0" w:line="97"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6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Consolidated Balance Sheet Data:</w:t>
            </w:r>
          </w:p>
        </w:tc>
        <w:tc>
          <w:tcPr>
            <w:tcW w:w="13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Cash, cash equivalents, and marketable securities</w:t>
            </w: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  87,967</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$ 351,308</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$ 455,925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Working capital</w:t>
            </w:r>
            <w:r>
              <w:rPr>
                <w:rFonts w:ascii="Times New Roman" w:cs="Times New Roman" w:eastAsia="Times New Roman" w:hAnsi="Times New Roman"/>
                <w:sz w:val="10"/>
                <w:szCs w:val="10"/>
                <w:color w:val="auto"/>
              </w:rPr>
              <w:t>(1)</w:t>
            </w:r>
          </w:p>
        </w:tc>
        <w:tc>
          <w:tcPr>
            <w:tcW w:w="2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59,662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280,506</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368,308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113,749</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421,692</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668,564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revenue</w:t>
            </w:r>
          </w:p>
        </w:tc>
        <w:tc>
          <w:tcPr>
            <w:tcW w:w="2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31,918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64,106</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75,045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Convertible note, net—related party</w:t>
            </w:r>
            <w:r>
              <w:rPr>
                <w:rFonts w:ascii="Times New Roman" w:cs="Times New Roman" w:eastAsia="Times New Roman" w:hAnsi="Times New Roman"/>
                <w:sz w:val="10"/>
                <w:szCs w:val="10"/>
                <w:color w:val="auto"/>
              </w:rPr>
              <w:t>(2)</w:t>
            </w:r>
          </w:p>
        </w:tc>
        <w:tc>
          <w:tcPr>
            <w:tcW w:w="1340" w:type="dxa"/>
            <w:vAlign w:val="bottom"/>
          </w:tcPr>
          <w:p>
            <w:pPr>
              <w:spacing w:after="0"/>
              <w:rPr>
                <w:sz w:val="13"/>
                <w:szCs w:val="13"/>
                <w:color w:val="auto"/>
              </w:rPr>
            </w:pP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203,097</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330,472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Term loan</w:t>
            </w:r>
            <w:r>
              <w:rPr>
                <w:rFonts w:ascii="Times New Roman" w:cs="Times New Roman" w:eastAsia="Times New Roman" w:hAnsi="Times New Roman"/>
                <w:sz w:val="10"/>
                <w:szCs w:val="10"/>
                <w:color w:val="auto"/>
              </w:rPr>
              <w:t>(3)</w:t>
            </w:r>
          </w:p>
        </w:tc>
        <w:tc>
          <w:tcPr>
            <w:tcW w:w="13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Redeemable convertible preferred stock warrant liability</w:t>
            </w: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94</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Redeemable convertible preferred stock</w:t>
            </w:r>
          </w:p>
        </w:tc>
        <w:tc>
          <w:tcPr>
            <w:tcW w:w="2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250,370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250,581</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250,581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Total stockholders’ deficit</w:t>
            </w:r>
          </w:p>
        </w:tc>
        <w:tc>
          <w:tcPr>
            <w:tcW w:w="2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(181,011)</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(145,315)</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(171,704)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53975</wp:posOffset>
            </wp:positionV>
            <wp:extent cx="548005"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48005" cy="6350"/>
                    </a:xfrm>
                    <a:prstGeom prst="rect">
                      <a:avLst/>
                    </a:prstGeom>
                    <a:noFill/>
                  </pic:spPr>
                </pic:pic>
              </a:graphicData>
            </a:graphic>
          </wp:anchor>
        </w:drawing>
      </w:r>
    </w:p>
    <w:p>
      <w:pPr>
        <w:spacing w:after="0" w:line="89" w:lineRule="exact"/>
        <w:rPr>
          <w:sz w:val="20"/>
          <w:szCs w:val="20"/>
          <w:color w:val="auto"/>
        </w:rPr>
      </w:pPr>
    </w:p>
    <w:p>
      <w:pPr>
        <w:ind w:left="2000" w:right="779" w:hanging="311"/>
        <w:spacing w:after="0" w:line="232" w:lineRule="auto"/>
        <w:tabs>
          <w:tab w:leader="none" w:pos="2000" w:val="left"/>
        </w:tabs>
        <w:numPr>
          <w:ilvl w:val="0"/>
          <w:numId w:val="3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Working capital is defined as current assets less current liabilities. See our consolidated financial statements and the accompanying notes included elsewhere in this prospectus for further details regarding our current assets and current liabilities.</w:t>
      </w:r>
    </w:p>
    <w:p>
      <w:pPr>
        <w:ind w:left="2000" w:right="599" w:hanging="311"/>
        <w:spacing w:after="0" w:line="222" w:lineRule="auto"/>
        <w:tabs>
          <w:tab w:leader="none" w:pos="2000" w:val="left"/>
        </w:tabs>
        <w:numPr>
          <w:ilvl w:val="0"/>
          <w:numId w:val="3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two 3.5% senior mandatory convertible promissory notes, net of debt discount, due in January 2025 and June 2025. For additional information, see “Description of Capital Stock—Senior Mandatory Convertible Promissory Notes.”</w:t>
      </w:r>
    </w:p>
    <w:p>
      <w:pPr>
        <w:ind w:left="2000" w:hanging="311"/>
        <w:spacing w:after="0"/>
        <w:tabs>
          <w:tab w:leader="none" w:pos="2000" w:val="left"/>
        </w:tabs>
        <w:numPr>
          <w:ilvl w:val="0"/>
          <w:numId w:val="3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current portion and is net of issuance costs. For additional information, see Note 6 to our consolidated financial statements included elsewhere in this prospectus.</w:t>
      </w:r>
    </w:p>
    <w:p>
      <w:pPr>
        <w:spacing w:after="0" w:line="21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Non-GAAP Financial Measures</w:t>
      </w:r>
    </w:p>
    <w:p>
      <w:pPr>
        <w:spacing w:after="0" w:line="85" w:lineRule="exact"/>
        <w:rPr>
          <w:sz w:val="20"/>
          <w:szCs w:val="20"/>
          <w:color w:val="auto"/>
        </w:rPr>
      </w:pPr>
    </w:p>
    <w:p>
      <w:pPr>
        <w:ind w:left="1680" w:right="819" w:firstLine="316"/>
        <w:spacing w:after="0" w:line="263" w:lineRule="auto"/>
        <w:rPr>
          <w:sz w:val="20"/>
          <w:szCs w:val="20"/>
          <w:color w:val="auto"/>
        </w:rPr>
      </w:pPr>
      <w:r>
        <w:rPr>
          <w:rFonts w:ascii="Times New Roman" w:cs="Times New Roman" w:eastAsia="Times New Roman" w:hAnsi="Times New Roman"/>
          <w:sz w:val="13"/>
          <w:szCs w:val="13"/>
          <w:color w:val="auto"/>
        </w:rPr>
        <w:t>The following table summarizes our non-GAAP financial measures, along with the most directly comparable GAAP measure, for each period presented below. In addition to our results determined in accordance with GAAP, we believe these non-GAAP financial measures are useful in evaluating our operating performance.</w:t>
      </w:r>
    </w:p>
    <w:p>
      <w:pPr>
        <w:spacing w:after="0" w:line="144"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0" w:type="dxa"/>
            <w:vAlign w:val="bottom"/>
            <w:gridSpan w:val="3"/>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Year Ended January 31,</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Six Months Ended July 31,</w:t>
            </w:r>
          </w:p>
        </w:tc>
      </w:tr>
      <w:tr>
        <w:trPr>
          <w:trHeight w:val="96"/>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20" w:type="dxa"/>
            <w:vAlign w:val="bottom"/>
            <w:tcBorders>
              <w:top w:val="single" w:sz="8" w:color="auto"/>
              <w:bottom w:val="single" w:sz="8" w:color="auto"/>
            </w:tcBorders>
          </w:tcPr>
          <w:p>
            <w:pPr>
              <w:jc w:val="right"/>
              <w:ind w:right="368"/>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780" w:type="dxa"/>
            <w:vAlign w:val="bottom"/>
            <w:tcBorders>
              <w:top w:val="single" w:sz="8" w:color="auto"/>
              <w:bottom w:val="single" w:sz="8" w:color="auto"/>
            </w:tcBorders>
          </w:tcPr>
          <w:p>
            <w:pPr>
              <w:jc w:val="right"/>
              <w:ind w:right="139"/>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660" w:type="dxa"/>
            <w:vAlign w:val="bottom"/>
            <w:tcBorders>
              <w:top w:val="single" w:sz="8" w:color="auto"/>
              <w:bottom w:val="single" w:sz="8" w:color="auto"/>
            </w:tcBorders>
          </w:tcPr>
          <w:p>
            <w:pPr>
              <w:ind w:left="40"/>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780" w:type="dxa"/>
            <w:vAlign w:val="bottom"/>
            <w:tcBorders>
              <w:top w:val="single" w:sz="8" w:color="auto"/>
              <w:bottom w:val="single" w:sz="8" w:color="auto"/>
            </w:tcBorders>
          </w:tcPr>
          <w:p>
            <w:pPr>
              <w:jc w:val="right"/>
              <w:ind w:right="137"/>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20" w:type="dxa"/>
            <w:vAlign w:val="bottom"/>
            <w:gridSpan w:val="4"/>
          </w:tcPr>
          <w:p>
            <w:pPr>
              <w:jc w:val="right"/>
              <w:ind w:right="40"/>
              <w:spacing w:after="0" w:line="97"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55"/>
        </w:trPr>
        <w:tc>
          <w:tcPr>
            <w:tcW w:w="20" w:type="dxa"/>
            <w:vAlign w:val="bottom"/>
          </w:tcPr>
          <w:p>
            <w:pPr>
              <w:spacing w:after="0"/>
              <w:rPr>
                <w:sz w:val="13"/>
                <w:szCs w:val="13"/>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from operations</w:t>
            </w:r>
          </w:p>
        </w:tc>
        <w:tc>
          <w:tcPr>
            <w:tcW w:w="2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3"/>
                <w:szCs w:val="13"/>
                <w:color w:val="auto"/>
              </w:rPr>
              <w:t>$   (52,013)</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(119,631)</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(31,244)</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   (62,669)</w:t>
            </w:r>
          </w:p>
        </w:tc>
      </w:tr>
      <w:tr>
        <w:trPr>
          <w:trHeight w:val="155"/>
        </w:trPr>
        <w:tc>
          <w:tcPr>
            <w:tcW w:w="20" w:type="dxa"/>
            <w:vAlign w:val="bottom"/>
          </w:tcPr>
          <w:p>
            <w:pPr>
              <w:spacing w:after="0"/>
              <w:rPr>
                <w:sz w:val="13"/>
                <w:szCs w:val="13"/>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Non-GAAP loss from operations</w:t>
            </w:r>
          </w:p>
        </w:tc>
        <w:tc>
          <w:tcPr>
            <w:tcW w:w="202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color w:val="auto"/>
              </w:rPr>
              <w:t>(43,466)</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(69,333)</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(27,816)</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(51,074)</w:t>
            </w:r>
          </w:p>
        </w:tc>
      </w:tr>
      <w:tr>
        <w:trPr>
          <w:trHeight w:val="155"/>
        </w:trPr>
        <w:tc>
          <w:tcPr>
            <w:tcW w:w="20" w:type="dxa"/>
            <w:vAlign w:val="bottom"/>
          </w:tcPr>
          <w:p>
            <w:pPr>
              <w:spacing w:after="0"/>
              <w:rPr>
                <w:sz w:val="13"/>
                <w:szCs w:val="13"/>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2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3"/>
                <w:szCs w:val="13"/>
                <w:color w:val="auto"/>
              </w:rPr>
              <w:t>(50,928)</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(118,589)</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(30,541)</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(76,911)</w:t>
            </w:r>
          </w:p>
        </w:tc>
      </w:tr>
      <w:tr>
        <w:trPr>
          <w:trHeight w:val="155"/>
        </w:trPr>
        <w:tc>
          <w:tcPr>
            <w:tcW w:w="20" w:type="dxa"/>
            <w:vAlign w:val="bottom"/>
          </w:tcPr>
          <w:p>
            <w:pPr>
              <w:spacing w:after="0"/>
              <w:rPr>
                <w:sz w:val="13"/>
                <w:szCs w:val="13"/>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Non-GAAP net loss</w:t>
            </w:r>
          </w:p>
        </w:tc>
        <w:tc>
          <w:tcPr>
            <w:tcW w:w="202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color w:val="auto"/>
              </w:rPr>
              <w:t>(42,381)</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(68,213)</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(27,113)</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(49,968)</w:t>
            </w:r>
          </w:p>
        </w:tc>
      </w:tr>
      <w:tr>
        <w:trPr>
          <w:trHeight w:val="155"/>
        </w:trPr>
        <w:tc>
          <w:tcPr>
            <w:tcW w:w="20" w:type="dxa"/>
            <w:vAlign w:val="bottom"/>
          </w:tcPr>
          <w:p>
            <w:pPr>
              <w:spacing w:after="0"/>
              <w:rPr>
                <w:sz w:val="13"/>
                <w:szCs w:val="13"/>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2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3"/>
                <w:szCs w:val="13"/>
                <w:color w:val="auto"/>
              </w:rPr>
              <w:t>(30,180)</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(40,136)</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(13,100)</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(40,270)</w:t>
            </w:r>
          </w:p>
        </w:tc>
      </w:tr>
      <w:tr>
        <w:trPr>
          <w:trHeight w:val="167"/>
        </w:trPr>
        <w:tc>
          <w:tcPr>
            <w:tcW w:w="2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Free cash flow</w:t>
            </w:r>
          </w:p>
        </w:tc>
        <w:tc>
          <w:tcPr>
            <w:tcW w:w="202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color w:val="auto"/>
              </w:rPr>
              <w:t>(33,587)</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(44,605)</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(13,840)</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(38,972)</w:t>
            </w:r>
          </w:p>
        </w:tc>
      </w:tr>
    </w:tbl>
    <w:p>
      <w:pPr>
        <w:spacing w:after="0" w:line="130" w:lineRule="exact"/>
        <w:rPr>
          <w:sz w:val="20"/>
          <w:szCs w:val="20"/>
          <w:color w:val="auto"/>
        </w:rPr>
      </w:pPr>
    </w:p>
    <w:p>
      <w:pPr>
        <w:ind w:left="1680" w:right="699" w:firstLine="316"/>
        <w:spacing w:after="0" w:line="263" w:lineRule="auto"/>
        <w:rPr>
          <w:sz w:val="20"/>
          <w:szCs w:val="20"/>
          <w:color w:val="auto"/>
        </w:rPr>
      </w:pPr>
      <w:r>
        <w:rPr>
          <w:rFonts w:ascii="Times New Roman" w:cs="Times New Roman" w:eastAsia="Times New Roman" w:hAnsi="Times New Roman"/>
          <w:sz w:val="13"/>
          <w:szCs w:val="13"/>
          <w:color w:val="auto"/>
        </w:rPr>
        <w:t>For additional information concerning the limitations and reconciliations of the non-GAAP financial measures to the most directly comparable financial measures stated in accordance with GAAP, see the section titled “Management’s Discussion and Analysis of Financial Condition and Results of Operations—Non-GAAP Financial Measures.”</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58</w:t>
      </w:r>
    </w:p>
    <w:p>
      <w:pPr>
        <w:sectPr>
          <w:pgSz w:w="11900" w:h="16838" w:orient="portrait"/>
          <w:cols w:equalWidth="0" w:num="1">
            <w:col w:w="10159"/>
          </w:cols>
          <w:pgMar w:left="300" w:top="367" w:right="1440" w:bottom="1440" w:gutter="0" w:footer="0" w:header="0"/>
        </w:sectPr>
      </w:pPr>
    </w:p>
    <w:bookmarkStart w:id="63" w:name="page64"/>
    <w:bookmarkEnd w:id="6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3"/>
          <w:szCs w:val="13"/>
          <w:b w:val="1"/>
          <w:bCs w:val="1"/>
          <w:color w:val="auto"/>
        </w:rPr>
        <w:t>MANAGEMENT’S DISCUSSION AND ANALYSIS OF FINANCIAL CONDITION AND RESULTS OF OPERATIONS</w:t>
      </w:r>
    </w:p>
    <w:p>
      <w:pPr>
        <w:spacing w:after="0" w:line="161" w:lineRule="exact"/>
        <w:rPr>
          <w:sz w:val="20"/>
          <w:szCs w:val="20"/>
          <w:color w:val="auto"/>
        </w:rPr>
      </w:pPr>
    </w:p>
    <w:p>
      <w:pPr>
        <w:ind w:left="1680" w:right="699" w:firstLine="316"/>
        <w:spacing w:after="0" w:line="255" w:lineRule="auto"/>
        <w:rPr>
          <w:sz w:val="20"/>
          <w:szCs w:val="20"/>
          <w:color w:val="auto"/>
        </w:rPr>
      </w:pPr>
      <w:r>
        <w:rPr>
          <w:rFonts w:ascii="Times New Roman" w:cs="Times New Roman" w:eastAsia="Times New Roman" w:hAnsi="Times New Roman"/>
          <w:sz w:val="13"/>
          <w:szCs w:val="13"/>
          <w:i w:val="1"/>
          <w:iCs w:val="1"/>
          <w:color w:val="auto"/>
        </w:rPr>
        <w:t>The following discussion and analysis of our financial condition and results of operations should be read in conjunction with the section titled “Selected Consolidated Financial Data” and the consolidated financial statements included elsewhere in this prospectus.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the section titled “Risk Factors” included elsewhere in this prospectus. Our fiscal year end is January 31, and references throughout this prospectus to a given fiscal year are to the 12 months ended on that date.</w:t>
      </w:r>
    </w:p>
    <w:p>
      <w:pPr>
        <w:spacing w:after="0" w:line="21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85" w:lineRule="exact"/>
        <w:rPr>
          <w:sz w:val="20"/>
          <w:szCs w:val="20"/>
          <w:color w:val="auto"/>
        </w:rPr>
      </w:pPr>
    </w:p>
    <w:p>
      <w:pPr>
        <w:ind w:left="1680" w:right="639" w:firstLine="316"/>
        <w:spacing w:after="0" w:line="258" w:lineRule="auto"/>
        <w:rPr>
          <w:sz w:val="20"/>
          <w:szCs w:val="20"/>
          <w:color w:val="auto"/>
        </w:rPr>
      </w:pPr>
      <w:r>
        <w:rPr>
          <w:rFonts w:ascii="Times New Roman" w:cs="Times New Roman" w:eastAsia="Times New Roman" w:hAnsi="Times New Roman"/>
          <w:sz w:val="13"/>
          <w:szCs w:val="13"/>
          <w:color w:val="auto"/>
        </w:rPr>
        <w:t>Asana is a work management platform that helps teams orchestrate work, from daily tasks to cross-functional strategic initiatives. Over 82,000 paying customers use Asana to manage everything from product launches to marketing campaigns to organization-wide goal setting. Our platform adds structure to unstructured work, creating clarity, transparency, and accountability to everyone within an organization—individuals, team leads, and executives—so they understand exactly who is doing what, by when.</w:t>
      </w:r>
    </w:p>
    <w:p>
      <w:pPr>
        <w:spacing w:after="0" w:line="133" w:lineRule="exact"/>
        <w:rPr>
          <w:sz w:val="20"/>
          <w:szCs w:val="20"/>
          <w:color w:val="auto"/>
        </w:rPr>
      </w:pPr>
    </w:p>
    <w:p>
      <w:pPr>
        <w:ind w:left="1680" w:right="579" w:firstLine="316"/>
        <w:spacing w:after="0" w:line="258" w:lineRule="auto"/>
        <w:rPr>
          <w:sz w:val="20"/>
          <w:szCs w:val="20"/>
          <w:color w:val="auto"/>
        </w:rPr>
      </w:pPr>
      <w:r>
        <w:rPr>
          <w:rFonts w:ascii="Times New Roman" w:cs="Times New Roman" w:eastAsia="Times New Roman" w:hAnsi="Times New Roman"/>
          <w:sz w:val="13"/>
          <w:szCs w:val="13"/>
          <w:color w:val="auto"/>
        </w:rPr>
        <w:t>Asana is flexible and applicable to virtually any use case across departments and organizations of all sizes. We designed our platform to be easy to use and intuitive to all users, regardless of role or technical proficiency. Users can start a project within minutes and onboard team members seamlessly without outside support. We allow users to work the way they want with the interface that is right for them, using tasks, lists, calendars, boards, timelines, and workload.</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59</w:t>
      </w:r>
    </w:p>
    <w:p>
      <w:pPr>
        <w:sectPr>
          <w:pgSz w:w="11900" w:h="16838" w:orient="portrait"/>
          <w:cols w:equalWidth="0" w:num="1">
            <w:col w:w="10159"/>
          </w:cols>
          <w:pgMar w:left="300" w:top="367" w:right="1440" w:bottom="1440" w:gutter="0" w:footer="0" w:header="0"/>
        </w:sectPr>
      </w:pPr>
    </w:p>
    <w:bookmarkStart w:id="64" w:name="page65"/>
    <w:bookmarkEnd w:id="6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Since the launch of the Premium level of Asana in 2012, we have achieved strong growth and the following key milestones:</w:t>
      </w:r>
    </w:p>
    <w:p>
      <w:pPr>
        <w:spacing w:after="0" w:line="23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Product Development and Company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1703705</wp:posOffset>
            </wp:positionH>
            <wp:positionV relativeFrom="paragraph">
              <wp:posOffset>68580</wp:posOffset>
            </wp:positionV>
            <wp:extent cx="3761105" cy="34163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761105" cy="3416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680" w:right="679" w:firstLine="316"/>
        <w:spacing w:after="0" w:line="256" w:lineRule="auto"/>
        <w:rPr>
          <w:sz w:val="20"/>
          <w:szCs w:val="20"/>
          <w:color w:val="auto"/>
        </w:rPr>
      </w:pPr>
      <w:r>
        <w:rPr>
          <w:rFonts w:ascii="Times New Roman" w:cs="Times New Roman" w:eastAsia="Times New Roman" w:hAnsi="Times New Roman"/>
          <w:sz w:val="13"/>
          <w:szCs w:val="13"/>
          <w:color w:val="auto"/>
        </w:rPr>
        <w:t>We have experienced rapid growth in recent periods. Our revenues were $76.8 million and $142.6 million for fiscal 2019 and fiscal 2020, respectively, representing growth of 86%. Our revenues were $61.1 million and $99.7 million for the six months ended July 31, 2019 and 2020, respectively, representing growth of 63%. As of July 31, 2020, we had 910 employees, representing growth of 30% since January 31, 2020. We had a net loss of $50.9 million and $118.6 million for fiscal 2019 and fiscal 2020, respectively, and $30.5 million and $76.9 million for the six months ended July 31, 2019 and 2020, respectively.</w:t>
      </w:r>
    </w:p>
    <w:p>
      <w:pPr>
        <w:spacing w:after="0" w:line="2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Our Business Model</w:t>
      </w:r>
    </w:p>
    <w:p>
      <w:pPr>
        <w:spacing w:after="0" w:line="87" w:lineRule="exact"/>
        <w:rPr>
          <w:sz w:val="20"/>
          <w:szCs w:val="20"/>
          <w:color w:val="auto"/>
        </w:rPr>
      </w:pPr>
    </w:p>
    <w:p>
      <w:pPr>
        <w:ind w:left="1680" w:right="699" w:firstLine="316"/>
        <w:spacing w:after="0" w:line="277" w:lineRule="auto"/>
        <w:rPr>
          <w:sz w:val="20"/>
          <w:szCs w:val="20"/>
          <w:color w:val="auto"/>
        </w:rPr>
      </w:pPr>
      <w:r>
        <w:rPr>
          <w:rFonts w:ascii="Times New Roman" w:cs="Times New Roman" w:eastAsia="Times New Roman" w:hAnsi="Times New Roman"/>
          <w:sz w:val="13"/>
          <w:szCs w:val="13"/>
          <w:color w:val="auto"/>
        </w:rPr>
        <w:t>We generate revenues from the sale of subscriptions to our cloud-based platform. We offer three levels of paid subscriptions to serve the varying needs of our paying customers: Premium, Business, and Enterprise.</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60</w:t>
      </w:r>
    </w:p>
    <w:p>
      <w:pPr>
        <w:sectPr>
          <w:pgSz w:w="11900" w:h="16838" w:orient="portrait"/>
          <w:cols w:equalWidth="0" w:num="1">
            <w:col w:w="10159"/>
          </w:cols>
          <w:pgMar w:left="300" w:top="367" w:right="1440" w:bottom="1440" w:gutter="0" w:footer="0" w:header="0"/>
        </w:sectPr>
      </w:pPr>
    </w:p>
    <w:bookmarkStart w:id="65" w:name="page66"/>
    <w:bookmarkEnd w:id="6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59"/>
        <w:spacing w:after="0" w:line="252" w:lineRule="auto"/>
        <w:rPr>
          <w:sz w:val="20"/>
          <w:szCs w:val="20"/>
          <w:color w:val="auto"/>
        </w:rPr>
      </w:pPr>
      <w:r>
        <w:rPr>
          <w:rFonts w:ascii="Times New Roman" w:cs="Times New Roman" w:eastAsia="Times New Roman" w:hAnsi="Times New Roman"/>
          <w:sz w:val="13"/>
          <w:szCs w:val="13"/>
          <w:color w:val="auto"/>
        </w:rPr>
        <w:t>Pricing is based on the number of users and increases with each subscription level as more features and functionality are included. We introduced Enterprise subscriptions and Business subscriptions in December 2016 and November 2018, respectively. These subscriptions have grown to represent 46% of our revenues during the six months ended July 31, 2020, up from 24% during the six months ended July 31, 2019. We have also experienced a shift to larger subscriptions, with subscriptions of $5,000 and over representing 56% of our revenues for the six months ended July 31, 2020, compared to 45% for the six months ended July 31, 2019. On a revenue basis, customers with subscriptions of $5,000 and over grew over 100% year over year. Paying customers typically pay on a monthly or annual basis, with the majority of revenues from our Business and Enterprise level customers coming from those on annual plans. Additionally, we offer a free Basic version of Asana for teams of fewer than 15 people, with limited access to Premium features. We also offer a 30-day trial of our paid subscription plans. Of our 100 largest customers today, virtually all came to Asana using a free trial of our paid levels or through an upgrade from our Basic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1715770</wp:posOffset>
            </wp:positionH>
            <wp:positionV relativeFrom="paragraph">
              <wp:posOffset>108585</wp:posOffset>
            </wp:positionV>
            <wp:extent cx="3742690" cy="21177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742690" cy="211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680" w:right="619" w:firstLine="316"/>
        <w:spacing w:after="0" w:line="258" w:lineRule="auto"/>
        <w:rPr>
          <w:sz w:val="20"/>
          <w:szCs w:val="20"/>
          <w:color w:val="auto"/>
        </w:rPr>
      </w:pPr>
      <w:r>
        <w:rPr>
          <w:rFonts w:ascii="Times New Roman" w:cs="Times New Roman" w:eastAsia="Times New Roman" w:hAnsi="Times New Roman"/>
          <w:sz w:val="13"/>
          <w:szCs w:val="13"/>
          <w:color w:val="auto"/>
        </w:rPr>
        <w:t>Over 27 million users have registered on Asana since our inception, representing a significant number of users associated with accounts that may convert to paying customers over time. As of July 31, 2020, we had over 1.3 million paid users on Asana. Our free-to-paid conversion rate of registered users, as measured by the number of paid users divided by the total number of then-registered users, has increased from 3.6% as of January 31, 2018 to 4.7% as of July 31, 2020.</w:t>
      </w:r>
    </w:p>
    <w:p>
      <w:pPr>
        <w:spacing w:after="0" w:line="133" w:lineRule="exact"/>
        <w:rPr>
          <w:sz w:val="20"/>
          <w:szCs w:val="20"/>
          <w:color w:val="auto"/>
        </w:rPr>
      </w:pPr>
    </w:p>
    <w:p>
      <w:pPr>
        <w:ind w:left="1680" w:right="559" w:firstLine="316"/>
        <w:spacing w:after="0" w:line="253" w:lineRule="auto"/>
        <w:rPr>
          <w:sz w:val="20"/>
          <w:szCs w:val="20"/>
          <w:color w:val="auto"/>
        </w:rPr>
      </w:pPr>
      <w:r>
        <w:rPr>
          <w:rFonts w:ascii="Times New Roman" w:cs="Times New Roman" w:eastAsia="Times New Roman" w:hAnsi="Times New Roman"/>
          <w:sz w:val="13"/>
          <w:szCs w:val="13"/>
          <w:color w:val="auto"/>
        </w:rPr>
        <w:t>We serve a large and diverse customer base, including over 82,000 paying customers, across all industry verticals and market segments, and over two-thirds of the FORTUNE 500, which includes free and paying customers. We define a customer as a distinct account, which could include a team, company, educational or government institution, organization, or distinct business unit of a company, that is on a paid subscription plan, a free version, or a free trial of one of our paid subscription plans. A single organization may have multiple customers. We define a paying customer as a customer on a paid subscription plan. No single customer accounted for more than 1% of our revenues, and our top 100 customers accounted for approximately 10% of our revenues for the six months ended July 31, 2020. For fiscal 2020, 41% of our revenues were generated outside the United States with limited international sales presence or major product customization.</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61</w:t>
      </w:r>
    </w:p>
    <w:p>
      <w:pPr>
        <w:sectPr>
          <w:pgSz w:w="11900" w:h="16838" w:orient="portrait"/>
          <w:cols w:equalWidth="0" w:num="1">
            <w:col w:w="10159"/>
          </w:cols>
          <w:pgMar w:left="300" w:top="367" w:right="1440" w:bottom="1440" w:gutter="0" w:footer="0" w:header="0"/>
        </w:sectPr>
      </w:pPr>
    </w:p>
    <w:bookmarkStart w:id="66" w:name="page67"/>
    <w:bookmarkEnd w:id="6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Our Go-To-Market Approach</w:t>
      </w:r>
    </w:p>
    <w:p>
      <w:pPr>
        <w:spacing w:after="0" w:line="87" w:lineRule="exact"/>
        <w:rPr>
          <w:sz w:val="20"/>
          <w:szCs w:val="20"/>
          <w:color w:val="auto"/>
        </w:rPr>
      </w:pPr>
    </w:p>
    <w:p>
      <w:pPr>
        <w:jc w:val="both"/>
        <w:ind w:left="1680" w:right="559" w:firstLine="316"/>
        <w:spacing w:after="0" w:line="295" w:lineRule="auto"/>
        <w:rPr>
          <w:sz w:val="20"/>
          <w:szCs w:val="20"/>
          <w:color w:val="auto"/>
        </w:rPr>
      </w:pPr>
      <w:r>
        <w:rPr>
          <w:rFonts w:ascii="Times New Roman" w:cs="Times New Roman" w:eastAsia="Times New Roman" w:hAnsi="Times New Roman"/>
          <w:sz w:val="12"/>
          <w:szCs w:val="12"/>
          <w:color w:val="auto"/>
        </w:rPr>
        <w:t>Our hybrid self-service and direct sales model allows us to efficiently reach teams everywhere and then rapidly expand their adoption of Asana. A majority of our new paying customers initially adopted our platform through self-service and free trials. By providing a free version of Asana, a free trial option, and a feature where customers can invite guests outside of their organizations to use Asana, we are able to seed the market with Asana users.</w:t>
      </w:r>
    </w:p>
    <w:p>
      <w:pPr>
        <w:spacing w:after="0" w:line="112" w:lineRule="exact"/>
        <w:rPr>
          <w:sz w:val="20"/>
          <w:szCs w:val="20"/>
          <w:color w:val="auto"/>
        </w:rPr>
      </w:pPr>
    </w:p>
    <w:p>
      <w:pPr>
        <w:ind w:left="1680" w:right="659" w:firstLine="316"/>
        <w:spacing w:after="0" w:line="263" w:lineRule="auto"/>
        <w:rPr>
          <w:sz w:val="20"/>
          <w:szCs w:val="20"/>
          <w:color w:val="auto"/>
        </w:rPr>
      </w:pPr>
      <w:r>
        <w:rPr>
          <w:rFonts w:ascii="Times New Roman" w:cs="Times New Roman" w:eastAsia="Times New Roman" w:hAnsi="Times New Roman"/>
          <w:sz w:val="13"/>
          <w:szCs w:val="13"/>
          <w:color w:val="auto"/>
        </w:rPr>
        <w:t>Once individuals and teams within organizations adopt our platform, our direct sales team follows up with an opportunity to strategically expand our offerings across the organization. We are at the early stages of building our direct sales force to focus on the significant expansion opportunity we see within our customer base.</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Factors Affecting Our Performance</w:t>
      </w:r>
    </w:p>
    <w:p>
      <w:pPr>
        <w:spacing w:after="0" w:line="8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We believe that our growth and financial performance are dependent upon many factors, including the key factors described below.</w:t>
      </w:r>
    </w:p>
    <w:p>
      <w:pPr>
        <w:spacing w:after="0" w:line="23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Continuing to Acquire New Paying Customers</w:t>
      </w:r>
    </w:p>
    <w:p>
      <w:pPr>
        <w:spacing w:after="0" w:line="87" w:lineRule="exact"/>
        <w:rPr>
          <w:sz w:val="20"/>
          <w:szCs w:val="20"/>
          <w:color w:val="auto"/>
        </w:rPr>
      </w:pPr>
    </w:p>
    <w:p>
      <w:pPr>
        <w:ind w:left="1680" w:right="579" w:firstLine="316"/>
        <w:spacing w:after="0" w:line="256" w:lineRule="auto"/>
        <w:rPr>
          <w:sz w:val="20"/>
          <w:szCs w:val="20"/>
          <w:color w:val="auto"/>
        </w:rPr>
      </w:pPr>
      <w:r>
        <w:rPr>
          <w:rFonts w:ascii="Times New Roman" w:cs="Times New Roman" w:eastAsia="Times New Roman" w:hAnsi="Times New Roman"/>
          <w:sz w:val="13"/>
          <w:szCs w:val="13"/>
          <w:color w:val="auto"/>
        </w:rPr>
        <w:t>We are focused on continuing to grow the number of customers that use our platform. Our operating results and growth opportunity depend, in part, on our ability to attract new customers. While we currently have over 82,000 paying customers, we believe we have significant greenfield opportunities among addressable customers worldwide. We also have over 3.5 million free activated accounts on our platform since inception, providing a significant conversion opportunity. We will need to continue to invest in our research and development and our sales and marketing organizations to address this opportunity.</w:t>
      </w:r>
    </w:p>
    <w:p>
      <w:pPr>
        <w:spacing w:after="0" w:line="2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Retain and Expand Within Existing Customers</w:t>
      </w:r>
    </w:p>
    <w:p>
      <w:pPr>
        <w:spacing w:after="0" w:line="87" w:lineRule="exact"/>
        <w:rPr>
          <w:sz w:val="20"/>
          <w:szCs w:val="20"/>
          <w:color w:val="auto"/>
        </w:rPr>
      </w:pPr>
    </w:p>
    <w:p>
      <w:pPr>
        <w:ind w:left="1680" w:right="639" w:firstLine="316"/>
        <w:spacing w:after="0" w:line="258" w:lineRule="auto"/>
        <w:rPr>
          <w:sz w:val="20"/>
          <w:szCs w:val="20"/>
          <w:color w:val="auto"/>
        </w:rPr>
      </w:pPr>
      <w:r>
        <w:rPr>
          <w:rFonts w:ascii="Times New Roman" w:cs="Times New Roman" w:eastAsia="Times New Roman" w:hAnsi="Times New Roman"/>
          <w:sz w:val="13"/>
          <w:szCs w:val="13"/>
          <w:color w:val="auto"/>
        </w:rPr>
        <w:t>We expect to derive a significant portion of our revenue growth from expansion within our customer base, where we have an opportunity to expand adoption of Asana across teams, departments, and organizations. We measure the rate of expansion within our customer base by calculating our dollar-based net retention rate. We believe that our dollar-based net retention rate demonstrates our large addressable market and high rate of net expansion within our customers, particularly those that generate higher levels of annual revenues.</w:t>
      </w:r>
    </w:p>
    <w:p>
      <w:pPr>
        <w:spacing w:after="0" w:line="65" w:lineRule="exact"/>
        <w:rPr>
          <w:sz w:val="20"/>
          <w:szCs w:val="20"/>
          <w:color w:val="auto"/>
        </w:rPr>
      </w:pPr>
    </w:p>
    <w:p>
      <w:pPr>
        <w:ind w:left="2380" w:right="639" w:hanging="381"/>
        <w:spacing w:after="0" w:line="277" w:lineRule="auto"/>
        <w:tabs>
          <w:tab w:leader="none" w:pos="238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overall dollar-based net retention rate was over 110% and over 120% for fiscal 2019 and fiscal 2020, respectively. Our overall dollar-based net retention rate for the quarter ended July 31, 2020 was over 115%.</w:t>
      </w:r>
    </w:p>
    <w:p>
      <w:pPr>
        <w:spacing w:after="0" w:line="52" w:lineRule="exact"/>
        <w:rPr>
          <w:rFonts w:ascii="Times New Roman" w:cs="Times New Roman" w:eastAsia="Times New Roman" w:hAnsi="Times New Roman"/>
          <w:sz w:val="13"/>
          <w:szCs w:val="13"/>
          <w:color w:val="auto"/>
        </w:rPr>
      </w:pPr>
    </w:p>
    <w:p>
      <w:pPr>
        <w:ind w:left="2380" w:right="579" w:hanging="381"/>
        <w:spacing w:after="0" w:line="277" w:lineRule="auto"/>
        <w:tabs>
          <w:tab w:leader="none" w:pos="238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dollar-based net retention rate for customers who spent over $5,000 with us on an annualized basis was over 115% for fiscal 2019, and over 125% for fiscal 2020 and for the quarter ended July 31, 2020.</w:t>
      </w:r>
    </w:p>
    <w:p>
      <w:pPr>
        <w:spacing w:after="0" w:line="52" w:lineRule="exact"/>
        <w:rPr>
          <w:rFonts w:ascii="Times New Roman" w:cs="Times New Roman" w:eastAsia="Times New Roman" w:hAnsi="Times New Roman"/>
          <w:sz w:val="13"/>
          <w:szCs w:val="13"/>
          <w:color w:val="auto"/>
        </w:rPr>
      </w:pPr>
    </w:p>
    <w:p>
      <w:pPr>
        <w:ind w:left="2380" w:right="719" w:hanging="381"/>
        <w:spacing w:after="0" w:line="277" w:lineRule="auto"/>
        <w:tabs>
          <w:tab w:leader="none" w:pos="238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dollar-based net retention rate for customers who spent over $50,000 with us on an annualized basis was over 140% for fiscal 2019, fiscal 2020, and for the quarter ended July 31, 2020.</w:t>
      </w:r>
    </w:p>
    <w:p>
      <w:pPr>
        <w:spacing w:after="0" w:line="120" w:lineRule="exact"/>
        <w:rPr>
          <w:sz w:val="20"/>
          <w:szCs w:val="20"/>
          <w:color w:val="auto"/>
        </w:rPr>
      </w:pPr>
    </w:p>
    <w:p>
      <w:pPr>
        <w:ind w:left="1680" w:right="619" w:firstLine="316"/>
        <w:spacing w:after="0" w:line="253" w:lineRule="auto"/>
        <w:rPr>
          <w:sz w:val="20"/>
          <w:szCs w:val="20"/>
          <w:color w:val="auto"/>
        </w:rPr>
      </w:pPr>
      <w:r>
        <w:rPr>
          <w:rFonts w:ascii="Times New Roman" w:cs="Times New Roman" w:eastAsia="Times New Roman" w:hAnsi="Times New Roman"/>
          <w:sz w:val="13"/>
          <w:szCs w:val="13"/>
          <w:color w:val="auto"/>
        </w:rPr>
        <w:t>Our reported dollar-based net retention rate equals the simple arithmetic average of our quarterly dollar-based net retention rate for the four quarters ending with the most recent fiscal quarter. We calculate our dollar-based net retention rate by comparing our revenues from the same set of customers in a given quarter, relative to the comparable prior-year period. To calculate our dollar-based net retention rate for a given quarter, we start with the revenues in that quarter from customers that generated revenues in the same quarter of the prior year. We then divide that amount by the revenues attributable to that same group of customers in the prior-year quarter. Current period revenues include any upsells and are net of contraction or attrition over the trailing 12 months, but exclude revenues from new customers in the current period. We expect our dollar-based net retention rate to fluctuate in future periods due to a number of factors, including the expected growth of our revenue base, the level of penetration within our customer base, and our ability to retain our customers.</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62</w:t>
      </w:r>
    </w:p>
    <w:p>
      <w:pPr>
        <w:sectPr>
          <w:pgSz w:w="11900" w:h="16838" w:orient="portrait"/>
          <w:cols w:equalWidth="0" w:num="1">
            <w:col w:w="10159"/>
          </w:cols>
          <w:pgMar w:left="300" w:top="367" w:right="1440" w:bottom="1440" w:gutter="0" w:footer="0" w:header="0"/>
        </w:sectPr>
      </w:pPr>
    </w:p>
    <w:bookmarkStart w:id="67" w:name="page68"/>
    <w:bookmarkEnd w:id="6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Continue to Invest in Product Development and Functionality</w:t>
      </w:r>
    </w:p>
    <w:p>
      <w:pPr>
        <w:spacing w:after="0" w:line="87" w:lineRule="exact"/>
        <w:rPr>
          <w:sz w:val="20"/>
          <w:szCs w:val="20"/>
          <w:color w:val="auto"/>
        </w:rPr>
      </w:pPr>
    </w:p>
    <w:p>
      <w:pPr>
        <w:ind w:left="1680" w:right="639" w:firstLine="316"/>
        <w:spacing w:after="0" w:line="254" w:lineRule="auto"/>
        <w:rPr>
          <w:sz w:val="20"/>
          <w:szCs w:val="20"/>
          <w:color w:val="auto"/>
        </w:rPr>
      </w:pPr>
      <w:r>
        <w:rPr>
          <w:rFonts w:ascii="Times New Roman" w:cs="Times New Roman" w:eastAsia="Times New Roman" w:hAnsi="Times New Roman"/>
          <w:sz w:val="13"/>
          <w:szCs w:val="13"/>
          <w:color w:val="auto"/>
        </w:rPr>
        <w:t>We intend to continue to improve our platform by developing new products and expanding the functionality of existing products. Since our initial release of Asana, we have released a variety of additional functionality and features that have increased capabilities and improved user experience, including our Rules automation functionality. We invest heavily in integrating our products with other major technologies so that our products can be easily adopted alongside existing communication, collaboration, and vertical tools. We believe that these integrations increase the value of our platform to our customers, as they allow our customers to leverage Asana alongside their existing infrastructure. We intend to expend additional resources in the future to continue introducing new products, features, and functionality.</w:t>
      </w:r>
    </w:p>
    <w:p>
      <w:pPr>
        <w:spacing w:after="0" w:line="21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Continue to Invest in Growth</w:t>
      </w:r>
    </w:p>
    <w:p>
      <w:pPr>
        <w:spacing w:after="0" w:line="87" w:lineRule="exact"/>
        <w:rPr>
          <w:sz w:val="20"/>
          <w:szCs w:val="20"/>
          <w:color w:val="auto"/>
        </w:rPr>
      </w:pPr>
    </w:p>
    <w:p>
      <w:pPr>
        <w:ind w:left="1680" w:right="559" w:firstLine="316"/>
        <w:spacing w:after="0" w:line="251" w:lineRule="auto"/>
        <w:rPr>
          <w:sz w:val="20"/>
          <w:szCs w:val="20"/>
          <w:color w:val="auto"/>
        </w:rPr>
      </w:pPr>
      <w:r>
        <w:rPr>
          <w:rFonts w:ascii="Times New Roman" w:cs="Times New Roman" w:eastAsia="Times New Roman" w:hAnsi="Times New Roman"/>
          <w:sz w:val="13"/>
          <w:szCs w:val="13"/>
          <w:color w:val="auto"/>
        </w:rPr>
        <w:t>Although we have invested significantly in our business to date, we believe that we are early in addressing our large market opportunity. We intend to continue to make investments to support the growth and expansion of our business. We are investing in our expansion efforts by growing our direct sales team, which has more than doubled in size since January 31, 2019. We calculate our payback for a given fiscal year or quarter by first determining our trailing 12-month revenue. We then subtract the prior year’s comparable period to determine the incremental revenue generated between the two periods. We then multiply the incremental revenue by the trailing 12-month non-GAAP gross margin, and then divide the resulting number by the non-GAAP sales and marketing expenses from the prior year’s comparable period. Last, we divide 12 by the previously calculated ratio to get our payback period in terms of months. We define non-GAAP gross margin as gross margin adjusted for stock-based compensation expense in cost of revenues, and we define non-GAAP sales and marketing as sales and marketing expenses less stock-based compensation expense. We use this calculation of our payback to track the efficiency of our non-GAAP sales and marketing expenses. For fiscal 2020, our payback was 10.6 months, and for the 12 months ended July 31, 2020, it was 12.3 months. Based on the efficiency of our spend and our large market opportunity, we intend to continue to invest in sales and marketing.</w:t>
      </w:r>
    </w:p>
    <w:p>
      <w:pPr>
        <w:spacing w:after="0" w:line="21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Impact of COVID-19</w:t>
      </w:r>
    </w:p>
    <w:p>
      <w:pPr>
        <w:spacing w:after="0" w:line="87" w:lineRule="exact"/>
        <w:rPr>
          <w:sz w:val="20"/>
          <w:szCs w:val="20"/>
          <w:color w:val="auto"/>
        </w:rPr>
      </w:pPr>
    </w:p>
    <w:p>
      <w:pPr>
        <w:ind w:left="1680" w:right="579" w:firstLine="316"/>
        <w:spacing w:after="0" w:line="251" w:lineRule="auto"/>
        <w:rPr>
          <w:sz w:val="20"/>
          <w:szCs w:val="20"/>
          <w:color w:val="auto"/>
        </w:rPr>
      </w:pPr>
      <w:r>
        <w:rPr>
          <w:rFonts w:ascii="Times New Roman" w:cs="Times New Roman" w:eastAsia="Times New Roman" w:hAnsi="Times New Roman"/>
          <w:sz w:val="13"/>
          <w:szCs w:val="13"/>
          <w:color w:val="auto"/>
        </w:rPr>
        <w:t>As a result of the COVID-19 pandemic, we have temporarily closed our headquarters and other offices, required our employees and contractors to work remotely, and implemented travel restrictions, all of which represent a significant disruption in how we operate our business. The operations of our partners and customers have likewise been disrupted, with a disproportionate impact on smaller businesses that were particularly affected by the pandemic. This impact is most evident in the decline of our overall dollar-based net retention rate for the quarter ended July 31, 2020, while our dollar-based net retention rates remained steady for customers who spent $5,000 and over or $50,000 and over on an annualized basis for the same quarter. While the duration and extent of the COVID-19 pandemic depends on future developments that cannot be accurately predicted at this time, such as the extent and effectiveness of containment actions, it has already had an adverse effect on the global economy and the ultimate societal and economic impact of the COVID-19 pandemic remains unknown. In particular, the conditions caused by this pandemic could affect the rate of global IT spending and could adversely affect demand for our platform, lengthen our sales cycles, reduce the value or duration of subscriptions, negatively impact collections of accounts receivable, reduce expected spending from new customers, cause some of our paying customers to go out of business, limit the ability of our direct sales force to travel to customers and potential customers, and affect contraction or attrition rates of our paying customers, all of which could adversely affect our business, results of operations, and financial condition during fiscal 2021 and potentially future periods.</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63</w:t>
      </w:r>
    </w:p>
    <w:p>
      <w:pPr>
        <w:sectPr>
          <w:pgSz w:w="11900" w:h="16838" w:orient="portrait"/>
          <w:cols w:equalWidth="0" w:num="1">
            <w:col w:w="10159"/>
          </w:cols>
          <w:pgMar w:left="300" w:top="367" w:right="1440" w:bottom="1440" w:gutter="0" w:footer="0" w:header="0"/>
        </w:sectPr>
      </w:pPr>
    </w:p>
    <w:bookmarkStart w:id="68" w:name="page69"/>
    <w:bookmarkEnd w:id="6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Non-GAAP Financial Measures</w:t>
      </w:r>
    </w:p>
    <w:p>
      <w:pPr>
        <w:spacing w:after="0" w:line="163" w:lineRule="exact"/>
        <w:rPr>
          <w:sz w:val="20"/>
          <w:szCs w:val="20"/>
          <w:color w:val="auto"/>
        </w:rPr>
      </w:pPr>
    </w:p>
    <w:p>
      <w:pPr>
        <w:ind w:left="1680" w:right="599" w:firstLine="316"/>
        <w:spacing w:after="0" w:line="263" w:lineRule="auto"/>
        <w:rPr>
          <w:sz w:val="20"/>
          <w:szCs w:val="20"/>
          <w:color w:val="auto"/>
        </w:rPr>
      </w:pPr>
      <w:r>
        <w:rPr>
          <w:rFonts w:ascii="Times New Roman" w:cs="Times New Roman" w:eastAsia="Times New Roman" w:hAnsi="Times New Roman"/>
          <w:sz w:val="13"/>
          <w:szCs w:val="13"/>
          <w:color w:val="auto"/>
        </w:rPr>
        <w:t>The following tables present certain non-GAAP financial measures for each period presented below. In addition to our results determined in accordance with GAAP, we believe these non-GAAP financial measures are useful in evaluating our operating performance. See below for a description of the non-GAAP financial measures and their limitations as an analytical tool.</w:t>
      </w:r>
    </w:p>
    <w:p>
      <w:pPr>
        <w:spacing w:after="0" w:line="144"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60" w:type="dxa"/>
            <w:vAlign w:val="bottom"/>
            <w:gridSpan w:val="4"/>
          </w:tcPr>
          <w:p>
            <w:pPr>
              <w:ind w:left="140"/>
              <w:spacing w:after="0"/>
              <w:rPr>
                <w:sz w:val="20"/>
                <w:szCs w:val="20"/>
                <w:color w:val="auto"/>
              </w:rPr>
            </w:pPr>
            <w:r>
              <w:rPr>
                <w:rFonts w:ascii="Times New Roman" w:cs="Times New Roman" w:eastAsia="Times New Roman" w:hAnsi="Times New Roman"/>
                <w:sz w:val="10"/>
                <w:szCs w:val="10"/>
                <w:b w:val="1"/>
                <w:bCs w:val="1"/>
                <w:color w:val="auto"/>
              </w:rPr>
              <w:t>Year Ended January 31,</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rPr>
              <w:t>Six Months Ended July 31,</w:t>
            </w:r>
          </w:p>
        </w:tc>
      </w:tr>
      <w:tr>
        <w:trPr>
          <w:trHeight w:val="96"/>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680" w:type="dxa"/>
            <w:vAlign w:val="bottom"/>
            <w:tcBorders>
              <w:top w:val="single" w:sz="8" w:color="auto"/>
              <w:bottom w:val="single" w:sz="8" w:color="auto"/>
            </w:tcBorders>
          </w:tcPr>
          <w:p>
            <w:pPr>
              <w:ind w:left="80"/>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30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ind w:left="60"/>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640" w:type="dxa"/>
            <w:vAlign w:val="bottom"/>
            <w:tcBorders>
              <w:top w:val="single" w:sz="8" w:color="auto"/>
              <w:bottom w:val="single" w:sz="8" w:color="auto"/>
            </w:tcBorders>
          </w:tcPr>
          <w:p>
            <w:pPr>
              <w:ind w:left="20"/>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30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ind w:left="60"/>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gridSpan w:val="4"/>
          </w:tcPr>
          <w:p>
            <w:pPr>
              <w:ind w:left="340"/>
              <w:spacing w:after="0" w:line="97"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55"/>
        </w:trPr>
        <w:tc>
          <w:tcPr>
            <w:tcW w:w="20" w:type="dxa"/>
            <w:vAlign w:val="bottom"/>
          </w:tcPr>
          <w:p>
            <w:pPr>
              <w:spacing w:after="0"/>
              <w:rPr>
                <w:sz w:val="13"/>
                <w:szCs w:val="13"/>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Non-GAAP loss from operations</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(43,466)</w:t>
            </w:r>
          </w:p>
        </w:tc>
        <w:tc>
          <w:tcPr>
            <w:tcW w:w="3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(69,333)</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(27,816)</w:t>
            </w:r>
          </w:p>
        </w:tc>
        <w:tc>
          <w:tcPr>
            <w:tcW w:w="3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(51,074)</w:t>
            </w:r>
          </w:p>
        </w:tc>
      </w:tr>
      <w:tr>
        <w:trPr>
          <w:trHeight w:val="155"/>
        </w:trPr>
        <w:tc>
          <w:tcPr>
            <w:tcW w:w="20" w:type="dxa"/>
            <w:vAlign w:val="bottom"/>
          </w:tcPr>
          <w:p>
            <w:pPr>
              <w:spacing w:after="0"/>
              <w:rPr>
                <w:sz w:val="13"/>
                <w:szCs w:val="13"/>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Non-GAAP net loss</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(42,381)</w:t>
            </w:r>
          </w:p>
        </w:tc>
        <w:tc>
          <w:tcPr>
            <w:tcW w:w="3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(68,213)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(27,113)</w:t>
            </w:r>
          </w:p>
        </w:tc>
        <w:tc>
          <w:tcPr>
            <w:tcW w:w="3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(49,968)</w:t>
            </w:r>
          </w:p>
        </w:tc>
      </w:tr>
      <w:tr>
        <w:trPr>
          <w:trHeight w:val="155"/>
        </w:trPr>
        <w:tc>
          <w:tcPr>
            <w:tcW w:w="20" w:type="dxa"/>
            <w:vAlign w:val="bottom"/>
          </w:tcPr>
          <w:p>
            <w:pPr>
              <w:spacing w:after="0"/>
              <w:rPr>
                <w:sz w:val="13"/>
                <w:szCs w:val="13"/>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Free cash flow</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(33,587)</w:t>
            </w:r>
          </w:p>
        </w:tc>
        <w:tc>
          <w:tcPr>
            <w:tcW w:w="3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(44,605)</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(13,840)</w:t>
            </w:r>
          </w:p>
        </w:tc>
        <w:tc>
          <w:tcPr>
            <w:tcW w:w="3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(38,972)</w:t>
            </w:r>
          </w:p>
        </w:tc>
      </w:tr>
    </w:tbl>
    <w:p>
      <w:pPr>
        <w:spacing w:after="0" w:line="2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Non-GAAP Loss From Operations and Non-GAAP Net Loss</w:t>
      </w:r>
    </w:p>
    <w:p>
      <w:pPr>
        <w:spacing w:after="0" w:line="87" w:lineRule="exact"/>
        <w:rPr>
          <w:sz w:val="20"/>
          <w:szCs w:val="20"/>
          <w:color w:val="auto"/>
        </w:rPr>
      </w:pPr>
    </w:p>
    <w:p>
      <w:pPr>
        <w:jc w:val="both"/>
        <w:ind w:left="1680" w:right="579" w:firstLine="316"/>
        <w:spacing w:after="0" w:line="277" w:lineRule="auto"/>
        <w:rPr>
          <w:sz w:val="20"/>
          <w:szCs w:val="20"/>
          <w:color w:val="auto"/>
        </w:rPr>
      </w:pPr>
      <w:r>
        <w:rPr>
          <w:rFonts w:ascii="Times New Roman" w:cs="Times New Roman" w:eastAsia="Times New Roman" w:hAnsi="Times New Roman"/>
          <w:sz w:val="13"/>
          <w:szCs w:val="13"/>
          <w:color w:val="auto"/>
        </w:rPr>
        <w:t>We define non-GAAP loss from operations as loss from operations plus stock-based compensation expense and non-recurring costs, such as direct listing expenses.</w:t>
      </w:r>
    </w:p>
    <w:p>
      <w:pPr>
        <w:spacing w:after="0" w:line="120" w:lineRule="exact"/>
        <w:rPr>
          <w:sz w:val="20"/>
          <w:szCs w:val="20"/>
          <w:color w:val="auto"/>
        </w:rPr>
      </w:pPr>
    </w:p>
    <w:p>
      <w:pPr>
        <w:ind w:left="1680" w:right="879" w:firstLine="316"/>
        <w:spacing w:after="0" w:line="277" w:lineRule="auto"/>
        <w:rPr>
          <w:sz w:val="20"/>
          <w:szCs w:val="20"/>
          <w:color w:val="auto"/>
        </w:rPr>
      </w:pPr>
      <w:r>
        <w:rPr>
          <w:rFonts w:ascii="Times New Roman" w:cs="Times New Roman" w:eastAsia="Times New Roman" w:hAnsi="Times New Roman"/>
          <w:sz w:val="13"/>
          <w:szCs w:val="13"/>
          <w:color w:val="auto"/>
        </w:rPr>
        <w:t>We define non-GAAP net loss as net loss plus stock-based compensation expense, amortization of discount and non-cash contractual interest expense related to our senior mandatory convertible promissory note, and non-recurring costs such as direct listing expenses.</w:t>
      </w:r>
    </w:p>
    <w:p>
      <w:pPr>
        <w:spacing w:after="0" w:line="120" w:lineRule="exact"/>
        <w:rPr>
          <w:sz w:val="20"/>
          <w:szCs w:val="20"/>
          <w:color w:val="auto"/>
        </w:rPr>
      </w:pPr>
    </w:p>
    <w:p>
      <w:pPr>
        <w:jc w:val="both"/>
        <w:ind w:left="1680" w:right="1039" w:firstLine="316"/>
        <w:spacing w:after="0" w:line="263" w:lineRule="auto"/>
        <w:rPr>
          <w:sz w:val="20"/>
          <w:szCs w:val="20"/>
          <w:color w:val="auto"/>
        </w:rPr>
      </w:pPr>
      <w:r>
        <w:rPr>
          <w:rFonts w:ascii="Times New Roman" w:cs="Times New Roman" w:eastAsia="Times New Roman" w:hAnsi="Times New Roman"/>
          <w:sz w:val="13"/>
          <w:szCs w:val="13"/>
          <w:color w:val="auto"/>
        </w:rPr>
        <w:t>We use non-GAAP loss from operations and non-GAAP net loss in conjunction with traditional GAAP measures to evaluate our financial performance. We believe that non-GAAP loss from operations and non-GAAP net loss provide our management and investors consistency and comparability with our past financial performance and facilitates period-to-period comparisons of operations.</w:t>
      </w:r>
    </w:p>
    <w:p>
      <w:pPr>
        <w:spacing w:after="0" w:line="20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Free Cash Flow</w:t>
      </w:r>
    </w:p>
    <w:p>
      <w:pPr>
        <w:spacing w:after="0" w:line="87" w:lineRule="exact"/>
        <w:rPr>
          <w:sz w:val="20"/>
          <w:szCs w:val="20"/>
          <w:color w:val="auto"/>
        </w:rPr>
      </w:pPr>
    </w:p>
    <w:p>
      <w:pPr>
        <w:ind w:left="1680" w:right="639" w:firstLine="316"/>
        <w:spacing w:after="0" w:line="256" w:lineRule="auto"/>
        <w:rPr>
          <w:sz w:val="20"/>
          <w:szCs w:val="20"/>
          <w:color w:val="auto"/>
        </w:rPr>
      </w:pPr>
      <w:r>
        <w:rPr>
          <w:rFonts w:ascii="Times New Roman" w:cs="Times New Roman" w:eastAsia="Times New Roman" w:hAnsi="Times New Roman"/>
          <w:sz w:val="13"/>
          <w:szCs w:val="13"/>
          <w:color w:val="auto"/>
        </w:rPr>
        <w:t>We define free cash flow as net cash used in operating activities less cash used for purchases of property and equipment and capitalized internal-use software costs, plus non-recurring expenditures such as capital expenditures from the purchases of property and equipment associated with the build-out of our corporate headquarters in San Francisco, and direct listing expenses. We believe that free cash flow is a useful indicator of liquidity that provides information to management and investors, even if negative, about the amount of cash used in our operations other than that used for investments in property and equipment and capitalized internal-use software costs, adjusted for non-recurring expenditures.</w:t>
      </w:r>
    </w:p>
    <w:p>
      <w:pPr>
        <w:spacing w:after="0" w:line="2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Limitations and Reconciliations of Non-GAAP Financial Measures</w:t>
      </w:r>
    </w:p>
    <w:p>
      <w:pPr>
        <w:spacing w:after="0" w:line="87" w:lineRule="exact"/>
        <w:rPr>
          <w:sz w:val="20"/>
          <w:szCs w:val="20"/>
          <w:color w:val="auto"/>
        </w:rPr>
      </w:pPr>
    </w:p>
    <w:p>
      <w:pPr>
        <w:ind w:left="1680" w:right="599" w:firstLine="316"/>
        <w:spacing w:after="0" w:line="253" w:lineRule="auto"/>
        <w:rPr>
          <w:sz w:val="20"/>
          <w:szCs w:val="20"/>
          <w:color w:val="auto"/>
        </w:rPr>
      </w:pPr>
      <w:r>
        <w:rPr>
          <w:rFonts w:ascii="Times New Roman" w:cs="Times New Roman" w:eastAsia="Times New Roman" w:hAnsi="Times New Roman"/>
          <w:sz w:val="13"/>
          <w:szCs w:val="13"/>
          <w:color w:val="auto"/>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In addition, free cash flow does not reflect our future contractual commitments and the total increase or decrease of our cash balance for a given period.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138"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3"/>
          <w:szCs w:val="13"/>
          <w:color w:val="auto"/>
        </w:rPr>
        <w:t>The following tables reconcile the most directly comparable GAAP financial measure to each of these non-GAAP financial measures.</w:t>
      </w:r>
    </w:p>
    <w:p>
      <w:pPr>
        <w:spacing w:after="0" w:line="1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color w:val="auto"/>
        </w:rPr>
        <w:t>64</w:t>
      </w:r>
    </w:p>
    <w:p>
      <w:pPr>
        <w:sectPr>
          <w:pgSz w:w="11900" w:h="16838" w:orient="portrait"/>
          <w:cols w:equalWidth="0" w:num="1">
            <w:col w:w="10159"/>
          </w:cols>
          <w:pgMar w:left="300" w:top="367" w:right="1440" w:bottom="1440" w:gutter="0" w:footer="0" w:header="0"/>
        </w:sectPr>
      </w:pPr>
    </w:p>
    <w:bookmarkStart w:id="69" w:name="page70"/>
    <w:bookmarkEnd w:id="6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Non-GAAP Loss From Operations</w:t>
      </w:r>
    </w:p>
    <w:p>
      <w:pPr>
        <w:spacing w:after="0" w:line="170"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gridSpan w:val="5"/>
          </w:tcPr>
          <w:p>
            <w:pPr>
              <w:jc w:val="right"/>
              <w:spacing w:after="0"/>
              <w:rPr>
                <w:sz w:val="20"/>
                <w:szCs w:val="20"/>
                <w:color w:val="auto"/>
              </w:rPr>
            </w:pPr>
            <w:r>
              <w:rPr>
                <w:rFonts w:ascii="Times New Roman" w:cs="Times New Roman" w:eastAsia="Times New Roman" w:hAnsi="Times New Roman"/>
                <w:sz w:val="10"/>
                <w:szCs w:val="10"/>
                <w:b w:val="1"/>
                <w:bCs w:val="1"/>
                <w:color w:val="auto"/>
                <w:w w:val="97"/>
              </w:rPr>
              <w:t>Year Ended</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8"/>
          </w:tcPr>
          <w:p>
            <w:pPr>
              <w:jc w:val="center"/>
              <w:ind w:right="262"/>
              <w:spacing w:after="0"/>
              <w:rPr>
                <w:sz w:val="20"/>
                <w:szCs w:val="20"/>
                <w:color w:val="auto"/>
              </w:rPr>
            </w:pPr>
            <w:r>
              <w:rPr>
                <w:rFonts w:ascii="Times New Roman" w:cs="Times New Roman" w:eastAsia="Times New Roman" w:hAnsi="Times New Roman"/>
                <w:sz w:val="10"/>
                <w:szCs w:val="10"/>
                <w:b w:val="1"/>
                <w:bCs w:val="1"/>
                <w:color w:val="auto"/>
              </w:rPr>
              <w:t>Six Months Ended</w:t>
            </w:r>
          </w:p>
        </w:tc>
      </w:tr>
      <w:tr>
        <w:trPr>
          <w:trHeight w:val="123"/>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0"/>
                <w:szCs w:val="10"/>
                <w:b w:val="1"/>
                <w:bCs w:val="1"/>
                <w:color w:val="auto"/>
                <w:w w:val="98"/>
              </w:rPr>
              <w:t>January 31,</w:t>
            </w: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6"/>
          </w:tcPr>
          <w:p>
            <w:pPr>
              <w:jc w:val="center"/>
              <w:ind w:left="140"/>
              <w:spacing w:after="0"/>
              <w:rPr>
                <w:sz w:val="20"/>
                <w:szCs w:val="20"/>
                <w:color w:val="auto"/>
              </w:rPr>
            </w:pPr>
            <w:r>
              <w:rPr>
                <w:rFonts w:ascii="Times New Roman" w:cs="Times New Roman" w:eastAsia="Times New Roman" w:hAnsi="Times New Roman"/>
                <w:sz w:val="10"/>
                <w:szCs w:val="10"/>
                <w:b w:val="1"/>
                <w:bCs w:val="1"/>
                <w:color w:val="auto"/>
              </w:rPr>
              <w:t>July 31,</w:t>
            </w:r>
          </w:p>
        </w:tc>
        <w:tc>
          <w:tcPr>
            <w:tcW w:w="4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6"/>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3"/>
          </w:tcPr>
          <w:p>
            <w:pPr>
              <w:jc w:val="right"/>
              <w:ind w:right="98"/>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2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3"/>
          </w:tcPr>
          <w:p>
            <w:pPr>
              <w:ind w:left="160"/>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97"/>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6"/>
          </w:tcPr>
          <w:p>
            <w:pPr>
              <w:ind w:left="40"/>
              <w:spacing w:after="0" w:line="97"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55"/>
        </w:trPr>
        <w:tc>
          <w:tcPr>
            <w:tcW w:w="20" w:type="dxa"/>
            <w:vAlign w:val="bottom"/>
          </w:tcPr>
          <w:p>
            <w:pPr>
              <w:spacing w:after="0"/>
              <w:rPr>
                <w:sz w:val="13"/>
                <w:szCs w:val="13"/>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from operations</w:t>
            </w:r>
          </w:p>
        </w:tc>
        <w:tc>
          <w:tcPr>
            <w:tcW w:w="10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 (52,013)</w:t>
            </w:r>
          </w:p>
        </w:tc>
        <w:tc>
          <w:tcPr>
            <w:tcW w:w="1000" w:type="dxa"/>
            <w:vAlign w:val="bottom"/>
            <w:gridSpan w:val="7"/>
            <w:shd w:val="clear" w:color="auto" w:fill="CCEEFF"/>
          </w:tcPr>
          <w:p>
            <w:pPr>
              <w:jc w:val="right"/>
              <w:ind w:right="148"/>
              <w:spacing w:after="0"/>
              <w:rPr>
                <w:sz w:val="20"/>
                <w:szCs w:val="20"/>
                <w:color w:val="auto"/>
              </w:rPr>
            </w:pPr>
            <w:r>
              <w:rPr>
                <w:rFonts w:ascii="Times New Roman" w:cs="Times New Roman" w:eastAsia="Times New Roman" w:hAnsi="Times New Roman"/>
                <w:sz w:val="13"/>
                <w:szCs w:val="13"/>
                <w:color w:val="auto"/>
              </w:rPr>
              <w:t>$(119,631)</w:t>
            </w:r>
          </w:p>
        </w:tc>
        <w:tc>
          <w:tcPr>
            <w:tcW w:w="40" w:type="dxa"/>
            <w:vAlign w:val="bottom"/>
            <w:shd w:val="clear" w:color="auto" w:fill="CCEEFF"/>
          </w:tcPr>
          <w:p>
            <w:pPr>
              <w:spacing w:after="0"/>
              <w:rPr>
                <w:sz w:val="13"/>
                <w:szCs w:val="13"/>
                <w:color w:val="auto"/>
              </w:rPr>
            </w:pPr>
          </w:p>
        </w:tc>
        <w:tc>
          <w:tcPr>
            <w:tcW w:w="660" w:type="dxa"/>
            <w:vAlign w:val="bottom"/>
            <w:gridSpan w:val="5"/>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auto"/>
              </w:rPr>
              <w:t>$ (31,244)</w:t>
            </w:r>
          </w:p>
        </w:tc>
        <w:tc>
          <w:tcPr>
            <w:tcW w:w="120" w:type="dxa"/>
            <w:vAlign w:val="bottom"/>
            <w:shd w:val="clear" w:color="auto" w:fill="CCEEFF"/>
          </w:tcPr>
          <w:p>
            <w:pPr>
              <w:spacing w:after="0"/>
              <w:rPr>
                <w:sz w:val="13"/>
                <w:szCs w:val="13"/>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w w:val="98"/>
              </w:rPr>
              <w:t>(62,669)</w:t>
            </w:r>
          </w:p>
        </w:tc>
      </w:tr>
      <w:tr>
        <w:trPr>
          <w:trHeight w:val="155"/>
        </w:trPr>
        <w:tc>
          <w:tcPr>
            <w:tcW w:w="20" w:type="dxa"/>
            <w:vAlign w:val="bottom"/>
          </w:tcPr>
          <w:p>
            <w:pPr>
              <w:spacing w:after="0"/>
              <w:rPr>
                <w:sz w:val="13"/>
                <w:szCs w:val="13"/>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Add:</w:t>
            </w: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8,547</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48,386</w:t>
            </w: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8"/>
              </w:rPr>
              <w:t>3,428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9,358</w:t>
            </w: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Direct listing expenses</w:t>
            </w:r>
          </w:p>
        </w:tc>
        <w:tc>
          <w:tcPr>
            <w:tcW w:w="420" w:type="dxa"/>
            <w:vAlign w:val="bottom"/>
          </w:tcPr>
          <w:p>
            <w:pPr>
              <w:spacing w:after="0"/>
              <w:rPr>
                <w:sz w:val="13"/>
                <w:szCs w:val="13"/>
                <w:color w:val="auto"/>
              </w:rPr>
            </w:pPr>
          </w:p>
        </w:tc>
        <w:tc>
          <w:tcPr>
            <w:tcW w:w="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1,912</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2,237</w:t>
            </w:r>
          </w:p>
        </w:tc>
        <w:tc>
          <w:tcPr>
            <w:tcW w:w="80" w:type="dxa"/>
            <w:vAlign w:val="bottom"/>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Non-GAAP loss from operations</w:t>
            </w:r>
          </w:p>
        </w:tc>
        <w:tc>
          <w:tcPr>
            <w:tcW w:w="10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 (43,466)</w:t>
            </w:r>
          </w:p>
        </w:tc>
        <w:tc>
          <w:tcPr>
            <w:tcW w:w="340" w:type="dxa"/>
            <w:vAlign w:val="bottom"/>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4"/>
            <w:shd w:val="clear" w:color="auto" w:fill="CCEEFF"/>
          </w:tcPr>
          <w:p>
            <w:pPr>
              <w:jc w:val="right"/>
              <w:ind w:right="148"/>
              <w:spacing w:after="0"/>
              <w:rPr>
                <w:sz w:val="20"/>
                <w:szCs w:val="20"/>
                <w:color w:val="auto"/>
              </w:rPr>
            </w:pPr>
            <w:r>
              <w:rPr>
                <w:rFonts w:ascii="Times New Roman" w:cs="Times New Roman" w:eastAsia="Times New Roman" w:hAnsi="Times New Roman"/>
                <w:sz w:val="13"/>
                <w:szCs w:val="13"/>
                <w:color w:val="auto"/>
                <w:w w:val="98"/>
              </w:rPr>
              <w:t>(69,333)</w:t>
            </w:r>
          </w:p>
        </w:tc>
        <w:tc>
          <w:tcPr>
            <w:tcW w:w="40" w:type="dxa"/>
            <w:vAlign w:val="bottom"/>
            <w:shd w:val="clear" w:color="auto" w:fill="CCEEFF"/>
          </w:tcPr>
          <w:p>
            <w:pPr>
              <w:spacing w:after="0"/>
              <w:rPr>
                <w:sz w:val="14"/>
                <w:szCs w:val="14"/>
                <w:color w:val="auto"/>
              </w:rPr>
            </w:pPr>
          </w:p>
        </w:tc>
        <w:tc>
          <w:tcPr>
            <w:tcW w:w="660" w:type="dxa"/>
            <w:vAlign w:val="bottom"/>
            <w:gridSpan w:val="5"/>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auto"/>
              </w:rPr>
              <w:t>$ (27,816)</w:t>
            </w:r>
          </w:p>
        </w:tc>
        <w:tc>
          <w:tcPr>
            <w:tcW w:w="12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w w:val="98"/>
              </w:rPr>
              <w:t>(51,074)</w:t>
            </w:r>
          </w:p>
        </w:tc>
      </w:tr>
      <w:tr>
        <w:trPr>
          <w:trHeight w:val="397"/>
        </w:trPr>
        <w:tc>
          <w:tcPr>
            <w:tcW w:w="20" w:type="dxa"/>
            <w:vAlign w:val="bottom"/>
          </w:tcPr>
          <w:p>
            <w:pPr>
              <w:spacing w:after="0"/>
              <w:rPr>
                <w:sz w:val="24"/>
                <w:szCs w:val="24"/>
                <w:color w:val="auto"/>
              </w:rPr>
            </w:pPr>
          </w:p>
        </w:tc>
        <w:tc>
          <w:tcPr>
            <w:tcW w:w="4380" w:type="dxa"/>
            <w:vAlign w:val="bottom"/>
          </w:tcPr>
          <w:p>
            <w:pPr>
              <w:ind w:left="300"/>
              <w:spacing w:after="0"/>
              <w:rPr>
                <w:sz w:val="20"/>
                <w:szCs w:val="20"/>
                <w:color w:val="auto"/>
              </w:rPr>
            </w:pPr>
            <w:r>
              <w:rPr>
                <w:rFonts w:ascii="Times New Roman" w:cs="Times New Roman" w:eastAsia="Times New Roman" w:hAnsi="Times New Roman"/>
                <w:sz w:val="13"/>
                <w:szCs w:val="13"/>
                <w:i w:val="1"/>
                <w:iCs w:val="1"/>
                <w:color w:val="auto"/>
              </w:rPr>
              <w:t>Non-GAAP Net Loss</w:t>
            </w:r>
          </w:p>
        </w:tc>
        <w:tc>
          <w:tcPr>
            <w:tcW w:w="4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4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gridSpan w:val="5"/>
          </w:tcPr>
          <w:p>
            <w:pPr>
              <w:jc w:val="right"/>
              <w:spacing w:after="0"/>
              <w:rPr>
                <w:sz w:val="20"/>
                <w:szCs w:val="20"/>
                <w:color w:val="auto"/>
              </w:rPr>
            </w:pPr>
            <w:r>
              <w:rPr>
                <w:rFonts w:ascii="Times New Roman" w:cs="Times New Roman" w:eastAsia="Times New Roman" w:hAnsi="Times New Roman"/>
                <w:sz w:val="10"/>
                <w:szCs w:val="10"/>
                <w:b w:val="1"/>
                <w:bCs w:val="1"/>
                <w:color w:val="auto"/>
                <w:w w:val="97"/>
              </w:rPr>
              <w:t>Year Ended</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gridSpan w:val="8"/>
          </w:tcPr>
          <w:p>
            <w:pPr>
              <w:jc w:val="center"/>
              <w:ind w:right="262"/>
              <w:spacing w:after="0"/>
              <w:rPr>
                <w:sz w:val="20"/>
                <w:szCs w:val="20"/>
                <w:color w:val="auto"/>
              </w:rPr>
            </w:pPr>
            <w:r>
              <w:rPr>
                <w:rFonts w:ascii="Times New Roman" w:cs="Times New Roman" w:eastAsia="Times New Roman" w:hAnsi="Times New Roman"/>
                <w:sz w:val="10"/>
                <w:szCs w:val="10"/>
                <w:b w:val="1"/>
                <w:bCs w:val="1"/>
                <w:color w:val="auto"/>
              </w:rPr>
              <w:t>Six Months Ended</w:t>
            </w:r>
          </w:p>
        </w:tc>
      </w:tr>
      <w:tr>
        <w:trPr>
          <w:trHeight w:val="123"/>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0"/>
                <w:szCs w:val="10"/>
                <w:b w:val="1"/>
                <w:bCs w:val="1"/>
                <w:color w:val="auto"/>
                <w:w w:val="98"/>
              </w:rPr>
              <w:t>January 31,</w:t>
            </w: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6"/>
          </w:tcPr>
          <w:p>
            <w:pPr>
              <w:jc w:val="center"/>
              <w:ind w:left="140"/>
              <w:spacing w:after="0"/>
              <w:rPr>
                <w:sz w:val="20"/>
                <w:szCs w:val="20"/>
                <w:color w:val="auto"/>
              </w:rPr>
            </w:pPr>
            <w:r>
              <w:rPr>
                <w:rFonts w:ascii="Times New Roman" w:cs="Times New Roman" w:eastAsia="Times New Roman" w:hAnsi="Times New Roman"/>
                <w:sz w:val="10"/>
                <w:szCs w:val="10"/>
                <w:b w:val="1"/>
                <w:bCs w:val="1"/>
                <w:color w:val="auto"/>
              </w:rPr>
              <w:t>July 31,</w:t>
            </w:r>
          </w:p>
        </w:tc>
        <w:tc>
          <w:tcPr>
            <w:tcW w:w="4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6"/>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3"/>
          </w:tcPr>
          <w:p>
            <w:pPr>
              <w:jc w:val="right"/>
              <w:ind w:right="98"/>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2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3"/>
          </w:tcPr>
          <w:p>
            <w:pPr>
              <w:ind w:left="160"/>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97"/>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6"/>
          </w:tcPr>
          <w:p>
            <w:pPr>
              <w:ind w:left="40"/>
              <w:spacing w:after="0" w:line="97"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55"/>
        </w:trPr>
        <w:tc>
          <w:tcPr>
            <w:tcW w:w="20" w:type="dxa"/>
            <w:vAlign w:val="bottom"/>
          </w:tcPr>
          <w:p>
            <w:pPr>
              <w:spacing w:after="0"/>
              <w:rPr>
                <w:sz w:val="13"/>
                <w:szCs w:val="13"/>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10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 (50,928)</w:t>
            </w:r>
          </w:p>
        </w:tc>
        <w:tc>
          <w:tcPr>
            <w:tcW w:w="1000" w:type="dxa"/>
            <w:vAlign w:val="bottom"/>
            <w:gridSpan w:val="7"/>
            <w:shd w:val="clear" w:color="auto" w:fill="CCEEFF"/>
          </w:tcPr>
          <w:p>
            <w:pPr>
              <w:jc w:val="right"/>
              <w:ind w:right="148"/>
              <w:spacing w:after="0"/>
              <w:rPr>
                <w:sz w:val="20"/>
                <w:szCs w:val="20"/>
                <w:color w:val="auto"/>
              </w:rPr>
            </w:pPr>
            <w:r>
              <w:rPr>
                <w:rFonts w:ascii="Times New Roman" w:cs="Times New Roman" w:eastAsia="Times New Roman" w:hAnsi="Times New Roman"/>
                <w:sz w:val="13"/>
                <w:szCs w:val="13"/>
                <w:color w:val="auto"/>
              </w:rPr>
              <w:t>$(118,589)</w:t>
            </w:r>
          </w:p>
        </w:tc>
        <w:tc>
          <w:tcPr>
            <w:tcW w:w="40" w:type="dxa"/>
            <w:vAlign w:val="bottom"/>
            <w:shd w:val="clear" w:color="auto" w:fill="CCEEFF"/>
          </w:tcPr>
          <w:p>
            <w:pPr>
              <w:spacing w:after="0"/>
              <w:rPr>
                <w:sz w:val="13"/>
                <w:szCs w:val="13"/>
                <w:color w:val="auto"/>
              </w:rPr>
            </w:pPr>
          </w:p>
        </w:tc>
        <w:tc>
          <w:tcPr>
            <w:tcW w:w="660" w:type="dxa"/>
            <w:vAlign w:val="bottom"/>
            <w:gridSpan w:val="5"/>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auto"/>
              </w:rPr>
              <w:t>$ (30,541)</w:t>
            </w:r>
          </w:p>
        </w:tc>
        <w:tc>
          <w:tcPr>
            <w:tcW w:w="120" w:type="dxa"/>
            <w:vAlign w:val="bottom"/>
            <w:shd w:val="clear" w:color="auto" w:fill="CCEEFF"/>
          </w:tcPr>
          <w:p>
            <w:pPr>
              <w:spacing w:after="0"/>
              <w:rPr>
                <w:sz w:val="13"/>
                <w:szCs w:val="13"/>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w w:val="98"/>
              </w:rPr>
              <w:t>(76,911)</w:t>
            </w:r>
          </w:p>
        </w:tc>
      </w:tr>
      <w:tr>
        <w:trPr>
          <w:trHeight w:val="155"/>
        </w:trPr>
        <w:tc>
          <w:tcPr>
            <w:tcW w:w="20" w:type="dxa"/>
            <w:vAlign w:val="bottom"/>
          </w:tcPr>
          <w:p>
            <w:pPr>
              <w:spacing w:after="0"/>
              <w:rPr>
                <w:sz w:val="13"/>
                <w:szCs w:val="13"/>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Add:</w:t>
            </w: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8,547</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48,386</w:t>
            </w: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8"/>
              </w:rPr>
              <w:t>3,428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9,358</w:t>
            </w: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discount on convertible notes</w:t>
            </w:r>
          </w:p>
        </w:tc>
        <w:tc>
          <w:tcPr>
            <w:tcW w:w="420" w:type="dxa"/>
            <w:vAlign w:val="bottom"/>
          </w:tcPr>
          <w:p>
            <w:pPr>
              <w:spacing w:after="0"/>
              <w:rPr>
                <w:sz w:val="13"/>
                <w:szCs w:val="13"/>
                <w:color w:val="auto"/>
              </w:rPr>
            </w:pPr>
          </w:p>
        </w:tc>
        <w:tc>
          <w:tcPr>
            <w:tcW w:w="60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3"/>
          </w:tcPr>
          <w:p>
            <w:pPr>
              <w:jc w:val="right"/>
              <w:ind w:right="20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9,609</w:t>
            </w: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 on convertible notes</w:t>
            </w:r>
          </w:p>
        </w:tc>
        <w:tc>
          <w:tcPr>
            <w:tcW w:w="420" w:type="dxa"/>
            <w:vAlign w:val="bottom"/>
            <w:shd w:val="clear" w:color="auto" w:fill="CCEEFF"/>
          </w:tcPr>
          <w:p>
            <w:pPr>
              <w:spacing w:after="0"/>
              <w:rPr>
                <w:sz w:val="13"/>
                <w:szCs w:val="13"/>
                <w:color w:val="auto"/>
              </w:rPr>
            </w:pPr>
          </w:p>
        </w:tc>
        <w:tc>
          <w:tcPr>
            <w:tcW w:w="6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20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5,739</w:t>
            </w: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Direct listing expenses</w:t>
            </w:r>
          </w:p>
        </w:tc>
        <w:tc>
          <w:tcPr>
            <w:tcW w:w="420" w:type="dxa"/>
            <w:vAlign w:val="bottom"/>
          </w:tcPr>
          <w:p>
            <w:pPr>
              <w:spacing w:after="0"/>
              <w:rPr>
                <w:sz w:val="13"/>
                <w:szCs w:val="13"/>
                <w:color w:val="auto"/>
              </w:rPr>
            </w:pPr>
          </w:p>
        </w:tc>
        <w:tc>
          <w:tcPr>
            <w:tcW w:w="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1,912</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2,237</w:t>
            </w:r>
          </w:p>
        </w:tc>
        <w:tc>
          <w:tcPr>
            <w:tcW w:w="80" w:type="dxa"/>
            <w:vAlign w:val="bottom"/>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Non-GAAP net loss</w:t>
            </w:r>
          </w:p>
        </w:tc>
        <w:tc>
          <w:tcPr>
            <w:tcW w:w="10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 (42,381)</w:t>
            </w:r>
          </w:p>
        </w:tc>
        <w:tc>
          <w:tcPr>
            <w:tcW w:w="340" w:type="dxa"/>
            <w:vAlign w:val="bottom"/>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4"/>
            <w:shd w:val="clear" w:color="auto" w:fill="CCEEFF"/>
          </w:tcPr>
          <w:p>
            <w:pPr>
              <w:jc w:val="right"/>
              <w:ind w:right="148"/>
              <w:spacing w:after="0"/>
              <w:rPr>
                <w:sz w:val="20"/>
                <w:szCs w:val="20"/>
                <w:color w:val="auto"/>
              </w:rPr>
            </w:pPr>
            <w:r>
              <w:rPr>
                <w:rFonts w:ascii="Times New Roman" w:cs="Times New Roman" w:eastAsia="Times New Roman" w:hAnsi="Times New Roman"/>
                <w:sz w:val="13"/>
                <w:szCs w:val="13"/>
                <w:color w:val="auto"/>
                <w:w w:val="98"/>
              </w:rPr>
              <w:t>(68,213)</w:t>
            </w:r>
          </w:p>
        </w:tc>
        <w:tc>
          <w:tcPr>
            <w:tcW w:w="40" w:type="dxa"/>
            <w:vAlign w:val="bottom"/>
            <w:shd w:val="clear" w:color="auto" w:fill="CCEEFF"/>
          </w:tcPr>
          <w:p>
            <w:pPr>
              <w:spacing w:after="0"/>
              <w:rPr>
                <w:sz w:val="14"/>
                <w:szCs w:val="14"/>
                <w:color w:val="auto"/>
              </w:rPr>
            </w:pPr>
          </w:p>
        </w:tc>
        <w:tc>
          <w:tcPr>
            <w:tcW w:w="660" w:type="dxa"/>
            <w:vAlign w:val="bottom"/>
            <w:gridSpan w:val="5"/>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auto"/>
              </w:rPr>
              <w:t>$ (27,113)</w:t>
            </w:r>
          </w:p>
        </w:tc>
        <w:tc>
          <w:tcPr>
            <w:tcW w:w="12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w w:val="98"/>
              </w:rPr>
              <w:t>(49,968)</w:t>
            </w:r>
          </w:p>
        </w:tc>
      </w:tr>
      <w:tr>
        <w:trPr>
          <w:trHeight w:val="319"/>
        </w:trPr>
        <w:tc>
          <w:tcPr>
            <w:tcW w:w="20" w:type="dxa"/>
            <w:vAlign w:val="bottom"/>
          </w:tcPr>
          <w:p>
            <w:pPr>
              <w:spacing w:after="0"/>
              <w:rPr>
                <w:sz w:val="24"/>
                <w:szCs w:val="24"/>
                <w:color w:val="auto"/>
              </w:rPr>
            </w:pPr>
          </w:p>
        </w:tc>
        <w:tc>
          <w:tcPr>
            <w:tcW w:w="4380" w:type="dxa"/>
            <w:vAlign w:val="bottom"/>
          </w:tcPr>
          <w:p>
            <w:pPr>
              <w:ind w:left="300"/>
              <w:spacing w:after="0"/>
              <w:rPr>
                <w:sz w:val="20"/>
                <w:szCs w:val="20"/>
                <w:color w:val="auto"/>
              </w:rPr>
            </w:pPr>
            <w:r>
              <w:rPr>
                <w:rFonts w:ascii="Times New Roman" w:cs="Times New Roman" w:eastAsia="Times New Roman" w:hAnsi="Times New Roman"/>
                <w:sz w:val="13"/>
                <w:szCs w:val="13"/>
                <w:i w:val="1"/>
                <w:iCs w:val="1"/>
                <w:color w:val="auto"/>
              </w:rPr>
              <w:t>Free Cash Flow</w:t>
            </w:r>
          </w:p>
        </w:tc>
        <w:tc>
          <w:tcPr>
            <w:tcW w:w="4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4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gridSpan w:val="8"/>
          </w:tcPr>
          <w:p>
            <w:pPr>
              <w:jc w:val="right"/>
              <w:ind w:right="395"/>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gridSpan w:val="8"/>
          </w:tcPr>
          <w:p>
            <w:pPr>
              <w:jc w:val="right"/>
              <w:ind w:right="242"/>
              <w:spacing w:after="0"/>
              <w:rPr>
                <w:sz w:val="20"/>
                <w:szCs w:val="20"/>
                <w:color w:val="auto"/>
              </w:rPr>
            </w:pPr>
            <w:r>
              <w:rPr>
                <w:rFonts w:ascii="Times New Roman" w:cs="Times New Roman" w:eastAsia="Times New Roman" w:hAnsi="Times New Roman"/>
                <w:sz w:val="10"/>
                <w:szCs w:val="10"/>
                <w:b w:val="1"/>
                <w:bCs w:val="1"/>
                <w:color w:val="auto"/>
              </w:rPr>
              <w:t>Six Months Ended</w:t>
            </w:r>
          </w:p>
        </w:tc>
      </w:tr>
      <w:tr>
        <w:trPr>
          <w:trHeight w:val="123"/>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8"/>
          </w:tcPr>
          <w:p>
            <w:pPr>
              <w:jc w:val="right"/>
              <w:ind w:right="375"/>
              <w:spacing w:after="0"/>
              <w:rPr>
                <w:sz w:val="20"/>
                <w:szCs w:val="20"/>
                <w:color w:val="auto"/>
              </w:rPr>
            </w:pPr>
            <w:r>
              <w:rPr>
                <w:rFonts w:ascii="Times New Roman" w:cs="Times New Roman" w:eastAsia="Times New Roman" w:hAnsi="Times New Roman"/>
                <w:sz w:val="10"/>
                <w:szCs w:val="10"/>
                <w:b w:val="1"/>
                <w:bCs w:val="1"/>
                <w:color w:val="auto"/>
              </w:rPr>
              <w:t>January 31,</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gridSpan w:val="5"/>
          </w:tcPr>
          <w:p>
            <w:pPr>
              <w:jc w:val="right"/>
              <w:spacing w:after="0"/>
              <w:rPr>
                <w:sz w:val="20"/>
                <w:szCs w:val="20"/>
                <w:color w:val="auto"/>
              </w:rPr>
            </w:pPr>
            <w:r>
              <w:rPr>
                <w:rFonts w:ascii="Times New Roman" w:cs="Times New Roman" w:eastAsia="Times New Roman" w:hAnsi="Times New Roman"/>
                <w:sz w:val="10"/>
                <w:szCs w:val="10"/>
                <w:b w:val="1"/>
                <w:bCs w:val="1"/>
                <w:color w:val="auto"/>
              </w:rPr>
              <w:t>July 31,</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96"/>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840" w:type="dxa"/>
            <w:vAlign w:val="bottom"/>
            <w:gridSpan w:val="3"/>
          </w:tcPr>
          <w:p>
            <w:pPr>
              <w:spacing w:after="0"/>
              <w:rPr>
                <w:sz w:val="8"/>
                <w:szCs w:val="8"/>
                <w:color w:val="auto"/>
              </w:rPr>
            </w:pPr>
          </w:p>
        </w:tc>
        <w:tc>
          <w:tcPr>
            <w:tcW w:w="400" w:type="dxa"/>
            <w:vAlign w:val="bottom"/>
            <w:tcBorders>
              <w:top w:val="single" w:sz="8" w:color="auto"/>
              <w:bottom w:val="single" w:sz="8" w:color="auto"/>
            </w:tcBorders>
            <w:gridSpan w:val="3"/>
          </w:tcPr>
          <w:p>
            <w:pPr>
              <w:jc w:val="right"/>
              <w:ind w:right="18"/>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6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gridSpan w:val="2"/>
          </w:tcPr>
          <w:p>
            <w:pPr>
              <w:jc w:val="right"/>
              <w:ind w:right="108"/>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00" w:type="dxa"/>
            <w:vAlign w:val="bottom"/>
            <w:tcBorders>
              <w:top w:val="single" w:sz="8" w:color="auto"/>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77"/>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8"/>
          </w:tcPr>
          <w:p>
            <w:pPr>
              <w:jc w:val="right"/>
              <w:ind w:right="362"/>
              <w:spacing w:after="0" w:line="97"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64"/>
        </w:trPr>
        <w:tc>
          <w:tcPr>
            <w:tcW w:w="20" w:type="dxa"/>
            <w:vAlign w:val="bottom"/>
          </w:tcPr>
          <w:p>
            <w:pPr>
              <w:spacing w:after="0"/>
              <w:rPr>
                <w:sz w:val="14"/>
                <w:szCs w:val="14"/>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136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(44,662)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12,655</w:t>
            </w:r>
          </w:p>
        </w:tc>
        <w:tc>
          <w:tcPr>
            <w:tcW w:w="40" w:type="dxa"/>
            <w:vAlign w:val="bottom"/>
            <w:shd w:val="clear" w:color="auto" w:fill="CCEEFF"/>
          </w:tcPr>
          <w:p>
            <w:pPr>
              <w:spacing w:after="0"/>
              <w:rPr>
                <w:sz w:val="14"/>
                <w:szCs w:val="14"/>
                <w:color w:val="auto"/>
              </w:rPr>
            </w:pPr>
          </w:p>
        </w:tc>
        <w:tc>
          <w:tcPr>
            <w:tcW w:w="2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rPr>
              <w:t>(1,877)</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25,723</w:t>
            </w:r>
          </w:p>
        </w:tc>
        <w:tc>
          <w:tcPr>
            <w:tcW w:w="80" w:type="dxa"/>
            <w:vAlign w:val="bottom"/>
            <w:shd w:val="clear" w:color="auto" w:fill="CCEEFF"/>
          </w:tcPr>
          <w:p>
            <w:pPr>
              <w:spacing w:after="0"/>
              <w:rPr>
                <w:sz w:val="14"/>
                <w:szCs w:val="14"/>
                <w:color w:val="auto"/>
              </w:rPr>
            </w:pPr>
          </w:p>
        </w:tc>
      </w:tr>
      <w:tr>
        <w:trPr>
          <w:trHeight w:val="174"/>
        </w:trPr>
        <w:tc>
          <w:tcPr>
            <w:tcW w:w="4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8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top w:val="single" w:sz="8" w:color="auto"/>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3"/>
                <w:szCs w:val="13"/>
                <w:color w:val="auto"/>
                <w:w w:val="92"/>
              </w:rPr>
              <w:t>$ 55,293</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4"/>
              </w:rPr>
              <w:t>311,597</w:t>
            </w:r>
          </w:p>
        </w:tc>
        <w:tc>
          <w:tcPr>
            <w:tcW w:w="4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2,923</w:t>
            </w:r>
          </w:p>
        </w:tc>
        <w:tc>
          <w:tcPr>
            <w:tcW w:w="1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154,480</w:t>
            </w:r>
          </w:p>
        </w:tc>
        <w:tc>
          <w:tcPr>
            <w:tcW w:w="80" w:type="dxa"/>
            <w:vAlign w:val="bottom"/>
          </w:tcPr>
          <w:p>
            <w:pPr>
              <w:spacing w:after="0"/>
              <w:rPr>
                <w:sz w:val="15"/>
                <w:szCs w:val="15"/>
                <w:color w:val="auto"/>
              </w:rPr>
            </w:pPr>
          </w:p>
        </w:tc>
      </w:tr>
      <w:tr>
        <w:trPr>
          <w:trHeight w:val="165"/>
        </w:trPr>
        <w:tc>
          <w:tcPr>
            <w:tcW w:w="20" w:type="dxa"/>
            <w:vAlign w:val="bottom"/>
          </w:tcPr>
          <w:p>
            <w:pPr>
              <w:spacing w:after="0"/>
              <w:rPr>
                <w:sz w:val="14"/>
                <w:szCs w:val="14"/>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136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$(30,180)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3"/>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8"/>
              </w:rPr>
              <w:t>(40,136)</w:t>
            </w:r>
          </w:p>
        </w:tc>
        <w:tc>
          <w:tcPr>
            <w:tcW w:w="780" w:type="dxa"/>
            <w:vAlign w:val="bottom"/>
            <w:gridSpan w:val="6"/>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rPr>
              <w:t>$(13,100)</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w w:val="98"/>
              </w:rPr>
              <w:t>(40,270)</w:t>
            </w:r>
          </w:p>
        </w:tc>
      </w:tr>
      <w:tr>
        <w:trPr>
          <w:trHeight w:val="155"/>
        </w:trPr>
        <w:tc>
          <w:tcPr>
            <w:tcW w:w="20" w:type="dxa"/>
            <w:vAlign w:val="bottom"/>
          </w:tcPr>
          <w:p>
            <w:pPr>
              <w:spacing w:after="0"/>
              <w:rPr>
                <w:sz w:val="13"/>
                <w:szCs w:val="13"/>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Less:</w:t>
            </w: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136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(2,850)</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(6,878)</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rPr>
              <w:t>(849)</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w w:val="98"/>
              </w:rPr>
              <w:t>(12,401)</w:t>
            </w:r>
          </w:p>
        </w:tc>
      </w:tr>
      <w:tr>
        <w:trPr>
          <w:trHeight w:val="155"/>
        </w:trPr>
        <w:tc>
          <w:tcPr>
            <w:tcW w:w="20" w:type="dxa"/>
            <w:vAlign w:val="bottom"/>
          </w:tcPr>
          <w:p>
            <w:pPr>
              <w:spacing w:after="0"/>
              <w:rPr>
                <w:sz w:val="13"/>
                <w:szCs w:val="13"/>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Capitalized internal-use software</w:t>
            </w: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(557)</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3"/>
          </w:tcPr>
          <w:p>
            <w:pPr>
              <w:jc w:val="right"/>
              <w:ind w:right="15"/>
              <w:spacing w:after="0"/>
              <w:rPr>
                <w:sz w:val="20"/>
                <w:szCs w:val="20"/>
                <w:color w:val="auto"/>
              </w:rPr>
            </w:pPr>
            <w:r>
              <w:rPr>
                <w:rFonts w:ascii="Times New Roman" w:cs="Times New Roman" w:eastAsia="Times New Roman" w:hAnsi="Times New Roman"/>
                <w:sz w:val="13"/>
                <w:szCs w:val="13"/>
                <w:color w:val="auto"/>
              </w:rPr>
              <w:t>(384)</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3"/>
          </w:tcPr>
          <w:p>
            <w:pPr>
              <w:jc w:val="right"/>
              <w:ind w:right="42"/>
              <w:spacing w:after="0"/>
              <w:rPr>
                <w:sz w:val="20"/>
                <w:szCs w:val="20"/>
                <w:color w:val="auto"/>
              </w:rPr>
            </w:pPr>
            <w:r>
              <w:rPr>
                <w:rFonts w:ascii="Times New Roman" w:cs="Times New Roman" w:eastAsia="Times New Roman" w:hAnsi="Times New Roman"/>
                <w:sz w:val="13"/>
                <w:szCs w:val="13"/>
                <w:color w:val="auto"/>
              </w:rPr>
              <w:t>(302)</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(818)</w:t>
            </w:r>
          </w:p>
        </w:tc>
      </w:tr>
      <w:tr>
        <w:trPr>
          <w:trHeight w:val="155"/>
        </w:trPr>
        <w:tc>
          <w:tcPr>
            <w:tcW w:w="20" w:type="dxa"/>
            <w:vAlign w:val="bottom"/>
          </w:tcPr>
          <w:p>
            <w:pPr>
              <w:spacing w:after="0"/>
              <w:rPr>
                <w:sz w:val="13"/>
                <w:szCs w:val="13"/>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Add:</w:t>
            </w: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Purchases of property and equipment for build-out of corporate headquarters</w:t>
            </w: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3"/>
          </w:tcPr>
          <w:p>
            <w:pPr>
              <w:jc w:val="right"/>
              <w:ind w:right="42"/>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2,626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11,308</w:t>
            </w: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Direct listing expenses paid</w:t>
            </w: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3,209</w:t>
            </w:r>
          </w:p>
        </w:tc>
        <w:tc>
          <w:tcPr>
            <w:tcW w:w="80" w:type="dxa"/>
            <w:vAlign w:val="bottom"/>
            <w:shd w:val="clear" w:color="auto" w:fill="CCEEFF"/>
          </w:tcPr>
          <w:p>
            <w:pPr>
              <w:spacing w:after="0"/>
              <w:rPr>
                <w:sz w:val="13"/>
                <w:szCs w:val="13"/>
                <w:color w:val="auto"/>
              </w:rPr>
            </w:pPr>
          </w:p>
        </w:tc>
      </w:tr>
      <w:tr>
        <w:trPr>
          <w:trHeight w:val="164"/>
        </w:trPr>
        <w:tc>
          <w:tcPr>
            <w:tcW w:w="4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Free cash flow</w:t>
            </w:r>
          </w:p>
        </w:tc>
        <w:tc>
          <w:tcPr>
            <w:tcW w:w="82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top w:val="single" w:sz="8" w:color="auto"/>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3"/>
                <w:szCs w:val="13"/>
                <w:u w:val="single" w:color="auto"/>
                <w:color w:val="auto"/>
                <w:w w:val="90"/>
              </w:rPr>
              <w:t>$</w:t>
            </w:r>
            <w:r>
              <w:rPr>
                <w:rFonts w:ascii="Times New Roman" w:cs="Times New Roman" w:eastAsia="Times New Roman" w:hAnsi="Times New Roman"/>
                <w:sz w:val="13"/>
                <w:szCs w:val="13"/>
                <w:color w:val="auto"/>
                <w:w w:val="90"/>
              </w:rPr>
              <w:t>(33,587</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9"/>
              </w:rPr>
              <w:t>(44,605</w:t>
            </w:r>
          </w:p>
        </w:tc>
        <w:tc>
          <w:tcPr>
            <w:tcW w:w="40" w:type="dxa"/>
            <w:vAlign w:val="bottom"/>
          </w:tcPr>
          <w:p>
            <w:pPr>
              <w:jc w:val="right"/>
              <w:ind w:right="15"/>
              <w:spacing w:after="0"/>
              <w:rPr>
                <w:sz w:val="20"/>
                <w:szCs w:val="20"/>
                <w:color w:val="auto"/>
              </w:rPr>
            </w:pPr>
            <w:r>
              <w:rPr>
                <w:rFonts w:ascii="Times New Roman" w:cs="Times New Roman" w:eastAsia="Times New Roman" w:hAnsi="Times New Roman"/>
                <w:sz w:val="1"/>
                <w:szCs w:val="1"/>
                <w:color w:val="auto"/>
                <w:w w:val="4294967281"/>
              </w:rPr>
              <w:t>)</w:t>
            </w:r>
          </w:p>
        </w:tc>
        <w:tc>
          <w:tcPr>
            <w:tcW w:w="180" w:type="dxa"/>
            <w:vAlign w:val="bottom"/>
            <w:gridSpan w:val="2"/>
          </w:tcPr>
          <w:p>
            <w:pPr>
              <w:spacing w:after="0"/>
              <w:rPr>
                <w:sz w:val="14"/>
                <w:szCs w:val="14"/>
                <w:color w:val="auto"/>
              </w:rPr>
            </w:pPr>
          </w:p>
        </w:tc>
        <w:tc>
          <w:tcPr>
            <w:tcW w:w="4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u w:val="single" w:color="auto"/>
                <w:color w:val="auto"/>
                <w:w w:val="98"/>
              </w:rPr>
              <w:t>$</w:t>
            </w:r>
            <w:r>
              <w:rPr>
                <w:rFonts w:ascii="Times New Roman" w:cs="Times New Roman" w:eastAsia="Times New Roman" w:hAnsi="Times New Roman"/>
                <w:sz w:val="13"/>
                <w:szCs w:val="13"/>
                <w:color w:val="auto"/>
                <w:w w:val="98"/>
              </w:rPr>
              <w:t>(13,840</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gridSpan w:val="2"/>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(38,972</w:t>
            </w:r>
          </w:p>
        </w:tc>
        <w:tc>
          <w:tcPr>
            <w:tcW w:w="80" w:type="dxa"/>
            <w:vAlign w:val="bottom"/>
          </w:tcPr>
          <w:p>
            <w:pPr>
              <w:jc w:val="right"/>
              <w:ind w:right="2"/>
              <w:spacing w:after="0"/>
              <w:rPr>
                <w:sz w:val="20"/>
                <w:szCs w:val="20"/>
                <w:color w:val="auto"/>
              </w:rPr>
            </w:pPr>
            <w:r>
              <w:rPr>
                <w:rFonts w:ascii="Times New Roman" w:cs="Times New Roman" w:eastAsia="Times New Roman" w:hAnsi="Times New Roman"/>
                <w:sz w:val="8"/>
                <w:szCs w:val="8"/>
                <w:color w:val="auto"/>
                <w:w w:val="73"/>
              </w:rPr>
              <w:t>)</w:t>
            </w:r>
          </w:p>
        </w:tc>
      </w:tr>
    </w:tbl>
    <w:p>
      <w:pPr>
        <w:spacing w:after="0" w:line="15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Components of Results of Operations</w:t>
      </w:r>
    </w:p>
    <w:p>
      <w:pPr>
        <w:spacing w:after="0" w:line="15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Revenues</w:t>
      </w:r>
    </w:p>
    <w:p>
      <w:pPr>
        <w:spacing w:after="0" w:line="87" w:lineRule="exact"/>
        <w:rPr>
          <w:sz w:val="20"/>
          <w:szCs w:val="20"/>
          <w:color w:val="auto"/>
        </w:rPr>
      </w:pPr>
    </w:p>
    <w:p>
      <w:pPr>
        <w:ind w:left="1680" w:right="639" w:firstLine="316"/>
        <w:spacing w:after="0" w:line="263" w:lineRule="auto"/>
        <w:rPr>
          <w:sz w:val="20"/>
          <w:szCs w:val="20"/>
          <w:color w:val="auto"/>
        </w:rPr>
      </w:pPr>
      <w:r>
        <w:rPr>
          <w:rFonts w:ascii="Times New Roman" w:cs="Times New Roman" w:eastAsia="Times New Roman" w:hAnsi="Times New Roman"/>
          <w:sz w:val="13"/>
          <w:szCs w:val="13"/>
          <w:color w:val="auto"/>
        </w:rPr>
        <w:t>We generate subscription revenues from paying customers accessing our cloud-based platform. Subscription revenues are driven primarily by the number of paying customers, the number of paying users within the customer base, and the level of subscription plan. We recognize revenues ratably over the related contractual term beginning on the date that the platform is made available to a customer.</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65</w:t>
      </w:r>
    </w:p>
    <w:p>
      <w:pPr>
        <w:sectPr>
          <w:pgSz w:w="11900" w:h="16838" w:orient="portrait"/>
          <w:cols w:equalWidth="0" w:num="1">
            <w:col w:w="10159"/>
          </w:cols>
          <w:pgMar w:left="300" w:top="367" w:right="1440" w:bottom="1440" w:gutter="0" w:footer="0" w:header="0"/>
        </w:sectPr>
      </w:pPr>
    </w:p>
    <w:bookmarkStart w:id="70" w:name="page71"/>
    <w:bookmarkEnd w:id="7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Due to the ease of implementation of our platform, revenues from professional services have been immaterial to date.</w:t>
      </w:r>
    </w:p>
    <w:p>
      <w:pPr>
        <w:spacing w:after="0" w:line="23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Cost of Revenues</w:t>
      </w:r>
    </w:p>
    <w:p>
      <w:pPr>
        <w:spacing w:after="0" w:line="87" w:lineRule="exact"/>
        <w:rPr>
          <w:sz w:val="20"/>
          <w:szCs w:val="20"/>
          <w:color w:val="auto"/>
        </w:rPr>
      </w:pPr>
    </w:p>
    <w:p>
      <w:pPr>
        <w:jc w:val="both"/>
        <w:ind w:left="1680" w:right="939" w:firstLine="316"/>
        <w:spacing w:after="0" w:line="263" w:lineRule="auto"/>
        <w:rPr>
          <w:sz w:val="20"/>
          <w:szCs w:val="20"/>
          <w:color w:val="auto"/>
        </w:rPr>
      </w:pPr>
      <w:r>
        <w:rPr>
          <w:rFonts w:ascii="Times New Roman" w:cs="Times New Roman" w:eastAsia="Times New Roman" w:hAnsi="Times New Roman"/>
          <w:sz w:val="13"/>
          <w:szCs w:val="13"/>
          <w:color w:val="auto"/>
        </w:rPr>
        <w:t>Cost of revenues consists primarily of the cost of providing our platform to free users and paying customers and is comprised of third-party hosting fees, personnel-related expenses for our operations and support personnel, credit card processing fees, and amortization of our capitalized internal-use software costs.</w:t>
      </w:r>
    </w:p>
    <w:p>
      <w:pPr>
        <w:spacing w:after="0" w:line="129" w:lineRule="exact"/>
        <w:rPr>
          <w:sz w:val="20"/>
          <w:szCs w:val="20"/>
          <w:color w:val="auto"/>
        </w:rPr>
      </w:pPr>
    </w:p>
    <w:p>
      <w:pPr>
        <w:ind w:left="1680" w:right="859" w:firstLine="316"/>
        <w:spacing w:after="0" w:line="277" w:lineRule="auto"/>
        <w:rPr>
          <w:sz w:val="20"/>
          <w:szCs w:val="20"/>
          <w:color w:val="auto"/>
        </w:rPr>
      </w:pPr>
      <w:r>
        <w:rPr>
          <w:rFonts w:ascii="Times New Roman" w:cs="Times New Roman" w:eastAsia="Times New Roman" w:hAnsi="Times New Roman"/>
          <w:sz w:val="13"/>
          <w:szCs w:val="13"/>
          <w:color w:val="auto"/>
        </w:rPr>
        <w:t>As we acquire new customers and existing customers increase their use of our cloud-based platform, we expect that our cost of revenues will continue to increase in dollar amount.</w:t>
      </w:r>
    </w:p>
    <w:p>
      <w:pPr>
        <w:spacing w:after="0" w:line="19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Gross Profit and Gross Margin</w:t>
      </w:r>
    </w:p>
    <w:p>
      <w:pPr>
        <w:spacing w:after="0" w:line="87" w:lineRule="exact"/>
        <w:rPr>
          <w:sz w:val="20"/>
          <w:szCs w:val="20"/>
          <w:color w:val="auto"/>
        </w:rPr>
      </w:pPr>
    </w:p>
    <w:p>
      <w:pPr>
        <w:ind w:left="1680" w:right="719" w:firstLine="316"/>
        <w:spacing w:after="0" w:line="258" w:lineRule="auto"/>
        <w:rPr>
          <w:sz w:val="20"/>
          <w:szCs w:val="20"/>
          <w:color w:val="auto"/>
        </w:rPr>
      </w:pPr>
      <w:r>
        <w:rPr>
          <w:rFonts w:ascii="Times New Roman" w:cs="Times New Roman" w:eastAsia="Times New Roman" w:hAnsi="Times New Roman"/>
          <w:sz w:val="13"/>
          <w:szCs w:val="13"/>
          <w:color w:val="auto"/>
        </w:rPr>
        <w:t>Gross profit, or revenues less cost of revenues, and gross margin, or gross profit as a percentage of revenues, has been and will continue to be affected by various factors, including the timing of our acquisition of new customers, renewals of and follow-on sales to existing customers, costs associated with operating our cloud-based platform, and the extent to which we expand our operations and customer support organizations. We expect our gross profit to increase in dollar amount and our gross margin to remain relatively consistent over the long term.</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Operating Expenses</w:t>
      </w:r>
    </w:p>
    <w:p>
      <w:pPr>
        <w:spacing w:after="0" w:line="87" w:lineRule="exact"/>
        <w:rPr>
          <w:sz w:val="20"/>
          <w:szCs w:val="20"/>
          <w:color w:val="auto"/>
        </w:rPr>
      </w:pPr>
    </w:p>
    <w:p>
      <w:pPr>
        <w:ind w:left="1680" w:right="619" w:firstLine="316"/>
        <w:spacing w:after="0" w:line="258" w:lineRule="auto"/>
        <w:rPr>
          <w:sz w:val="20"/>
          <w:szCs w:val="20"/>
          <w:color w:val="auto"/>
        </w:rPr>
      </w:pPr>
      <w:r>
        <w:rPr>
          <w:rFonts w:ascii="Times New Roman" w:cs="Times New Roman" w:eastAsia="Times New Roman" w:hAnsi="Times New Roman"/>
          <w:sz w:val="13"/>
          <w:szCs w:val="13"/>
          <w:color w:val="auto"/>
        </w:rPr>
        <w:t>Our operating expenses consist of research and development, sales and marketing, and general and administrative expenses. Personnel-related expenses are the most significant component of operating expenses and consist of salaries, benefits, stock-based compensation expense, and, in the case of sales and marketing expenses, sales commissions. Operating expenses also include an allocation of overhead costs for facilities and shared IT-related expenses, including depreciation expense.</w:t>
      </w:r>
    </w:p>
    <w:p>
      <w:pPr>
        <w:spacing w:after="0" w:line="133" w:lineRule="exact"/>
        <w:rPr>
          <w:sz w:val="20"/>
          <w:szCs w:val="20"/>
          <w:color w:val="auto"/>
        </w:rPr>
      </w:pPr>
    </w:p>
    <w:p>
      <w:pPr>
        <w:ind w:left="1680" w:right="999" w:firstLine="316"/>
        <w:spacing w:after="0" w:line="277" w:lineRule="auto"/>
        <w:rPr>
          <w:sz w:val="20"/>
          <w:szCs w:val="20"/>
          <w:color w:val="auto"/>
        </w:rPr>
      </w:pPr>
      <w:r>
        <w:rPr>
          <w:rFonts w:ascii="Times New Roman" w:cs="Times New Roman" w:eastAsia="Times New Roman" w:hAnsi="Times New Roman"/>
          <w:sz w:val="13"/>
          <w:szCs w:val="13"/>
          <w:color w:val="auto"/>
        </w:rPr>
        <w:t>In each of the last two fiscal years, our personnel-related expenses have been significantly impacted by stock-based compensation expense associated with tender offers.</w:t>
      </w:r>
    </w:p>
    <w:p>
      <w:pPr>
        <w:spacing w:after="0" w:line="120" w:lineRule="exact"/>
        <w:rPr>
          <w:sz w:val="20"/>
          <w:szCs w:val="20"/>
          <w:color w:val="auto"/>
        </w:rPr>
      </w:pPr>
    </w:p>
    <w:p>
      <w:pPr>
        <w:ind w:left="1680" w:right="599" w:firstLine="316"/>
        <w:spacing w:after="0" w:line="256" w:lineRule="auto"/>
        <w:rPr>
          <w:sz w:val="20"/>
          <w:szCs w:val="20"/>
          <w:color w:val="auto"/>
        </w:rPr>
      </w:pPr>
      <w:r>
        <w:rPr>
          <w:rFonts w:ascii="Times New Roman" w:cs="Times New Roman" w:eastAsia="Times New Roman" w:hAnsi="Times New Roman"/>
          <w:sz w:val="13"/>
          <w:szCs w:val="13"/>
          <w:color w:val="auto"/>
        </w:rPr>
        <w:t>In April 2018, our board of directors approved a plan for a private trust whose sole trustee and grantor is our co-founder, President, Chief Executive Officer, or CEO, and Chair to purchase shares of our Class A and Class B common stock from certain current and former employees. A total of approximately 1.5 million shares were tendered in the offer. The tender offer closed in May 2018, at which time we recorded $3.8 million in stock-based compensation expense related to the excess of the selling price per share paid to our employees and former employees over the fair value of each tendered share.</w:t>
      </w:r>
    </w:p>
    <w:p>
      <w:pPr>
        <w:spacing w:after="0" w:line="133" w:lineRule="exact"/>
        <w:rPr>
          <w:sz w:val="20"/>
          <w:szCs w:val="20"/>
          <w:color w:val="auto"/>
        </w:rPr>
      </w:pPr>
    </w:p>
    <w:p>
      <w:pPr>
        <w:ind w:left="1680" w:right="579" w:firstLine="316"/>
        <w:spacing w:after="0" w:line="258" w:lineRule="auto"/>
        <w:rPr>
          <w:sz w:val="20"/>
          <w:szCs w:val="20"/>
          <w:color w:val="auto"/>
        </w:rPr>
      </w:pPr>
      <w:r>
        <w:rPr>
          <w:rFonts w:ascii="Times New Roman" w:cs="Times New Roman" w:eastAsia="Times New Roman" w:hAnsi="Times New Roman"/>
          <w:sz w:val="13"/>
          <w:szCs w:val="13"/>
          <w:color w:val="auto"/>
        </w:rPr>
        <w:t>In October 2019, certain of our stockholders conducted a tender offer for shares of our outstanding Class A and Class B common stock and purchased an aggregate of 4,647,127 shares of our outstanding Class A and Class B common stock from certain other stockholders at a purchase price of $15.82 per share, for an aggregate purchase price of $73.5 million, resulting in stock-based compensation expense of $38.7 million for the excess of the selling price per share over the fair value of the tendered shares.</w:t>
      </w:r>
    </w:p>
    <w:p>
      <w:pPr>
        <w:spacing w:after="0" w:line="20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Research and Development</w:t>
      </w:r>
    </w:p>
    <w:p>
      <w:pPr>
        <w:spacing w:after="0" w:line="85" w:lineRule="exact"/>
        <w:rPr>
          <w:sz w:val="20"/>
          <w:szCs w:val="20"/>
          <w:color w:val="auto"/>
        </w:rPr>
      </w:pPr>
    </w:p>
    <w:p>
      <w:pPr>
        <w:ind w:left="1680" w:right="559" w:firstLine="316"/>
        <w:spacing w:after="0" w:line="256" w:lineRule="auto"/>
        <w:rPr>
          <w:sz w:val="20"/>
          <w:szCs w:val="20"/>
          <w:color w:val="auto"/>
        </w:rPr>
      </w:pPr>
      <w:r>
        <w:rPr>
          <w:rFonts w:ascii="Times New Roman" w:cs="Times New Roman" w:eastAsia="Times New Roman" w:hAnsi="Times New Roman"/>
          <w:sz w:val="13"/>
          <w:szCs w:val="13"/>
          <w:color w:val="auto"/>
        </w:rPr>
        <w:t>Research and development expenses consist primarily of personnel-related expenses. These expenses also include product design costs, third-party services and consulting expenses, software subscriptions and expensed computer equipment used in research and development activities, and allocated overhead costs. A substantial portion of our research and development efforts are focused on enhancing our software architecture and adding new features and functionality to our platform. We anticipate continuing to invest in innovation and technology development, and as a result, we expect research and development expenses to continue to increase in dollar amount but to decrease as a percentage of revenues over time.</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66</w:t>
      </w:r>
    </w:p>
    <w:p>
      <w:pPr>
        <w:sectPr>
          <w:pgSz w:w="11900" w:h="16838" w:orient="portrait"/>
          <w:cols w:equalWidth="0" w:num="1">
            <w:col w:w="10159"/>
          </w:cols>
          <w:pgMar w:left="300" w:top="367" w:right="1440" w:bottom="1440" w:gutter="0" w:footer="0" w:header="0"/>
        </w:sectPr>
      </w:pPr>
    </w:p>
    <w:bookmarkStart w:id="71" w:name="page72"/>
    <w:bookmarkEnd w:id="7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Sales and Marketing</w:t>
      </w:r>
    </w:p>
    <w:p>
      <w:pPr>
        <w:spacing w:after="0" w:line="85" w:lineRule="exact"/>
        <w:rPr>
          <w:sz w:val="20"/>
          <w:szCs w:val="20"/>
          <w:color w:val="auto"/>
        </w:rPr>
      </w:pPr>
    </w:p>
    <w:p>
      <w:pPr>
        <w:ind w:left="1680" w:right="599" w:firstLine="316"/>
        <w:spacing w:after="0" w:line="258" w:lineRule="auto"/>
        <w:rPr>
          <w:sz w:val="20"/>
          <w:szCs w:val="20"/>
          <w:color w:val="auto"/>
        </w:rPr>
      </w:pPr>
      <w:r>
        <w:rPr>
          <w:rFonts w:ascii="Times New Roman" w:cs="Times New Roman" w:eastAsia="Times New Roman" w:hAnsi="Times New Roman"/>
          <w:sz w:val="13"/>
          <w:szCs w:val="13"/>
          <w:color w:val="auto"/>
        </w:rPr>
        <w:t>Sales and marketing expenses consist primarily of personnel-related expenses and expenses for performance marketing and lead generation, brand marketing, and sponsorship activities. These expenses also include allocated overhead costs and travel-related expenses. Sales commissions earned by our sales force that are considered incremental and recoverable costs of obtaining a subscription with a customer are deferred and amortized on a straight-line basis over the expected period of benefit of three years.</w:t>
      </w:r>
    </w:p>
    <w:p>
      <w:pPr>
        <w:spacing w:after="0" w:line="133" w:lineRule="exact"/>
        <w:rPr>
          <w:sz w:val="20"/>
          <w:szCs w:val="20"/>
          <w:color w:val="auto"/>
        </w:rPr>
      </w:pPr>
    </w:p>
    <w:p>
      <w:pPr>
        <w:ind w:left="1680" w:right="579" w:firstLine="316"/>
        <w:spacing w:after="0" w:line="295" w:lineRule="auto"/>
        <w:rPr>
          <w:sz w:val="20"/>
          <w:szCs w:val="20"/>
          <w:color w:val="auto"/>
        </w:rPr>
      </w:pPr>
      <w:r>
        <w:rPr>
          <w:rFonts w:ascii="Times New Roman" w:cs="Times New Roman" w:eastAsia="Times New Roman" w:hAnsi="Times New Roman"/>
          <w:sz w:val="12"/>
          <w:szCs w:val="12"/>
          <w:color w:val="auto"/>
        </w:rPr>
        <w:t>We continue to make investments in our sales and marketing organization, and we expect sales and marketing expenses to remain our largest operating expense in dollar amount. We expect our sales and marketing expenses to continue to increase in dollar amount but to decrease as a percentage of revenues over time, although the percentage may fluctuate from quarter to quarter depending on the extent and timing of our marketing initiatives.</w:t>
      </w:r>
    </w:p>
    <w:p>
      <w:pPr>
        <w:spacing w:after="0" w:line="18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General and Administrative</w:t>
      </w:r>
    </w:p>
    <w:p>
      <w:pPr>
        <w:spacing w:after="0" w:line="85" w:lineRule="exact"/>
        <w:rPr>
          <w:sz w:val="20"/>
          <w:szCs w:val="20"/>
          <w:color w:val="auto"/>
        </w:rPr>
      </w:pPr>
    </w:p>
    <w:p>
      <w:pPr>
        <w:ind w:left="1680" w:right="739" w:firstLine="316"/>
        <w:spacing w:after="0" w:line="263" w:lineRule="auto"/>
        <w:rPr>
          <w:sz w:val="20"/>
          <w:szCs w:val="20"/>
          <w:color w:val="auto"/>
        </w:rPr>
      </w:pPr>
      <w:r>
        <w:rPr>
          <w:rFonts w:ascii="Times New Roman" w:cs="Times New Roman" w:eastAsia="Times New Roman" w:hAnsi="Times New Roman"/>
          <w:sz w:val="13"/>
          <w:szCs w:val="13"/>
          <w:color w:val="auto"/>
        </w:rPr>
        <w:t>General and administrative expenses consist primarily of personnel-related expenses for our finance, human resources, information technology, and legal organizations. These expenses also include non-personnel costs, such as outside legal, accounting, and other professional fees, software subscriptions and expensed computer equipment, certain tax, license, and insurance-related expenses, and allocated overhead costs.</w:t>
      </w:r>
    </w:p>
    <w:p>
      <w:pPr>
        <w:spacing w:after="0" w:line="129" w:lineRule="exact"/>
        <w:rPr>
          <w:sz w:val="20"/>
          <w:szCs w:val="20"/>
          <w:color w:val="auto"/>
        </w:rPr>
      </w:pPr>
    </w:p>
    <w:p>
      <w:pPr>
        <w:ind w:left="1680" w:right="639" w:firstLine="316"/>
        <w:spacing w:after="0" w:line="252" w:lineRule="auto"/>
        <w:rPr>
          <w:sz w:val="20"/>
          <w:szCs w:val="20"/>
          <w:color w:val="auto"/>
        </w:rPr>
      </w:pPr>
      <w:r>
        <w:rPr>
          <w:rFonts w:ascii="Times New Roman" w:cs="Times New Roman" w:eastAsia="Times New Roman" w:hAnsi="Times New Roman"/>
          <w:sz w:val="13"/>
          <w:szCs w:val="13"/>
          <w:color w:val="auto"/>
        </w:rPr>
        <w:t>We also expect to recognize certain expenses as part of our transition to a publicly traded company, consisting of professional fees and other expenses. In the quarters leading up to the listing of our Class A common stock on the NYSE, we expect to incur professional fees and expenses, and in the quarter of our listing we expect to incur fees paid to our financial advisors in addition to other professional fees and expenses related to such listing. Following the listing of our Class A common stock on the NYSE, we expect to continue to incur additional expenses as a result of operating as a public company, including costs to comply with the rules and regulations applicable to companies listed on a U.S. securities exchange and costs related to compliance and reporting obligations pursuant to the rules and regulations of the SEC. In addition, as a public company, we expect to incur additional costs associated with accounting, compliance, insurance, and investor relations. As a result, we expect our general and administrative expenses to continue to increase in dollar amount for the foreseeable future but to generally decrease as a percentage of our revenues over the longer term, although the percentage may fluctuate from period to period depending on the timing and amount of our general and administrative expenses.</w:t>
      </w:r>
    </w:p>
    <w:p>
      <w:pPr>
        <w:spacing w:after="0" w:line="21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Interest Income, Interest Expense, and Other Income (Expense), Net</w:t>
      </w:r>
    </w:p>
    <w:p>
      <w:pPr>
        <w:spacing w:after="0" w:line="8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Interest income consists of income earned on our marketable securities.</w:t>
      </w:r>
    </w:p>
    <w:p>
      <w:pPr>
        <w:spacing w:after="0" w:line="161" w:lineRule="exact"/>
        <w:rPr>
          <w:sz w:val="20"/>
          <w:szCs w:val="20"/>
          <w:color w:val="auto"/>
        </w:rPr>
      </w:pPr>
    </w:p>
    <w:p>
      <w:pPr>
        <w:ind w:left="1680" w:right="799" w:firstLine="316"/>
        <w:spacing w:after="0" w:line="277" w:lineRule="auto"/>
        <w:rPr>
          <w:sz w:val="20"/>
          <w:szCs w:val="20"/>
          <w:color w:val="auto"/>
        </w:rPr>
      </w:pPr>
      <w:r>
        <w:rPr>
          <w:rFonts w:ascii="Times New Roman" w:cs="Times New Roman" w:eastAsia="Times New Roman" w:hAnsi="Times New Roman"/>
          <w:sz w:val="13"/>
          <w:szCs w:val="13"/>
          <w:color w:val="auto"/>
        </w:rPr>
        <w:t>Interest expense consists of contractual interest expense and amortization of the debt discount on the senior mandatory convertible promissory notes we issued in January and June 2020 to a trust affiliated with our CEO and interest expense from our term loan.</w:t>
      </w:r>
    </w:p>
    <w:p>
      <w:pPr>
        <w:spacing w:after="0" w:line="1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Other income (expense), net consists primarily of foreign currency transaction gains and losses.</w:t>
      </w:r>
    </w:p>
    <w:p>
      <w:pPr>
        <w:spacing w:after="0" w:line="23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Provision for Income Taxes</w:t>
      </w:r>
    </w:p>
    <w:p>
      <w:pPr>
        <w:spacing w:after="0" w:line="87" w:lineRule="exact"/>
        <w:rPr>
          <w:sz w:val="20"/>
          <w:szCs w:val="20"/>
          <w:color w:val="auto"/>
        </w:rPr>
      </w:pPr>
    </w:p>
    <w:p>
      <w:pPr>
        <w:ind w:left="1680" w:right="659" w:firstLine="316"/>
        <w:spacing w:after="0" w:line="254" w:lineRule="auto"/>
        <w:rPr>
          <w:sz w:val="20"/>
          <w:szCs w:val="20"/>
          <w:color w:val="auto"/>
        </w:rPr>
      </w:pPr>
      <w:r>
        <w:rPr>
          <w:rFonts w:ascii="Times New Roman" w:cs="Times New Roman" w:eastAsia="Times New Roman" w:hAnsi="Times New Roman"/>
          <w:sz w:val="13"/>
          <w:szCs w:val="13"/>
          <w:color w:val="auto"/>
        </w:rPr>
        <w:t>Provision for income taxes consists primarily of income taxes in certain foreign jurisdictions in which we conduct business. To date, we have not recorded any U.S. federal income tax expense, and our state and foreign income tax expenses have not been material. We have recorded deferred tax assets for which we provide a full valuation allowance, which primarily include net operating loss carryforwards of $476.7 million and research and development tax credit carryforwards of $21.7 million as of January 31, 2020, which begin expiring in 2029 and 2030, respectively. We expect to maintain this full valuation allowance for the foreseeable future as it is not more likely than not the deferred tax assets will be realized based on our history of losses.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67</w:t>
      </w:r>
    </w:p>
    <w:p>
      <w:pPr>
        <w:sectPr>
          <w:pgSz w:w="11900" w:h="16838" w:orient="portrait"/>
          <w:cols w:equalWidth="0" w:num="1">
            <w:col w:w="10159"/>
          </w:cols>
          <w:pgMar w:left="300" w:top="367" w:right="1440" w:bottom="1440" w:gutter="0" w:footer="0" w:header="0"/>
        </w:sectPr>
      </w:pPr>
    </w:p>
    <w:bookmarkStart w:id="72" w:name="page73"/>
    <w:bookmarkEnd w:id="7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Results of Operations</w:t>
      </w:r>
    </w:p>
    <w:p>
      <w:pPr>
        <w:spacing w:after="0" w:line="85" w:lineRule="exact"/>
        <w:rPr>
          <w:sz w:val="20"/>
          <w:szCs w:val="20"/>
          <w:color w:val="auto"/>
        </w:rPr>
      </w:pPr>
    </w:p>
    <w:p>
      <w:pPr>
        <w:ind w:left="1680" w:right="979" w:firstLine="316"/>
        <w:spacing w:after="0" w:line="277" w:lineRule="auto"/>
        <w:rPr>
          <w:sz w:val="20"/>
          <w:szCs w:val="20"/>
          <w:color w:val="auto"/>
        </w:rPr>
      </w:pPr>
      <w:r>
        <w:rPr>
          <w:rFonts w:ascii="Times New Roman" w:cs="Times New Roman" w:eastAsia="Times New Roman" w:hAnsi="Times New Roman"/>
          <w:sz w:val="13"/>
          <w:szCs w:val="13"/>
          <w:color w:val="auto"/>
        </w:rPr>
        <w:t>The following tables set forth our results of operations for the periods presented and as a percentage of our revenues for those periods. The period-to-period comparison of financial results is not necessarily indicative of financial results to be achieved in future periods.</w:t>
      </w:r>
    </w:p>
    <w:p>
      <w:pPr>
        <w:spacing w:after="0" w:line="136"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80" w:type="dxa"/>
            <w:vAlign w:val="bottom"/>
            <w:gridSpan w:val="6"/>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Year Ended January 31,</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6"/>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Six Months Ended July 31,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7"/>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60" w:type="dxa"/>
            <w:vAlign w:val="bottom"/>
            <w:tcBorders>
              <w:top w:val="single" w:sz="8" w:color="auto"/>
              <w:bottom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36"/>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3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7"/>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60" w:type="dxa"/>
            <w:vAlign w:val="bottom"/>
            <w:tcBorders>
              <w:top w:val="single" w:sz="8" w:color="auto"/>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6"/>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60" w:type="dxa"/>
            <w:vAlign w:val="bottom"/>
            <w:gridSpan w:val="8"/>
          </w:tcPr>
          <w:p>
            <w:pPr>
              <w:jc w:val="right"/>
              <w:ind w:right="140"/>
              <w:spacing w:after="0" w:line="97" w:lineRule="exact"/>
              <w:rPr>
                <w:sz w:val="20"/>
                <w:szCs w:val="20"/>
                <w:color w:val="auto"/>
              </w:rPr>
            </w:pPr>
            <w:r>
              <w:rPr>
                <w:rFonts w:ascii="Times New Roman" w:cs="Times New Roman" w:eastAsia="Times New Roman" w:hAnsi="Times New Roman"/>
                <w:sz w:val="10"/>
                <w:szCs w:val="10"/>
                <w:b w:val="1"/>
                <w:bCs w:val="1"/>
                <w:color w:val="auto"/>
              </w:rPr>
              <w:t>(in thousands, except per share amounts)</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Revenues</w:t>
            </w:r>
          </w:p>
        </w:tc>
        <w:tc>
          <w:tcPr>
            <w:tcW w:w="12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76,770</w:t>
            </w:r>
          </w:p>
        </w:tc>
        <w:tc>
          <w:tcPr>
            <w:tcW w:w="1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142,606</w:t>
            </w:r>
          </w:p>
        </w:tc>
        <w:tc>
          <w:tcPr>
            <w:tcW w:w="3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61,057</w:t>
            </w:r>
          </w:p>
        </w:tc>
        <w:tc>
          <w:tcPr>
            <w:tcW w:w="16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99,730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Cost of revenues</w:t>
            </w:r>
            <w:r>
              <w:rPr>
                <w:rFonts w:ascii="Times New Roman" w:cs="Times New Roman" w:eastAsia="Times New Roman" w:hAnsi="Times New Roman"/>
                <w:sz w:val="10"/>
                <w:szCs w:val="10"/>
                <w:color w:val="auto"/>
              </w:rPr>
              <w:t>(1)</w:t>
            </w:r>
          </w:p>
        </w:tc>
        <w:tc>
          <w:tcPr>
            <w:tcW w:w="1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13,832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19,881</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8,751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13,227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11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62,938</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122,725</w:t>
            </w: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52,306</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86,503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Research and development</w:t>
            </w:r>
            <w:r>
              <w:rPr>
                <w:rFonts w:ascii="Times New Roman" w:cs="Times New Roman" w:eastAsia="Times New Roman" w:hAnsi="Times New Roman"/>
                <w:sz w:val="10"/>
                <w:szCs w:val="10"/>
                <w:color w:val="auto"/>
              </w:rPr>
              <w:t>(1)</w:t>
            </w: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42,585</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89,675</w:t>
            </w: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29,876</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48,342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Sales and marketing</w:t>
            </w:r>
            <w:r>
              <w:rPr>
                <w:rFonts w:ascii="Times New Roman" w:cs="Times New Roman" w:eastAsia="Times New Roman" w:hAnsi="Times New Roman"/>
                <w:sz w:val="10"/>
                <w:szCs w:val="10"/>
                <w:color w:val="auto"/>
              </w:rPr>
              <w:t>(1)</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52,106</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105,836</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39,025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74,913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General and administrative</w:t>
            </w:r>
            <w:r>
              <w:rPr>
                <w:rFonts w:ascii="Times New Roman" w:cs="Times New Roman" w:eastAsia="Times New Roman" w:hAnsi="Times New Roman"/>
                <w:sz w:val="10"/>
                <w:szCs w:val="10"/>
                <w:color w:val="auto"/>
              </w:rPr>
              <w:t>(1)</w:t>
            </w:r>
          </w:p>
        </w:tc>
        <w:tc>
          <w:tcPr>
            <w:tcW w:w="11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20,260</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46,845</w:t>
            </w: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14,649</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25,917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operating expenses</w:t>
            </w:r>
          </w:p>
        </w:tc>
        <w:tc>
          <w:tcPr>
            <w:tcW w:w="1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114,951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242,356</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83,550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149,172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from operations</w:t>
            </w: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(52,013)</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(119,631)</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(31,244)</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(62,669)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1,755</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(78)</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(15,355)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Other income (expense), net</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(177)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(390)</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(226)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continue"/>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before provision for income taxes</w:t>
            </w: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(50,900)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(118,344)</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(30,419)</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(76,625)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1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(50,928)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(118,589)</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(30,541)</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(76,911)</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67945</wp:posOffset>
            </wp:positionV>
            <wp:extent cx="548005"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48005" cy="6350"/>
                    </a:xfrm>
                    <a:prstGeom prst="rect">
                      <a:avLst/>
                    </a:prstGeom>
                    <a:noFill/>
                  </pic:spPr>
                </pic:pic>
              </a:graphicData>
            </a:graphic>
          </wp:anchor>
        </w:drawing>
      </w:r>
    </w:p>
    <w:p>
      <w:pPr>
        <w:spacing w:after="0" w:line="111" w:lineRule="exact"/>
        <w:rPr>
          <w:sz w:val="20"/>
          <w:szCs w:val="20"/>
          <w:color w:val="auto"/>
        </w:rPr>
      </w:pPr>
    </w:p>
    <w:p>
      <w:pPr>
        <w:ind w:left="2000" w:hanging="311"/>
        <w:spacing w:after="0"/>
        <w:tabs>
          <w:tab w:leader="none" w:pos="2000" w:val="left"/>
        </w:tabs>
        <w:numPr>
          <w:ilvl w:val="0"/>
          <w:numId w:val="3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Amounts include stock-based compensation expense as follows:</w:t>
      </w:r>
    </w:p>
    <w:p>
      <w:pPr>
        <w:spacing w:after="0" w:line="170" w:lineRule="exact"/>
        <w:rPr>
          <w:sz w:val="20"/>
          <w:szCs w:val="20"/>
          <w:color w:val="auto"/>
        </w:rPr>
      </w:pPr>
    </w:p>
    <w:tbl>
      <w:tblPr>
        <w:tblLayout w:type="fixed"/>
        <w:tblInd w:w="2080" w:type="dxa"/>
        <w:tblCellMar>
          <w:top w:w="0" w:type="dxa"/>
          <w:left w:w="0" w:type="dxa"/>
          <w:bottom w:w="0" w:type="dxa"/>
          <w:right w:w="0" w:type="dxa"/>
        </w:tblCellMar>
      </w:tblPr>
      <w:tr>
        <w:trPr>
          <w:trHeight w:val="98"/>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4"/>
          </w:tcPr>
          <w:p>
            <w:pPr>
              <w:jc w:val="right"/>
              <w:ind w:right="132"/>
              <w:spacing w:after="0"/>
              <w:rPr>
                <w:sz w:val="20"/>
                <w:szCs w:val="20"/>
                <w:color w:val="auto"/>
              </w:rPr>
            </w:pPr>
            <w:r>
              <w:rPr>
                <w:rFonts w:ascii="Times New Roman" w:cs="Times New Roman" w:eastAsia="Times New Roman" w:hAnsi="Times New Roman"/>
                <w:sz w:val="8"/>
                <w:szCs w:val="8"/>
                <w:b w:val="1"/>
                <w:bCs w:val="1"/>
                <w:color w:val="auto"/>
              </w:rPr>
              <w:t>Year Ended January 31,</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gridSpan w:val="5"/>
          </w:tcPr>
          <w:p>
            <w:pPr>
              <w:ind w:left="60"/>
              <w:spacing w:after="0"/>
              <w:rPr>
                <w:sz w:val="20"/>
                <w:szCs w:val="20"/>
                <w:color w:val="auto"/>
              </w:rPr>
            </w:pPr>
            <w:r>
              <w:rPr>
                <w:rFonts w:ascii="Times New Roman" w:cs="Times New Roman" w:eastAsia="Times New Roman" w:hAnsi="Times New Roman"/>
                <w:sz w:val="8"/>
                <w:szCs w:val="8"/>
                <w:b w:val="1"/>
                <w:bCs w:val="1"/>
                <w:color w:val="auto"/>
              </w:rPr>
              <w:t>Six Months Ended July 31,</w:t>
            </w:r>
          </w:p>
        </w:tc>
      </w:tr>
      <w:tr>
        <w:trPr>
          <w:trHeight w:val="77"/>
        </w:trPr>
        <w:tc>
          <w:tcPr>
            <w:tcW w:w="20" w:type="dxa"/>
            <w:vAlign w:val="bottom"/>
          </w:tcPr>
          <w:p>
            <w:pPr>
              <w:spacing w:after="0"/>
              <w:rPr>
                <w:sz w:val="6"/>
                <w:szCs w:val="6"/>
                <w:color w:val="auto"/>
              </w:rPr>
            </w:pPr>
          </w:p>
        </w:tc>
        <w:tc>
          <w:tcPr>
            <w:tcW w:w="34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380" w:type="dxa"/>
            <w:vAlign w:val="bottom"/>
            <w:tcBorders>
              <w:top w:val="single" w:sz="8" w:color="auto"/>
              <w:bottom w:val="single" w:sz="8" w:color="auto"/>
            </w:tcBorders>
          </w:tcPr>
          <w:p>
            <w:pPr>
              <w:jc w:val="right"/>
              <w:ind w:right="112"/>
              <w:spacing w:after="0" w:line="77" w:lineRule="exact"/>
              <w:rPr>
                <w:sz w:val="20"/>
                <w:szCs w:val="20"/>
                <w:color w:val="auto"/>
              </w:rPr>
            </w:pPr>
            <w:r>
              <w:rPr>
                <w:rFonts w:ascii="Times New Roman" w:cs="Times New Roman" w:eastAsia="Times New Roman" w:hAnsi="Times New Roman"/>
                <w:sz w:val="8"/>
                <w:szCs w:val="8"/>
                <w:b w:val="1"/>
                <w:bCs w:val="1"/>
                <w:color w:val="auto"/>
              </w:rPr>
              <w:t>2019</w:t>
            </w:r>
          </w:p>
        </w:tc>
        <w:tc>
          <w:tcPr>
            <w:tcW w:w="18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0" w:type="dxa"/>
            <w:vAlign w:val="bottom"/>
            <w:tcBorders>
              <w:top w:val="single" w:sz="8" w:color="auto"/>
              <w:bottom w:val="single" w:sz="8" w:color="auto"/>
            </w:tcBorders>
          </w:tcPr>
          <w:p>
            <w:pPr>
              <w:jc w:val="right"/>
              <w:ind w:right="132"/>
              <w:spacing w:after="0" w:line="77" w:lineRule="exact"/>
              <w:rPr>
                <w:sz w:val="20"/>
                <w:szCs w:val="20"/>
                <w:color w:val="auto"/>
              </w:rPr>
            </w:pPr>
            <w:r>
              <w:rPr>
                <w:rFonts w:ascii="Times New Roman" w:cs="Times New Roman" w:eastAsia="Times New Roman" w:hAnsi="Times New Roman"/>
                <w:sz w:val="8"/>
                <w:szCs w:val="8"/>
                <w:b w:val="1"/>
                <w:bCs w:val="1"/>
                <w:color w:val="auto"/>
              </w:rPr>
              <w:t>2020</w:t>
            </w:r>
          </w:p>
        </w:tc>
        <w:tc>
          <w:tcPr>
            <w:tcW w:w="180" w:type="dxa"/>
            <w:vAlign w:val="bottom"/>
            <w:tcBorders>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420" w:type="dxa"/>
            <w:vAlign w:val="bottom"/>
            <w:tcBorders>
              <w:top w:val="single" w:sz="8" w:color="auto"/>
              <w:bottom w:val="single" w:sz="8" w:color="auto"/>
            </w:tcBorders>
          </w:tcPr>
          <w:p>
            <w:pPr>
              <w:jc w:val="right"/>
              <w:ind w:right="132"/>
              <w:spacing w:after="0" w:line="77" w:lineRule="exact"/>
              <w:rPr>
                <w:sz w:val="20"/>
                <w:szCs w:val="20"/>
                <w:color w:val="auto"/>
              </w:rPr>
            </w:pPr>
            <w:r>
              <w:rPr>
                <w:rFonts w:ascii="Times New Roman" w:cs="Times New Roman" w:eastAsia="Times New Roman" w:hAnsi="Times New Roman"/>
                <w:sz w:val="8"/>
                <w:szCs w:val="8"/>
                <w:b w:val="1"/>
                <w:bCs w:val="1"/>
                <w:color w:val="auto"/>
              </w:rPr>
              <w:t>2019</w:t>
            </w:r>
          </w:p>
        </w:tc>
        <w:tc>
          <w:tcPr>
            <w:tcW w:w="18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0" w:type="dxa"/>
            <w:vAlign w:val="bottom"/>
            <w:tcBorders>
              <w:top w:val="single" w:sz="8" w:color="auto"/>
              <w:bottom w:val="single" w:sz="8" w:color="auto"/>
            </w:tcBorders>
          </w:tcPr>
          <w:p>
            <w:pPr>
              <w:jc w:val="right"/>
              <w:ind w:right="130"/>
              <w:spacing w:after="0" w:line="77" w:lineRule="exact"/>
              <w:rPr>
                <w:sz w:val="20"/>
                <w:szCs w:val="20"/>
                <w:color w:val="auto"/>
              </w:rPr>
            </w:pPr>
            <w:r>
              <w:rPr>
                <w:rFonts w:ascii="Times New Roman" w:cs="Times New Roman" w:eastAsia="Times New Roman" w:hAnsi="Times New Roman"/>
                <w:sz w:val="8"/>
                <w:szCs w:val="8"/>
                <w:b w:val="1"/>
                <w:bCs w:val="1"/>
                <w:color w:val="auto"/>
              </w:rPr>
              <w:t>2020</w:t>
            </w:r>
          </w:p>
        </w:tc>
        <w:tc>
          <w:tcPr>
            <w:tcW w:w="40" w:type="dxa"/>
            <w:vAlign w:val="bottom"/>
          </w:tcPr>
          <w:p>
            <w:pPr>
              <w:spacing w:after="0"/>
              <w:rPr>
                <w:sz w:val="6"/>
                <w:szCs w:val="6"/>
                <w:color w:val="auto"/>
              </w:rPr>
            </w:pPr>
          </w:p>
        </w:tc>
      </w:tr>
      <w:tr>
        <w:trPr>
          <w:trHeight w:val="77"/>
        </w:trPr>
        <w:tc>
          <w:tcPr>
            <w:tcW w:w="20" w:type="dxa"/>
            <w:vAlign w:val="bottom"/>
          </w:tcPr>
          <w:p>
            <w:pPr>
              <w:spacing w:after="0"/>
              <w:rPr>
                <w:sz w:val="6"/>
                <w:szCs w:val="6"/>
                <w:color w:val="auto"/>
              </w:rPr>
            </w:pPr>
          </w:p>
        </w:tc>
        <w:tc>
          <w:tcPr>
            <w:tcW w:w="34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gridSpan w:val="4"/>
          </w:tcPr>
          <w:p>
            <w:pPr>
              <w:jc w:val="right"/>
              <w:ind w:right="292"/>
              <w:spacing w:after="0" w:line="77" w:lineRule="exact"/>
              <w:rPr>
                <w:sz w:val="20"/>
                <w:szCs w:val="20"/>
                <w:color w:val="auto"/>
              </w:rPr>
            </w:pPr>
            <w:r>
              <w:rPr>
                <w:rFonts w:ascii="Times New Roman" w:cs="Times New Roman" w:eastAsia="Times New Roman" w:hAnsi="Times New Roman"/>
                <w:sz w:val="8"/>
                <w:szCs w:val="8"/>
                <w:b w:val="1"/>
                <w:bCs w:val="1"/>
                <w:color w:val="auto"/>
              </w:rPr>
              <w:t>(in thousands)</w:t>
            </w: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107"/>
        </w:trPr>
        <w:tc>
          <w:tcPr>
            <w:tcW w:w="20" w:type="dxa"/>
            <w:vAlign w:val="bottom"/>
          </w:tcPr>
          <w:p>
            <w:pPr>
              <w:spacing w:after="0"/>
              <w:rPr>
                <w:sz w:val="9"/>
                <w:szCs w:val="9"/>
                <w:color w:val="auto"/>
              </w:rPr>
            </w:pPr>
          </w:p>
        </w:tc>
        <w:tc>
          <w:tcPr>
            <w:tcW w:w="340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0"/>
                <w:szCs w:val="10"/>
                <w:color w:val="auto"/>
              </w:rPr>
              <w:t>Cost of revenues</w:t>
            </w:r>
          </w:p>
        </w:tc>
        <w:tc>
          <w:tcPr>
            <w:tcW w:w="1640" w:type="dxa"/>
            <w:vAlign w:val="bottom"/>
            <w:gridSpan w:val="2"/>
            <w:shd w:val="clear" w:color="auto" w:fill="CCEEFF"/>
          </w:tcPr>
          <w:p>
            <w:pPr>
              <w:jc w:val="right"/>
              <w:ind w:right="40"/>
              <w:spacing w:after="0" w:line="107"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37</w:t>
            </w:r>
          </w:p>
        </w:tc>
        <w:tc>
          <w:tcPr>
            <w:tcW w:w="280" w:type="dxa"/>
            <w:vAlign w:val="bottom"/>
            <w:gridSpan w:val="2"/>
            <w:shd w:val="clear" w:color="auto" w:fill="CCEEFF"/>
          </w:tcPr>
          <w:p>
            <w:pPr>
              <w:jc w:val="right"/>
              <w:ind w:right="40"/>
              <w:spacing w:after="0" w:line="107"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103</w:t>
            </w:r>
          </w:p>
        </w:tc>
        <w:tc>
          <w:tcPr>
            <w:tcW w:w="260" w:type="dxa"/>
            <w:vAlign w:val="bottom"/>
            <w:gridSpan w:val="2"/>
            <w:shd w:val="clear" w:color="auto" w:fill="CCEEFF"/>
          </w:tcPr>
          <w:p>
            <w:pPr>
              <w:jc w:val="right"/>
              <w:ind w:right="40"/>
              <w:spacing w:after="0" w:line="107"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13</w:t>
            </w:r>
          </w:p>
        </w:tc>
        <w:tc>
          <w:tcPr>
            <w:tcW w:w="280" w:type="dxa"/>
            <w:vAlign w:val="bottom"/>
            <w:gridSpan w:val="2"/>
            <w:shd w:val="clear" w:color="auto" w:fill="CCEEFF"/>
          </w:tcPr>
          <w:p>
            <w:pPr>
              <w:jc w:val="right"/>
              <w:ind w:right="60"/>
              <w:spacing w:after="0" w:line="107"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100</w:t>
            </w:r>
          </w:p>
        </w:tc>
        <w:tc>
          <w:tcPr>
            <w:tcW w:w="40" w:type="dxa"/>
            <w:vAlign w:val="bottom"/>
            <w:shd w:val="clear" w:color="auto" w:fill="CCEEFF"/>
          </w:tcPr>
          <w:p>
            <w:pPr>
              <w:spacing w:after="0"/>
              <w:rPr>
                <w:sz w:val="9"/>
                <w:szCs w:val="9"/>
                <w:color w:val="auto"/>
              </w:rPr>
            </w:pPr>
          </w:p>
        </w:tc>
      </w:tr>
      <w:tr>
        <w:trPr>
          <w:trHeight w:val="107"/>
        </w:trPr>
        <w:tc>
          <w:tcPr>
            <w:tcW w:w="20" w:type="dxa"/>
            <w:vAlign w:val="bottom"/>
          </w:tcPr>
          <w:p>
            <w:pPr>
              <w:spacing w:after="0"/>
              <w:rPr>
                <w:sz w:val="9"/>
                <w:szCs w:val="9"/>
                <w:color w:val="auto"/>
              </w:rPr>
            </w:pPr>
          </w:p>
        </w:tc>
        <w:tc>
          <w:tcPr>
            <w:tcW w:w="340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Research and development</w:t>
            </w: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5,160</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24,869</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1,882</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4,737</w:t>
            </w:r>
          </w:p>
        </w:tc>
        <w:tc>
          <w:tcPr>
            <w:tcW w:w="40" w:type="dxa"/>
            <w:vAlign w:val="bottom"/>
          </w:tcPr>
          <w:p>
            <w:pPr>
              <w:spacing w:after="0"/>
              <w:rPr>
                <w:sz w:val="9"/>
                <w:szCs w:val="9"/>
                <w:color w:val="auto"/>
              </w:rPr>
            </w:pPr>
          </w:p>
        </w:tc>
      </w:tr>
      <w:tr>
        <w:trPr>
          <w:trHeight w:val="107"/>
        </w:trPr>
        <w:tc>
          <w:tcPr>
            <w:tcW w:w="20" w:type="dxa"/>
            <w:vAlign w:val="bottom"/>
          </w:tcPr>
          <w:p>
            <w:pPr>
              <w:spacing w:after="0"/>
              <w:rPr>
                <w:sz w:val="9"/>
                <w:szCs w:val="9"/>
                <w:color w:val="auto"/>
              </w:rPr>
            </w:pPr>
          </w:p>
        </w:tc>
        <w:tc>
          <w:tcPr>
            <w:tcW w:w="340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0"/>
                <w:szCs w:val="10"/>
                <w:color w:val="auto"/>
              </w:rPr>
              <w:t>Sales and marketing</w:t>
            </w:r>
          </w:p>
        </w:tc>
        <w:tc>
          <w:tcPr>
            <w:tcW w:w="1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2,108</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10,177</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961</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2,621</w:t>
            </w:r>
          </w:p>
        </w:tc>
        <w:tc>
          <w:tcPr>
            <w:tcW w:w="40" w:type="dxa"/>
            <w:vAlign w:val="bottom"/>
            <w:shd w:val="clear" w:color="auto" w:fill="CCEEFF"/>
          </w:tcPr>
          <w:p>
            <w:pPr>
              <w:spacing w:after="0"/>
              <w:rPr>
                <w:sz w:val="9"/>
                <w:szCs w:val="9"/>
                <w:color w:val="auto"/>
              </w:rPr>
            </w:pPr>
          </w:p>
        </w:tc>
      </w:tr>
      <w:tr>
        <w:trPr>
          <w:trHeight w:val="107"/>
        </w:trPr>
        <w:tc>
          <w:tcPr>
            <w:tcW w:w="20" w:type="dxa"/>
            <w:vAlign w:val="bottom"/>
          </w:tcPr>
          <w:p>
            <w:pPr>
              <w:spacing w:after="0"/>
              <w:rPr>
                <w:sz w:val="9"/>
                <w:szCs w:val="9"/>
                <w:color w:val="auto"/>
              </w:rPr>
            </w:pPr>
          </w:p>
        </w:tc>
        <w:tc>
          <w:tcPr>
            <w:tcW w:w="340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General and administrative</w:t>
            </w:r>
          </w:p>
        </w:tc>
        <w:tc>
          <w:tcPr>
            <w:tcW w:w="1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1,242</w:t>
            </w: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13,237</w:t>
            </w: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572</w:t>
            </w: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1,900</w:t>
            </w:r>
          </w:p>
        </w:tc>
        <w:tc>
          <w:tcPr>
            <w:tcW w:w="40" w:type="dxa"/>
            <w:vAlign w:val="bottom"/>
          </w:tcPr>
          <w:p>
            <w:pPr>
              <w:spacing w:after="0"/>
              <w:rPr>
                <w:sz w:val="9"/>
                <w:szCs w:val="9"/>
                <w:color w:val="auto"/>
              </w:rPr>
            </w:pPr>
          </w:p>
        </w:tc>
      </w:tr>
      <w:tr>
        <w:trPr>
          <w:trHeight w:val="106"/>
        </w:trPr>
        <w:tc>
          <w:tcPr>
            <w:tcW w:w="20" w:type="dxa"/>
            <w:vAlign w:val="bottom"/>
          </w:tcPr>
          <w:p>
            <w:pPr>
              <w:spacing w:after="0"/>
              <w:rPr>
                <w:sz w:val="9"/>
                <w:szCs w:val="9"/>
                <w:color w:val="auto"/>
              </w:rPr>
            </w:pPr>
          </w:p>
        </w:tc>
        <w:tc>
          <w:tcPr>
            <w:tcW w:w="3400" w:type="dxa"/>
            <w:vAlign w:val="bottom"/>
            <w:shd w:val="clear" w:color="auto" w:fill="CCEEFF"/>
          </w:tcPr>
          <w:p>
            <w:pPr>
              <w:ind w:left="200"/>
              <w:spacing w:after="0" w:line="106" w:lineRule="exact"/>
              <w:rPr>
                <w:sz w:val="20"/>
                <w:szCs w:val="20"/>
                <w:color w:val="auto"/>
              </w:rPr>
            </w:pPr>
            <w:r>
              <w:rPr>
                <w:rFonts w:ascii="Times New Roman" w:cs="Times New Roman" w:eastAsia="Times New Roman" w:hAnsi="Times New Roman"/>
                <w:sz w:val="10"/>
                <w:szCs w:val="10"/>
                <w:color w:val="auto"/>
              </w:rPr>
              <w:t>Total stock-based compensation expense</w:t>
            </w:r>
          </w:p>
        </w:tc>
        <w:tc>
          <w:tcPr>
            <w:tcW w:w="1640" w:type="dxa"/>
            <w:vAlign w:val="bottom"/>
            <w:gridSpan w:val="2"/>
            <w:shd w:val="clear" w:color="auto" w:fill="CCEEFF"/>
          </w:tcPr>
          <w:p>
            <w:pPr>
              <w:jc w:val="right"/>
              <w:ind w:right="40"/>
              <w:spacing w:after="0" w:line="106"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8,547</w:t>
            </w:r>
          </w:p>
        </w:tc>
        <w:tc>
          <w:tcPr>
            <w:tcW w:w="280" w:type="dxa"/>
            <w:vAlign w:val="bottom"/>
            <w:gridSpan w:val="2"/>
            <w:shd w:val="clear" w:color="auto" w:fill="CCEEFF"/>
          </w:tcPr>
          <w:p>
            <w:pPr>
              <w:jc w:val="right"/>
              <w:ind w:right="40"/>
              <w:spacing w:after="0" w:line="106"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48,386</w:t>
            </w:r>
          </w:p>
        </w:tc>
        <w:tc>
          <w:tcPr>
            <w:tcW w:w="260" w:type="dxa"/>
            <w:vAlign w:val="bottom"/>
            <w:gridSpan w:val="2"/>
            <w:shd w:val="clear" w:color="auto" w:fill="CCEEFF"/>
          </w:tcPr>
          <w:p>
            <w:pPr>
              <w:jc w:val="right"/>
              <w:ind w:right="40"/>
              <w:spacing w:after="0" w:line="106"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3,428</w:t>
            </w:r>
          </w:p>
        </w:tc>
        <w:tc>
          <w:tcPr>
            <w:tcW w:w="280" w:type="dxa"/>
            <w:vAlign w:val="bottom"/>
            <w:gridSpan w:val="2"/>
            <w:shd w:val="clear" w:color="auto" w:fill="CCEEFF"/>
          </w:tcPr>
          <w:p>
            <w:pPr>
              <w:jc w:val="right"/>
              <w:ind w:right="60"/>
              <w:spacing w:after="0" w:line="106"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9,358</w:t>
            </w:r>
          </w:p>
        </w:tc>
        <w:tc>
          <w:tcPr>
            <w:tcW w:w="40" w:type="dxa"/>
            <w:vAlign w:val="bottom"/>
            <w:shd w:val="clear" w:color="auto" w:fill="CCEEFF"/>
          </w:tcPr>
          <w:p>
            <w:pPr>
              <w:spacing w:after="0"/>
              <w:rPr>
                <w:sz w:val="9"/>
                <w:szCs w:val="9"/>
                <w:color w:val="auto"/>
              </w:rPr>
            </w:pPr>
          </w:p>
        </w:tc>
      </w:tr>
      <w:tr>
        <w:trPr>
          <w:trHeight w:val="29"/>
        </w:trPr>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82" w:lineRule="exact"/>
        <w:rPr>
          <w:sz w:val="20"/>
          <w:szCs w:val="20"/>
          <w:color w:val="auto"/>
        </w:rPr>
      </w:pPr>
    </w:p>
    <w:p>
      <w:pPr>
        <w:ind w:left="2000" w:right="739"/>
        <w:spacing w:after="0" w:line="258" w:lineRule="auto"/>
        <w:rPr>
          <w:sz w:val="20"/>
          <w:szCs w:val="20"/>
          <w:color w:val="auto"/>
        </w:rPr>
      </w:pPr>
      <w:r>
        <w:rPr>
          <w:rFonts w:ascii="Times New Roman" w:cs="Times New Roman" w:eastAsia="Times New Roman" w:hAnsi="Times New Roman"/>
          <w:sz w:val="10"/>
          <w:szCs w:val="10"/>
          <w:color w:val="auto"/>
        </w:rPr>
        <w:t>Stock-based compensation expense for fiscal 2019 and fiscal 2020 includes $3.8 million and $38.7 million, respectively, of compensation expense related to tender offers described above and in Note 11 to our consolidated financial statements included elsewhere in this prospectus.</w:t>
      </w:r>
    </w:p>
    <w:p>
      <w:pPr>
        <w:spacing w:after="0" w:line="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68</w:t>
      </w:r>
    </w:p>
    <w:p>
      <w:pPr>
        <w:sectPr>
          <w:pgSz w:w="11900" w:h="16838" w:orient="portrait"/>
          <w:cols w:equalWidth="0" w:num="1">
            <w:col w:w="10159"/>
          </w:cols>
          <w:pgMar w:left="300" w:top="367" w:right="1440" w:bottom="1440" w:gutter="0" w:footer="0" w:header="0"/>
        </w:sectPr>
      </w:pPr>
    </w:p>
    <w:bookmarkStart w:id="73" w:name="page74"/>
    <w:bookmarkEnd w:id="7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following table sets forth the components of our statements of operations data, for each of the periods presented, as a percentage of revenues.</w:t>
      </w:r>
    </w:p>
    <w:p>
      <w:pPr>
        <w:spacing w:after="0" w:line="176"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2560" w:type="dxa"/>
            <w:vAlign w:val="bottom"/>
            <w:gridSpan w:val="5"/>
          </w:tcPr>
          <w:p>
            <w:pPr>
              <w:ind w:left="360"/>
              <w:spacing w:after="0"/>
              <w:rPr>
                <w:sz w:val="20"/>
                <w:szCs w:val="20"/>
                <w:color w:val="auto"/>
              </w:rPr>
            </w:pPr>
            <w:r>
              <w:rPr>
                <w:rFonts w:ascii="Times New Roman" w:cs="Times New Roman" w:eastAsia="Times New Roman" w:hAnsi="Times New Roman"/>
                <w:sz w:val="10"/>
                <w:szCs w:val="10"/>
                <w:b w:val="1"/>
                <w:bCs w:val="1"/>
                <w:color w:val="auto"/>
              </w:rPr>
              <w:t>Year Ended January 31,</w:t>
            </w:r>
          </w:p>
        </w:tc>
        <w:tc>
          <w:tcPr>
            <w:tcW w:w="1740" w:type="dxa"/>
            <w:vAlign w:val="bottom"/>
            <w:gridSpan w:val="4"/>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Six Months Ended July 31,</w:t>
            </w:r>
          </w:p>
        </w:tc>
      </w:tr>
      <w:tr>
        <w:trPr>
          <w:trHeight w:val="96"/>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580" w:type="dxa"/>
            <w:vAlign w:val="bottom"/>
            <w:tcBorders>
              <w:top w:val="single" w:sz="8" w:color="auto"/>
              <w:bottom w:val="single" w:sz="8" w:color="auto"/>
            </w:tcBorders>
          </w:tcPr>
          <w:p>
            <w:pPr>
              <w:jc w:val="right"/>
              <w:ind w:right="117"/>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640" w:type="dxa"/>
            <w:vAlign w:val="bottom"/>
            <w:tcBorders>
              <w:top w:val="single" w:sz="8" w:color="auto"/>
              <w:bottom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jc w:val="right"/>
              <w:ind w:right="137"/>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640" w:type="dxa"/>
            <w:vAlign w:val="bottom"/>
            <w:tcBorders>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97"/>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64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96"/>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1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40" w:type="dxa"/>
            <w:vAlign w:val="bottom"/>
            <w:gridSpan w:val="3"/>
          </w:tcPr>
          <w:p>
            <w:pPr>
              <w:ind w:left="380"/>
              <w:spacing w:after="0" w:line="97" w:lineRule="exact"/>
              <w:rPr>
                <w:sz w:val="20"/>
                <w:szCs w:val="20"/>
                <w:color w:val="auto"/>
              </w:rPr>
            </w:pPr>
            <w:r>
              <w:rPr>
                <w:rFonts w:ascii="Times New Roman" w:cs="Times New Roman" w:eastAsia="Times New Roman" w:hAnsi="Times New Roman"/>
                <w:sz w:val="10"/>
                <w:szCs w:val="10"/>
                <w:b w:val="1"/>
                <w:bCs w:val="1"/>
                <w:color w:val="auto"/>
              </w:rPr>
              <w:t>(percent of revenues)</w:t>
            </w: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155"/>
        </w:trPr>
        <w:tc>
          <w:tcPr>
            <w:tcW w:w="20" w:type="dxa"/>
            <w:vAlign w:val="bottom"/>
          </w:tcPr>
          <w:p>
            <w:pPr>
              <w:spacing w:after="0"/>
              <w:rPr>
                <w:sz w:val="13"/>
                <w:szCs w:val="13"/>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Revenues</w:t>
            </w: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3"/>
                <w:szCs w:val="13"/>
                <w:color w:val="auto"/>
              </w:rPr>
              <w:t>100%</w:t>
            </w: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3"/>
                <w:szCs w:val="13"/>
                <w:color w:val="auto"/>
              </w:rPr>
              <w:t>100%</w:t>
            </w: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3"/>
                <w:szCs w:val="13"/>
                <w:color w:val="auto"/>
              </w:rPr>
              <w:t>100%</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100%</w:t>
            </w:r>
          </w:p>
        </w:tc>
      </w:tr>
      <w:tr>
        <w:trPr>
          <w:trHeight w:val="155"/>
        </w:trPr>
        <w:tc>
          <w:tcPr>
            <w:tcW w:w="20" w:type="dxa"/>
            <w:vAlign w:val="bottom"/>
          </w:tcPr>
          <w:p>
            <w:pPr>
              <w:spacing w:after="0"/>
              <w:rPr>
                <w:sz w:val="13"/>
                <w:szCs w:val="13"/>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Cost of revenues</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640" w:type="dxa"/>
            <w:vAlign w:val="bottom"/>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6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64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Gross margin</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64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6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64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80" w:type="dxa"/>
            <w:vAlign w:val="bottom"/>
            <w:shd w:val="clear" w:color="auto" w:fill="CCEEFF"/>
          </w:tcPr>
          <w:p>
            <w:pPr>
              <w:spacing w:after="0"/>
              <w:rPr>
                <w:sz w:val="13"/>
                <w:szCs w:val="13"/>
                <w:color w:val="auto"/>
              </w:rPr>
            </w:pPr>
          </w:p>
        </w:tc>
      </w:tr>
      <w:tr>
        <w:trPr>
          <w:trHeight w:val="154"/>
        </w:trPr>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Research and development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6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6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Sales and marketing</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6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6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64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6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64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80" w:type="dxa"/>
            <w:vAlign w:val="bottom"/>
            <w:shd w:val="clear" w:color="auto" w:fill="CCEEFF"/>
          </w:tcPr>
          <w:p>
            <w:pPr>
              <w:spacing w:after="0"/>
              <w:rPr>
                <w:sz w:val="13"/>
                <w:szCs w:val="13"/>
                <w:color w:val="auto"/>
              </w:rPr>
            </w:pPr>
          </w:p>
        </w:tc>
      </w:tr>
      <w:tr>
        <w:trPr>
          <w:trHeight w:val="154"/>
        </w:trPr>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operating expenses</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640" w:type="dxa"/>
            <w:vAlign w:val="bottom"/>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6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64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from operations</w:t>
            </w:r>
          </w:p>
        </w:tc>
        <w:tc>
          <w:tcPr>
            <w:tcW w:w="12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3"/>
                <w:szCs w:val="13"/>
                <w:color w:val="auto"/>
              </w:rPr>
              <w:t>(68)</w:t>
            </w:r>
          </w:p>
        </w:tc>
        <w:tc>
          <w:tcPr>
            <w:tcW w:w="12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3"/>
                <w:szCs w:val="13"/>
                <w:color w:val="auto"/>
              </w:rPr>
              <w:t>(84)</w:t>
            </w: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3"/>
                <w:szCs w:val="13"/>
                <w:color w:val="auto"/>
              </w:rPr>
              <w:t>(51)</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(63)</w:t>
            </w:r>
          </w:p>
        </w:tc>
      </w:tr>
      <w:tr>
        <w:trPr>
          <w:trHeight w:val="155"/>
        </w:trPr>
        <w:tc>
          <w:tcPr>
            <w:tcW w:w="20" w:type="dxa"/>
            <w:vAlign w:val="bottom"/>
          </w:tcPr>
          <w:p>
            <w:pPr>
              <w:spacing w:after="0"/>
              <w:rPr>
                <w:sz w:val="13"/>
                <w:szCs w:val="13"/>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12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(15)</w:t>
            </w:r>
          </w:p>
        </w:tc>
      </w:tr>
      <w:tr>
        <w:trPr>
          <w:trHeight w:val="155"/>
        </w:trPr>
        <w:tc>
          <w:tcPr>
            <w:tcW w:w="20" w:type="dxa"/>
            <w:vAlign w:val="bottom"/>
          </w:tcPr>
          <w:p>
            <w:pPr>
              <w:spacing w:after="0"/>
              <w:rPr>
                <w:sz w:val="13"/>
                <w:szCs w:val="13"/>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Other income (expense), net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before provision for income taxes</w:t>
            </w:r>
          </w:p>
        </w:tc>
        <w:tc>
          <w:tcPr>
            <w:tcW w:w="12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3"/>
                <w:szCs w:val="13"/>
                <w:color w:val="auto"/>
              </w:rPr>
              <w:t>(66)</w:t>
            </w:r>
          </w:p>
        </w:tc>
        <w:tc>
          <w:tcPr>
            <w:tcW w:w="12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3"/>
                <w:szCs w:val="13"/>
                <w:color w:val="auto"/>
              </w:rPr>
              <w:t>(83)</w:t>
            </w: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3"/>
                <w:szCs w:val="13"/>
                <w:color w:val="auto"/>
              </w:rPr>
              <w:t>(50)</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(77)</w:t>
            </w:r>
          </w:p>
        </w:tc>
      </w:tr>
      <w:tr>
        <w:trPr>
          <w:trHeight w:val="155"/>
        </w:trPr>
        <w:tc>
          <w:tcPr>
            <w:tcW w:w="20" w:type="dxa"/>
            <w:vAlign w:val="bottom"/>
          </w:tcPr>
          <w:p>
            <w:pPr>
              <w:spacing w:after="0"/>
              <w:rPr>
                <w:sz w:val="13"/>
                <w:szCs w:val="13"/>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(66)%</w:t>
            </w: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(83)%</w:t>
            </w: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(50)%</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(77)%</w:t>
            </w:r>
          </w:p>
        </w:tc>
      </w:tr>
      <w:tr>
        <w:trPr>
          <w:trHeight w:val="29"/>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67945</wp:posOffset>
            </wp:positionV>
            <wp:extent cx="548005"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48005" cy="6350"/>
                    </a:xfrm>
                    <a:prstGeom prst="rect">
                      <a:avLst/>
                    </a:prstGeom>
                    <a:noFill/>
                  </pic:spPr>
                </pic:pic>
              </a:graphicData>
            </a:graphic>
          </wp:anchor>
        </w:drawing>
      </w:r>
    </w:p>
    <w:p>
      <w:pPr>
        <w:spacing w:after="0" w:line="11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0"/>
          <w:szCs w:val="10"/>
          <w:color w:val="auto"/>
        </w:rPr>
        <w:t>* Less than 1%</w:t>
      </w:r>
    </w:p>
    <w:p>
      <w:pPr>
        <w:spacing w:after="0" w:line="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0"/>
          <w:szCs w:val="10"/>
          <w:color w:val="auto"/>
        </w:rPr>
        <w:t>Note: Certain figures may not sum due to rounding.</w:t>
      </w:r>
    </w:p>
    <w:p>
      <w:pPr>
        <w:spacing w:after="0" w:line="21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Comparison of Six Months Ended July 31, 2019 to Six Months Ended July 31, 2020</w:t>
      </w:r>
    </w:p>
    <w:p>
      <w:pPr>
        <w:spacing w:after="0" w:line="15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Revenues</w:t>
      </w:r>
    </w:p>
    <w:p>
      <w:pPr>
        <w:spacing w:after="0" w:line="180"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840" w:type="dxa"/>
            <w:vAlign w:val="bottom"/>
            <w:gridSpan w:val="3"/>
          </w:tcPr>
          <w:p>
            <w:pPr>
              <w:ind w:left="160"/>
              <w:spacing w:after="0"/>
              <w:rPr>
                <w:sz w:val="20"/>
                <w:szCs w:val="20"/>
                <w:color w:val="auto"/>
              </w:rPr>
            </w:pPr>
            <w:r>
              <w:rPr>
                <w:rFonts w:ascii="Times New Roman" w:cs="Times New Roman" w:eastAsia="Times New Roman" w:hAnsi="Times New Roman"/>
                <w:sz w:val="10"/>
                <w:szCs w:val="10"/>
                <w:b w:val="1"/>
                <w:bCs w:val="1"/>
                <w:color w:val="auto"/>
              </w:rPr>
              <w:t>Six Months Ended July 31,</w:t>
            </w:r>
          </w:p>
        </w:tc>
        <w:tc>
          <w:tcPr>
            <w:tcW w:w="11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660" w:type="dxa"/>
            <w:vAlign w:val="bottom"/>
            <w:tcBorders>
              <w:top w:val="single" w:sz="8" w:color="auto"/>
            </w:tcBorders>
          </w:tcPr>
          <w:p>
            <w:pPr>
              <w:jc w:val="right"/>
              <w:ind w:right="248"/>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860" w:type="dxa"/>
            <w:vAlign w:val="bottom"/>
            <w:tcBorders>
              <w:top w:val="single" w:sz="8" w:color="auto"/>
            </w:tcBorders>
          </w:tcPr>
          <w:p>
            <w:pPr>
              <w:jc w:val="right"/>
              <w:ind w:right="124"/>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3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gridSpan w:val="2"/>
          </w:tcPr>
          <w:p>
            <w:pPr>
              <w:ind w:left="120"/>
              <w:spacing w:after="0" w:line="97" w:lineRule="exact"/>
              <w:rPr>
                <w:sz w:val="20"/>
                <w:szCs w:val="20"/>
                <w:color w:val="auto"/>
              </w:rPr>
            </w:pPr>
            <w:r>
              <w:rPr>
                <w:rFonts w:ascii="Times New Roman" w:cs="Times New Roman" w:eastAsia="Times New Roman" w:hAnsi="Times New Roman"/>
                <w:sz w:val="10"/>
                <w:szCs w:val="10"/>
                <w:b w:val="1"/>
                <w:bCs w:val="1"/>
                <w:color w:val="auto"/>
              </w:rPr>
              <w:t>(dollars in thousands)</w:t>
            </w:r>
          </w:p>
        </w:tc>
        <w:tc>
          <w:tcPr>
            <w:tcW w:w="72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Revenues</w:t>
            </w:r>
          </w:p>
        </w:tc>
        <w:tc>
          <w:tcPr>
            <w:tcW w:w="25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3"/>
                <w:szCs w:val="13"/>
                <w:color w:val="auto"/>
              </w:rPr>
              <w:t>$  61,057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99,730</w:t>
            </w:r>
          </w:p>
        </w:tc>
        <w:tc>
          <w:tcPr>
            <w:tcW w:w="3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38,673</w:t>
            </w:r>
          </w:p>
        </w:tc>
        <w:tc>
          <w:tcPr>
            <w:tcW w:w="4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63%</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1680" w:right="599" w:firstLine="316"/>
        <w:spacing w:after="0" w:line="295" w:lineRule="auto"/>
        <w:rPr>
          <w:sz w:val="20"/>
          <w:szCs w:val="20"/>
          <w:color w:val="auto"/>
        </w:rPr>
      </w:pPr>
      <w:r>
        <w:rPr>
          <w:rFonts w:ascii="Times New Roman" w:cs="Times New Roman" w:eastAsia="Times New Roman" w:hAnsi="Times New Roman"/>
          <w:sz w:val="12"/>
          <w:szCs w:val="12"/>
          <w:color w:val="auto"/>
        </w:rPr>
        <w:t>Revenues increased $38.7 million, or 63%, during the six months ended July 31, 2020 compared to the six months ended July 31, 2019. The increase in revenues was primarily due to the addition of new paying customers, a continued shift in our sales mix toward our higher priced subscription plans, such as Enterprise and Business plans, and revenues generated from our existing paying customers expanding their use of our solution.</w:t>
      </w:r>
    </w:p>
    <w:p>
      <w:pPr>
        <w:spacing w:after="0" w:line="18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Cost of Revenues and Gross Margin</w:t>
      </w:r>
    </w:p>
    <w:p>
      <w:pPr>
        <w:spacing w:after="0" w:line="180"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020" w:type="dxa"/>
            <w:vAlign w:val="bottom"/>
            <w:gridSpan w:val="3"/>
          </w:tcPr>
          <w:p>
            <w:pPr>
              <w:jc w:val="right"/>
              <w:ind w:right="620"/>
              <w:spacing w:after="0"/>
              <w:rPr>
                <w:sz w:val="20"/>
                <w:szCs w:val="20"/>
                <w:color w:val="auto"/>
              </w:rPr>
            </w:pPr>
            <w:r>
              <w:rPr>
                <w:rFonts w:ascii="Times New Roman" w:cs="Times New Roman" w:eastAsia="Times New Roman" w:hAnsi="Times New Roman"/>
                <w:sz w:val="10"/>
                <w:szCs w:val="10"/>
                <w:b w:val="1"/>
                <w:bCs w:val="1"/>
                <w:color w:val="auto"/>
              </w:rPr>
              <w:t>Six Months Ended July 31,</w:t>
            </w:r>
          </w:p>
        </w:tc>
        <w:tc>
          <w:tcPr>
            <w:tcW w:w="240" w:type="dxa"/>
            <w:vAlign w:val="bottom"/>
          </w:tcPr>
          <w:p>
            <w:pPr>
              <w:spacing w:after="0"/>
              <w:rPr>
                <w:sz w:val="10"/>
                <w:szCs w:val="10"/>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760" w:type="dxa"/>
            <w:vAlign w:val="bottom"/>
            <w:tcBorders>
              <w:top w:val="single" w:sz="8" w:color="auto"/>
            </w:tcBorders>
          </w:tcPr>
          <w:p>
            <w:pPr>
              <w:jc w:val="right"/>
              <w:ind w:right="348"/>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860" w:type="dxa"/>
            <w:vAlign w:val="bottom"/>
            <w:tcBorders>
              <w:top w:val="single" w:sz="8" w:color="auto"/>
            </w:tcBorders>
          </w:tcPr>
          <w:p>
            <w:pPr>
              <w:jc w:val="right"/>
              <w:ind w:right="102"/>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gridSpan w:val="2"/>
          </w:tcPr>
          <w:p>
            <w:pPr>
              <w:jc w:val="right"/>
              <w:ind w:right="160"/>
              <w:spacing w:after="0" w:line="97" w:lineRule="exact"/>
              <w:rPr>
                <w:sz w:val="20"/>
                <w:szCs w:val="20"/>
                <w:color w:val="auto"/>
              </w:rPr>
            </w:pPr>
            <w:r>
              <w:rPr>
                <w:rFonts w:ascii="Times New Roman" w:cs="Times New Roman" w:eastAsia="Times New Roman" w:hAnsi="Times New Roman"/>
                <w:sz w:val="10"/>
                <w:szCs w:val="10"/>
                <w:b w:val="1"/>
                <w:bCs w:val="1"/>
                <w:color w:val="auto"/>
              </w:rPr>
              <w:t>(dollars in thousands)</w:t>
            </w:r>
          </w:p>
        </w:tc>
        <w:tc>
          <w:tcPr>
            <w:tcW w:w="24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revenues</w:t>
            </w:r>
          </w:p>
        </w:tc>
        <w:tc>
          <w:tcPr>
            <w:tcW w:w="230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3"/>
                <w:szCs w:val="13"/>
                <w:color w:val="auto"/>
              </w:rPr>
              <w:t>$   8,751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13,227</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4,476</w:t>
            </w:r>
          </w:p>
        </w:tc>
        <w:tc>
          <w:tcPr>
            <w:tcW w:w="4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3"/>
                <w:szCs w:val="13"/>
                <w:color w:val="auto"/>
              </w:rPr>
              <w:t>Gross margin</w:t>
            </w:r>
          </w:p>
        </w:tc>
        <w:tc>
          <w:tcPr>
            <w:tcW w:w="230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color w:val="auto"/>
              </w:rPr>
              <w:t>86%</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87%</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1680" w:right="599" w:firstLine="316"/>
        <w:spacing w:after="0" w:line="277" w:lineRule="auto"/>
        <w:rPr>
          <w:sz w:val="20"/>
          <w:szCs w:val="20"/>
          <w:color w:val="auto"/>
        </w:rPr>
      </w:pPr>
      <w:r>
        <w:rPr>
          <w:rFonts w:ascii="Times New Roman" w:cs="Times New Roman" w:eastAsia="Times New Roman" w:hAnsi="Times New Roman"/>
          <w:sz w:val="13"/>
          <w:szCs w:val="13"/>
          <w:color w:val="auto"/>
        </w:rPr>
        <w:t>Cost of revenues increased $4.5 million, or 51%, during the six months ended July 31, 2020 compared to the six months ended July 31, 2019. The increase was primarily due to an increase of $1.4 million in third-party</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69</w:t>
      </w:r>
    </w:p>
    <w:p>
      <w:pPr>
        <w:sectPr>
          <w:pgSz w:w="11900" w:h="16838" w:orient="portrait"/>
          <w:cols w:equalWidth="0" w:num="1">
            <w:col w:w="10159"/>
          </w:cols>
          <w:pgMar w:left="300" w:top="367" w:right="1440" w:bottom="1440" w:gutter="0" w:footer="0" w:header="0"/>
        </w:sectPr>
      </w:pPr>
    </w:p>
    <w:bookmarkStart w:id="74" w:name="page75"/>
    <w:bookmarkEnd w:id="7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839"/>
        <w:spacing w:after="0" w:line="263" w:lineRule="auto"/>
        <w:rPr>
          <w:sz w:val="20"/>
          <w:szCs w:val="20"/>
          <w:color w:val="auto"/>
        </w:rPr>
      </w:pPr>
      <w:r>
        <w:rPr>
          <w:rFonts w:ascii="Times New Roman" w:cs="Times New Roman" w:eastAsia="Times New Roman" w:hAnsi="Times New Roman"/>
          <w:sz w:val="13"/>
          <w:szCs w:val="13"/>
          <w:color w:val="auto"/>
        </w:rPr>
        <w:t>hosting costs as we increased capacity to support customer usage and growth of our customer base, $1.3 million in personnel-related costs due to increased headcount, $0.9 million in allocated overhead costs as a result of increased overall costs to support the growth of our business and related infrastructure, and $0.8 million in credit card processing fees.</w:t>
      </w:r>
    </w:p>
    <w:p>
      <w:pPr>
        <w:spacing w:after="0" w:line="129" w:lineRule="exact"/>
        <w:rPr>
          <w:sz w:val="20"/>
          <w:szCs w:val="20"/>
          <w:color w:val="auto"/>
        </w:rPr>
      </w:pPr>
    </w:p>
    <w:p>
      <w:pPr>
        <w:ind w:left="1680" w:right="579" w:firstLine="316"/>
        <w:spacing w:after="0" w:line="263" w:lineRule="auto"/>
        <w:rPr>
          <w:sz w:val="20"/>
          <w:szCs w:val="20"/>
          <w:color w:val="auto"/>
        </w:rPr>
      </w:pPr>
      <w:r>
        <w:rPr>
          <w:rFonts w:ascii="Times New Roman" w:cs="Times New Roman" w:eastAsia="Times New Roman" w:hAnsi="Times New Roman"/>
          <w:sz w:val="13"/>
          <w:szCs w:val="13"/>
          <w:color w:val="auto"/>
        </w:rPr>
        <w:t>Our gross margin increased during the six months ended July 31, 2020 compared to the six months ended July 31, 2019 as we increased our revenues and more efficiently managed third-party hosting costs and realized benefits due to economies of scale resulting from increased efficiency with our technology and infrastructure.</w:t>
      </w:r>
    </w:p>
    <w:p>
      <w:pPr>
        <w:spacing w:after="0" w:line="20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Operating Expenses</w:t>
      </w:r>
    </w:p>
    <w:p>
      <w:pPr>
        <w:spacing w:after="0" w:line="180"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gridSpan w:val="5"/>
          </w:tcPr>
          <w:p>
            <w:pPr>
              <w:ind w:left="20"/>
              <w:spacing w:after="0"/>
              <w:rPr>
                <w:sz w:val="20"/>
                <w:szCs w:val="20"/>
                <w:color w:val="auto"/>
              </w:rPr>
            </w:pPr>
            <w:r>
              <w:rPr>
                <w:rFonts w:ascii="Times New Roman" w:cs="Times New Roman" w:eastAsia="Times New Roman" w:hAnsi="Times New Roman"/>
                <w:sz w:val="10"/>
                <w:szCs w:val="10"/>
                <w:b w:val="1"/>
                <w:bCs w:val="1"/>
                <w:color w:val="auto"/>
              </w:rPr>
              <w:t>Six Months Ended July 31,</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440" w:type="dxa"/>
            <w:vAlign w:val="bottom"/>
            <w:vMerge w:val="restart"/>
          </w:tcPr>
          <w:p>
            <w:pPr>
              <w:jc w:val="right"/>
              <w:ind w:right="18"/>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28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ind w:right="120"/>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2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ind w:right="118"/>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240" w:type="dxa"/>
            <w:vAlign w:val="bottom"/>
          </w:tcPr>
          <w:p>
            <w:pPr>
              <w:spacing w:after="0"/>
              <w:rPr>
                <w:sz w:val="8"/>
                <w:szCs w:val="8"/>
                <w:color w:val="auto"/>
              </w:rPr>
            </w:pPr>
          </w:p>
        </w:tc>
        <w:tc>
          <w:tcPr>
            <w:tcW w:w="160" w:type="dxa"/>
            <w:vAlign w:val="bottom"/>
            <w:gridSpan w:val="2"/>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gridSpan w:val="4"/>
          </w:tcPr>
          <w:p>
            <w:pPr>
              <w:ind w:left="80"/>
              <w:spacing w:after="0" w:line="97" w:lineRule="exact"/>
              <w:rPr>
                <w:sz w:val="20"/>
                <w:szCs w:val="20"/>
                <w:color w:val="auto"/>
              </w:rPr>
            </w:pPr>
            <w:r>
              <w:rPr>
                <w:rFonts w:ascii="Times New Roman" w:cs="Times New Roman" w:eastAsia="Times New Roman" w:hAnsi="Times New Roman"/>
                <w:sz w:val="10"/>
                <w:szCs w:val="10"/>
                <w:b w:val="1"/>
                <w:bCs w:val="1"/>
                <w:color w:val="auto"/>
              </w:rPr>
              <w:t>(dollars in thousands)</w:t>
            </w:r>
          </w:p>
        </w:tc>
        <w:tc>
          <w:tcPr>
            <w:tcW w:w="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29,876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48,342</w:t>
            </w:r>
          </w:p>
        </w:tc>
        <w:tc>
          <w:tcPr>
            <w:tcW w:w="24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18,466</w:t>
            </w:r>
          </w:p>
        </w:tc>
        <w:tc>
          <w:tcPr>
            <w:tcW w:w="102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39,025</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74,913</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35,888</w:t>
            </w:r>
          </w:p>
        </w:tc>
        <w:tc>
          <w:tcPr>
            <w:tcW w:w="86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w w:val="76"/>
              </w:rPr>
              <w:t>92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14,649</w:t>
            </w:r>
          </w:p>
        </w:tc>
        <w:tc>
          <w:tcPr>
            <w:tcW w:w="2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25,917</w:t>
            </w: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11,268</w:t>
            </w:r>
          </w:p>
        </w:tc>
        <w:tc>
          <w:tcPr>
            <w:tcW w:w="8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w w:val="76"/>
              </w:rPr>
              <w:t>77</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6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operating expenses</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83,550</w:t>
            </w:r>
          </w:p>
        </w:tc>
        <w:tc>
          <w:tcPr>
            <w:tcW w:w="2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149,172</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65,622</w:t>
            </w:r>
          </w:p>
        </w:tc>
        <w:tc>
          <w:tcPr>
            <w:tcW w:w="1020" w:type="dxa"/>
            <w:vAlign w:val="bottom"/>
            <w:gridSpan w:val="3"/>
          </w:tcPr>
          <w:p>
            <w:pPr>
              <w:ind w:left="740"/>
              <w:spacing w:after="0"/>
              <w:rPr>
                <w:sz w:val="20"/>
                <w:szCs w:val="20"/>
                <w:color w:val="auto"/>
              </w:rPr>
            </w:pPr>
            <w:r>
              <w:rPr>
                <w:rFonts w:ascii="Times New Roman" w:cs="Times New Roman" w:eastAsia="Times New Roman" w:hAnsi="Times New Roman"/>
                <w:sz w:val="13"/>
                <w:szCs w:val="13"/>
                <w:color w:val="auto"/>
              </w:rPr>
              <w:t>79%</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Research and Development</w:t>
      </w:r>
    </w:p>
    <w:p>
      <w:pPr>
        <w:spacing w:after="0" w:line="85" w:lineRule="exact"/>
        <w:rPr>
          <w:sz w:val="20"/>
          <w:szCs w:val="20"/>
          <w:color w:val="auto"/>
        </w:rPr>
      </w:pPr>
    </w:p>
    <w:p>
      <w:pPr>
        <w:ind w:left="1680" w:right="599" w:firstLine="316"/>
        <w:spacing w:after="0" w:line="295" w:lineRule="auto"/>
        <w:rPr>
          <w:sz w:val="20"/>
          <w:szCs w:val="20"/>
          <w:color w:val="auto"/>
        </w:rPr>
      </w:pPr>
      <w:r>
        <w:rPr>
          <w:rFonts w:ascii="Times New Roman" w:cs="Times New Roman" w:eastAsia="Times New Roman" w:hAnsi="Times New Roman"/>
          <w:sz w:val="12"/>
          <w:szCs w:val="12"/>
          <w:color w:val="auto"/>
        </w:rPr>
        <w:t>Research and development expenses increased $18.5 million, or 62%, during the six months ended July 31, 2020 compared to the six months ended July 31, 2019. The increase was primarily due to an increase of $14.6 million in personnel-related expenses driven by higher headcount and an increase of $3.4 million in allocated overhead costs as a result of increased overall costs to support the growth of our business and related infrastructure.</w:t>
      </w:r>
    </w:p>
    <w:p>
      <w:pPr>
        <w:spacing w:after="0" w:line="18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Sales and Marketing</w:t>
      </w:r>
    </w:p>
    <w:p>
      <w:pPr>
        <w:spacing w:after="0" w:line="85" w:lineRule="exact"/>
        <w:rPr>
          <w:sz w:val="20"/>
          <w:szCs w:val="20"/>
          <w:color w:val="auto"/>
        </w:rPr>
      </w:pPr>
    </w:p>
    <w:p>
      <w:pPr>
        <w:ind w:left="1680" w:right="579" w:firstLine="316"/>
        <w:spacing w:after="0" w:line="286" w:lineRule="auto"/>
        <w:rPr>
          <w:sz w:val="20"/>
          <w:szCs w:val="20"/>
          <w:color w:val="auto"/>
        </w:rPr>
      </w:pPr>
      <w:r>
        <w:rPr>
          <w:rFonts w:ascii="Times New Roman" w:cs="Times New Roman" w:eastAsia="Times New Roman" w:hAnsi="Times New Roman"/>
          <w:sz w:val="12"/>
          <w:szCs w:val="12"/>
          <w:color w:val="auto"/>
        </w:rPr>
        <w:t>Sales and marketing expenses increased $35.9 million, or 92%, during the six months ended July 31, 2020 compared to the six months ended July 31, 2019. The increase was primarily due to an increase of $14.5 million in third-party advertising expenses for our marketing programs, an increase of $14.1 million in personnel-related expenses as a result of higher headcount, an increase of $3.9 million in allocated overhead costs as a result of increased overall costs to support the growth of our business and related infrastructure, and an increase of $1.6 million in fees to marketing vendors.</w:t>
      </w:r>
    </w:p>
    <w:p>
      <w:pPr>
        <w:spacing w:after="0" w:line="19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General and Administrative</w:t>
      </w:r>
    </w:p>
    <w:p>
      <w:pPr>
        <w:spacing w:after="0" w:line="85" w:lineRule="exact"/>
        <w:rPr>
          <w:sz w:val="20"/>
          <w:szCs w:val="20"/>
          <w:color w:val="auto"/>
        </w:rPr>
      </w:pPr>
    </w:p>
    <w:p>
      <w:pPr>
        <w:ind w:left="1680" w:right="639" w:firstLine="316"/>
        <w:spacing w:after="0" w:line="256" w:lineRule="auto"/>
        <w:rPr>
          <w:sz w:val="20"/>
          <w:szCs w:val="20"/>
          <w:color w:val="auto"/>
        </w:rPr>
      </w:pPr>
      <w:r>
        <w:rPr>
          <w:rFonts w:ascii="Times New Roman" w:cs="Times New Roman" w:eastAsia="Times New Roman" w:hAnsi="Times New Roman"/>
          <w:sz w:val="13"/>
          <w:szCs w:val="13"/>
          <w:color w:val="auto"/>
        </w:rPr>
        <w:t>General and administrative expenses increased $11.3 million, or 77%, during the six months ended July 31, 2020 compared to the six months ended July 31, 2019. The increase was primarily due to an increase of $6.1 million in personnel-related expenses driven by higher headcount to support our continued growth, an increase of $2.7 million in fees for professional services associated with preparing to be a public company, including direct listing expenses, and an increase of $1.7 million in allocated overhead costs as a result of increased overall costs to support the growth of our business and related infrastructure.</w:t>
      </w:r>
    </w:p>
    <w:p>
      <w:pPr>
        <w:spacing w:after="0" w:line="2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Interest Income, Interest Expense, and Other Income (Expense), Net</w:t>
      </w:r>
    </w:p>
    <w:p>
      <w:pPr>
        <w:spacing w:after="0" w:line="180"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940" w:type="dxa"/>
            <w:vAlign w:val="bottom"/>
            <w:gridSpan w:val="4"/>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Six Months Ended July 31,</w:t>
            </w:r>
          </w:p>
        </w:tc>
        <w:tc>
          <w:tcPr>
            <w:tcW w:w="9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9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680" w:type="dxa"/>
            <w:vAlign w:val="bottom"/>
            <w:tcBorders>
              <w:top w:val="single" w:sz="8" w:color="auto"/>
            </w:tcBorders>
          </w:tcPr>
          <w:p>
            <w:pPr>
              <w:jc w:val="right"/>
              <w:ind w:right="264"/>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4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ind w:right="119"/>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36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gridSpan w:val="3"/>
          </w:tcPr>
          <w:p>
            <w:pPr>
              <w:jc w:val="right"/>
              <w:ind w:right="180"/>
              <w:spacing w:after="0" w:line="97" w:lineRule="exact"/>
              <w:rPr>
                <w:sz w:val="20"/>
                <w:szCs w:val="20"/>
                <w:color w:val="auto"/>
              </w:rPr>
            </w:pPr>
            <w:r>
              <w:rPr>
                <w:rFonts w:ascii="Times New Roman" w:cs="Times New Roman" w:eastAsia="Times New Roman" w:hAnsi="Times New Roman"/>
                <w:sz w:val="10"/>
                <w:szCs w:val="10"/>
                <w:b w:val="1"/>
                <w:bCs w:val="1"/>
                <w:color w:val="auto"/>
              </w:rPr>
              <w:t>(dollars in thousands)</w:t>
            </w:r>
          </w:p>
        </w:tc>
        <w:tc>
          <w:tcPr>
            <w:tcW w:w="6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216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3"/>
                <w:szCs w:val="13"/>
                <w:color w:val="auto"/>
              </w:rPr>
              <w:t>$   1,051</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803</w:t>
            </w:r>
          </w:p>
        </w:tc>
        <w:tc>
          <w:tcPr>
            <w:tcW w:w="3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   (248)</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1480" w:type="dxa"/>
            <w:vAlign w:val="bottom"/>
          </w:tcPr>
          <w:p>
            <w:pPr>
              <w:spacing w:after="0"/>
              <w:rPr>
                <w:sz w:val="13"/>
                <w:szCs w:val="13"/>
                <w:color w:val="auto"/>
              </w:rPr>
            </w:pPr>
          </w:p>
        </w:tc>
        <w:tc>
          <w:tcPr>
            <w:tcW w:w="680" w:type="dxa"/>
            <w:vAlign w:val="bottom"/>
          </w:tcPr>
          <w:p>
            <w:pPr>
              <w:jc w:val="right"/>
              <w:ind w:right="104"/>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3"/>
                <w:szCs w:val="13"/>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(15,355)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(15,355)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income (expense), net</w:t>
            </w:r>
          </w:p>
        </w:tc>
        <w:tc>
          <w:tcPr>
            <w:tcW w:w="216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3"/>
                <w:szCs w:val="13"/>
                <w:color w:val="auto"/>
              </w:rPr>
              <w:t>(226)</w:t>
            </w:r>
          </w:p>
        </w:tc>
        <w:tc>
          <w:tcPr>
            <w:tcW w:w="4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w:t>
            </w: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822</w:t>
            </w:r>
          </w:p>
        </w:tc>
        <w:tc>
          <w:tcPr>
            <w:tcW w:w="2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(364)</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14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70</w:t>
            </w:r>
          </w:p>
        </w:tc>
        <w:tc>
          <w:tcPr>
            <w:tcW w:w="6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67" w:right="1440" w:bottom="1440" w:gutter="0" w:footer="0" w:header="0"/>
        </w:sectPr>
      </w:pPr>
    </w:p>
    <w:bookmarkStart w:id="75" w:name="page76"/>
    <w:bookmarkEnd w:id="7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79" w:firstLine="316"/>
        <w:spacing w:after="0" w:line="258" w:lineRule="auto"/>
        <w:rPr>
          <w:sz w:val="20"/>
          <w:szCs w:val="20"/>
          <w:color w:val="auto"/>
        </w:rPr>
      </w:pPr>
      <w:r>
        <w:rPr>
          <w:rFonts w:ascii="Times New Roman" w:cs="Times New Roman" w:eastAsia="Times New Roman" w:hAnsi="Times New Roman"/>
          <w:sz w:val="13"/>
          <w:szCs w:val="13"/>
          <w:color w:val="auto"/>
        </w:rPr>
        <w:t>Interest expense increased $15.4 million during the six months ended July 31, 2020 compared to the six months ended July 31, 2019 primarily due to the issuance of the senior mandatory convertible promissory notes to a trust affiliated with our CEO in January 2020 and June 2020. Other income (expense), net increased $0.8 million during the six months ended July 31, 2020 compared to the six months ended July 31, 2019 due primarily to an increase in gains on foreign currency transactions.</w:t>
      </w:r>
    </w:p>
    <w:p>
      <w:pPr>
        <w:spacing w:after="0" w:line="20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Comparison of Fiscal 2019 and Fiscal 2020</w:t>
      </w:r>
    </w:p>
    <w:p>
      <w:pPr>
        <w:spacing w:after="0" w:line="15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Revenues</w:t>
      </w:r>
    </w:p>
    <w:p>
      <w:pPr>
        <w:spacing w:after="0" w:line="180"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720" w:type="dxa"/>
            <w:vAlign w:val="bottom"/>
            <w:gridSpan w:val="3"/>
          </w:tcPr>
          <w:p>
            <w:pPr>
              <w:ind w:left="180"/>
              <w:spacing w:after="0"/>
              <w:rPr>
                <w:sz w:val="20"/>
                <w:szCs w:val="20"/>
                <w:color w:val="auto"/>
              </w:rPr>
            </w:pPr>
            <w:r>
              <w:rPr>
                <w:rFonts w:ascii="Times New Roman" w:cs="Times New Roman" w:eastAsia="Times New Roman" w:hAnsi="Times New Roman"/>
                <w:sz w:val="10"/>
                <w:szCs w:val="10"/>
                <w:b w:val="1"/>
                <w:bCs w:val="1"/>
                <w:color w:val="auto"/>
              </w:rPr>
              <w:t>Year Ended January 31,</w:t>
            </w: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w w:val="99"/>
              </w:rPr>
              <w:t>$ Change</w:t>
            </w:r>
          </w:p>
        </w:tc>
        <w:tc>
          <w:tcPr>
            <w:tcW w:w="10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60" w:type="dxa"/>
            <w:vAlign w:val="bottom"/>
          </w:tcPr>
          <w:p>
            <w:pPr>
              <w:spacing w:after="0"/>
              <w:rPr>
                <w:sz w:val="8"/>
                <w:szCs w:val="8"/>
                <w:color w:val="auto"/>
              </w:rPr>
            </w:pPr>
          </w:p>
        </w:tc>
        <w:tc>
          <w:tcPr>
            <w:tcW w:w="580" w:type="dxa"/>
            <w:vAlign w:val="bottom"/>
            <w:tcBorders>
              <w:top w:val="single" w:sz="8" w:color="auto"/>
            </w:tcBorders>
          </w:tcPr>
          <w:p>
            <w:pPr>
              <w:jc w:val="right"/>
              <w:ind w:right="168"/>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860" w:type="dxa"/>
            <w:vAlign w:val="bottom"/>
            <w:tcBorders>
              <w:top w:val="single" w:sz="8" w:color="auto"/>
            </w:tcBorders>
          </w:tcPr>
          <w:p>
            <w:pPr>
              <w:jc w:val="right"/>
              <w:ind w:right="104"/>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2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6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gridSpan w:val="2"/>
          </w:tcPr>
          <w:p>
            <w:pPr>
              <w:ind w:left="60"/>
              <w:spacing w:after="0" w:line="97" w:lineRule="exact"/>
              <w:rPr>
                <w:sz w:val="20"/>
                <w:szCs w:val="20"/>
                <w:color w:val="auto"/>
              </w:rPr>
            </w:pPr>
            <w:r>
              <w:rPr>
                <w:rFonts w:ascii="Times New Roman" w:cs="Times New Roman" w:eastAsia="Times New Roman" w:hAnsi="Times New Roman"/>
                <w:sz w:val="10"/>
                <w:szCs w:val="10"/>
                <w:b w:val="1"/>
                <w:bCs w:val="1"/>
                <w:color w:val="auto"/>
              </w:rPr>
              <w:t>(dollars in thousands)</w:t>
            </w:r>
          </w:p>
        </w:tc>
        <w:tc>
          <w:tcPr>
            <w:tcW w:w="54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Revenues</w:t>
            </w:r>
          </w:p>
        </w:tc>
        <w:tc>
          <w:tcPr>
            <w:tcW w:w="26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auto"/>
              </w:rPr>
              <w:t>$  76,770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$ 142,606</w:t>
            </w:r>
          </w:p>
        </w:tc>
        <w:tc>
          <w:tcPr>
            <w:tcW w:w="280" w:type="dxa"/>
            <w:vAlign w:val="bottom"/>
            <w:shd w:val="clear" w:color="auto" w:fill="CCEEFF"/>
          </w:tcPr>
          <w:p>
            <w:pPr>
              <w:spacing w:after="0"/>
              <w:rPr>
                <w:sz w:val="13"/>
                <w:szCs w:val="13"/>
                <w:color w:val="auto"/>
              </w:rPr>
            </w:pP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4"/>
              </w:rPr>
              <w:t>$65,836</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86%</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1680" w:right="559" w:firstLine="316"/>
        <w:spacing w:after="0" w:line="258" w:lineRule="auto"/>
        <w:rPr>
          <w:sz w:val="20"/>
          <w:szCs w:val="20"/>
          <w:color w:val="auto"/>
        </w:rPr>
      </w:pPr>
      <w:r>
        <w:rPr>
          <w:rFonts w:ascii="Times New Roman" w:cs="Times New Roman" w:eastAsia="Times New Roman" w:hAnsi="Times New Roman"/>
          <w:sz w:val="13"/>
          <w:szCs w:val="13"/>
          <w:color w:val="auto"/>
        </w:rPr>
        <w:t>Revenues increased $65.8 million, or 86%, for fiscal 2020 compared to fiscal 2019. The increase in revenues was primarily due to a shift in our sales mix toward our higher priced subscription plans, such as Enterprise and Business plans, and increased sales of our higher priced subscription plans, the addition of new paying customers, and revenues generated from our existing paying customers as reflected by our dollar-based net retention rate of over 120% as of January 31, 2020.</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Cost of Revenues and Gross Margin</w:t>
      </w:r>
    </w:p>
    <w:p>
      <w:pPr>
        <w:spacing w:after="0" w:line="180"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920" w:type="dxa"/>
            <w:vAlign w:val="bottom"/>
            <w:gridSpan w:val="3"/>
          </w:tcPr>
          <w:p>
            <w:pPr>
              <w:jc w:val="right"/>
              <w:ind w:right="600"/>
              <w:spacing w:after="0"/>
              <w:rPr>
                <w:sz w:val="20"/>
                <w:szCs w:val="20"/>
                <w:color w:val="auto"/>
              </w:rPr>
            </w:pPr>
            <w:r>
              <w:rPr>
                <w:rFonts w:ascii="Times New Roman" w:cs="Times New Roman" w:eastAsia="Times New Roman" w:hAnsi="Times New Roman"/>
                <w:sz w:val="10"/>
                <w:szCs w:val="10"/>
                <w:b w:val="1"/>
                <w:bCs w:val="1"/>
                <w:color w:val="auto"/>
              </w:rPr>
              <w:t>Year Ended January 31,</w:t>
            </w:r>
          </w:p>
        </w:tc>
        <w:tc>
          <w:tcPr>
            <w:tcW w:w="260" w:type="dxa"/>
            <w:vAlign w:val="bottom"/>
            <w:vMerge w:val="restart"/>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97"/>
              </w:rPr>
              <w:t>Change</w:t>
            </w:r>
          </w:p>
        </w:tc>
        <w:tc>
          <w:tcPr>
            <w:tcW w:w="10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700" w:type="dxa"/>
            <w:vAlign w:val="bottom"/>
            <w:tcBorders>
              <w:top w:val="single" w:sz="8" w:color="auto"/>
            </w:tcBorders>
          </w:tcPr>
          <w:p>
            <w:pPr>
              <w:jc w:val="right"/>
              <w:ind w:right="288"/>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880" w:type="dxa"/>
            <w:vAlign w:val="bottom"/>
            <w:tcBorders>
              <w:top w:val="single" w:sz="8" w:color="auto"/>
            </w:tcBorders>
          </w:tcPr>
          <w:p>
            <w:pPr>
              <w:jc w:val="right"/>
              <w:ind w:right="102"/>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3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gridSpan w:val="2"/>
          </w:tcPr>
          <w:p>
            <w:pPr>
              <w:jc w:val="right"/>
              <w:ind w:right="180"/>
              <w:spacing w:after="0" w:line="97" w:lineRule="exact"/>
              <w:rPr>
                <w:sz w:val="20"/>
                <w:szCs w:val="20"/>
                <w:color w:val="auto"/>
              </w:rPr>
            </w:pPr>
            <w:r>
              <w:rPr>
                <w:rFonts w:ascii="Times New Roman" w:cs="Times New Roman" w:eastAsia="Times New Roman" w:hAnsi="Times New Roman"/>
                <w:sz w:val="10"/>
                <w:szCs w:val="10"/>
                <w:b w:val="1"/>
                <w:bCs w:val="1"/>
                <w:color w:val="auto"/>
              </w:rPr>
              <w:t>(dollars in thousands)</w:t>
            </w:r>
          </w:p>
        </w:tc>
        <w:tc>
          <w:tcPr>
            <w:tcW w:w="2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revenues</w:t>
            </w:r>
          </w:p>
        </w:tc>
        <w:tc>
          <w:tcPr>
            <w:tcW w:w="244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3"/>
                <w:szCs w:val="13"/>
                <w:color w:val="auto"/>
              </w:rPr>
              <w:t>$  13,832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19,881</w:t>
            </w: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6,049</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3"/>
                <w:szCs w:val="13"/>
                <w:color w:val="auto"/>
              </w:rPr>
              <w:t>Gross margin</w:t>
            </w:r>
          </w:p>
        </w:tc>
        <w:tc>
          <w:tcPr>
            <w:tcW w:w="2440" w:type="dxa"/>
            <w:vAlign w:val="bottom"/>
            <w:gridSpan w:val="2"/>
          </w:tcPr>
          <w:p>
            <w:pPr>
              <w:jc w:val="right"/>
              <w:ind w:right="28"/>
              <w:spacing w:after="0"/>
              <w:rPr>
                <w:sz w:val="20"/>
                <w:szCs w:val="20"/>
                <w:color w:val="auto"/>
              </w:rPr>
            </w:pPr>
            <w:r>
              <w:rPr>
                <w:rFonts w:ascii="Times New Roman" w:cs="Times New Roman" w:eastAsia="Times New Roman" w:hAnsi="Times New Roman"/>
                <w:sz w:val="13"/>
                <w:szCs w:val="13"/>
                <w:color w:val="auto"/>
              </w:rPr>
              <w:t>82%</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86%</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680" w:right="739" w:firstLine="316"/>
        <w:spacing w:after="0" w:line="258" w:lineRule="auto"/>
        <w:rPr>
          <w:sz w:val="20"/>
          <w:szCs w:val="20"/>
          <w:color w:val="auto"/>
        </w:rPr>
      </w:pPr>
      <w:r>
        <w:rPr>
          <w:rFonts w:ascii="Times New Roman" w:cs="Times New Roman" w:eastAsia="Times New Roman" w:hAnsi="Times New Roman"/>
          <w:sz w:val="13"/>
          <w:szCs w:val="13"/>
          <w:color w:val="auto"/>
        </w:rPr>
        <w:t>Cost of revenues increased $6.0 million, or 44%, for fiscal 2020 compared to fiscal 2019. The increase was primarily due to an increase of $3.6 million in third-party hosting costs as we increased capacity to support customer usage and growth of our customer base, $1.6 million in personnel-related costs due to increased headcount, and $1.5 million in credit card processing fees, partially offset by a $0.7 million decrease in amortization of capitalized internal-use software costs.</w:t>
      </w:r>
    </w:p>
    <w:p>
      <w:pPr>
        <w:spacing w:after="0" w:line="133" w:lineRule="exact"/>
        <w:rPr>
          <w:sz w:val="20"/>
          <w:szCs w:val="20"/>
          <w:color w:val="auto"/>
        </w:rPr>
      </w:pPr>
    </w:p>
    <w:p>
      <w:pPr>
        <w:ind w:left="1680" w:right="659" w:firstLine="316"/>
        <w:spacing w:after="0" w:line="263" w:lineRule="auto"/>
        <w:rPr>
          <w:sz w:val="20"/>
          <w:szCs w:val="20"/>
          <w:color w:val="auto"/>
        </w:rPr>
      </w:pPr>
      <w:r>
        <w:rPr>
          <w:rFonts w:ascii="Times New Roman" w:cs="Times New Roman" w:eastAsia="Times New Roman" w:hAnsi="Times New Roman"/>
          <w:sz w:val="13"/>
          <w:szCs w:val="13"/>
          <w:color w:val="auto"/>
        </w:rPr>
        <w:t>Our gross margin increased for fiscal 2020 compared to fiscal 2019 as we increased our revenues and more efficiently managed third-party hosting costs, realized benefits due to economies of scale resulting from increased efficiency with our technology and infrastructure, and experienced a decrease in amortization of capitalized internal-use software costs.</w:t>
      </w:r>
    </w:p>
    <w:p>
      <w:pPr>
        <w:spacing w:after="0" w:line="20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Operating Expenses</w:t>
      </w:r>
    </w:p>
    <w:p>
      <w:pPr>
        <w:spacing w:after="0" w:line="180"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40" w:type="dxa"/>
            <w:vAlign w:val="bottom"/>
            <w:gridSpan w:val="5"/>
          </w:tcPr>
          <w:p>
            <w:pPr>
              <w:ind w:left="20"/>
              <w:spacing w:after="0"/>
              <w:rPr>
                <w:sz w:val="20"/>
                <w:szCs w:val="20"/>
                <w:color w:val="auto"/>
              </w:rPr>
            </w:pPr>
            <w:r>
              <w:rPr>
                <w:rFonts w:ascii="Times New Roman" w:cs="Times New Roman" w:eastAsia="Times New Roman" w:hAnsi="Times New Roman"/>
                <w:sz w:val="10"/>
                <w:szCs w:val="10"/>
                <w:b w:val="1"/>
                <w:bCs w:val="1"/>
                <w:color w:val="auto"/>
              </w:rPr>
              <w:t>Year Ended January 31,</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8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jc w:val="right"/>
              <w:ind w:right="80"/>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2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jc w:val="right"/>
              <w:ind w:right="78"/>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26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gridSpan w:val="4"/>
          </w:tcPr>
          <w:p>
            <w:pPr>
              <w:ind w:left="40"/>
              <w:spacing w:after="0" w:line="97" w:lineRule="exact"/>
              <w:rPr>
                <w:sz w:val="20"/>
                <w:szCs w:val="20"/>
                <w:color w:val="auto"/>
              </w:rPr>
            </w:pPr>
            <w:r>
              <w:rPr>
                <w:rFonts w:ascii="Times New Roman" w:cs="Times New Roman" w:eastAsia="Times New Roman" w:hAnsi="Times New Roman"/>
                <w:sz w:val="10"/>
                <w:szCs w:val="10"/>
                <w:b w:val="1"/>
                <w:bCs w:val="1"/>
                <w:color w:val="auto"/>
              </w:rPr>
              <w:t>(dollars in thousands)</w:t>
            </w: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42,585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89,675</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47,090</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2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52,106</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105,836</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53,730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3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20,260</w:t>
            </w:r>
          </w:p>
        </w:tc>
        <w:tc>
          <w:tcPr>
            <w:tcW w:w="2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46,845</w:t>
            </w:r>
          </w:p>
        </w:tc>
        <w:tc>
          <w:tcPr>
            <w:tcW w:w="2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26,585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operating expenses</w:t>
            </w:r>
          </w:p>
        </w:tc>
        <w:tc>
          <w:tcPr>
            <w:tcW w:w="232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114,951</w:t>
            </w:r>
          </w:p>
        </w:tc>
        <w:tc>
          <w:tcPr>
            <w:tcW w:w="28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242,356</w:t>
            </w:r>
          </w:p>
        </w:tc>
        <w:tc>
          <w:tcPr>
            <w:tcW w:w="26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u w:val="single" w:color="auto"/>
                <w:color w:val="auto"/>
                <w:w w:val="98"/>
              </w:rPr>
              <w:t>$</w:t>
            </w:r>
            <w:r>
              <w:rPr>
                <w:rFonts w:ascii="Times New Roman" w:cs="Times New Roman" w:eastAsia="Times New Roman" w:hAnsi="Times New Roman"/>
                <w:sz w:val="13"/>
                <w:szCs w:val="13"/>
                <w:color w:val="auto"/>
                <w:w w:val="98"/>
              </w:rPr>
              <w:t>127,405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2320" w:type="dxa"/>
            <w:vAlign w:val="bottom"/>
          </w:tcPr>
          <w:p>
            <w:pPr>
              <w:jc w:val="right"/>
              <w:ind w:right="955"/>
              <w:spacing w:after="0"/>
              <w:rPr>
                <w:sz w:val="20"/>
                <w:szCs w:val="20"/>
                <w:color w:val="auto"/>
              </w:rPr>
            </w:pPr>
            <w:r>
              <w:rPr>
                <w:rFonts w:ascii="Times New Roman" w:cs="Times New Roman" w:eastAsia="Times New Roman" w:hAnsi="Times New Roman"/>
                <w:sz w:val="13"/>
                <w:szCs w:val="13"/>
                <w:color w:val="auto"/>
              </w:rPr>
              <w:t>71</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67" w:right="1440" w:bottom="1440" w:gutter="0" w:footer="0" w:header="0"/>
        </w:sectPr>
      </w:pPr>
    </w:p>
    <w:bookmarkStart w:id="76" w:name="page77"/>
    <w:bookmarkEnd w:id="7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Research and Development</w:t>
      </w:r>
    </w:p>
    <w:p>
      <w:pPr>
        <w:spacing w:after="0" w:line="85" w:lineRule="exact"/>
        <w:rPr>
          <w:sz w:val="20"/>
          <w:szCs w:val="20"/>
          <w:color w:val="auto"/>
        </w:rPr>
      </w:pPr>
    </w:p>
    <w:p>
      <w:pPr>
        <w:ind w:left="1680" w:right="579" w:firstLine="316"/>
        <w:spacing w:after="0" w:line="256" w:lineRule="auto"/>
        <w:rPr>
          <w:sz w:val="20"/>
          <w:szCs w:val="20"/>
          <w:color w:val="auto"/>
        </w:rPr>
      </w:pPr>
      <w:r>
        <w:rPr>
          <w:rFonts w:ascii="Times New Roman" w:cs="Times New Roman" w:eastAsia="Times New Roman" w:hAnsi="Times New Roman"/>
          <w:sz w:val="13"/>
          <w:szCs w:val="13"/>
          <w:color w:val="auto"/>
        </w:rPr>
        <w:t>Research and development expenses increased $47.1 million, or 111%, for fiscal 2020 compared to fiscal 2019. The increase was primarily due to an increase of $40.5 million in personnel-related expenses driven by higher headcount and $16.6 million in higher tender offer-related stock-based compensation expense, an increase of $3.9 million in allocated overhead costs as a result of increased overall costs to support the growth of our business and related infrastructure, and an increase of $1.5 million related to software subscriptions and expensed computer equipment used in research and development activities.</w:t>
      </w:r>
    </w:p>
    <w:p>
      <w:pPr>
        <w:spacing w:after="0" w:line="20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Sales and Marketing</w:t>
      </w:r>
    </w:p>
    <w:p>
      <w:pPr>
        <w:spacing w:after="0" w:line="85" w:lineRule="exact"/>
        <w:rPr>
          <w:sz w:val="20"/>
          <w:szCs w:val="20"/>
          <w:color w:val="auto"/>
        </w:rPr>
      </w:pPr>
    </w:p>
    <w:p>
      <w:pPr>
        <w:ind w:left="1680" w:right="579" w:firstLine="316"/>
        <w:spacing w:after="0" w:line="256" w:lineRule="auto"/>
        <w:rPr>
          <w:sz w:val="20"/>
          <w:szCs w:val="20"/>
          <w:color w:val="auto"/>
        </w:rPr>
      </w:pPr>
      <w:r>
        <w:rPr>
          <w:rFonts w:ascii="Times New Roman" w:cs="Times New Roman" w:eastAsia="Times New Roman" w:hAnsi="Times New Roman"/>
          <w:sz w:val="13"/>
          <w:szCs w:val="13"/>
          <w:color w:val="auto"/>
        </w:rPr>
        <w:t>Sales and marketing expenses increased $53.7 million, or 103%, for fiscal 2020 compared to fiscal 2019. The increase was primarily due to an increase of $26.1 million in personnel-related expenses as a result of higher headcount and sales commissions for our sales personnel and $7.0 million in higher tender offer-related stock-based compensation expense, an increase of $13.7 million in advertising expenses for our marketing programs, an increase of $7.2 million in fees to marketing vendors, and an increase of $3.6 million in allocated overhead costs as a result of increased overall costs to support the growth of our business and related infrastructure.</w:t>
      </w:r>
    </w:p>
    <w:p>
      <w:pPr>
        <w:spacing w:after="0" w:line="20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General and Administrative</w:t>
      </w:r>
    </w:p>
    <w:p>
      <w:pPr>
        <w:spacing w:after="0" w:line="85" w:lineRule="exact"/>
        <w:rPr>
          <w:sz w:val="20"/>
          <w:szCs w:val="20"/>
          <w:color w:val="auto"/>
        </w:rPr>
      </w:pPr>
    </w:p>
    <w:p>
      <w:pPr>
        <w:ind w:left="1680" w:right="579" w:firstLine="316"/>
        <w:spacing w:after="0" w:line="256" w:lineRule="auto"/>
        <w:rPr>
          <w:sz w:val="20"/>
          <w:szCs w:val="20"/>
          <w:color w:val="auto"/>
        </w:rPr>
      </w:pPr>
      <w:r>
        <w:rPr>
          <w:rFonts w:ascii="Times New Roman" w:cs="Times New Roman" w:eastAsia="Times New Roman" w:hAnsi="Times New Roman"/>
          <w:sz w:val="13"/>
          <w:szCs w:val="13"/>
          <w:color w:val="auto"/>
        </w:rPr>
        <w:t>General and administrative expenses increased $26.6 million, or 131%, for fiscal 2020 compared to fiscal 2019. The increase was primarily due to an increase of $17.6 million in personnel-related expenses driven by higher headcount to support our continued growth and $11.2 million in higher tender offer-related stock-based compensation expense, an increase of $2.8 million in fees for professional services associated with preparing to be a public company, including direct listing expenses, an increase of $1.6 million in fees paid to external consultants, and an increase of $1.3 million in software subscriptions and expensed computer equipment to support the growth of our business and related infrastructure.</w:t>
      </w:r>
    </w:p>
    <w:p>
      <w:pPr>
        <w:spacing w:after="0" w:line="2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Interest Income, Interest Expense, and Other Income (Expense), Net</w:t>
      </w:r>
    </w:p>
    <w:p>
      <w:pPr>
        <w:spacing w:after="0" w:line="180"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820" w:type="dxa"/>
            <w:vAlign w:val="bottom"/>
            <w:gridSpan w:val="3"/>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Year Ended January 31,</w:t>
            </w:r>
          </w:p>
        </w:tc>
        <w:tc>
          <w:tcPr>
            <w:tcW w:w="220" w:type="dxa"/>
            <w:vAlign w:val="bottom"/>
            <w:vMerge w:val="restart"/>
          </w:tcPr>
          <w:p>
            <w:pPr>
              <w:ind w:left="16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8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640" w:type="dxa"/>
            <w:vAlign w:val="bottom"/>
            <w:tcBorders>
              <w:top w:val="single" w:sz="8" w:color="auto"/>
            </w:tcBorders>
          </w:tcPr>
          <w:p>
            <w:pPr>
              <w:jc w:val="right"/>
              <w:ind w:right="224"/>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880" w:type="dxa"/>
            <w:vAlign w:val="bottom"/>
            <w:tcBorders>
              <w:top w:val="single" w:sz="8" w:color="auto"/>
            </w:tcBorders>
          </w:tcPr>
          <w:p>
            <w:pPr>
              <w:jc w:val="right"/>
              <w:ind w:right="101"/>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30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gridSpan w:val="2"/>
          </w:tcPr>
          <w:p>
            <w:pPr>
              <w:jc w:val="right"/>
              <w:ind w:right="140"/>
              <w:spacing w:after="0" w:line="97" w:lineRule="exact"/>
              <w:rPr>
                <w:sz w:val="20"/>
                <w:szCs w:val="20"/>
                <w:color w:val="auto"/>
              </w:rPr>
            </w:pPr>
            <w:r>
              <w:rPr>
                <w:rFonts w:ascii="Times New Roman" w:cs="Times New Roman" w:eastAsia="Times New Roman" w:hAnsi="Times New Roman"/>
                <w:sz w:val="10"/>
                <w:szCs w:val="10"/>
                <w:b w:val="1"/>
                <w:bCs w:val="1"/>
                <w:color w:val="auto"/>
              </w:rPr>
              <w:t>(dollars in thousands)</w:t>
            </w:r>
          </w:p>
        </w:tc>
        <w:tc>
          <w:tcPr>
            <w:tcW w:w="2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21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3"/>
                <w:szCs w:val="13"/>
                <w:color w:val="auto"/>
              </w:rPr>
              <w:t>$   1,290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1,755</w:t>
            </w: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w:t>
            </w:r>
          </w:p>
        </w:tc>
        <w:tc>
          <w:tcPr>
            <w:tcW w:w="24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1480" w:type="dxa"/>
            <w:vAlign w:val="bottom"/>
          </w:tcPr>
          <w:p>
            <w:pPr>
              <w:spacing w:after="0"/>
              <w:rPr>
                <w:sz w:val="13"/>
                <w:szCs w:val="13"/>
                <w:color w:val="auto"/>
              </w:rPr>
            </w:pPr>
          </w:p>
        </w:tc>
        <w:tc>
          <w:tcPr>
            <w:tcW w:w="640" w:type="dxa"/>
            <w:vAlign w:val="bottom"/>
          </w:tcPr>
          <w:p>
            <w:pPr>
              <w:jc w:val="right"/>
              <w:ind w:right="64"/>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(78)</w:t>
            </w:r>
          </w:p>
        </w:tc>
        <w:tc>
          <w:tcPr>
            <w:tcW w:w="22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(78)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income (expense), net</w:t>
            </w:r>
          </w:p>
        </w:tc>
        <w:tc>
          <w:tcPr>
            <w:tcW w:w="212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3"/>
                <w:szCs w:val="13"/>
                <w:color w:val="auto"/>
              </w:rPr>
              <w:t>(177)</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(390)</w:t>
            </w:r>
          </w:p>
        </w:tc>
        <w:tc>
          <w:tcPr>
            <w:tcW w:w="2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(213)</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1680" w:right="559" w:firstLine="316"/>
        <w:spacing w:after="0" w:line="258" w:lineRule="auto"/>
        <w:rPr>
          <w:sz w:val="20"/>
          <w:szCs w:val="20"/>
          <w:color w:val="auto"/>
        </w:rPr>
      </w:pPr>
      <w:r>
        <w:rPr>
          <w:rFonts w:ascii="Times New Roman" w:cs="Times New Roman" w:eastAsia="Times New Roman" w:hAnsi="Times New Roman"/>
          <w:sz w:val="13"/>
          <w:szCs w:val="13"/>
          <w:color w:val="auto"/>
        </w:rPr>
        <w:t>Interest income increased $0.5 million, or 36%, for fiscal 2020 compared to fiscal 2019 primarily due to increased income from our investments in marketable securities as a result of our higher investment balances in fiscal 2020 compared to fiscal 2019. Interest expense increased $0.1 million for fiscal 2020 compared to fiscal 2019 due to the issuance of the senior mandatory convertible promissory note to a trust affiliated with our CEO. Other income (expense), net decreased $0.2 million in fiscal 2020 compared to fiscal 2019 due primarily to losses on foreign currency transactions.</w:t>
      </w:r>
    </w:p>
    <w:p>
      <w:pPr>
        <w:spacing w:after="0" w:line="20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Quarterly Results of Operations Data</w:t>
      </w:r>
    </w:p>
    <w:p>
      <w:pPr>
        <w:spacing w:after="0" w:line="85" w:lineRule="exact"/>
        <w:rPr>
          <w:sz w:val="20"/>
          <w:szCs w:val="20"/>
          <w:color w:val="auto"/>
        </w:rPr>
      </w:pPr>
    </w:p>
    <w:p>
      <w:pPr>
        <w:ind w:left="1680" w:right="579" w:firstLine="316"/>
        <w:spacing w:after="0" w:line="254" w:lineRule="auto"/>
        <w:rPr>
          <w:sz w:val="20"/>
          <w:szCs w:val="20"/>
          <w:color w:val="auto"/>
        </w:rPr>
      </w:pPr>
      <w:r>
        <w:rPr>
          <w:rFonts w:ascii="Times New Roman" w:cs="Times New Roman" w:eastAsia="Times New Roman" w:hAnsi="Times New Roman"/>
          <w:sz w:val="13"/>
          <w:szCs w:val="13"/>
          <w:color w:val="auto"/>
        </w:rPr>
        <w:t>The following tables set forth selected unaudited quarterly statements of operations data for each of the ten fiscal quarters ended July 31, 2020, as well as the percentage of revenues that each line item represents for each quarter. The information for each of these quarters has been prepared in accordance with GAAP on the same basis as our audited annual consolidated financial statements included elsewhere in this prospectus and includes, in the opinion of management, all adjustments, consisting only of normal recurring adjustments, necessary for the fair statement of the results of operations for these periods. This data should be read in conjunction with our consolidated financial statements included elsewhere in this prospectus. These quarterly results are not necessarily indicative of our results of operations to be expected for any future period.</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72</w:t>
      </w:r>
    </w:p>
    <w:p>
      <w:pPr>
        <w:sectPr>
          <w:pgSz w:w="11900" w:h="16838" w:orient="portrait"/>
          <w:cols w:equalWidth="0" w:num="1">
            <w:col w:w="10159"/>
          </w:cols>
          <w:pgMar w:left="300" w:top="367" w:right="1440" w:bottom="1440" w:gutter="0" w:footer="0" w:header="0"/>
        </w:sectPr>
      </w:pPr>
    </w:p>
    <w:bookmarkStart w:id="77" w:name="page78"/>
    <w:bookmarkEnd w:id="7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tbl>
      <w:tblPr>
        <w:tblLayout w:type="fixed"/>
        <w:tblInd w:w="1680" w:type="dxa"/>
        <w:tblCellMar>
          <w:top w:w="0" w:type="dxa"/>
          <w:left w:w="0" w:type="dxa"/>
          <w:bottom w:w="0" w:type="dxa"/>
          <w:right w:w="0" w:type="dxa"/>
        </w:tblCellMar>
      </w:tblPr>
      <w:tr>
        <w:trPr>
          <w:trHeight w:val="112"/>
        </w:trPr>
        <w:tc>
          <w:tcPr>
            <w:tcW w:w="19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9"/>
                <w:szCs w:val="9"/>
                <w:b w:val="1"/>
                <w:bCs w:val="1"/>
                <w:color w:val="auto"/>
                <w:w w:val="97"/>
              </w:rPr>
              <w:t>Three Months Ended</w:t>
            </w: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72"/>
        </w:trPr>
        <w:tc>
          <w:tcPr>
            <w:tcW w:w="19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gridSpan w:val="2"/>
          </w:tcPr>
          <w:p>
            <w:pPr>
              <w:jc w:val="right"/>
              <w:ind w:right="100"/>
              <w:spacing w:after="0" w:line="72" w:lineRule="exact"/>
              <w:rPr>
                <w:sz w:val="20"/>
                <w:szCs w:val="20"/>
                <w:color w:val="auto"/>
              </w:rPr>
            </w:pPr>
            <w:r>
              <w:rPr>
                <w:rFonts w:ascii="Times New Roman" w:cs="Times New Roman" w:eastAsia="Times New Roman" w:hAnsi="Times New Roman"/>
                <w:sz w:val="8"/>
                <w:szCs w:val="8"/>
                <w:b w:val="1"/>
                <w:bCs w:val="1"/>
                <w:color w:val="auto"/>
                <w:w w:val="92"/>
              </w:rPr>
              <w:t>April 30,</w:t>
            </w:r>
          </w:p>
        </w:tc>
        <w:tc>
          <w:tcPr>
            <w:tcW w:w="120" w:type="dxa"/>
            <w:vAlign w:val="bottom"/>
          </w:tcPr>
          <w:p>
            <w:pPr>
              <w:spacing w:after="0"/>
              <w:rPr>
                <w:sz w:val="6"/>
                <w:szCs w:val="6"/>
                <w:color w:val="auto"/>
              </w:rPr>
            </w:pPr>
          </w:p>
        </w:tc>
        <w:tc>
          <w:tcPr>
            <w:tcW w:w="380" w:type="dxa"/>
            <w:vAlign w:val="bottom"/>
            <w:gridSpan w:val="2"/>
          </w:tcPr>
          <w:p>
            <w:pPr>
              <w:jc w:val="right"/>
              <w:ind w:right="120"/>
              <w:spacing w:after="0" w:line="72" w:lineRule="exact"/>
              <w:rPr>
                <w:sz w:val="20"/>
                <w:szCs w:val="20"/>
                <w:color w:val="auto"/>
              </w:rPr>
            </w:pPr>
            <w:r>
              <w:rPr>
                <w:rFonts w:ascii="Times New Roman" w:cs="Times New Roman" w:eastAsia="Times New Roman" w:hAnsi="Times New Roman"/>
                <w:sz w:val="8"/>
                <w:szCs w:val="8"/>
                <w:b w:val="1"/>
                <w:bCs w:val="1"/>
                <w:color w:val="auto"/>
                <w:w w:val="89"/>
              </w:rPr>
              <w:t>July 31,</w:t>
            </w:r>
          </w:p>
        </w:tc>
        <w:tc>
          <w:tcPr>
            <w:tcW w:w="600" w:type="dxa"/>
            <w:vAlign w:val="bottom"/>
            <w:gridSpan w:val="4"/>
          </w:tcPr>
          <w:p>
            <w:pPr>
              <w:ind w:left="60"/>
              <w:spacing w:after="0" w:line="72" w:lineRule="exact"/>
              <w:rPr>
                <w:sz w:val="20"/>
                <w:szCs w:val="20"/>
                <w:color w:val="auto"/>
              </w:rPr>
            </w:pPr>
            <w:r>
              <w:rPr>
                <w:rFonts w:ascii="Times New Roman" w:cs="Times New Roman" w:eastAsia="Times New Roman" w:hAnsi="Times New Roman"/>
                <w:sz w:val="8"/>
                <w:szCs w:val="8"/>
                <w:b w:val="1"/>
                <w:bCs w:val="1"/>
                <w:color w:val="auto"/>
              </w:rPr>
              <w:t>October 31,</w:t>
            </w:r>
          </w:p>
        </w:tc>
        <w:tc>
          <w:tcPr>
            <w:tcW w:w="60" w:type="dxa"/>
            <w:vAlign w:val="bottom"/>
          </w:tcPr>
          <w:p>
            <w:pPr>
              <w:spacing w:after="0"/>
              <w:rPr>
                <w:sz w:val="6"/>
                <w:szCs w:val="6"/>
                <w:color w:val="auto"/>
              </w:rPr>
            </w:pPr>
          </w:p>
        </w:tc>
        <w:tc>
          <w:tcPr>
            <w:tcW w:w="540" w:type="dxa"/>
            <w:vAlign w:val="bottom"/>
            <w:gridSpan w:val="3"/>
          </w:tcPr>
          <w:p>
            <w:pPr>
              <w:spacing w:after="0" w:line="72" w:lineRule="exact"/>
              <w:rPr>
                <w:sz w:val="20"/>
                <w:szCs w:val="20"/>
                <w:color w:val="auto"/>
              </w:rPr>
            </w:pPr>
            <w:r>
              <w:rPr>
                <w:rFonts w:ascii="Times New Roman" w:cs="Times New Roman" w:eastAsia="Times New Roman" w:hAnsi="Times New Roman"/>
                <w:sz w:val="8"/>
                <w:szCs w:val="8"/>
                <w:b w:val="1"/>
                <w:bCs w:val="1"/>
                <w:color w:val="auto"/>
              </w:rPr>
              <w:t>January 31,</w:t>
            </w:r>
          </w:p>
        </w:tc>
        <w:tc>
          <w:tcPr>
            <w:tcW w:w="120" w:type="dxa"/>
            <w:vAlign w:val="bottom"/>
          </w:tcPr>
          <w:p>
            <w:pPr>
              <w:spacing w:after="0"/>
              <w:rPr>
                <w:sz w:val="6"/>
                <w:szCs w:val="6"/>
                <w:color w:val="auto"/>
              </w:rPr>
            </w:pPr>
          </w:p>
        </w:tc>
        <w:tc>
          <w:tcPr>
            <w:tcW w:w="400" w:type="dxa"/>
            <w:vAlign w:val="bottom"/>
            <w:gridSpan w:val="2"/>
          </w:tcPr>
          <w:p>
            <w:pPr>
              <w:jc w:val="right"/>
              <w:ind w:right="100"/>
              <w:spacing w:after="0" w:line="72" w:lineRule="exact"/>
              <w:rPr>
                <w:sz w:val="20"/>
                <w:szCs w:val="20"/>
                <w:color w:val="auto"/>
              </w:rPr>
            </w:pPr>
            <w:r>
              <w:rPr>
                <w:rFonts w:ascii="Times New Roman" w:cs="Times New Roman" w:eastAsia="Times New Roman" w:hAnsi="Times New Roman"/>
                <w:sz w:val="8"/>
                <w:szCs w:val="8"/>
                <w:b w:val="1"/>
                <w:bCs w:val="1"/>
                <w:color w:val="auto"/>
                <w:w w:val="92"/>
              </w:rPr>
              <w:t>April 30,</w:t>
            </w:r>
          </w:p>
        </w:tc>
        <w:tc>
          <w:tcPr>
            <w:tcW w:w="100" w:type="dxa"/>
            <w:vAlign w:val="bottom"/>
          </w:tcPr>
          <w:p>
            <w:pPr>
              <w:spacing w:after="0"/>
              <w:rPr>
                <w:sz w:val="6"/>
                <w:szCs w:val="6"/>
                <w:color w:val="auto"/>
              </w:rPr>
            </w:pPr>
          </w:p>
        </w:tc>
        <w:tc>
          <w:tcPr>
            <w:tcW w:w="420" w:type="dxa"/>
            <w:vAlign w:val="bottom"/>
            <w:gridSpan w:val="2"/>
          </w:tcPr>
          <w:p>
            <w:pPr>
              <w:jc w:val="right"/>
              <w:ind w:right="120"/>
              <w:spacing w:after="0" w:line="72" w:lineRule="exact"/>
              <w:rPr>
                <w:sz w:val="20"/>
                <w:szCs w:val="20"/>
                <w:color w:val="auto"/>
              </w:rPr>
            </w:pPr>
            <w:r>
              <w:rPr>
                <w:rFonts w:ascii="Times New Roman" w:cs="Times New Roman" w:eastAsia="Times New Roman" w:hAnsi="Times New Roman"/>
                <w:sz w:val="8"/>
                <w:szCs w:val="8"/>
                <w:b w:val="1"/>
                <w:bCs w:val="1"/>
                <w:color w:val="auto"/>
              </w:rPr>
              <w:t>July 31,</w:t>
            </w:r>
          </w:p>
        </w:tc>
        <w:tc>
          <w:tcPr>
            <w:tcW w:w="60" w:type="dxa"/>
            <w:vAlign w:val="bottom"/>
          </w:tcPr>
          <w:p>
            <w:pPr>
              <w:spacing w:after="0"/>
              <w:rPr>
                <w:sz w:val="6"/>
                <w:szCs w:val="6"/>
                <w:color w:val="auto"/>
              </w:rPr>
            </w:pPr>
          </w:p>
        </w:tc>
        <w:tc>
          <w:tcPr>
            <w:tcW w:w="540" w:type="dxa"/>
            <w:vAlign w:val="bottom"/>
            <w:gridSpan w:val="3"/>
          </w:tcPr>
          <w:p>
            <w:pPr>
              <w:spacing w:after="0" w:line="72" w:lineRule="exact"/>
              <w:rPr>
                <w:sz w:val="20"/>
                <w:szCs w:val="20"/>
                <w:color w:val="auto"/>
              </w:rPr>
            </w:pPr>
            <w:r>
              <w:rPr>
                <w:rFonts w:ascii="Times New Roman" w:cs="Times New Roman" w:eastAsia="Times New Roman" w:hAnsi="Times New Roman"/>
                <w:sz w:val="8"/>
                <w:szCs w:val="8"/>
                <w:b w:val="1"/>
                <w:bCs w:val="1"/>
                <w:color w:val="auto"/>
              </w:rPr>
              <w:t>October 31,</w:t>
            </w:r>
          </w:p>
        </w:tc>
        <w:tc>
          <w:tcPr>
            <w:tcW w:w="60" w:type="dxa"/>
            <w:vAlign w:val="bottom"/>
          </w:tcPr>
          <w:p>
            <w:pPr>
              <w:spacing w:after="0"/>
              <w:rPr>
                <w:sz w:val="6"/>
                <w:szCs w:val="6"/>
                <w:color w:val="auto"/>
              </w:rPr>
            </w:pPr>
          </w:p>
        </w:tc>
        <w:tc>
          <w:tcPr>
            <w:tcW w:w="560" w:type="dxa"/>
            <w:vAlign w:val="bottom"/>
            <w:gridSpan w:val="3"/>
          </w:tcPr>
          <w:p>
            <w:pPr>
              <w:spacing w:after="0" w:line="72" w:lineRule="exact"/>
              <w:rPr>
                <w:sz w:val="20"/>
                <w:szCs w:val="20"/>
                <w:color w:val="auto"/>
              </w:rPr>
            </w:pPr>
            <w:r>
              <w:rPr>
                <w:rFonts w:ascii="Times New Roman" w:cs="Times New Roman" w:eastAsia="Times New Roman" w:hAnsi="Times New Roman"/>
                <w:sz w:val="8"/>
                <w:szCs w:val="8"/>
                <w:b w:val="1"/>
                <w:bCs w:val="1"/>
                <w:color w:val="auto"/>
              </w:rPr>
              <w:t>January 31,</w:t>
            </w:r>
          </w:p>
        </w:tc>
        <w:tc>
          <w:tcPr>
            <w:tcW w:w="120" w:type="dxa"/>
            <w:vAlign w:val="bottom"/>
          </w:tcPr>
          <w:p>
            <w:pPr>
              <w:spacing w:after="0"/>
              <w:rPr>
                <w:sz w:val="6"/>
                <w:szCs w:val="6"/>
                <w:color w:val="auto"/>
              </w:rPr>
            </w:pPr>
          </w:p>
        </w:tc>
        <w:tc>
          <w:tcPr>
            <w:tcW w:w="400" w:type="dxa"/>
            <w:vAlign w:val="bottom"/>
            <w:gridSpan w:val="2"/>
          </w:tcPr>
          <w:p>
            <w:pPr>
              <w:jc w:val="right"/>
              <w:ind w:right="100"/>
              <w:spacing w:after="0" w:line="72" w:lineRule="exact"/>
              <w:rPr>
                <w:sz w:val="20"/>
                <w:szCs w:val="20"/>
                <w:color w:val="auto"/>
              </w:rPr>
            </w:pPr>
            <w:r>
              <w:rPr>
                <w:rFonts w:ascii="Times New Roman" w:cs="Times New Roman" w:eastAsia="Times New Roman" w:hAnsi="Times New Roman"/>
                <w:sz w:val="8"/>
                <w:szCs w:val="8"/>
                <w:b w:val="1"/>
                <w:bCs w:val="1"/>
                <w:color w:val="auto"/>
                <w:w w:val="92"/>
              </w:rPr>
              <w:t>April 30,</w:t>
            </w:r>
          </w:p>
        </w:tc>
        <w:tc>
          <w:tcPr>
            <w:tcW w:w="100" w:type="dxa"/>
            <w:vAlign w:val="bottom"/>
          </w:tcPr>
          <w:p>
            <w:pPr>
              <w:spacing w:after="0"/>
              <w:rPr>
                <w:sz w:val="6"/>
                <w:szCs w:val="6"/>
                <w:color w:val="auto"/>
              </w:rPr>
            </w:pPr>
          </w:p>
        </w:tc>
        <w:tc>
          <w:tcPr>
            <w:tcW w:w="360" w:type="dxa"/>
            <w:vAlign w:val="bottom"/>
          </w:tcPr>
          <w:p>
            <w:pPr>
              <w:jc w:val="right"/>
              <w:ind w:right="15"/>
              <w:spacing w:after="0" w:line="72" w:lineRule="exact"/>
              <w:rPr>
                <w:sz w:val="20"/>
                <w:szCs w:val="20"/>
                <w:color w:val="auto"/>
              </w:rPr>
            </w:pPr>
            <w:r>
              <w:rPr>
                <w:rFonts w:ascii="Times New Roman" w:cs="Times New Roman" w:eastAsia="Times New Roman" w:hAnsi="Times New Roman"/>
                <w:sz w:val="8"/>
                <w:szCs w:val="8"/>
                <w:b w:val="1"/>
                <w:bCs w:val="1"/>
                <w:color w:val="auto"/>
              </w:rPr>
              <w:t>July 31,</w:t>
            </w:r>
          </w:p>
        </w:tc>
        <w:tc>
          <w:tcPr>
            <w:tcW w:w="60" w:type="dxa"/>
            <w:vAlign w:val="bottom"/>
          </w:tcPr>
          <w:p>
            <w:pPr>
              <w:spacing w:after="0"/>
              <w:rPr>
                <w:sz w:val="6"/>
                <w:szCs w:val="6"/>
                <w:color w:val="auto"/>
              </w:rPr>
            </w:pPr>
          </w:p>
        </w:tc>
      </w:tr>
      <w:tr>
        <w:trPr>
          <w:trHeight w:val="112"/>
        </w:trPr>
        <w:tc>
          <w:tcPr>
            <w:tcW w:w="19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9"/>
                <w:szCs w:val="9"/>
                <w:b w:val="1"/>
                <w:bCs w:val="1"/>
                <w:color w:val="auto"/>
              </w:rPr>
              <w:t>2018</w:t>
            </w: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9"/>
                <w:szCs w:val="9"/>
                <w:b w:val="1"/>
                <w:bCs w:val="1"/>
                <w:color w:val="auto"/>
                <w:w w:val="99"/>
              </w:rPr>
              <w:t>2018</w:t>
            </w: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b w:val="1"/>
                <w:bCs w:val="1"/>
                <w:color w:val="auto"/>
              </w:rPr>
              <w:t>2018</w:t>
            </w: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9"/>
                <w:szCs w:val="9"/>
                <w:b w:val="1"/>
                <w:bCs w:val="1"/>
                <w:color w:val="auto"/>
              </w:rPr>
              <w:t>2019</w:t>
            </w: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9"/>
                <w:szCs w:val="9"/>
                <w:b w:val="1"/>
                <w:bCs w:val="1"/>
                <w:color w:val="auto"/>
              </w:rPr>
              <w:t>2019</w:t>
            </w: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9"/>
                <w:szCs w:val="9"/>
                <w:b w:val="1"/>
                <w:bCs w:val="1"/>
                <w:color w:val="auto"/>
              </w:rPr>
              <w:t>2019</w:t>
            </w: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b w:val="1"/>
                <w:bCs w:val="1"/>
                <w:color w:val="auto"/>
              </w:rPr>
              <w:t>2019</w:t>
            </w: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9"/>
                <w:szCs w:val="9"/>
                <w:b w:val="1"/>
                <w:bCs w:val="1"/>
                <w:color w:val="auto"/>
              </w:rPr>
              <w:t>2020</w:t>
            </w: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9"/>
                <w:szCs w:val="9"/>
                <w:b w:val="1"/>
                <w:bCs w:val="1"/>
                <w:color w:val="auto"/>
              </w:rPr>
              <w:t>2020</w:t>
            </w: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b w:val="1"/>
                <w:bCs w:val="1"/>
                <w:color w:val="auto"/>
              </w:rPr>
              <w:t>2020</w:t>
            </w:r>
          </w:p>
        </w:tc>
        <w:tc>
          <w:tcPr>
            <w:tcW w:w="60" w:type="dxa"/>
            <w:vAlign w:val="bottom"/>
          </w:tcPr>
          <w:p>
            <w:pPr>
              <w:spacing w:after="0"/>
              <w:rPr>
                <w:sz w:val="9"/>
                <w:szCs w:val="9"/>
                <w:color w:val="auto"/>
              </w:rPr>
            </w:pPr>
          </w:p>
        </w:tc>
      </w:tr>
      <w:tr>
        <w:trPr>
          <w:trHeight w:val="96"/>
        </w:trPr>
        <w:tc>
          <w:tcPr>
            <w:tcW w:w="1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5"/>
          </w:tcPr>
          <w:p>
            <w:pPr>
              <w:jc w:val="right"/>
              <w:ind w:right="240"/>
              <w:spacing w:after="0" w:line="97" w:lineRule="exact"/>
              <w:rPr>
                <w:sz w:val="20"/>
                <w:szCs w:val="20"/>
                <w:color w:val="auto"/>
              </w:rPr>
            </w:pPr>
            <w:r>
              <w:rPr>
                <w:rFonts w:ascii="Times New Roman" w:cs="Times New Roman" w:eastAsia="Times New Roman" w:hAnsi="Times New Roman"/>
                <w:sz w:val="9"/>
                <w:szCs w:val="9"/>
                <w:b w:val="1"/>
                <w:bCs w:val="1"/>
                <w:color w:val="auto"/>
              </w:rPr>
              <w:t>(in thousands)</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97"/>
        </w:trPr>
        <w:tc>
          <w:tcPr>
            <w:tcW w:w="194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9"/>
                <w:szCs w:val="9"/>
                <w:color w:val="auto"/>
              </w:rPr>
              <w:t>Revenues</w:t>
            </w:r>
          </w:p>
        </w:tc>
        <w:tc>
          <w:tcPr>
            <w:tcW w:w="580" w:type="dxa"/>
            <w:vAlign w:val="bottom"/>
            <w:tcBorders>
              <w:right w:val="single" w:sz="8" w:color="CCEEFF"/>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32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14,279</w:t>
            </w:r>
          </w:p>
        </w:tc>
        <w:tc>
          <w:tcPr>
            <w:tcW w:w="8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30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17,605</w:t>
            </w:r>
          </w:p>
        </w:tc>
        <w:tc>
          <w:tcPr>
            <w:tcW w:w="80" w:type="dxa"/>
            <w:vAlign w:val="bottom"/>
            <w:shd w:val="clear" w:color="auto" w:fill="CCEEFF"/>
          </w:tcPr>
          <w:p>
            <w:pPr>
              <w:spacing w:after="0"/>
              <w:rPr>
                <w:sz w:val="8"/>
                <w:szCs w:val="8"/>
                <w:color w:val="auto"/>
              </w:rPr>
            </w:pPr>
          </w:p>
        </w:tc>
        <w:tc>
          <w:tcPr>
            <w:tcW w:w="160" w:type="dxa"/>
            <w:vAlign w:val="bottom"/>
            <w:gridSpan w:val="2"/>
            <w:shd w:val="clear" w:color="auto" w:fill="CCEEFF"/>
          </w:tcPr>
          <w:p>
            <w:pPr>
              <w:ind w:left="60"/>
              <w:spacing w:after="0" w:line="97" w:lineRule="exact"/>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20,567</w:t>
            </w:r>
          </w:p>
        </w:tc>
        <w:tc>
          <w:tcPr>
            <w:tcW w:w="80" w:type="dxa"/>
            <w:vAlign w:val="bottom"/>
            <w:shd w:val="clear" w:color="auto" w:fill="CCEEFF"/>
          </w:tcPr>
          <w:p>
            <w:pPr>
              <w:spacing w:after="0"/>
              <w:rPr>
                <w:sz w:val="8"/>
                <w:szCs w:val="8"/>
                <w:color w:val="auto"/>
              </w:rPr>
            </w:pPr>
          </w:p>
        </w:tc>
        <w:tc>
          <w:tcPr>
            <w:tcW w:w="140" w:type="dxa"/>
            <w:vAlign w:val="bottom"/>
            <w:gridSpan w:val="2"/>
            <w:shd w:val="clear" w:color="auto" w:fill="CCEEFF"/>
          </w:tcPr>
          <w:p>
            <w:pPr>
              <w:ind w:left="60"/>
              <w:spacing w:after="0" w:line="97" w:lineRule="exact"/>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24,319</w:t>
            </w:r>
          </w:p>
        </w:tc>
        <w:tc>
          <w:tcPr>
            <w:tcW w:w="6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32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27,970</w:t>
            </w:r>
          </w:p>
        </w:tc>
        <w:tc>
          <w:tcPr>
            <w:tcW w:w="8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33,087</w:t>
            </w:r>
          </w:p>
        </w:tc>
        <w:tc>
          <w:tcPr>
            <w:tcW w:w="80" w:type="dxa"/>
            <w:vAlign w:val="bottom"/>
            <w:shd w:val="clear" w:color="auto" w:fill="CCEEFF"/>
          </w:tcPr>
          <w:p>
            <w:pPr>
              <w:spacing w:after="0"/>
              <w:rPr>
                <w:sz w:val="8"/>
                <w:szCs w:val="8"/>
                <w:color w:val="auto"/>
              </w:rPr>
            </w:pPr>
          </w:p>
        </w:tc>
        <w:tc>
          <w:tcPr>
            <w:tcW w:w="160" w:type="dxa"/>
            <w:vAlign w:val="bottom"/>
            <w:gridSpan w:val="2"/>
            <w:shd w:val="clear" w:color="auto" w:fill="CCEEFF"/>
          </w:tcPr>
          <w:p>
            <w:pPr>
              <w:ind w:left="60"/>
              <w:spacing w:after="0" w:line="97" w:lineRule="exact"/>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38,079</w:t>
            </w:r>
          </w:p>
        </w:tc>
        <w:tc>
          <w:tcPr>
            <w:tcW w:w="80" w:type="dxa"/>
            <w:vAlign w:val="bottom"/>
            <w:shd w:val="clear" w:color="auto" w:fill="CCEEFF"/>
          </w:tcPr>
          <w:p>
            <w:pPr>
              <w:spacing w:after="0"/>
              <w:rPr>
                <w:sz w:val="8"/>
                <w:szCs w:val="8"/>
                <w:color w:val="auto"/>
              </w:rPr>
            </w:pPr>
          </w:p>
        </w:tc>
        <w:tc>
          <w:tcPr>
            <w:tcW w:w="160" w:type="dxa"/>
            <w:vAlign w:val="bottom"/>
            <w:gridSpan w:val="2"/>
            <w:shd w:val="clear" w:color="auto" w:fill="CCEEFF"/>
          </w:tcPr>
          <w:p>
            <w:pPr>
              <w:ind w:left="60"/>
              <w:spacing w:after="0" w:line="97"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43,470</w:t>
            </w:r>
          </w:p>
        </w:tc>
        <w:tc>
          <w:tcPr>
            <w:tcW w:w="8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32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47,706</w:t>
            </w:r>
          </w:p>
        </w:tc>
        <w:tc>
          <w:tcPr>
            <w:tcW w:w="8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52,024</w:t>
            </w:r>
          </w:p>
        </w:tc>
        <w:tc>
          <w:tcPr>
            <w:tcW w:w="60" w:type="dxa"/>
            <w:vAlign w:val="bottom"/>
            <w:shd w:val="clear" w:color="auto" w:fill="CCEEFF"/>
          </w:tcPr>
          <w:p>
            <w:pPr>
              <w:spacing w:after="0"/>
              <w:rPr>
                <w:sz w:val="8"/>
                <w:szCs w:val="8"/>
                <w:color w:val="auto"/>
              </w:rPr>
            </w:pPr>
          </w:p>
        </w:tc>
      </w:tr>
      <w:tr>
        <w:trPr>
          <w:trHeight w:val="97"/>
        </w:trPr>
        <w:tc>
          <w:tcPr>
            <w:tcW w:w="1940" w:type="dxa"/>
            <w:vAlign w:val="bottom"/>
          </w:tcPr>
          <w:p>
            <w:pPr>
              <w:spacing w:after="0" w:line="97" w:lineRule="exact"/>
              <w:rPr>
                <w:sz w:val="20"/>
                <w:szCs w:val="20"/>
                <w:color w:val="auto"/>
              </w:rPr>
            </w:pPr>
            <w:r>
              <w:rPr>
                <w:rFonts w:ascii="Times New Roman" w:cs="Times New Roman" w:eastAsia="Times New Roman" w:hAnsi="Times New Roman"/>
                <w:sz w:val="9"/>
                <w:szCs w:val="9"/>
                <w:color w:val="auto"/>
              </w:rPr>
              <w:t>Cost of revenues</w:t>
            </w:r>
            <w:r>
              <w:rPr>
                <w:rFonts w:ascii="Times New Roman" w:cs="Times New Roman" w:eastAsia="Times New Roman" w:hAnsi="Times New Roman"/>
                <w:sz w:val="7"/>
                <w:szCs w:val="7"/>
                <w:color w:val="auto"/>
              </w:rPr>
              <w:t>(1)</w:t>
            </w:r>
          </w:p>
        </w:tc>
        <w:tc>
          <w:tcPr>
            <w:tcW w:w="580" w:type="dxa"/>
            <w:vAlign w:val="bottom"/>
          </w:tcPr>
          <w:p>
            <w:pPr>
              <w:spacing w:after="0"/>
              <w:rPr>
                <w:sz w:val="8"/>
                <w:szCs w:val="8"/>
                <w:color w:val="auto"/>
              </w:rPr>
            </w:pPr>
          </w:p>
        </w:tc>
        <w:tc>
          <w:tcPr>
            <w:tcW w:w="32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3,077</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3,269</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3,640</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3,846</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4,109</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4,642</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5,328</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5,802</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6,206</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7,021</w:t>
            </w:r>
          </w:p>
        </w:tc>
        <w:tc>
          <w:tcPr>
            <w:tcW w:w="60" w:type="dxa"/>
            <w:vAlign w:val="bottom"/>
          </w:tcPr>
          <w:p>
            <w:pPr>
              <w:spacing w:after="0"/>
              <w:rPr>
                <w:sz w:val="8"/>
                <w:szCs w:val="8"/>
                <w:color w:val="auto"/>
              </w:rPr>
            </w:pPr>
          </w:p>
        </w:tc>
      </w:tr>
      <w:tr>
        <w:trPr>
          <w:trHeight w:val="96"/>
        </w:trPr>
        <w:tc>
          <w:tcPr>
            <w:tcW w:w="194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9"/>
                <w:szCs w:val="9"/>
                <w:color w:val="auto"/>
              </w:rPr>
              <w:t>Gross profit</w:t>
            </w:r>
          </w:p>
        </w:tc>
        <w:tc>
          <w:tcPr>
            <w:tcW w:w="580" w:type="dxa"/>
            <w:vAlign w:val="bottom"/>
            <w:tcBorders>
              <w:right w:val="single" w:sz="8" w:color="CCEEFF"/>
            </w:tcBorders>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11,202</w:t>
            </w:r>
          </w:p>
        </w:tc>
        <w:tc>
          <w:tcPr>
            <w:tcW w:w="8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14,336</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16,927</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20,473</w:t>
            </w:r>
          </w:p>
        </w:tc>
        <w:tc>
          <w:tcPr>
            <w:tcW w:w="6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23,861</w:t>
            </w:r>
          </w:p>
        </w:tc>
        <w:tc>
          <w:tcPr>
            <w:tcW w:w="8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28,445</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32,751</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38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37,668</w:t>
            </w:r>
          </w:p>
        </w:tc>
        <w:tc>
          <w:tcPr>
            <w:tcW w:w="8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41,500</w:t>
            </w:r>
          </w:p>
        </w:tc>
        <w:tc>
          <w:tcPr>
            <w:tcW w:w="8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45,003</w:t>
            </w:r>
          </w:p>
        </w:tc>
        <w:tc>
          <w:tcPr>
            <w:tcW w:w="60" w:type="dxa"/>
            <w:vAlign w:val="bottom"/>
            <w:shd w:val="clear" w:color="auto" w:fill="CCEEFF"/>
          </w:tcPr>
          <w:p>
            <w:pPr>
              <w:spacing w:after="0"/>
              <w:rPr>
                <w:sz w:val="8"/>
                <w:szCs w:val="8"/>
                <w:color w:val="auto"/>
              </w:rPr>
            </w:pPr>
          </w:p>
        </w:tc>
      </w:tr>
      <w:tr>
        <w:trPr>
          <w:trHeight w:val="96"/>
        </w:trPr>
        <w:tc>
          <w:tcPr>
            <w:tcW w:w="1940" w:type="dxa"/>
            <w:vAlign w:val="bottom"/>
          </w:tcPr>
          <w:p>
            <w:pPr>
              <w:spacing w:after="0" w:line="97" w:lineRule="exact"/>
              <w:rPr>
                <w:sz w:val="20"/>
                <w:szCs w:val="20"/>
                <w:color w:val="auto"/>
              </w:rPr>
            </w:pPr>
            <w:r>
              <w:rPr>
                <w:rFonts w:ascii="Times New Roman" w:cs="Times New Roman" w:eastAsia="Times New Roman" w:hAnsi="Times New Roman"/>
                <w:sz w:val="9"/>
                <w:szCs w:val="9"/>
                <w:color w:val="auto"/>
              </w:rPr>
              <w:t>Operating expenses:</w:t>
            </w: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97"/>
        </w:trPr>
        <w:tc>
          <w:tcPr>
            <w:tcW w:w="194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9"/>
                <w:szCs w:val="9"/>
                <w:color w:val="auto"/>
              </w:rPr>
              <w:t>Research and development</w:t>
            </w:r>
            <w:r>
              <w:rPr>
                <w:rFonts w:ascii="Times New Roman" w:cs="Times New Roman" w:eastAsia="Times New Roman" w:hAnsi="Times New Roman"/>
                <w:sz w:val="7"/>
                <w:szCs w:val="7"/>
                <w:color w:val="auto"/>
              </w:rPr>
              <w:t>(1)</w:t>
            </w:r>
          </w:p>
        </w:tc>
        <w:tc>
          <w:tcPr>
            <w:tcW w:w="580" w:type="dxa"/>
            <w:vAlign w:val="bottom"/>
            <w:tcBorders>
              <w:right w:val="single" w:sz="8" w:color="CCEEFF"/>
            </w:tcBorders>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8,664</w:t>
            </w:r>
          </w:p>
        </w:tc>
        <w:tc>
          <w:tcPr>
            <w:tcW w:w="8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0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12,874</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10,319</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10,748</w:t>
            </w:r>
          </w:p>
        </w:tc>
        <w:tc>
          <w:tcPr>
            <w:tcW w:w="6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13,432</w:t>
            </w:r>
          </w:p>
        </w:tc>
        <w:tc>
          <w:tcPr>
            <w:tcW w:w="8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16,444</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39,712</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20,087</w:t>
            </w:r>
          </w:p>
        </w:tc>
        <w:tc>
          <w:tcPr>
            <w:tcW w:w="8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22,383</w:t>
            </w:r>
          </w:p>
        </w:tc>
        <w:tc>
          <w:tcPr>
            <w:tcW w:w="8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25,959</w:t>
            </w:r>
          </w:p>
        </w:tc>
        <w:tc>
          <w:tcPr>
            <w:tcW w:w="60" w:type="dxa"/>
            <w:vAlign w:val="bottom"/>
            <w:shd w:val="clear" w:color="auto" w:fill="CCEEFF"/>
          </w:tcPr>
          <w:p>
            <w:pPr>
              <w:spacing w:after="0"/>
              <w:rPr>
                <w:sz w:val="8"/>
                <w:szCs w:val="8"/>
                <w:color w:val="auto"/>
              </w:rPr>
            </w:pPr>
          </w:p>
        </w:tc>
      </w:tr>
      <w:tr>
        <w:trPr>
          <w:trHeight w:val="97"/>
        </w:trPr>
        <w:tc>
          <w:tcPr>
            <w:tcW w:w="1940" w:type="dxa"/>
            <w:vAlign w:val="bottom"/>
          </w:tcPr>
          <w:p>
            <w:pPr>
              <w:spacing w:after="0" w:line="97" w:lineRule="exact"/>
              <w:rPr>
                <w:sz w:val="20"/>
                <w:szCs w:val="20"/>
                <w:color w:val="auto"/>
              </w:rPr>
            </w:pPr>
            <w:r>
              <w:rPr>
                <w:rFonts w:ascii="Times New Roman" w:cs="Times New Roman" w:eastAsia="Times New Roman" w:hAnsi="Times New Roman"/>
                <w:sz w:val="9"/>
                <w:szCs w:val="9"/>
                <w:color w:val="auto"/>
              </w:rPr>
              <w:t>Sales and marketing</w:t>
            </w:r>
            <w:r>
              <w:rPr>
                <w:rFonts w:ascii="Times New Roman" w:cs="Times New Roman" w:eastAsia="Times New Roman" w:hAnsi="Times New Roman"/>
                <w:sz w:val="7"/>
                <w:szCs w:val="7"/>
                <w:color w:val="auto"/>
              </w:rPr>
              <w:t>(1)</w:t>
            </w:r>
          </w:p>
        </w:tc>
        <w:tc>
          <w:tcPr>
            <w:tcW w:w="58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9,672</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12,732</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13,397</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16,305</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18,859</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20,166</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35,902</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30,909</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36,091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38,822</w:t>
            </w:r>
          </w:p>
        </w:tc>
        <w:tc>
          <w:tcPr>
            <w:tcW w:w="60" w:type="dxa"/>
            <w:vAlign w:val="bottom"/>
          </w:tcPr>
          <w:p>
            <w:pPr>
              <w:spacing w:after="0"/>
              <w:rPr>
                <w:sz w:val="8"/>
                <w:szCs w:val="8"/>
                <w:color w:val="auto"/>
              </w:rPr>
            </w:pPr>
          </w:p>
        </w:tc>
      </w:tr>
      <w:tr>
        <w:trPr>
          <w:trHeight w:val="97"/>
        </w:trPr>
        <w:tc>
          <w:tcPr>
            <w:tcW w:w="194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9"/>
                <w:szCs w:val="9"/>
                <w:color w:val="auto"/>
              </w:rPr>
              <w:t>General and administrative</w:t>
            </w:r>
            <w:r>
              <w:rPr>
                <w:rFonts w:ascii="Times New Roman" w:cs="Times New Roman" w:eastAsia="Times New Roman" w:hAnsi="Times New Roman"/>
                <w:sz w:val="7"/>
                <w:szCs w:val="7"/>
                <w:color w:val="auto"/>
              </w:rPr>
              <w:t>(1)</w:t>
            </w:r>
          </w:p>
        </w:tc>
        <w:tc>
          <w:tcPr>
            <w:tcW w:w="580" w:type="dxa"/>
            <w:vAlign w:val="bottom"/>
            <w:tcBorders>
              <w:right w:val="single" w:sz="8" w:color="CCEEFF"/>
            </w:tcBorders>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3,774</w:t>
            </w:r>
          </w:p>
        </w:tc>
        <w:tc>
          <w:tcPr>
            <w:tcW w:w="8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4,781</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5,645</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6,060</w:t>
            </w:r>
          </w:p>
        </w:tc>
        <w:tc>
          <w:tcPr>
            <w:tcW w:w="6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6,934</w:t>
            </w:r>
          </w:p>
        </w:tc>
        <w:tc>
          <w:tcPr>
            <w:tcW w:w="8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7,715</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20,222</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38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11,974</w:t>
            </w:r>
          </w:p>
        </w:tc>
        <w:tc>
          <w:tcPr>
            <w:tcW w:w="8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12,111</w:t>
            </w:r>
          </w:p>
        </w:tc>
        <w:tc>
          <w:tcPr>
            <w:tcW w:w="8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13,806</w:t>
            </w:r>
          </w:p>
        </w:tc>
        <w:tc>
          <w:tcPr>
            <w:tcW w:w="60" w:type="dxa"/>
            <w:vAlign w:val="bottom"/>
            <w:shd w:val="clear" w:color="auto" w:fill="CCEEFF"/>
          </w:tcPr>
          <w:p>
            <w:pPr>
              <w:spacing w:after="0"/>
              <w:rPr>
                <w:sz w:val="8"/>
                <w:szCs w:val="8"/>
                <w:color w:val="auto"/>
              </w:rPr>
            </w:pPr>
          </w:p>
        </w:tc>
      </w:tr>
      <w:tr>
        <w:trPr>
          <w:trHeight w:val="96"/>
        </w:trPr>
        <w:tc>
          <w:tcPr>
            <w:tcW w:w="1940" w:type="dxa"/>
            <w:vAlign w:val="bottom"/>
          </w:tcPr>
          <w:p>
            <w:pPr>
              <w:spacing w:after="0" w:line="97" w:lineRule="exact"/>
              <w:rPr>
                <w:sz w:val="20"/>
                <w:szCs w:val="20"/>
                <w:color w:val="auto"/>
              </w:rPr>
            </w:pPr>
            <w:r>
              <w:rPr>
                <w:rFonts w:ascii="Times New Roman" w:cs="Times New Roman" w:eastAsia="Times New Roman" w:hAnsi="Times New Roman"/>
                <w:sz w:val="9"/>
                <w:szCs w:val="9"/>
                <w:color w:val="auto"/>
              </w:rPr>
              <w:t>Total operating expenses</w:t>
            </w:r>
          </w:p>
        </w:tc>
        <w:tc>
          <w:tcPr>
            <w:tcW w:w="580" w:type="dxa"/>
            <w:vAlign w:val="bottom"/>
          </w:tcPr>
          <w:p>
            <w:pPr>
              <w:spacing w:after="0"/>
              <w:rPr>
                <w:sz w:val="8"/>
                <w:szCs w:val="8"/>
                <w:color w:val="auto"/>
              </w:rPr>
            </w:pPr>
          </w:p>
        </w:tc>
        <w:tc>
          <w:tcPr>
            <w:tcW w:w="32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22,090</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30,387</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29,361</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33,113</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39,225</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44,325</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95,836</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62,970</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70,585</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78,587</w:t>
            </w:r>
          </w:p>
        </w:tc>
        <w:tc>
          <w:tcPr>
            <w:tcW w:w="60" w:type="dxa"/>
            <w:vAlign w:val="bottom"/>
          </w:tcPr>
          <w:p>
            <w:pPr>
              <w:spacing w:after="0"/>
              <w:rPr>
                <w:sz w:val="8"/>
                <w:szCs w:val="8"/>
                <w:color w:val="auto"/>
              </w:rPr>
            </w:pPr>
          </w:p>
        </w:tc>
      </w:tr>
      <w:tr>
        <w:trPr>
          <w:trHeight w:val="96"/>
        </w:trPr>
        <w:tc>
          <w:tcPr>
            <w:tcW w:w="194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9"/>
                <w:szCs w:val="9"/>
                <w:color w:val="auto"/>
              </w:rPr>
              <w:t>Loss from operations</w:t>
            </w:r>
          </w:p>
        </w:tc>
        <w:tc>
          <w:tcPr>
            <w:tcW w:w="580" w:type="dxa"/>
            <w:vAlign w:val="bottom"/>
            <w:tcBorders>
              <w:righ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(10,888)</w:t>
            </w:r>
          </w:p>
        </w:tc>
        <w:tc>
          <w:tcPr>
            <w:tcW w:w="120" w:type="dxa"/>
            <w:vAlign w:val="bottom"/>
            <w:tcBorders>
              <w:right w:val="single" w:sz="8" w:color="CCEEFF"/>
            </w:tcBorders>
            <w:shd w:val="clear" w:color="auto" w:fill="CCEEFF"/>
          </w:tcPr>
          <w:p>
            <w:pPr>
              <w:spacing w:after="0"/>
              <w:rPr>
                <w:sz w:val="8"/>
                <w:szCs w:val="8"/>
                <w:color w:val="auto"/>
              </w:rPr>
            </w:pPr>
          </w:p>
        </w:tc>
        <w:tc>
          <w:tcPr>
            <w:tcW w:w="38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9"/>
                <w:szCs w:val="9"/>
                <w:color w:val="auto"/>
              </w:rPr>
              <w:t>(16,051)</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(12,434)</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9"/>
                <w:szCs w:val="9"/>
                <w:color w:val="auto"/>
              </w:rPr>
              <w:t>(12,640)</w:t>
            </w:r>
          </w:p>
        </w:tc>
        <w:tc>
          <w:tcPr>
            <w:tcW w:w="120" w:type="dxa"/>
            <w:vAlign w:val="bottom"/>
            <w:tcBorders>
              <w:righ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(15,364)</w:t>
            </w:r>
          </w:p>
        </w:tc>
        <w:tc>
          <w:tcPr>
            <w:tcW w:w="100" w:type="dxa"/>
            <w:vAlign w:val="bottom"/>
            <w:tcBorders>
              <w:right w:val="single" w:sz="8" w:color="CCEEFF"/>
            </w:tcBorders>
            <w:shd w:val="clear" w:color="auto" w:fill="CCEEFF"/>
          </w:tcPr>
          <w:p>
            <w:pPr>
              <w:spacing w:after="0"/>
              <w:rPr>
                <w:sz w:val="8"/>
                <w:szCs w:val="8"/>
                <w:color w:val="auto"/>
              </w:rPr>
            </w:pPr>
          </w:p>
        </w:tc>
        <w:tc>
          <w:tcPr>
            <w:tcW w:w="42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9"/>
                <w:szCs w:val="9"/>
                <w:color w:val="auto"/>
              </w:rPr>
              <w:t>(15,880)</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9"/>
                <w:szCs w:val="9"/>
                <w:color w:val="auto"/>
              </w:rPr>
              <w:t>(63,085)</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(25,302)</w:t>
            </w:r>
          </w:p>
        </w:tc>
        <w:tc>
          <w:tcPr>
            <w:tcW w:w="120" w:type="dxa"/>
            <w:vAlign w:val="bottom"/>
            <w:tcBorders>
              <w:righ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(29,085)</w:t>
            </w:r>
          </w:p>
        </w:tc>
        <w:tc>
          <w:tcPr>
            <w:tcW w:w="100" w:type="dxa"/>
            <w:vAlign w:val="bottom"/>
            <w:tcBorders>
              <w:right w:val="single" w:sz="8" w:color="CCEEFF"/>
            </w:tcBorders>
            <w:shd w:val="clear" w:color="auto" w:fill="CCEEFF"/>
          </w:tcPr>
          <w:p>
            <w:pPr>
              <w:spacing w:after="0"/>
              <w:rPr>
                <w:sz w:val="8"/>
                <w:szCs w:val="8"/>
                <w:color w:val="auto"/>
              </w:rPr>
            </w:pPr>
          </w:p>
        </w:tc>
        <w:tc>
          <w:tcPr>
            <w:tcW w:w="42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9"/>
                <w:szCs w:val="9"/>
                <w:color w:val="auto"/>
              </w:rPr>
              <w:t>(33,584)</w:t>
            </w:r>
          </w:p>
        </w:tc>
      </w:tr>
      <w:tr>
        <w:trPr>
          <w:trHeight w:val="97"/>
        </w:trPr>
        <w:tc>
          <w:tcPr>
            <w:tcW w:w="1940" w:type="dxa"/>
            <w:vAlign w:val="bottom"/>
          </w:tcPr>
          <w:p>
            <w:pPr>
              <w:spacing w:after="0" w:line="97" w:lineRule="exact"/>
              <w:rPr>
                <w:sz w:val="20"/>
                <w:szCs w:val="20"/>
                <w:color w:val="auto"/>
              </w:rPr>
            </w:pPr>
            <w:r>
              <w:rPr>
                <w:rFonts w:ascii="Times New Roman" w:cs="Times New Roman" w:eastAsia="Times New Roman" w:hAnsi="Times New Roman"/>
                <w:sz w:val="9"/>
                <w:szCs w:val="9"/>
                <w:color w:val="auto"/>
              </w:rPr>
              <w:t>Interest income</w:t>
            </w:r>
          </w:p>
        </w:tc>
        <w:tc>
          <w:tcPr>
            <w:tcW w:w="58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309</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259</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254</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468</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558</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493</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397</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307</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694</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109</w:t>
            </w:r>
          </w:p>
        </w:tc>
        <w:tc>
          <w:tcPr>
            <w:tcW w:w="60" w:type="dxa"/>
            <w:vAlign w:val="bottom"/>
          </w:tcPr>
          <w:p>
            <w:pPr>
              <w:spacing w:after="0"/>
              <w:rPr>
                <w:sz w:val="8"/>
                <w:szCs w:val="8"/>
                <w:color w:val="auto"/>
              </w:rPr>
            </w:pPr>
          </w:p>
        </w:tc>
      </w:tr>
      <w:tr>
        <w:trPr>
          <w:trHeight w:val="97"/>
        </w:trPr>
        <w:tc>
          <w:tcPr>
            <w:tcW w:w="194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9"/>
                <w:szCs w:val="9"/>
                <w:color w:val="auto"/>
              </w:rPr>
              <w:t>Interest expense</w:t>
            </w:r>
          </w:p>
        </w:tc>
        <w:tc>
          <w:tcPr>
            <w:tcW w:w="580" w:type="dxa"/>
            <w:vAlign w:val="bottom"/>
            <w:tcBorders>
              <w:righ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100"/>
              <w:spacing w:after="0" w:line="97"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Borders>
              <w:right w:val="single" w:sz="8" w:color="CCEEFF"/>
            </w:tcBorders>
            <w:shd w:val="clear" w:color="auto" w:fill="CCEEFF"/>
          </w:tcPr>
          <w:p>
            <w:pPr>
              <w:spacing w:after="0"/>
              <w:rPr>
                <w:sz w:val="8"/>
                <w:szCs w:val="8"/>
                <w:color w:val="auto"/>
              </w:rPr>
            </w:pPr>
          </w:p>
        </w:tc>
        <w:tc>
          <w:tcPr>
            <w:tcW w:w="380" w:type="dxa"/>
            <w:vAlign w:val="bottom"/>
            <w:gridSpan w:val="2"/>
            <w:shd w:val="clear" w:color="auto" w:fill="CCEEFF"/>
          </w:tcPr>
          <w:p>
            <w:pPr>
              <w:jc w:val="right"/>
              <w:ind w:right="80"/>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80"/>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80"/>
              <w:spacing w:after="0" w:line="97"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Borders>
              <w:righ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8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Borders>
              <w:right w:val="single" w:sz="8" w:color="CCEEFF"/>
            </w:tcBorders>
            <w:shd w:val="clear" w:color="auto" w:fill="CCEEFF"/>
          </w:tcPr>
          <w:p>
            <w:pPr>
              <w:spacing w:after="0"/>
              <w:rPr>
                <w:sz w:val="8"/>
                <w:szCs w:val="8"/>
                <w:color w:val="auto"/>
              </w:rPr>
            </w:pPr>
          </w:p>
        </w:tc>
        <w:tc>
          <w:tcPr>
            <w:tcW w:w="420" w:type="dxa"/>
            <w:vAlign w:val="bottom"/>
            <w:gridSpan w:val="2"/>
            <w:shd w:val="clear" w:color="auto" w:fill="CCEEFF"/>
          </w:tcPr>
          <w:p>
            <w:pPr>
              <w:jc w:val="right"/>
              <w:ind w:right="80"/>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80"/>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(78)</w:t>
            </w:r>
          </w:p>
        </w:tc>
        <w:tc>
          <w:tcPr>
            <w:tcW w:w="120" w:type="dxa"/>
            <w:vAlign w:val="bottom"/>
            <w:tcBorders>
              <w:righ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(6,991)</w:t>
            </w:r>
          </w:p>
        </w:tc>
        <w:tc>
          <w:tcPr>
            <w:tcW w:w="100" w:type="dxa"/>
            <w:vAlign w:val="bottom"/>
            <w:tcBorders>
              <w:right w:val="single" w:sz="8" w:color="CCEEFF"/>
            </w:tcBorders>
            <w:shd w:val="clear" w:color="auto" w:fill="CCEEFF"/>
          </w:tcPr>
          <w:p>
            <w:pPr>
              <w:spacing w:after="0"/>
              <w:rPr>
                <w:sz w:val="8"/>
                <w:szCs w:val="8"/>
                <w:color w:val="auto"/>
              </w:rPr>
            </w:pPr>
          </w:p>
        </w:tc>
        <w:tc>
          <w:tcPr>
            <w:tcW w:w="42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9"/>
                <w:szCs w:val="9"/>
                <w:color w:val="auto"/>
              </w:rPr>
              <w:t>(8,364)</w:t>
            </w:r>
          </w:p>
        </w:tc>
      </w:tr>
      <w:tr>
        <w:trPr>
          <w:trHeight w:val="97"/>
        </w:trPr>
        <w:tc>
          <w:tcPr>
            <w:tcW w:w="1940" w:type="dxa"/>
            <w:vAlign w:val="bottom"/>
          </w:tcPr>
          <w:p>
            <w:pPr>
              <w:spacing w:after="0" w:line="97" w:lineRule="exact"/>
              <w:rPr>
                <w:sz w:val="20"/>
                <w:szCs w:val="20"/>
                <w:color w:val="auto"/>
              </w:rPr>
            </w:pPr>
            <w:r>
              <w:rPr>
                <w:rFonts w:ascii="Times New Roman" w:cs="Times New Roman" w:eastAsia="Times New Roman" w:hAnsi="Times New Roman"/>
                <w:sz w:val="9"/>
                <w:szCs w:val="9"/>
                <w:color w:val="auto"/>
              </w:rPr>
              <w:t>Other income (expense), net</w:t>
            </w:r>
          </w:p>
        </w:tc>
        <w:tc>
          <w:tcPr>
            <w:tcW w:w="580" w:type="dxa"/>
            <w:vAlign w:val="bottom"/>
          </w:tcPr>
          <w:p>
            <w:pPr>
              <w:spacing w:after="0"/>
              <w:rPr>
                <w:sz w:val="8"/>
                <w:szCs w:val="8"/>
                <w:color w:val="auto"/>
              </w:rPr>
            </w:pPr>
          </w:p>
        </w:tc>
        <w:tc>
          <w:tcPr>
            <w:tcW w:w="400" w:type="dxa"/>
            <w:vAlign w:val="bottom"/>
            <w:gridSpan w:val="2"/>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(14)</w:t>
            </w:r>
          </w:p>
        </w:tc>
        <w:tc>
          <w:tcPr>
            <w:tcW w:w="120" w:type="dxa"/>
            <w:vAlign w:val="bottom"/>
          </w:tcPr>
          <w:p>
            <w:pPr>
              <w:spacing w:after="0"/>
              <w:rPr>
                <w:sz w:val="8"/>
                <w:szCs w:val="8"/>
                <w:color w:val="auto"/>
              </w:rPr>
            </w:pPr>
          </w:p>
        </w:tc>
        <w:tc>
          <w:tcPr>
            <w:tcW w:w="380" w:type="dxa"/>
            <w:vAlign w:val="bottom"/>
            <w:gridSpan w:val="2"/>
          </w:tcPr>
          <w:p>
            <w:pPr>
              <w:jc w:val="right"/>
              <w:ind w:right="40"/>
              <w:spacing w:after="0" w:line="97" w:lineRule="exact"/>
              <w:rPr>
                <w:sz w:val="20"/>
                <w:szCs w:val="20"/>
                <w:color w:val="auto"/>
              </w:rPr>
            </w:pPr>
            <w:r>
              <w:rPr>
                <w:rFonts w:ascii="Times New Roman" w:cs="Times New Roman" w:eastAsia="Times New Roman" w:hAnsi="Times New Roman"/>
                <w:sz w:val="9"/>
                <w:szCs w:val="9"/>
                <w:color w:val="auto"/>
              </w:rPr>
              <w:t>(21)</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gridSpan w:val="2"/>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(36)</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tcPr>
          <w:p>
            <w:pPr>
              <w:jc w:val="right"/>
              <w:ind w:right="40"/>
              <w:spacing w:after="0" w:line="97" w:lineRule="exact"/>
              <w:rPr>
                <w:sz w:val="20"/>
                <w:szCs w:val="20"/>
                <w:color w:val="auto"/>
              </w:rPr>
            </w:pPr>
            <w:r>
              <w:rPr>
                <w:rFonts w:ascii="Times New Roman" w:cs="Times New Roman" w:eastAsia="Times New Roman" w:hAnsi="Times New Roman"/>
                <w:sz w:val="9"/>
                <w:szCs w:val="9"/>
                <w:color w:val="auto"/>
              </w:rPr>
              <w:t>(106)</w:t>
            </w:r>
          </w:p>
        </w:tc>
        <w:tc>
          <w:tcPr>
            <w:tcW w:w="120" w:type="dxa"/>
            <w:vAlign w:val="bottom"/>
          </w:tcPr>
          <w:p>
            <w:pPr>
              <w:spacing w:after="0"/>
              <w:rPr>
                <w:sz w:val="8"/>
                <w:szCs w:val="8"/>
                <w:color w:val="auto"/>
              </w:rPr>
            </w:pPr>
          </w:p>
        </w:tc>
        <w:tc>
          <w:tcPr>
            <w:tcW w:w="400" w:type="dxa"/>
            <w:vAlign w:val="bottom"/>
            <w:gridSpan w:val="2"/>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(86)</w:t>
            </w:r>
          </w:p>
        </w:tc>
        <w:tc>
          <w:tcPr>
            <w:tcW w:w="100" w:type="dxa"/>
            <w:vAlign w:val="bottom"/>
          </w:tcPr>
          <w:p>
            <w:pPr>
              <w:spacing w:after="0"/>
              <w:rPr>
                <w:sz w:val="8"/>
                <w:szCs w:val="8"/>
                <w:color w:val="auto"/>
              </w:rPr>
            </w:pPr>
          </w:p>
        </w:tc>
        <w:tc>
          <w:tcPr>
            <w:tcW w:w="420" w:type="dxa"/>
            <w:vAlign w:val="bottom"/>
            <w:gridSpan w:val="2"/>
          </w:tcPr>
          <w:p>
            <w:pPr>
              <w:jc w:val="right"/>
              <w:ind w:right="40"/>
              <w:spacing w:after="0" w:line="97" w:lineRule="exact"/>
              <w:rPr>
                <w:sz w:val="20"/>
                <w:szCs w:val="20"/>
                <w:color w:val="auto"/>
              </w:rPr>
            </w:pPr>
            <w:r>
              <w:rPr>
                <w:rFonts w:ascii="Times New Roman" w:cs="Times New Roman" w:eastAsia="Times New Roman" w:hAnsi="Times New Roman"/>
                <w:sz w:val="9"/>
                <w:szCs w:val="9"/>
                <w:color w:val="auto"/>
              </w:rPr>
              <w:t>(140)</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gridSpan w:val="2"/>
          </w:tcPr>
          <w:p>
            <w:pPr>
              <w:jc w:val="right"/>
              <w:ind w:right="40"/>
              <w:spacing w:after="0" w:line="97" w:lineRule="exact"/>
              <w:rPr>
                <w:sz w:val="20"/>
                <w:szCs w:val="20"/>
                <w:color w:val="auto"/>
              </w:rPr>
            </w:pPr>
            <w:r>
              <w:rPr>
                <w:rFonts w:ascii="Times New Roman" w:cs="Times New Roman" w:eastAsia="Times New Roman" w:hAnsi="Times New Roman"/>
                <w:sz w:val="9"/>
                <w:szCs w:val="9"/>
                <w:color w:val="auto"/>
              </w:rPr>
              <w:t>(54)</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(110)</w:t>
            </w:r>
          </w:p>
        </w:tc>
        <w:tc>
          <w:tcPr>
            <w:tcW w:w="120" w:type="dxa"/>
            <w:vAlign w:val="bottom"/>
          </w:tcPr>
          <w:p>
            <w:pPr>
              <w:spacing w:after="0"/>
              <w:rPr>
                <w:sz w:val="8"/>
                <w:szCs w:val="8"/>
                <w:color w:val="auto"/>
              </w:rPr>
            </w:pPr>
          </w:p>
        </w:tc>
        <w:tc>
          <w:tcPr>
            <w:tcW w:w="400" w:type="dxa"/>
            <w:vAlign w:val="bottom"/>
            <w:gridSpan w:val="2"/>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(340)</w:t>
            </w:r>
          </w:p>
        </w:tc>
        <w:tc>
          <w:tcPr>
            <w:tcW w:w="10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936</w:t>
            </w:r>
          </w:p>
        </w:tc>
        <w:tc>
          <w:tcPr>
            <w:tcW w:w="60" w:type="dxa"/>
            <w:vAlign w:val="bottom"/>
          </w:tcPr>
          <w:p>
            <w:pPr>
              <w:spacing w:after="0"/>
              <w:rPr>
                <w:sz w:val="8"/>
                <w:szCs w:val="8"/>
                <w:color w:val="auto"/>
              </w:rPr>
            </w:pPr>
          </w:p>
        </w:tc>
      </w:tr>
      <w:tr>
        <w:trPr>
          <w:trHeight w:val="20"/>
        </w:trPr>
        <w:tc>
          <w:tcPr>
            <w:tcW w:w="194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6"/>
        </w:trPr>
        <w:tc>
          <w:tcPr>
            <w:tcW w:w="194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9"/>
                <w:szCs w:val="9"/>
                <w:color w:val="auto"/>
              </w:rPr>
              <w:t>Loss before provision for income taxes</w:t>
            </w:r>
          </w:p>
        </w:tc>
        <w:tc>
          <w:tcPr>
            <w:tcW w:w="580" w:type="dxa"/>
            <w:vAlign w:val="bottom"/>
            <w:tcBorders>
              <w:righ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(10,593)</w:t>
            </w:r>
          </w:p>
        </w:tc>
        <w:tc>
          <w:tcPr>
            <w:tcW w:w="120" w:type="dxa"/>
            <w:vAlign w:val="bottom"/>
            <w:tcBorders>
              <w:right w:val="single" w:sz="8" w:color="CCEEFF"/>
            </w:tcBorders>
            <w:shd w:val="clear" w:color="auto" w:fill="CCEEFF"/>
          </w:tcPr>
          <w:p>
            <w:pPr>
              <w:spacing w:after="0"/>
              <w:rPr>
                <w:sz w:val="8"/>
                <w:szCs w:val="8"/>
                <w:color w:val="auto"/>
              </w:rPr>
            </w:pPr>
          </w:p>
        </w:tc>
        <w:tc>
          <w:tcPr>
            <w:tcW w:w="38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9"/>
                <w:szCs w:val="9"/>
                <w:color w:val="auto"/>
              </w:rPr>
              <w:t>(15,813)</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(12,216)</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9"/>
                <w:szCs w:val="9"/>
                <w:color w:val="auto"/>
              </w:rPr>
              <w:t>(12,278)</w:t>
            </w:r>
          </w:p>
        </w:tc>
        <w:tc>
          <w:tcPr>
            <w:tcW w:w="120" w:type="dxa"/>
            <w:vAlign w:val="bottom"/>
            <w:tcBorders>
              <w:righ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(14,892)</w:t>
            </w:r>
          </w:p>
        </w:tc>
        <w:tc>
          <w:tcPr>
            <w:tcW w:w="100" w:type="dxa"/>
            <w:vAlign w:val="bottom"/>
            <w:tcBorders>
              <w:right w:val="single" w:sz="8" w:color="CCEEFF"/>
            </w:tcBorders>
            <w:shd w:val="clear" w:color="auto" w:fill="CCEEFF"/>
          </w:tcPr>
          <w:p>
            <w:pPr>
              <w:spacing w:after="0"/>
              <w:rPr>
                <w:sz w:val="8"/>
                <w:szCs w:val="8"/>
                <w:color w:val="auto"/>
              </w:rPr>
            </w:pPr>
          </w:p>
        </w:tc>
        <w:tc>
          <w:tcPr>
            <w:tcW w:w="42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9"/>
                <w:szCs w:val="9"/>
                <w:color w:val="auto"/>
              </w:rPr>
              <w:t>(15,527)</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9"/>
                <w:szCs w:val="9"/>
                <w:color w:val="auto"/>
              </w:rPr>
              <w:t>(62,742)</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(25,183)</w:t>
            </w:r>
          </w:p>
        </w:tc>
        <w:tc>
          <w:tcPr>
            <w:tcW w:w="120" w:type="dxa"/>
            <w:vAlign w:val="bottom"/>
            <w:tcBorders>
              <w:righ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(35,722)</w:t>
            </w:r>
          </w:p>
        </w:tc>
        <w:tc>
          <w:tcPr>
            <w:tcW w:w="100" w:type="dxa"/>
            <w:vAlign w:val="bottom"/>
            <w:tcBorders>
              <w:right w:val="single" w:sz="8" w:color="CCEEFF"/>
            </w:tcBorders>
            <w:shd w:val="clear" w:color="auto" w:fill="CCEEFF"/>
          </w:tcPr>
          <w:p>
            <w:pPr>
              <w:spacing w:after="0"/>
              <w:rPr>
                <w:sz w:val="8"/>
                <w:szCs w:val="8"/>
                <w:color w:val="auto"/>
              </w:rPr>
            </w:pPr>
          </w:p>
        </w:tc>
        <w:tc>
          <w:tcPr>
            <w:tcW w:w="42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9"/>
                <w:szCs w:val="9"/>
                <w:color w:val="auto"/>
              </w:rPr>
              <w:t>(40,903)</w:t>
            </w:r>
          </w:p>
        </w:tc>
      </w:tr>
      <w:tr>
        <w:trPr>
          <w:trHeight w:val="97"/>
        </w:trPr>
        <w:tc>
          <w:tcPr>
            <w:tcW w:w="1940" w:type="dxa"/>
            <w:vAlign w:val="bottom"/>
          </w:tcPr>
          <w:p>
            <w:pPr>
              <w:spacing w:after="0" w:line="97" w:lineRule="exact"/>
              <w:rPr>
                <w:sz w:val="20"/>
                <w:szCs w:val="20"/>
                <w:color w:val="auto"/>
              </w:rPr>
            </w:pPr>
            <w:r>
              <w:rPr>
                <w:rFonts w:ascii="Times New Roman" w:cs="Times New Roman" w:eastAsia="Times New Roman" w:hAnsi="Times New Roman"/>
                <w:sz w:val="9"/>
                <w:szCs w:val="9"/>
                <w:color w:val="auto"/>
              </w:rPr>
              <w:t>Provision for income taxes</w:t>
            </w:r>
          </w:p>
        </w:tc>
        <w:tc>
          <w:tcPr>
            <w:tcW w:w="580" w:type="dxa"/>
            <w:vAlign w:val="bottom"/>
          </w:tcPr>
          <w:p>
            <w:pPr>
              <w:spacing w:after="0"/>
              <w:rPr>
                <w:sz w:val="8"/>
                <w:szCs w:val="8"/>
                <w:color w:val="auto"/>
              </w:rPr>
            </w:pPr>
          </w:p>
        </w:tc>
        <w:tc>
          <w:tcPr>
            <w:tcW w:w="32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7</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7</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7</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7</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61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61</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61</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62</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123</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163</w:t>
            </w:r>
          </w:p>
        </w:tc>
        <w:tc>
          <w:tcPr>
            <w:tcW w:w="60" w:type="dxa"/>
            <w:vAlign w:val="bottom"/>
          </w:tcPr>
          <w:p>
            <w:pPr>
              <w:spacing w:after="0"/>
              <w:rPr>
                <w:sz w:val="8"/>
                <w:szCs w:val="8"/>
                <w:color w:val="auto"/>
              </w:rPr>
            </w:pPr>
          </w:p>
        </w:tc>
      </w:tr>
      <w:tr>
        <w:trPr>
          <w:trHeight w:val="96"/>
        </w:trPr>
        <w:tc>
          <w:tcPr>
            <w:tcW w:w="194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9"/>
                <w:szCs w:val="9"/>
                <w:color w:val="auto"/>
              </w:rPr>
              <w:t>Net loss</w:t>
            </w:r>
          </w:p>
        </w:tc>
        <w:tc>
          <w:tcPr>
            <w:tcW w:w="580" w:type="dxa"/>
            <w:vAlign w:val="bottom"/>
            <w:tcBorders>
              <w:right w:val="single" w:sz="8" w:color="CCEEFF"/>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40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(10,600)</w:t>
            </w:r>
          </w:p>
        </w:tc>
        <w:tc>
          <w:tcPr>
            <w:tcW w:w="120" w:type="dxa"/>
            <w:vAlign w:val="bottom"/>
            <w:tcBorders>
              <w:right w:val="single" w:sz="8" w:color="CCEEFF"/>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9"/>
                <w:szCs w:val="9"/>
                <w:color w:val="auto"/>
              </w:rPr>
              <w:t>(15,820)</w:t>
            </w:r>
          </w:p>
        </w:tc>
        <w:tc>
          <w:tcPr>
            <w:tcW w:w="160" w:type="dxa"/>
            <w:vAlign w:val="bottom"/>
            <w:gridSpan w:val="2"/>
            <w:shd w:val="clear" w:color="auto" w:fill="CCEEFF"/>
          </w:tcPr>
          <w:p>
            <w:pPr>
              <w:ind w:left="60"/>
              <w:spacing w:after="0" w:line="97" w:lineRule="exact"/>
              <w:rPr>
                <w:sz w:val="20"/>
                <w:szCs w:val="20"/>
                <w:color w:val="auto"/>
              </w:rPr>
            </w:pPr>
            <w:r>
              <w:rPr>
                <w:rFonts w:ascii="Times New Roman" w:cs="Times New Roman" w:eastAsia="Times New Roman" w:hAnsi="Times New Roman"/>
                <w:sz w:val="9"/>
                <w:szCs w:val="9"/>
                <w:color w:val="auto"/>
              </w:rPr>
              <w:t>$</w:t>
            </w:r>
          </w:p>
        </w:tc>
        <w:tc>
          <w:tcPr>
            <w:tcW w:w="44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(12,223)</w:t>
            </w:r>
          </w:p>
        </w:tc>
        <w:tc>
          <w:tcPr>
            <w:tcW w:w="140" w:type="dxa"/>
            <w:vAlign w:val="bottom"/>
            <w:gridSpan w:val="2"/>
            <w:shd w:val="clear" w:color="auto" w:fill="CCEEFF"/>
          </w:tcPr>
          <w:p>
            <w:pPr>
              <w:ind w:left="60"/>
              <w:spacing w:after="0" w:line="97"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9"/>
                <w:szCs w:val="9"/>
                <w:color w:val="auto"/>
              </w:rPr>
              <w:t>(12,285)</w:t>
            </w:r>
          </w:p>
        </w:tc>
        <w:tc>
          <w:tcPr>
            <w:tcW w:w="120" w:type="dxa"/>
            <w:vAlign w:val="bottom"/>
            <w:tcBorders>
              <w:right w:val="single" w:sz="8" w:color="CCEEFF"/>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40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(14,953)</w:t>
            </w:r>
          </w:p>
        </w:tc>
        <w:tc>
          <w:tcPr>
            <w:tcW w:w="100" w:type="dxa"/>
            <w:vAlign w:val="bottom"/>
            <w:tcBorders>
              <w:right w:val="single" w:sz="8" w:color="CCEEFF"/>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42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9"/>
                <w:szCs w:val="9"/>
                <w:color w:val="auto"/>
              </w:rPr>
              <w:t>(15,588)</w:t>
            </w:r>
          </w:p>
        </w:tc>
        <w:tc>
          <w:tcPr>
            <w:tcW w:w="160" w:type="dxa"/>
            <w:vAlign w:val="bottom"/>
            <w:gridSpan w:val="2"/>
            <w:shd w:val="clear" w:color="auto" w:fill="CCEEFF"/>
          </w:tcPr>
          <w:p>
            <w:pPr>
              <w:ind w:left="60"/>
              <w:spacing w:after="0" w:line="97" w:lineRule="exact"/>
              <w:rPr>
                <w:sz w:val="20"/>
                <w:szCs w:val="20"/>
                <w:color w:val="auto"/>
              </w:rPr>
            </w:pPr>
            <w:r>
              <w:rPr>
                <w:rFonts w:ascii="Times New Roman" w:cs="Times New Roman" w:eastAsia="Times New Roman" w:hAnsi="Times New Roman"/>
                <w:sz w:val="9"/>
                <w:szCs w:val="9"/>
                <w:color w:val="auto"/>
              </w:rPr>
              <w:t>$</w:t>
            </w:r>
          </w:p>
        </w:tc>
        <w:tc>
          <w:tcPr>
            <w:tcW w:w="4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9"/>
                <w:szCs w:val="9"/>
                <w:color w:val="auto"/>
              </w:rPr>
              <w:t>(62,803)</w:t>
            </w:r>
          </w:p>
        </w:tc>
        <w:tc>
          <w:tcPr>
            <w:tcW w:w="160" w:type="dxa"/>
            <w:vAlign w:val="bottom"/>
            <w:gridSpan w:val="2"/>
            <w:shd w:val="clear" w:color="auto" w:fill="CCEEFF"/>
          </w:tcPr>
          <w:p>
            <w:pPr>
              <w:ind w:left="60"/>
              <w:spacing w:after="0" w:line="97"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(25,245)</w:t>
            </w:r>
          </w:p>
        </w:tc>
        <w:tc>
          <w:tcPr>
            <w:tcW w:w="120" w:type="dxa"/>
            <w:vAlign w:val="bottom"/>
            <w:tcBorders>
              <w:right w:val="single" w:sz="8" w:color="CCEEFF"/>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40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(35,845)</w:t>
            </w:r>
          </w:p>
        </w:tc>
        <w:tc>
          <w:tcPr>
            <w:tcW w:w="100" w:type="dxa"/>
            <w:vAlign w:val="bottom"/>
            <w:tcBorders>
              <w:right w:val="single" w:sz="8" w:color="CCEEFF"/>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42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9"/>
                <w:szCs w:val="9"/>
                <w:color w:val="auto"/>
              </w:rPr>
              <w:t>(41,066)</w:t>
            </w:r>
          </w:p>
        </w:tc>
      </w:tr>
      <w:tr>
        <w:trPr>
          <w:trHeight w:val="29"/>
        </w:trPr>
        <w:tc>
          <w:tcPr>
            <w:tcW w:w="194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67945</wp:posOffset>
            </wp:positionV>
            <wp:extent cx="548005"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48005" cy="6350"/>
                    </a:xfrm>
                    <a:prstGeom prst="rect">
                      <a:avLst/>
                    </a:prstGeom>
                    <a:noFill/>
                  </pic:spPr>
                </pic:pic>
              </a:graphicData>
            </a:graphic>
          </wp:anchor>
        </w:drawing>
      </w:r>
    </w:p>
    <w:p>
      <w:pPr>
        <w:spacing w:after="0" w:line="111" w:lineRule="exact"/>
        <w:rPr>
          <w:sz w:val="20"/>
          <w:szCs w:val="20"/>
          <w:color w:val="auto"/>
        </w:rPr>
      </w:pPr>
    </w:p>
    <w:p>
      <w:pPr>
        <w:ind w:left="2000" w:hanging="311"/>
        <w:spacing w:after="0"/>
        <w:tabs>
          <w:tab w:leader="none" w:pos="2000" w:val="left"/>
        </w:tabs>
        <w:numPr>
          <w:ilvl w:val="0"/>
          <w:numId w:val="3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Amounts include stock-based compensation expense as follows:</w:t>
      </w:r>
    </w:p>
    <w:p>
      <w:pPr>
        <w:spacing w:after="0" w:line="166" w:lineRule="exact"/>
        <w:rPr>
          <w:sz w:val="20"/>
          <w:szCs w:val="20"/>
          <w:color w:val="auto"/>
        </w:rPr>
      </w:pPr>
    </w:p>
    <w:tbl>
      <w:tblPr>
        <w:tblLayout w:type="fixed"/>
        <w:tblInd w:w="1680" w:type="dxa"/>
        <w:tblCellMar>
          <w:top w:w="0" w:type="dxa"/>
          <w:left w:w="0" w:type="dxa"/>
          <w:bottom w:w="0" w:type="dxa"/>
          <w:right w:w="0" w:type="dxa"/>
        </w:tblCellMar>
      </w:tblPr>
      <w:tr>
        <w:trPr>
          <w:trHeight w:val="112"/>
        </w:trPr>
        <w:tc>
          <w:tcPr>
            <w:tcW w:w="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9"/>
                <w:szCs w:val="9"/>
                <w:b w:val="1"/>
                <w:bCs w:val="1"/>
                <w:color w:val="auto"/>
                <w:w w:val="99"/>
              </w:rPr>
              <w:t>Three Months Ended</w:t>
            </w: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72"/>
        </w:trPr>
        <w:tc>
          <w:tcPr>
            <w:tcW w:w="20" w:type="dxa"/>
            <w:vAlign w:val="bottom"/>
          </w:tcPr>
          <w:p>
            <w:pPr>
              <w:spacing w:after="0"/>
              <w:rPr>
                <w:sz w:val="6"/>
                <w:szCs w:val="6"/>
                <w:color w:val="auto"/>
              </w:rPr>
            </w:pPr>
          </w:p>
        </w:tc>
        <w:tc>
          <w:tcPr>
            <w:tcW w:w="2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gridSpan w:val="2"/>
          </w:tcPr>
          <w:p>
            <w:pPr>
              <w:jc w:val="right"/>
              <w:spacing w:after="0" w:line="72" w:lineRule="exact"/>
              <w:rPr>
                <w:sz w:val="20"/>
                <w:szCs w:val="20"/>
                <w:color w:val="auto"/>
              </w:rPr>
            </w:pPr>
            <w:r>
              <w:rPr>
                <w:rFonts w:ascii="Times New Roman" w:cs="Times New Roman" w:eastAsia="Times New Roman" w:hAnsi="Times New Roman"/>
                <w:sz w:val="8"/>
                <w:szCs w:val="8"/>
                <w:b w:val="1"/>
                <w:bCs w:val="1"/>
                <w:color w:val="auto"/>
              </w:rPr>
              <w:t>April 30,</w:t>
            </w:r>
          </w:p>
        </w:tc>
        <w:tc>
          <w:tcPr>
            <w:tcW w:w="200" w:type="dxa"/>
            <w:vAlign w:val="bottom"/>
          </w:tcPr>
          <w:p>
            <w:pPr>
              <w:spacing w:after="0"/>
              <w:rPr>
                <w:sz w:val="6"/>
                <w:szCs w:val="6"/>
                <w:color w:val="auto"/>
              </w:rPr>
            </w:pPr>
          </w:p>
        </w:tc>
        <w:tc>
          <w:tcPr>
            <w:tcW w:w="30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b w:val="1"/>
                <w:bCs w:val="1"/>
                <w:color w:val="auto"/>
                <w:w w:val="97"/>
              </w:rPr>
              <w:t>July 31,</w:t>
            </w:r>
          </w:p>
        </w:tc>
        <w:tc>
          <w:tcPr>
            <w:tcW w:w="620" w:type="dxa"/>
            <w:vAlign w:val="bottom"/>
            <w:gridSpan w:val="3"/>
          </w:tcPr>
          <w:p>
            <w:pPr>
              <w:ind w:left="160"/>
              <w:spacing w:after="0" w:line="72" w:lineRule="exact"/>
              <w:rPr>
                <w:sz w:val="20"/>
                <w:szCs w:val="20"/>
                <w:color w:val="auto"/>
              </w:rPr>
            </w:pPr>
            <w:r>
              <w:rPr>
                <w:rFonts w:ascii="Times New Roman" w:cs="Times New Roman" w:eastAsia="Times New Roman" w:hAnsi="Times New Roman"/>
                <w:sz w:val="8"/>
                <w:szCs w:val="8"/>
                <w:b w:val="1"/>
                <w:bCs w:val="1"/>
                <w:color w:val="auto"/>
              </w:rPr>
              <w:t>October 31,</w:t>
            </w:r>
          </w:p>
        </w:tc>
        <w:tc>
          <w:tcPr>
            <w:tcW w:w="600" w:type="dxa"/>
            <w:vAlign w:val="bottom"/>
            <w:gridSpan w:val="3"/>
          </w:tcPr>
          <w:p>
            <w:pPr>
              <w:ind w:left="140"/>
              <w:spacing w:after="0" w:line="72" w:lineRule="exact"/>
              <w:rPr>
                <w:sz w:val="20"/>
                <w:szCs w:val="20"/>
                <w:color w:val="auto"/>
              </w:rPr>
            </w:pPr>
            <w:r>
              <w:rPr>
                <w:rFonts w:ascii="Times New Roman" w:cs="Times New Roman" w:eastAsia="Times New Roman" w:hAnsi="Times New Roman"/>
                <w:sz w:val="8"/>
                <w:szCs w:val="8"/>
                <w:b w:val="1"/>
                <w:bCs w:val="1"/>
                <w:color w:val="auto"/>
              </w:rPr>
              <w:t>January 31,</w:t>
            </w:r>
          </w:p>
        </w:tc>
        <w:tc>
          <w:tcPr>
            <w:tcW w:w="200" w:type="dxa"/>
            <w:vAlign w:val="bottom"/>
          </w:tcPr>
          <w:p>
            <w:pPr>
              <w:spacing w:after="0"/>
              <w:rPr>
                <w:sz w:val="6"/>
                <w:szCs w:val="6"/>
                <w:color w:val="auto"/>
              </w:rPr>
            </w:pPr>
          </w:p>
        </w:tc>
        <w:tc>
          <w:tcPr>
            <w:tcW w:w="32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b w:val="1"/>
                <w:bCs w:val="1"/>
                <w:color w:val="auto"/>
                <w:w w:val="92"/>
              </w:rPr>
              <w:t>April 30,</w:t>
            </w:r>
          </w:p>
        </w:tc>
        <w:tc>
          <w:tcPr>
            <w:tcW w:w="140" w:type="dxa"/>
            <w:vAlign w:val="bottom"/>
          </w:tcPr>
          <w:p>
            <w:pPr>
              <w:spacing w:after="0"/>
              <w:rPr>
                <w:sz w:val="6"/>
                <w:szCs w:val="6"/>
                <w:color w:val="auto"/>
              </w:rPr>
            </w:pPr>
          </w:p>
        </w:tc>
        <w:tc>
          <w:tcPr>
            <w:tcW w:w="400" w:type="dxa"/>
            <w:vAlign w:val="bottom"/>
            <w:gridSpan w:val="2"/>
          </w:tcPr>
          <w:p>
            <w:pPr>
              <w:jc w:val="right"/>
              <w:ind w:right="9"/>
              <w:spacing w:after="0" w:line="72" w:lineRule="exact"/>
              <w:rPr>
                <w:sz w:val="20"/>
                <w:szCs w:val="20"/>
                <w:color w:val="auto"/>
              </w:rPr>
            </w:pPr>
            <w:r>
              <w:rPr>
                <w:rFonts w:ascii="Times New Roman" w:cs="Times New Roman" w:eastAsia="Times New Roman" w:hAnsi="Times New Roman"/>
                <w:sz w:val="8"/>
                <w:szCs w:val="8"/>
                <w:b w:val="1"/>
                <w:bCs w:val="1"/>
                <w:color w:val="auto"/>
              </w:rPr>
              <w:t>July 31,</w:t>
            </w:r>
          </w:p>
        </w:tc>
        <w:tc>
          <w:tcPr>
            <w:tcW w:w="600" w:type="dxa"/>
            <w:vAlign w:val="bottom"/>
            <w:gridSpan w:val="3"/>
          </w:tcPr>
          <w:p>
            <w:pPr>
              <w:ind w:left="140"/>
              <w:spacing w:after="0" w:line="72" w:lineRule="exact"/>
              <w:rPr>
                <w:sz w:val="20"/>
                <w:szCs w:val="20"/>
                <w:color w:val="auto"/>
              </w:rPr>
            </w:pPr>
            <w:r>
              <w:rPr>
                <w:rFonts w:ascii="Times New Roman" w:cs="Times New Roman" w:eastAsia="Times New Roman" w:hAnsi="Times New Roman"/>
                <w:sz w:val="8"/>
                <w:szCs w:val="8"/>
                <w:b w:val="1"/>
                <w:bCs w:val="1"/>
                <w:color w:val="auto"/>
              </w:rPr>
              <w:t>October 31,</w:t>
            </w:r>
          </w:p>
        </w:tc>
        <w:tc>
          <w:tcPr>
            <w:tcW w:w="600" w:type="dxa"/>
            <w:vAlign w:val="bottom"/>
            <w:gridSpan w:val="3"/>
          </w:tcPr>
          <w:p>
            <w:pPr>
              <w:ind w:left="140"/>
              <w:spacing w:after="0" w:line="72" w:lineRule="exact"/>
              <w:rPr>
                <w:sz w:val="20"/>
                <w:szCs w:val="20"/>
                <w:color w:val="auto"/>
              </w:rPr>
            </w:pPr>
            <w:r>
              <w:rPr>
                <w:rFonts w:ascii="Times New Roman" w:cs="Times New Roman" w:eastAsia="Times New Roman" w:hAnsi="Times New Roman"/>
                <w:sz w:val="8"/>
                <w:szCs w:val="8"/>
                <w:b w:val="1"/>
                <w:bCs w:val="1"/>
                <w:color w:val="auto"/>
              </w:rPr>
              <w:t>January 31,</w:t>
            </w:r>
          </w:p>
        </w:tc>
        <w:tc>
          <w:tcPr>
            <w:tcW w:w="220" w:type="dxa"/>
            <w:vAlign w:val="bottom"/>
          </w:tcPr>
          <w:p>
            <w:pPr>
              <w:spacing w:after="0"/>
              <w:rPr>
                <w:sz w:val="6"/>
                <w:szCs w:val="6"/>
                <w:color w:val="auto"/>
              </w:rPr>
            </w:pPr>
          </w:p>
        </w:tc>
        <w:tc>
          <w:tcPr>
            <w:tcW w:w="34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b w:val="1"/>
                <w:bCs w:val="1"/>
                <w:color w:val="auto"/>
                <w:w w:val="92"/>
              </w:rPr>
              <w:t>April 30,</w:t>
            </w:r>
          </w:p>
        </w:tc>
        <w:tc>
          <w:tcPr>
            <w:tcW w:w="140" w:type="dxa"/>
            <w:vAlign w:val="bottom"/>
          </w:tcPr>
          <w:p>
            <w:pPr>
              <w:spacing w:after="0"/>
              <w:rPr>
                <w:sz w:val="6"/>
                <w:szCs w:val="6"/>
                <w:color w:val="auto"/>
              </w:rPr>
            </w:pPr>
          </w:p>
        </w:tc>
        <w:tc>
          <w:tcPr>
            <w:tcW w:w="400" w:type="dxa"/>
            <w:vAlign w:val="bottom"/>
            <w:gridSpan w:val="2"/>
          </w:tcPr>
          <w:p>
            <w:pPr>
              <w:jc w:val="right"/>
              <w:ind w:right="9"/>
              <w:spacing w:after="0" w:line="72" w:lineRule="exact"/>
              <w:rPr>
                <w:sz w:val="20"/>
                <w:szCs w:val="20"/>
                <w:color w:val="auto"/>
              </w:rPr>
            </w:pPr>
            <w:r>
              <w:rPr>
                <w:rFonts w:ascii="Times New Roman" w:cs="Times New Roman" w:eastAsia="Times New Roman" w:hAnsi="Times New Roman"/>
                <w:sz w:val="8"/>
                <w:szCs w:val="8"/>
                <w:b w:val="1"/>
                <w:bCs w:val="1"/>
                <w:color w:val="auto"/>
              </w:rPr>
              <w:t>July 31,</w:t>
            </w:r>
          </w:p>
        </w:tc>
        <w:tc>
          <w:tcPr>
            <w:tcW w:w="20" w:type="dxa"/>
            <w:vAlign w:val="bottom"/>
          </w:tcPr>
          <w:p>
            <w:pPr>
              <w:spacing w:after="0"/>
              <w:rPr>
                <w:sz w:val="6"/>
                <w:szCs w:val="6"/>
                <w:color w:val="auto"/>
              </w:rPr>
            </w:pPr>
          </w:p>
        </w:tc>
      </w:tr>
      <w:tr>
        <w:trPr>
          <w:trHeight w:val="112"/>
        </w:trPr>
        <w:tc>
          <w:tcPr>
            <w:tcW w:w="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9"/>
                <w:szCs w:val="9"/>
                <w:b w:val="1"/>
                <w:bCs w:val="1"/>
                <w:color w:val="auto"/>
                <w:w w:val="99"/>
              </w:rPr>
              <w:t>2018</w:t>
            </w:r>
          </w:p>
        </w:tc>
        <w:tc>
          <w:tcPr>
            <w:tcW w:w="2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9"/>
                <w:szCs w:val="9"/>
                <w:b w:val="1"/>
                <w:bCs w:val="1"/>
                <w:color w:val="auto"/>
              </w:rPr>
              <w:t>2018</w:t>
            </w: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9"/>
                <w:szCs w:val="9"/>
                <w:b w:val="1"/>
                <w:bCs w:val="1"/>
                <w:color w:val="auto"/>
              </w:rPr>
              <w:t>2018</w:t>
            </w: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9"/>
                <w:szCs w:val="9"/>
                <w:b w:val="1"/>
                <w:bCs w:val="1"/>
                <w:color w:val="auto"/>
              </w:rPr>
              <w:t>2019</w:t>
            </w: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9"/>
                <w:szCs w:val="9"/>
                <w:b w:val="1"/>
                <w:bCs w:val="1"/>
                <w:color w:val="auto"/>
              </w:rPr>
              <w:t>2019</w:t>
            </w: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9"/>
                <w:szCs w:val="9"/>
                <w:b w:val="1"/>
                <w:bCs w:val="1"/>
                <w:color w:val="auto"/>
                <w:w w:val="99"/>
              </w:rPr>
              <w:t>2019</w:t>
            </w: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9"/>
                <w:szCs w:val="9"/>
                <w:b w:val="1"/>
                <w:bCs w:val="1"/>
                <w:color w:val="auto"/>
              </w:rPr>
              <w:t>2019</w:t>
            </w: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9"/>
                <w:szCs w:val="9"/>
                <w:b w:val="1"/>
                <w:bCs w:val="1"/>
                <w:color w:val="auto"/>
              </w:rPr>
              <w:t>2020</w:t>
            </w:r>
          </w:p>
        </w:tc>
        <w:tc>
          <w:tcPr>
            <w:tcW w:w="2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9"/>
                <w:szCs w:val="9"/>
                <w:b w:val="1"/>
                <w:bCs w:val="1"/>
                <w:color w:val="auto"/>
              </w:rPr>
              <w:t>2020</w:t>
            </w: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9"/>
                <w:szCs w:val="9"/>
                <w:b w:val="1"/>
                <w:bCs w:val="1"/>
                <w:color w:val="auto"/>
                <w:w w:val="99"/>
              </w:rPr>
              <w:t>2020</w:t>
            </w:r>
          </w:p>
        </w:tc>
        <w:tc>
          <w:tcPr>
            <w:tcW w:w="20" w:type="dxa"/>
            <w:vAlign w:val="bottom"/>
          </w:tcPr>
          <w:p>
            <w:pPr>
              <w:spacing w:after="0"/>
              <w:rPr>
                <w:sz w:val="9"/>
                <w:szCs w:val="9"/>
                <w:color w:val="auto"/>
              </w:rPr>
            </w:pPr>
          </w:p>
        </w:tc>
      </w:tr>
      <w:tr>
        <w:trPr>
          <w:trHeight w:val="96"/>
        </w:trPr>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gridSpan w:val="4"/>
          </w:tcPr>
          <w:p>
            <w:pPr>
              <w:jc w:val="right"/>
              <w:ind w:right="109"/>
              <w:spacing w:after="0" w:line="97" w:lineRule="exact"/>
              <w:rPr>
                <w:sz w:val="20"/>
                <w:szCs w:val="20"/>
                <w:color w:val="auto"/>
              </w:rPr>
            </w:pPr>
            <w:r>
              <w:rPr>
                <w:rFonts w:ascii="Times New Roman" w:cs="Times New Roman" w:eastAsia="Times New Roman" w:hAnsi="Times New Roman"/>
                <w:sz w:val="9"/>
                <w:szCs w:val="9"/>
                <w:b w:val="1"/>
                <w:bCs w:val="1"/>
                <w:color w:val="auto"/>
              </w:rPr>
              <w:t>(in thousands)</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7"/>
        </w:trPr>
        <w:tc>
          <w:tcPr>
            <w:tcW w:w="20" w:type="dxa"/>
            <w:vAlign w:val="bottom"/>
          </w:tcPr>
          <w:p>
            <w:pPr>
              <w:spacing w:after="0"/>
              <w:rPr>
                <w:sz w:val="9"/>
                <w:szCs w:val="9"/>
                <w:color w:val="auto"/>
              </w:rPr>
            </w:pPr>
          </w:p>
        </w:tc>
        <w:tc>
          <w:tcPr>
            <w:tcW w:w="216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0"/>
                <w:szCs w:val="10"/>
                <w:color w:val="auto"/>
              </w:rPr>
              <w:t>Cost of revenues</w:t>
            </w:r>
          </w:p>
        </w:tc>
        <w:tc>
          <w:tcPr>
            <w:tcW w:w="34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4</w:t>
            </w:r>
          </w:p>
        </w:tc>
        <w:tc>
          <w:tcPr>
            <w:tcW w:w="200" w:type="dxa"/>
            <w:vAlign w:val="bottom"/>
            <w:tcBorders>
              <w:right w:val="single" w:sz="8" w:color="CCEEFF"/>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22</w:t>
            </w:r>
          </w:p>
        </w:tc>
        <w:tc>
          <w:tcPr>
            <w:tcW w:w="240" w:type="dxa"/>
            <w:vAlign w:val="bottom"/>
            <w:gridSpan w:val="2"/>
            <w:shd w:val="clear" w:color="auto" w:fill="CCEEFF"/>
          </w:tcPr>
          <w:p>
            <w:pPr>
              <w:ind w:left="140"/>
              <w:spacing w:after="0" w:line="107"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5</w:t>
            </w:r>
          </w:p>
        </w:tc>
        <w:tc>
          <w:tcPr>
            <w:tcW w:w="220" w:type="dxa"/>
            <w:vAlign w:val="bottom"/>
            <w:gridSpan w:val="2"/>
            <w:shd w:val="clear" w:color="auto" w:fill="CCEEFF"/>
          </w:tcPr>
          <w:p>
            <w:pPr>
              <w:ind w:left="140"/>
              <w:spacing w:after="0" w:line="107"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6</w:t>
            </w:r>
          </w:p>
        </w:tc>
        <w:tc>
          <w:tcPr>
            <w:tcW w:w="200" w:type="dxa"/>
            <w:vAlign w:val="bottom"/>
            <w:tcBorders>
              <w:right w:val="single" w:sz="8" w:color="CCEEFF"/>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6</w:t>
            </w:r>
          </w:p>
        </w:tc>
        <w:tc>
          <w:tcPr>
            <w:tcW w:w="2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7</w:t>
            </w:r>
          </w:p>
        </w:tc>
        <w:tc>
          <w:tcPr>
            <w:tcW w:w="240" w:type="dxa"/>
            <w:vAlign w:val="bottom"/>
            <w:gridSpan w:val="2"/>
            <w:shd w:val="clear" w:color="auto" w:fill="CCEEFF"/>
          </w:tcPr>
          <w:p>
            <w:pPr>
              <w:ind w:left="140"/>
              <w:spacing w:after="0" w:line="107" w:lineRule="exact"/>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77</w:t>
            </w:r>
          </w:p>
        </w:tc>
        <w:tc>
          <w:tcPr>
            <w:tcW w:w="240" w:type="dxa"/>
            <w:vAlign w:val="bottom"/>
            <w:gridSpan w:val="2"/>
            <w:shd w:val="clear" w:color="auto" w:fill="CCEEFF"/>
          </w:tcPr>
          <w:p>
            <w:pPr>
              <w:ind w:left="140"/>
              <w:spacing w:after="0" w:line="107" w:lineRule="exact"/>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13</w:t>
            </w:r>
          </w:p>
        </w:tc>
        <w:tc>
          <w:tcPr>
            <w:tcW w:w="220" w:type="dxa"/>
            <w:vAlign w:val="bottom"/>
            <w:tcBorders>
              <w:right w:val="single" w:sz="8" w:color="CCEEFF"/>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46</w:t>
            </w:r>
          </w:p>
        </w:tc>
        <w:tc>
          <w:tcPr>
            <w:tcW w:w="2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54</w:t>
            </w:r>
          </w:p>
        </w:tc>
        <w:tc>
          <w:tcPr>
            <w:tcW w:w="20" w:type="dxa"/>
            <w:vAlign w:val="bottom"/>
            <w:shd w:val="clear" w:color="auto" w:fill="CCEEFF"/>
          </w:tcPr>
          <w:p>
            <w:pPr>
              <w:spacing w:after="0"/>
              <w:rPr>
                <w:sz w:val="9"/>
                <w:szCs w:val="9"/>
                <w:color w:val="auto"/>
              </w:rPr>
            </w:pPr>
          </w:p>
        </w:tc>
      </w:tr>
      <w:tr>
        <w:trPr>
          <w:trHeight w:val="107"/>
        </w:trPr>
        <w:tc>
          <w:tcPr>
            <w:tcW w:w="20" w:type="dxa"/>
            <w:vAlign w:val="bottom"/>
          </w:tcPr>
          <w:p>
            <w:pPr>
              <w:spacing w:after="0"/>
              <w:rPr>
                <w:sz w:val="9"/>
                <w:szCs w:val="9"/>
                <w:color w:val="auto"/>
              </w:rPr>
            </w:pPr>
          </w:p>
        </w:tc>
        <w:tc>
          <w:tcPr>
            <w:tcW w:w="216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Research and development</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526</w:t>
            </w:r>
          </w:p>
        </w:tc>
        <w:tc>
          <w:tcPr>
            <w:tcW w:w="200" w:type="dxa"/>
            <w:vAlign w:val="bottom"/>
          </w:tcPr>
          <w:p>
            <w:pPr>
              <w:spacing w:after="0"/>
              <w:rPr>
                <w:sz w:val="9"/>
                <w:szCs w:val="9"/>
                <w:color w:val="auto"/>
              </w:rPr>
            </w:pPr>
          </w:p>
        </w:tc>
        <w:tc>
          <w:tcPr>
            <w:tcW w:w="30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3,320</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623</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691</w:t>
            </w:r>
          </w:p>
        </w:tc>
        <w:tc>
          <w:tcPr>
            <w:tcW w:w="200" w:type="dxa"/>
            <w:vAlign w:val="bottom"/>
          </w:tcPr>
          <w:p>
            <w:pPr>
              <w:spacing w:after="0"/>
              <w:rPr>
                <w:sz w:val="9"/>
                <w:szCs w:val="9"/>
                <w:color w:val="auto"/>
              </w:rPr>
            </w:pPr>
          </w:p>
        </w:tc>
        <w:tc>
          <w:tcPr>
            <w:tcW w:w="32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780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1,102</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21,068</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1,919</w:t>
            </w:r>
          </w:p>
        </w:tc>
        <w:tc>
          <w:tcPr>
            <w:tcW w:w="220" w:type="dxa"/>
            <w:vAlign w:val="bottom"/>
          </w:tcPr>
          <w:p>
            <w:pPr>
              <w:spacing w:after="0"/>
              <w:rPr>
                <w:sz w:val="9"/>
                <w:szCs w:val="9"/>
                <w:color w:val="auto"/>
              </w:rPr>
            </w:pPr>
          </w:p>
        </w:tc>
        <w:tc>
          <w:tcPr>
            <w:tcW w:w="34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2,081</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2,656</w:t>
            </w:r>
          </w:p>
        </w:tc>
        <w:tc>
          <w:tcPr>
            <w:tcW w:w="20" w:type="dxa"/>
            <w:vAlign w:val="bottom"/>
          </w:tcPr>
          <w:p>
            <w:pPr>
              <w:spacing w:after="0"/>
              <w:rPr>
                <w:sz w:val="9"/>
                <w:szCs w:val="9"/>
                <w:color w:val="auto"/>
              </w:rPr>
            </w:pPr>
          </w:p>
        </w:tc>
      </w:tr>
      <w:tr>
        <w:trPr>
          <w:trHeight w:val="107"/>
        </w:trPr>
        <w:tc>
          <w:tcPr>
            <w:tcW w:w="20" w:type="dxa"/>
            <w:vAlign w:val="bottom"/>
          </w:tcPr>
          <w:p>
            <w:pPr>
              <w:spacing w:after="0"/>
              <w:rPr>
                <w:sz w:val="9"/>
                <w:szCs w:val="9"/>
                <w:color w:val="auto"/>
              </w:rPr>
            </w:pPr>
          </w:p>
        </w:tc>
        <w:tc>
          <w:tcPr>
            <w:tcW w:w="216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0"/>
                <w:szCs w:val="10"/>
                <w:color w:val="auto"/>
              </w:rPr>
              <w:t>Sales and marketing</w:t>
            </w: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272</w:t>
            </w:r>
          </w:p>
        </w:tc>
        <w:tc>
          <w:tcPr>
            <w:tcW w:w="200" w:type="dxa"/>
            <w:vAlign w:val="bottom"/>
            <w:tcBorders>
              <w:right w:val="single" w:sz="8" w:color="CCEEFF"/>
            </w:tcBorders>
            <w:shd w:val="clear" w:color="auto" w:fill="CCEEFF"/>
          </w:tcPr>
          <w:p>
            <w:pPr>
              <w:spacing w:after="0"/>
              <w:rPr>
                <w:sz w:val="9"/>
                <w:szCs w:val="9"/>
                <w:color w:val="auto"/>
              </w:rPr>
            </w:pPr>
          </w:p>
        </w:tc>
        <w:tc>
          <w:tcPr>
            <w:tcW w:w="30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1,086</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367</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383</w:t>
            </w:r>
          </w:p>
        </w:tc>
        <w:tc>
          <w:tcPr>
            <w:tcW w:w="200" w:type="dxa"/>
            <w:vAlign w:val="bottom"/>
            <w:tcBorders>
              <w:right w:val="single" w:sz="8" w:color="CCEEFF"/>
            </w:tcBorders>
            <w:shd w:val="clear" w:color="auto" w:fill="CCEEFF"/>
          </w:tcPr>
          <w:p>
            <w:pPr>
              <w:spacing w:after="0"/>
              <w:rPr>
                <w:sz w:val="9"/>
                <w:szCs w:val="9"/>
                <w:color w:val="auto"/>
              </w:rPr>
            </w:pPr>
          </w:p>
        </w:tc>
        <w:tc>
          <w:tcPr>
            <w:tcW w:w="32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454</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507</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8,441</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775</w:t>
            </w:r>
          </w:p>
        </w:tc>
        <w:tc>
          <w:tcPr>
            <w:tcW w:w="22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1,099</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1,522</w:t>
            </w:r>
          </w:p>
        </w:tc>
        <w:tc>
          <w:tcPr>
            <w:tcW w:w="20" w:type="dxa"/>
            <w:vAlign w:val="bottom"/>
            <w:shd w:val="clear" w:color="auto" w:fill="CCEEFF"/>
          </w:tcPr>
          <w:p>
            <w:pPr>
              <w:spacing w:after="0"/>
              <w:rPr>
                <w:sz w:val="9"/>
                <w:szCs w:val="9"/>
                <w:color w:val="auto"/>
              </w:rPr>
            </w:pPr>
          </w:p>
        </w:tc>
      </w:tr>
      <w:tr>
        <w:trPr>
          <w:trHeight w:val="107"/>
        </w:trPr>
        <w:tc>
          <w:tcPr>
            <w:tcW w:w="20" w:type="dxa"/>
            <w:vAlign w:val="bottom"/>
          </w:tcPr>
          <w:p>
            <w:pPr>
              <w:spacing w:after="0"/>
              <w:rPr>
                <w:sz w:val="9"/>
                <w:szCs w:val="9"/>
                <w:color w:val="auto"/>
              </w:rPr>
            </w:pPr>
          </w:p>
        </w:tc>
        <w:tc>
          <w:tcPr>
            <w:tcW w:w="216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General and administrative</w:t>
            </w: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139</w:t>
            </w:r>
          </w:p>
        </w:tc>
        <w:tc>
          <w:tcPr>
            <w:tcW w:w="200" w:type="dxa"/>
            <w:vAlign w:val="bottom"/>
          </w:tcPr>
          <w:p>
            <w:pPr>
              <w:spacing w:after="0"/>
              <w:rPr>
                <w:sz w:val="9"/>
                <w:szCs w:val="9"/>
                <w:color w:val="auto"/>
              </w:rPr>
            </w:pPr>
          </w:p>
        </w:tc>
        <w:tc>
          <w:tcPr>
            <w:tcW w:w="30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446</w:t>
            </w: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363</w:t>
            </w: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294</w:t>
            </w:r>
          </w:p>
        </w:tc>
        <w:tc>
          <w:tcPr>
            <w:tcW w:w="200" w:type="dxa"/>
            <w:vAlign w:val="bottom"/>
          </w:tcPr>
          <w:p>
            <w:pPr>
              <w:spacing w:after="0"/>
              <w:rPr>
                <w:sz w:val="9"/>
                <w:szCs w:val="9"/>
                <w:color w:val="auto"/>
              </w:rPr>
            </w:pPr>
          </w:p>
        </w:tc>
        <w:tc>
          <w:tcPr>
            <w:tcW w:w="32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269</w:t>
            </w: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303</w:t>
            </w: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12,042</w:t>
            </w: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623</w:t>
            </w:r>
          </w:p>
        </w:tc>
        <w:tc>
          <w:tcPr>
            <w:tcW w:w="220" w:type="dxa"/>
            <w:vAlign w:val="bottom"/>
          </w:tcPr>
          <w:p>
            <w:pPr>
              <w:spacing w:after="0"/>
              <w:rPr>
                <w:sz w:val="9"/>
                <w:szCs w:val="9"/>
                <w:color w:val="auto"/>
              </w:rPr>
            </w:pPr>
          </w:p>
        </w:tc>
        <w:tc>
          <w:tcPr>
            <w:tcW w:w="34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756</w:t>
            </w: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1,144</w:t>
            </w:r>
          </w:p>
        </w:tc>
        <w:tc>
          <w:tcPr>
            <w:tcW w:w="20" w:type="dxa"/>
            <w:vAlign w:val="bottom"/>
          </w:tcPr>
          <w:p>
            <w:pPr>
              <w:spacing w:after="0"/>
              <w:rPr>
                <w:sz w:val="9"/>
                <w:szCs w:val="9"/>
                <w:color w:val="auto"/>
              </w:rPr>
            </w:pPr>
          </w:p>
        </w:tc>
      </w:tr>
      <w:tr>
        <w:trPr>
          <w:trHeight w:val="106"/>
        </w:trPr>
        <w:tc>
          <w:tcPr>
            <w:tcW w:w="20" w:type="dxa"/>
            <w:vAlign w:val="bottom"/>
          </w:tcPr>
          <w:p>
            <w:pPr>
              <w:spacing w:after="0"/>
              <w:rPr>
                <w:sz w:val="9"/>
                <w:szCs w:val="9"/>
                <w:color w:val="auto"/>
              </w:rPr>
            </w:pPr>
          </w:p>
        </w:tc>
        <w:tc>
          <w:tcPr>
            <w:tcW w:w="2160" w:type="dxa"/>
            <w:vAlign w:val="bottom"/>
            <w:shd w:val="clear" w:color="auto" w:fill="CCEEFF"/>
          </w:tcPr>
          <w:p>
            <w:pPr>
              <w:ind w:left="200"/>
              <w:spacing w:after="0" w:line="106" w:lineRule="exact"/>
              <w:rPr>
                <w:sz w:val="20"/>
                <w:szCs w:val="20"/>
                <w:color w:val="auto"/>
              </w:rPr>
            </w:pPr>
            <w:r>
              <w:rPr>
                <w:rFonts w:ascii="Times New Roman" w:cs="Times New Roman" w:eastAsia="Times New Roman" w:hAnsi="Times New Roman"/>
                <w:sz w:val="10"/>
                <w:szCs w:val="10"/>
                <w:color w:val="auto"/>
              </w:rPr>
              <w:t>Total stock-based compensation expense</w:t>
            </w: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941</w:t>
            </w:r>
          </w:p>
        </w:tc>
        <w:tc>
          <w:tcPr>
            <w:tcW w:w="200" w:type="dxa"/>
            <w:vAlign w:val="bottom"/>
            <w:tcBorders>
              <w:right w:val="single" w:sz="8" w:color="CCEEFF"/>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4,874</w:t>
            </w:r>
          </w:p>
        </w:tc>
        <w:tc>
          <w:tcPr>
            <w:tcW w:w="240" w:type="dxa"/>
            <w:vAlign w:val="bottom"/>
            <w:gridSpan w:val="2"/>
            <w:shd w:val="clear" w:color="auto" w:fill="CCEEFF"/>
          </w:tcPr>
          <w:p>
            <w:pPr>
              <w:ind w:left="140"/>
              <w:spacing w:after="0" w:line="106"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1,358</w:t>
            </w:r>
          </w:p>
        </w:tc>
        <w:tc>
          <w:tcPr>
            <w:tcW w:w="220" w:type="dxa"/>
            <w:vAlign w:val="bottom"/>
            <w:gridSpan w:val="2"/>
            <w:shd w:val="clear" w:color="auto" w:fill="CCEEFF"/>
          </w:tcPr>
          <w:p>
            <w:pPr>
              <w:ind w:left="140"/>
              <w:spacing w:after="0" w:line="106"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1,374</w:t>
            </w:r>
          </w:p>
        </w:tc>
        <w:tc>
          <w:tcPr>
            <w:tcW w:w="200" w:type="dxa"/>
            <w:vAlign w:val="bottom"/>
            <w:tcBorders>
              <w:right w:val="single" w:sz="8" w:color="CCEEFF"/>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1,509</w:t>
            </w:r>
          </w:p>
        </w:tc>
        <w:tc>
          <w:tcPr>
            <w:tcW w:w="220" w:type="dxa"/>
            <w:vAlign w:val="bottom"/>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1,919</w:t>
            </w:r>
          </w:p>
        </w:tc>
        <w:tc>
          <w:tcPr>
            <w:tcW w:w="240" w:type="dxa"/>
            <w:vAlign w:val="bottom"/>
            <w:gridSpan w:val="2"/>
            <w:shd w:val="clear" w:color="auto" w:fill="CCEEFF"/>
          </w:tcPr>
          <w:p>
            <w:pPr>
              <w:ind w:left="140"/>
              <w:spacing w:after="0" w:line="106" w:lineRule="exact"/>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41,628</w:t>
            </w:r>
          </w:p>
        </w:tc>
        <w:tc>
          <w:tcPr>
            <w:tcW w:w="240" w:type="dxa"/>
            <w:vAlign w:val="bottom"/>
            <w:gridSpan w:val="2"/>
            <w:shd w:val="clear" w:color="auto" w:fill="CCEEFF"/>
          </w:tcPr>
          <w:p>
            <w:pPr>
              <w:ind w:left="140"/>
              <w:spacing w:after="0" w:line="106" w:lineRule="exact"/>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3,330</w:t>
            </w:r>
          </w:p>
        </w:tc>
        <w:tc>
          <w:tcPr>
            <w:tcW w:w="220" w:type="dxa"/>
            <w:vAlign w:val="bottom"/>
            <w:tcBorders>
              <w:right w:val="single" w:sz="8" w:color="CCEEFF"/>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3,982</w:t>
            </w:r>
          </w:p>
        </w:tc>
        <w:tc>
          <w:tcPr>
            <w:tcW w:w="220" w:type="dxa"/>
            <w:vAlign w:val="bottom"/>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5,376</w:t>
            </w:r>
          </w:p>
        </w:tc>
        <w:tc>
          <w:tcPr>
            <w:tcW w:w="20" w:type="dxa"/>
            <w:vAlign w:val="bottom"/>
            <w:shd w:val="clear" w:color="auto" w:fill="CCEEFF"/>
          </w:tcPr>
          <w:p>
            <w:pPr>
              <w:spacing w:after="0"/>
              <w:rPr>
                <w:sz w:val="9"/>
                <w:szCs w:val="9"/>
                <w:color w:val="auto"/>
              </w:rPr>
            </w:pPr>
          </w:p>
        </w:tc>
      </w:tr>
      <w:tr>
        <w:trPr>
          <w:trHeight w:val="29"/>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bl>
    <w:p>
      <w:pPr>
        <w:spacing w:after="0" w:line="150" w:lineRule="exact"/>
        <w:rPr>
          <w:sz w:val="20"/>
          <w:szCs w:val="20"/>
          <w:color w:val="auto"/>
        </w:rPr>
      </w:pPr>
    </w:p>
    <w:p>
      <w:pPr>
        <w:ind w:left="1680" w:right="699" w:firstLine="316"/>
        <w:spacing w:after="0" w:line="258" w:lineRule="auto"/>
        <w:rPr>
          <w:sz w:val="20"/>
          <w:szCs w:val="20"/>
          <w:color w:val="auto"/>
        </w:rPr>
      </w:pPr>
      <w:r>
        <w:rPr>
          <w:rFonts w:ascii="Times New Roman" w:cs="Times New Roman" w:eastAsia="Times New Roman" w:hAnsi="Times New Roman"/>
          <w:sz w:val="10"/>
          <w:szCs w:val="10"/>
          <w:color w:val="auto"/>
        </w:rPr>
        <w:t>Stock-based compensation expense for the quarters ended July 31, 2018 and October 31, 2019 included $3.8 million and $38.7 million, respectively, of stock-based compensation expense related to the tender offer described above in “Components of Results of Operations” and in Note 11 to our consolidated financial statements included elsewhere in this prospectus.</w:t>
      </w:r>
    </w:p>
    <w:p>
      <w:pPr>
        <w:spacing w:after="0" w:line="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73</w:t>
      </w:r>
    </w:p>
    <w:p>
      <w:pPr>
        <w:sectPr>
          <w:pgSz w:w="11900" w:h="16838" w:orient="portrait"/>
          <w:cols w:equalWidth="0" w:num="1">
            <w:col w:w="10159"/>
          </w:cols>
          <w:pgMar w:left="300" w:top="367" w:right="1440" w:bottom="1440" w:gutter="0" w:footer="0" w:header="0"/>
        </w:sectPr>
      </w:pPr>
    </w:p>
    <w:bookmarkStart w:id="78" w:name="page79"/>
    <w:bookmarkEnd w:id="7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All values from the statements of operations data, expressed as a percentage of revenues, were as follows:</w:t>
      </w:r>
    </w:p>
    <w:p>
      <w:pPr>
        <w:spacing w:after="0" w:line="178" w:lineRule="exact"/>
        <w:rPr>
          <w:sz w:val="20"/>
          <w:szCs w:val="20"/>
          <w:color w:val="auto"/>
        </w:rPr>
      </w:pPr>
    </w:p>
    <w:tbl>
      <w:tblPr>
        <w:tblLayout w:type="fixed"/>
        <w:tblInd w:w="1680" w:type="dxa"/>
        <w:tblCellMar>
          <w:top w:w="0" w:type="dxa"/>
          <w:left w:w="0" w:type="dxa"/>
          <w:bottom w:w="0" w:type="dxa"/>
          <w:right w:w="0" w:type="dxa"/>
        </w:tblCellMar>
      </w:tblPr>
      <w:tr>
        <w:trPr>
          <w:trHeight w:val="112"/>
        </w:trPr>
        <w:tc>
          <w:tcPr>
            <w:tcW w:w="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9"/>
                <w:szCs w:val="9"/>
                <w:b w:val="1"/>
                <w:bCs w:val="1"/>
                <w:color w:val="auto"/>
              </w:rPr>
              <w:t>Three Months Ended</w:t>
            </w: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r>
      <w:tr>
        <w:trPr>
          <w:trHeight w:val="72"/>
        </w:trPr>
        <w:tc>
          <w:tcPr>
            <w:tcW w:w="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gridSpan w:val="2"/>
          </w:tcPr>
          <w:p>
            <w:pPr>
              <w:jc w:val="right"/>
              <w:ind w:right="200"/>
              <w:spacing w:after="0" w:line="72" w:lineRule="exact"/>
              <w:rPr>
                <w:sz w:val="20"/>
                <w:szCs w:val="20"/>
                <w:color w:val="auto"/>
              </w:rPr>
            </w:pPr>
            <w:r>
              <w:rPr>
                <w:rFonts w:ascii="Times New Roman" w:cs="Times New Roman" w:eastAsia="Times New Roman" w:hAnsi="Times New Roman"/>
                <w:sz w:val="8"/>
                <w:szCs w:val="8"/>
                <w:b w:val="1"/>
                <w:bCs w:val="1"/>
                <w:color w:val="auto"/>
              </w:rPr>
              <w:t>April 30,</w:t>
            </w:r>
          </w:p>
        </w:tc>
        <w:tc>
          <w:tcPr>
            <w:tcW w:w="560" w:type="dxa"/>
            <w:vAlign w:val="bottom"/>
            <w:gridSpan w:val="3"/>
          </w:tcPr>
          <w:p>
            <w:pPr>
              <w:jc w:val="right"/>
              <w:ind w:right="200"/>
              <w:spacing w:after="0" w:line="72" w:lineRule="exact"/>
              <w:rPr>
                <w:sz w:val="20"/>
                <w:szCs w:val="20"/>
                <w:color w:val="auto"/>
              </w:rPr>
            </w:pPr>
            <w:r>
              <w:rPr>
                <w:rFonts w:ascii="Times New Roman" w:cs="Times New Roman" w:eastAsia="Times New Roman" w:hAnsi="Times New Roman"/>
                <w:sz w:val="8"/>
                <w:szCs w:val="8"/>
                <w:b w:val="1"/>
                <w:bCs w:val="1"/>
                <w:color w:val="auto"/>
              </w:rPr>
              <w:t>July 31,</w:t>
            </w:r>
          </w:p>
        </w:tc>
        <w:tc>
          <w:tcPr>
            <w:tcW w:w="700" w:type="dxa"/>
            <w:vAlign w:val="bottom"/>
            <w:gridSpan w:val="3"/>
          </w:tcPr>
          <w:p>
            <w:pPr>
              <w:jc w:val="right"/>
              <w:ind w:right="180"/>
              <w:spacing w:after="0" w:line="72" w:lineRule="exact"/>
              <w:rPr>
                <w:sz w:val="20"/>
                <w:szCs w:val="20"/>
                <w:color w:val="auto"/>
              </w:rPr>
            </w:pPr>
            <w:r>
              <w:rPr>
                <w:rFonts w:ascii="Times New Roman" w:cs="Times New Roman" w:eastAsia="Times New Roman" w:hAnsi="Times New Roman"/>
                <w:sz w:val="8"/>
                <w:szCs w:val="8"/>
                <w:b w:val="1"/>
                <w:bCs w:val="1"/>
                <w:color w:val="auto"/>
              </w:rPr>
              <w:t>October 31,</w:t>
            </w:r>
          </w:p>
        </w:tc>
        <w:tc>
          <w:tcPr>
            <w:tcW w:w="720" w:type="dxa"/>
            <w:vAlign w:val="bottom"/>
            <w:gridSpan w:val="3"/>
          </w:tcPr>
          <w:p>
            <w:pPr>
              <w:jc w:val="right"/>
              <w:ind w:right="200"/>
              <w:spacing w:after="0" w:line="72" w:lineRule="exact"/>
              <w:rPr>
                <w:sz w:val="20"/>
                <w:szCs w:val="20"/>
                <w:color w:val="auto"/>
              </w:rPr>
            </w:pPr>
            <w:r>
              <w:rPr>
                <w:rFonts w:ascii="Times New Roman" w:cs="Times New Roman" w:eastAsia="Times New Roman" w:hAnsi="Times New Roman"/>
                <w:sz w:val="8"/>
                <w:szCs w:val="8"/>
                <w:b w:val="1"/>
                <w:bCs w:val="1"/>
                <w:color w:val="auto"/>
              </w:rPr>
              <w:t>January 31,</w:t>
            </w:r>
          </w:p>
        </w:tc>
        <w:tc>
          <w:tcPr>
            <w:tcW w:w="600" w:type="dxa"/>
            <w:vAlign w:val="bottom"/>
            <w:gridSpan w:val="3"/>
          </w:tcPr>
          <w:p>
            <w:pPr>
              <w:jc w:val="right"/>
              <w:ind w:right="200"/>
              <w:spacing w:after="0" w:line="72" w:lineRule="exact"/>
              <w:rPr>
                <w:sz w:val="20"/>
                <w:szCs w:val="20"/>
                <w:color w:val="auto"/>
              </w:rPr>
            </w:pPr>
            <w:r>
              <w:rPr>
                <w:rFonts w:ascii="Times New Roman" w:cs="Times New Roman" w:eastAsia="Times New Roman" w:hAnsi="Times New Roman"/>
                <w:sz w:val="8"/>
                <w:szCs w:val="8"/>
                <w:b w:val="1"/>
                <w:bCs w:val="1"/>
                <w:color w:val="auto"/>
              </w:rPr>
              <w:t>April 30,</w:t>
            </w:r>
          </w:p>
        </w:tc>
        <w:tc>
          <w:tcPr>
            <w:tcW w:w="560" w:type="dxa"/>
            <w:vAlign w:val="bottom"/>
            <w:gridSpan w:val="3"/>
          </w:tcPr>
          <w:p>
            <w:pPr>
              <w:jc w:val="right"/>
              <w:ind w:right="180"/>
              <w:spacing w:after="0" w:line="72" w:lineRule="exact"/>
              <w:rPr>
                <w:sz w:val="20"/>
                <w:szCs w:val="20"/>
                <w:color w:val="auto"/>
              </w:rPr>
            </w:pPr>
            <w:r>
              <w:rPr>
                <w:rFonts w:ascii="Times New Roman" w:cs="Times New Roman" w:eastAsia="Times New Roman" w:hAnsi="Times New Roman"/>
                <w:sz w:val="8"/>
                <w:szCs w:val="8"/>
                <w:b w:val="1"/>
                <w:bCs w:val="1"/>
                <w:color w:val="auto"/>
              </w:rPr>
              <w:t>July 31,</w:t>
            </w:r>
          </w:p>
        </w:tc>
        <w:tc>
          <w:tcPr>
            <w:tcW w:w="720" w:type="dxa"/>
            <w:vAlign w:val="bottom"/>
            <w:gridSpan w:val="3"/>
          </w:tcPr>
          <w:p>
            <w:pPr>
              <w:jc w:val="right"/>
              <w:ind w:right="200"/>
              <w:spacing w:after="0" w:line="72" w:lineRule="exact"/>
              <w:rPr>
                <w:sz w:val="20"/>
                <w:szCs w:val="20"/>
                <w:color w:val="auto"/>
              </w:rPr>
            </w:pPr>
            <w:r>
              <w:rPr>
                <w:rFonts w:ascii="Times New Roman" w:cs="Times New Roman" w:eastAsia="Times New Roman" w:hAnsi="Times New Roman"/>
                <w:sz w:val="8"/>
                <w:szCs w:val="8"/>
                <w:b w:val="1"/>
                <w:bCs w:val="1"/>
                <w:color w:val="auto"/>
              </w:rPr>
              <w:t>October 31,</w:t>
            </w:r>
          </w:p>
        </w:tc>
        <w:tc>
          <w:tcPr>
            <w:tcW w:w="700" w:type="dxa"/>
            <w:vAlign w:val="bottom"/>
            <w:gridSpan w:val="3"/>
          </w:tcPr>
          <w:p>
            <w:pPr>
              <w:jc w:val="right"/>
              <w:ind w:right="180"/>
              <w:spacing w:after="0" w:line="72" w:lineRule="exact"/>
              <w:rPr>
                <w:sz w:val="20"/>
                <w:szCs w:val="20"/>
                <w:color w:val="auto"/>
              </w:rPr>
            </w:pPr>
            <w:r>
              <w:rPr>
                <w:rFonts w:ascii="Times New Roman" w:cs="Times New Roman" w:eastAsia="Times New Roman" w:hAnsi="Times New Roman"/>
                <w:sz w:val="8"/>
                <w:szCs w:val="8"/>
                <w:b w:val="1"/>
                <w:bCs w:val="1"/>
                <w:color w:val="auto"/>
              </w:rPr>
              <w:t>January 31,</w:t>
            </w:r>
          </w:p>
        </w:tc>
        <w:tc>
          <w:tcPr>
            <w:tcW w:w="620" w:type="dxa"/>
            <w:vAlign w:val="bottom"/>
            <w:gridSpan w:val="3"/>
          </w:tcPr>
          <w:p>
            <w:pPr>
              <w:jc w:val="right"/>
              <w:ind w:right="200"/>
              <w:spacing w:after="0" w:line="72" w:lineRule="exact"/>
              <w:rPr>
                <w:sz w:val="20"/>
                <w:szCs w:val="20"/>
                <w:color w:val="auto"/>
              </w:rPr>
            </w:pPr>
            <w:r>
              <w:rPr>
                <w:rFonts w:ascii="Times New Roman" w:cs="Times New Roman" w:eastAsia="Times New Roman" w:hAnsi="Times New Roman"/>
                <w:sz w:val="8"/>
                <w:szCs w:val="8"/>
                <w:b w:val="1"/>
                <w:bCs w:val="1"/>
                <w:color w:val="auto"/>
              </w:rPr>
              <w:t>April 30,</w:t>
            </w:r>
          </w:p>
        </w:tc>
        <w:tc>
          <w:tcPr>
            <w:tcW w:w="360" w:type="dxa"/>
            <w:vAlign w:val="bottom"/>
            <w:gridSpan w:val="2"/>
          </w:tcPr>
          <w:p>
            <w:pPr>
              <w:jc w:val="right"/>
              <w:spacing w:after="0" w:line="72" w:lineRule="exact"/>
              <w:rPr>
                <w:sz w:val="20"/>
                <w:szCs w:val="20"/>
                <w:color w:val="auto"/>
              </w:rPr>
            </w:pPr>
            <w:r>
              <w:rPr>
                <w:rFonts w:ascii="Times New Roman" w:cs="Times New Roman" w:eastAsia="Times New Roman" w:hAnsi="Times New Roman"/>
                <w:sz w:val="8"/>
                <w:szCs w:val="8"/>
                <w:b w:val="1"/>
                <w:bCs w:val="1"/>
                <w:color w:val="auto"/>
              </w:rPr>
              <w:t>July 31,</w:t>
            </w:r>
          </w:p>
        </w:tc>
        <w:tc>
          <w:tcPr>
            <w:tcW w:w="160" w:type="dxa"/>
            <w:vAlign w:val="bottom"/>
          </w:tcPr>
          <w:p>
            <w:pPr>
              <w:spacing w:after="0"/>
              <w:rPr>
                <w:sz w:val="6"/>
                <w:szCs w:val="6"/>
                <w:color w:val="auto"/>
              </w:rPr>
            </w:pPr>
          </w:p>
        </w:tc>
      </w:tr>
      <w:tr>
        <w:trPr>
          <w:trHeight w:val="112"/>
        </w:trPr>
        <w:tc>
          <w:tcPr>
            <w:tcW w:w="20" w:type="dxa"/>
            <w:vAlign w:val="bottom"/>
          </w:tcPr>
          <w:p>
            <w:pPr>
              <w:spacing w:after="0"/>
              <w:rPr>
                <w:sz w:val="9"/>
                <w:szCs w:val="9"/>
                <w:color w:val="auto"/>
              </w:rPr>
            </w:pPr>
          </w:p>
        </w:tc>
        <w:tc>
          <w:tcPr>
            <w:tcW w:w="152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9"/>
                <w:szCs w:val="9"/>
                <w:b w:val="1"/>
                <w:bCs w:val="1"/>
                <w:color w:val="auto"/>
              </w:rPr>
              <w:t>2018</w:t>
            </w:r>
          </w:p>
        </w:tc>
        <w:tc>
          <w:tcPr>
            <w:tcW w:w="18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9"/>
                <w:szCs w:val="9"/>
                <w:b w:val="1"/>
                <w:bCs w:val="1"/>
                <w:color w:val="auto"/>
              </w:rPr>
              <w:t>2018</w:t>
            </w:r>
          </w:p>
        </w:tc>
        <w:tc>
          <w:tcPr>
            <w:tcW w:w="18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9"/>
                <w:szCs w:val="9"/>
                <w:b w:val="1"/>
                <w:bCs w:val="1"/>
                <w:color w:val="auto"/>
              </w:rPr>
              <w:t>2018</w:t>
            </w:r>
          </w:p>
        </w:tc>
        <w:tc>
          <w:tcPr>
            <w:tcW w:w="18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9"/>
                <w:szCs w:val="9"/>
                <w:b w:val="1"/>
                <w:bCs w:val="1"/>
                <w:color w:val="auto"/>
              </w:rPr>
              <w:t>2019</w:t>
            </w:r>
          </w:p>
        </w:tc>
        <w:tc>
          <w:tcPr>
            <w:tcW w:w="18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9"/>
                <w:szCs w:val="9"/>
                <w:b w:val="1"/>
                <w:bCs w:val="1"/>
                <w:color w:val="auto"/>
              </w:rPr>
              <w:t>2019</w:t>
            </w:r>
          </w:p>
        </w:tc>
        <w:tc>
          <w:tcPr>
            <w:tcW w:w="18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9"/>
                <w:szCs w:val="9"/>
                <w:b w:val="1"/>
                <w:bCs w:val="1"/>
                <w:color w:val="auto"/>
              </w:rPr>
              <w:t>2019</w:t>
            </w:r>
          </w:p>
        </w:tc>
        <w:tc>
          <w:tcPr>
            <w:tcW w:w="18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4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9"/>
                <w:szCs w:val="9"/>
                <w:b w:val="1"/>
                <w:bCs w:val="1"/>
                <w:color w:val="auto"/>
              </w:rPr>
              <w:t>2019</w:t>
            </w:r>
          </w:p>
        </w:tc>
        <w:tc>
          <w:tcPr>
            <w:tcW w:w="20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9"/>
                <w:szCs w:val="9"/>
                <w:b w:val="1"/>
                <w:bCs w:val="1"/>
                <w:color w:val="auto"/>
              </w:rPr>
              <w:t>2020</w:t>
            </w:r>
          </w:p>
        </w:tc>
        <w:tc>
          <w:tcPr>
            <w:tcW w:w="18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9"/>
                <w:szCs w:val="9"/>
                <w:b w:val="1"/>
                <w:bCs w:val="1"/>
                <w:color w:val="auto"/>
              </w:rPr>
              <w:t>2020</w:t>
            </w:r>
          </w:p>
        </w:tc>
        <w:tc>
          <w:tcPr>
            <w:tcW w:w="20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9"/>
                <w:szCs w:val="9"/>
                <w:b w:val="1"/>
                <w:bCs w:val="1"/>
                <w:color w:val="auto"/>
              </w:rPr>
              <w:t>2020</w:t>
            </w:r>
          </w:p>
        </w:tc>
        <w:tc>
          <w:tcPr>
            <w:tcW w:w="160" w:type="dxa"/>
            <w:vAlign w:val="bottom"/>
            <w:tcBorders>
              <w:bottom w:val="single" w:sz="8" w:color="CCEEFF"/>
            </w:tcBorders>
          </w:tcPr>
          <w:p>
            <w:pPr>
              <w:spacing w:after="0"/>
              <w:rPr>
                <w:sz w:val="9"/>
                <w:szCs w:val="9"/>
                <w:color w:val="auto"/>
              </w:rPr>
            </w:pPr>
          </w:p>
        </w:tc>
      </w:tr>
      <w:tr>
        <w:trPr>
          <w:trHeight w:val="96"/>
        </w:trPr>
        <w:tc>
          <w:tcPr>
            <w:tcW w:w="20" w:type="dxa"/>
            <w:vAlign w:val="bottom"/>
          </w:tcPr>
          <w:p>
            <w:pPr>
              <w:spacing w:after="0"/>
              <w:rPr>
                <w:sz w:val="8"/>
                <w:szCs w:val="8"/>
                <w:color w:val="auto"/>
              </w:rPr>
            </w:pPr>
          </w:p>
        </w:tc>
        <w:tc>
          <w:tcPr>
            <w:tcW w:w="152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Revenues</w:t>
            </w:r>
          </w:p>
        </w:tc>
        <w:tc>
          <w:tcPr>
            <w:tcW w:w="14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rPr>
              <w:t>100%</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rPr>
              <w:t>100%</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rPr>
              <w:t>100%</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rPr>
              <w:t>100%</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rPr>
              <w:t>100%</w:t>
            </w: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rPr>
              <w:t>100%</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20"/>
              <w:spacing w:after="0" w:line="97" w:lineRule="exact"/>
              <w:rPr>
                <w:sz w:val="20"/>
                <w:szCs w:val="20"/>
                <w:color w:val="auto"/>
              </w:rPr>
            </w:pPr>
            <w:r>
              <w:rPr>
                <w:rFonts w:ascii="Times New Roman" w:cs="Times New Roman" w:eastAsia="Times New Roman" w:hAnsi="Times New Roman"/>
                <w:sz w:val="10"/>
                <w:szCs w:val="10"/>
                <w:color w:val="auto"/>
              </w:rPr>
              <w:t>100%</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rPr>
              <w:t>100%</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7" w:lineRule="exact"/>
              <w:rPr>
                <w:sz w:val="20"/>
                <w:szCs w:val="20"/>
                <w:color w:val="auto"/>
              </w:rPr>
            </w:pPr>
            <w:r>
              <w:rPr>
                <w:rFonts w:ascii="Times New Roman" w:cs="Times New Roman" w:eastAsia="Times New Roman" w:hAnsi="Times New Roman"/>
                <w:sz w:val="10"/>
                <w:szCs w:val="10"/>
                <w:color w:val="auto"/>
              </w:rPr>
              <w:t>100%</w:t>
            </w: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10"/>
                <w:szCs w:val="10"/>
                <w:color w:val="auto"/>
              </w:rPr>
              <w:t>100%</w:t>
            </w:r>
          </w:p>
        </w:tc>
      </w:tr>
      <w:tr>
        <w:trPr>
          <w:trHeight w:val="107"/>
        </w:trPr>
        <w:tc>
          <w:tcPr>
            <w:tcW w:w="20" w:type="dxa"/>
            <w:vAlign w:val="bottom"/>
          </w:tcPr>
          <w:p>
            <w:pPr>
              <w:spacing w:after="0"/>
              <w:rPr>
                <w:sz w:val="9"/>
                <w:szCs w:val="9"/>
                <w:color w:val="auto"/>
              </w:rPr>
            </w:pPr>
          </w:p>
        </w:tc>
        <w:tc>
          <w:tcPr>
            <w:tcW w:w="152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Cost of revenues</w:t>
            </w:r>
          </w:p>
        </w:tc>
        <w:tc>
          <w:tcPr>
            <w:tcW w:w="140" w:type="dxa"/>
            <w:vAlign w:val="bottom"/>
          </w:tcPr>
          <w:p>
            <w:pPr>
              <w:spacing w:after="0"/>
              <w:rPr>
                <w:sz w:val="9"/>
                <w:szCs w:val="9"/>
                <w:color w:val="auto"/>
              </w:rPr>
            </w:pPr>
          </w:p>
        </w:tc>
        <w:tc>
          <w:tcPr>
            <w:tcW w:w="36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22</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19</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18</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16</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15</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14</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14</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13</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13</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13</w:t>
            </w:r>
          </w:p>
        </w:tc>
        <w:tc>
          <w:tcPr>
            <w:tcW w:w="160" w:type="dxa"/>
            <w:vAlign w:val="bottom"/>
          </w:tcPr>
          <w:p>
            <w:pPr>
              <w:spacing w:after="0"/>
              <w:rPr>
                <w:sz w:val="9"/>
                <w:szCs w:val="9"/>
                <w:color w:val="auto"/>
              </w:rPr>
            </w:pPr>
          </w:p>
        </w:tc>
      </w:tr>
      <w:tr>
        <w:trPr>
          <w:trHeight w:val="106"/>
        </w:trPr>
        <w:tc>
          <w:tcPr>
            <w:tcW w:w="20" w:type="dxa"/>
            <w:vAlign w:val="bottom"/>
          </w:tcPr>
          <w:p>
            <w:pPr>
              <w:spacing w:after="0"/>
              <w:rPr>
                <w:sz w:val="9"/>
                <w:szCs w:val="9"/>
                <w:color w:val="auto"/>
              </w:rPr>
            </w:pPr>
          </w:p>
        </w:tc>
        <w:tc>
          <w:tcPr>
            <w:tcW w:w="15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0"/>
                <w:szCs w:val="10"/>
                <w:color w:val="auto"/>
              </w:rPr>
              <w:t>Gross margin</w:t>
            </w:r>
          </w:p>
        </w:tc>
        <w:tc>
          <w:tcPr>
            <w:tcW w:w="500" w:type="dxa"/>
            <w:vAlign w:val="bottom"/>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78</w:t>
            </w:r>
          </w:p>
        </w:tc>
        <w:tc>
          <w:tcPr>
            <w:tcW w:w="1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81</w:t>
            </w:r>
          </w:p>
        </w:tc>
        <w:tc>
          <w:tcPr>
            <w:tcW w:w="1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82</w:t>
            </w:r>
          </w:p>
        </w:tc>
        <w:tc>
          <w:tcPr>
            <w:tcW w:w="1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84</w:t>
            </w:r>
          </w:p>
        </w:tc>
        <w:tc>
          <w:tcPr>
            <w:tcW w:w="1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85</w:t>
            </w:r>
          </w:p>
        </w:tc>
        <w:tc>
          <w:tcPr>
            <w:tcW w:w="1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86</w:t>
            </w:r>
          </w:p>
        </w:tc>
        <w:tc>
          <w:tcPr>
            <w:tcW w:w="1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86</w:t>
            </w:r>
          </w:p>
        </w:tc>
        <w:tc>
          <w:tcPr>
            <w:tcW w:w="20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87</w:t>
            </w:r>
          </w:p>
        </w:tc>
        <w:tc>
          <w:tcPr>
            <w:tcW w:w="1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87</w:t>
            </w:r>
          </w:p>
        </w:tc>
        <w:tc>
          <w:tcPr>
            <w:tcW w:w="20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87</w:t>
            </w:r>
          </w:p>
        </w:tc>
        <w:tc>
          <w:tcPr>
            <w:tcW w:w="160" w:type="dxa"/>
            <w:vAlign w:val="bottom"/>
            <w:shd w:val="clear" w:color="auto" w:fill="CCEEFF"/>
          </w:tcPr>
          <w:p>
            <w:pPr>
              <w:spacing w:after="0"/>
              <w:rPr>
                <w:sz w:val="9"/>
                <w:szCs w:val="9"/>
                <w:color w:val="auto"/>
              </w:rPr>
            </w:pPr>
          </w:p>
        </w:tc>
      </w:tr>
      <w:tr>
        <w:trPr>
          <w:trHeight w:val="107"/>
        </w:trPr>
        <w:tc>
          <w:tcPr>
            <w:tcW w:w="20" w:type="dxa"/>
            <w:vAlign w:val="bottom"/>
          </w:tcPr>
          <w:p>
            <w:pPr>
              <w:spacing w:after="0"/>
              <w:rPr>
                <w:sz w:val="9"/>
                <w:szCs w:val="9"/>
                <w:color w:val="auto"/>
              </w:rPr>
            </w:pPr>
          </w:p>
        </w:tc>
        <w:tc>
          <w:tcPr>
            <w:tcW w:w="152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Operating expenses:</w:t>
            </w: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07"/>
        </w:trPr>
        <w:tc>
          <w:tcPr>
            <w:tcW w:w="20" w:type="dxa"/>
            <w:vAlign w:val="bottom"/>
          </w:tcPr>
          <w:p>
            <w:pPr>
              <w:spacing w:after="0"/>
              <w:rPr>
                <w:sz w:val="9"/>
                <w:szCs w:val="9"/>
                <w:color w:val="auto"/>
              </w:rPr>
            </w:pPr>
          </w:p>
        </w:tc>
        <w:tc>
          <w:tcPr>
            <w:tcW w:w="1520" w:type="dxa"/>
            <w:vAlign w:val="bottom"/>
            <w:shd w:val="clear" w:color="auto" w:fill="CCEEFF"/>
          </w:tcPr>
          <w:p>
            <w:pPr>
              <w:ind w:left="200"/>
              <w:spacing w:after="0" w:line="107" w:lineRule="exact"/>
              <w:rPr>
                <w:sz w:val="20"/>
                <w:szCs w:val="20"/>
                <w:color w:val="auto"/>
              </w:rPr>
            </w:pPr>
            <w:r>
              <w:rPr>
                <w:rFonts w:ascii="Times New Roman" w:cs="Times New Roman" w:eastAsia="Times New Roman" w:hAnsi="Times New Roman"/>
                <w:sz w:val="10"/>
                <w:szCs w:val="10"/>
                <w:color w:val="auto"/>
              </w:rPr>
              <w:t>Research and development</w:t>
            </w:r>
          </w:p>
        </w:tc>
        <w:tc>
          <w:tcPr>
            <w:tcW w:w="50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61</w:t>
            </w:r>
          </w:p>
        </w:tc>
        <w:tc>
          <w:tcPr>
            <w:tcW w:w="1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73</w:t>
            </w:r>
          </w:p>
        </w:tc>
        <w:tc>
          <w:tcPr>
            <w:tcW w:w="1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50</w:t>
            </w:r>
          </w:p>
        </w:tc>
        <w:tc>
          <w:tcPr>
            <w:tcW w:w="1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44</w:t>
            </w:r>
          </w:p>
        </w:tc>
        <w:tc>
          <w:tcPr>
            <w:tcW w:w="1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48</w:t>
            </w:r>
          </w:p>
        </w:tc>
        <w:tc>
          <w:tcPr>
            <w:tcW w:w="1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50</w:t>
            </w:r>
          </w:p>
        </w:tc>
        <w:tc>
          <w:tcPr>
            <w:tcW w:w="1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104</w:t>
            </w:r>
          </w:p>
        </w:tc>
        <w:tc>
          <w:tcPr>
            <w:tcW w:w="20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46</w:t>
            </w:r>
          </w:p>
        </w:tc>
        <w:tc>
          <w:tcPr>
            <w:tcW w:w="1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47</w:t>
            </w:r>
          </w:p>
        </w:tc>
        <w:tc>
          <w:tcPr>
            <w:tcW w:w="20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50</w:t>
            </w:r>
          </w:p>
        </w:tc>
        <w:tc>
          <w:tcPr>
            <w:tcW w:w="160" w:type="dxa"/>
            <w:vAlign w:val="bottom"/>
            <w:shd w:val="clear" w:color="auto" w:fill="CCEEFF"/>
          </w:tcPr>
          <w:p>
            <w:pPr>
              <w:spacing w:after="0"/>
              <w:rPr>
                <w:sz w:val="9"/>
                <w:szCs w:val="9"/>
                <w:color w:val="auto"/>
              </w:rPr>
            </w:pPr>
          </w:p>
        </w:tc>
      </w:tr>
      <w:tr>
        <w:trPr>
          <w:trHeight w:val="107"/>
        </w:trPr>
        <w:tc>
          <w:tcPr>
            <w:tcW w:w="20" w:type="dxa"/>
            <w:vAlign w:val="bottom"/>
          </w:tcPr>
          <w:p>
            <w:pPr>
              <w:spacing w:after="0"/>
              <w:rPr>
                <w:sz w:val="9"/>
                <w:szCs w:val="9"/>
                <w:color w:val="auto"/>
              </w:rPr>
            </w:pPr>
          </w:p>
        </w:tc>
        <w:tc>
          <w:tcPr>
            <w:tcW w:w="1520" w:type="dxa"/>
            <w:vAlign w:val="bottom"/>
          </w:tcPr>
          <w:p>
            <w:pPr>
              <w:ind w:left="200"/>
              <w:spacing w:after="0" w:line="107" w:lineRule="exact"/>
              <w:rPr>
                <w:sz w:val="20"/>
                <w:szCs w:val="20"/>
                <w:color w:val="auto"/>
              </w:rPr>
            </w:pPr>
            <w:r>
              <w:rPr>
                <w:rFonts w:ascii="Times New Roman" w:cs="Times New Roman" w:eastAsia="Times New Roman" w:hAnsi="Times New Roman"/>
                <w:sz w:val="10"/>
                <w:szCs w:val="10"/>
                <w:color w:val="auto"/>
              </w:rPr>
              <w:t>Sales and marketing</w:t>
            </w:r>
          </w:p>
        </w:tc>
        <w:tc>
          <w:tcPr>
            <w:tcW w:w="50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68</w:t>
            </w:r>
          </w:p>
        </w:tc>
        <w:tc>
          <w:tcPr>
            <w:tcW w:w="180" w:type="dxa"/>
            <w:vAlign w:val="bottom"/>
          </w:tcPr>
          <w:p>
            <w:pPr>
              <w:spacing w:after="0"/>
              <w:rPr>
                <w:sz w:val="9"/>
                <w:szCs w:val="9"/>
                <w:color w:val="auto"/>
              </w:rPr>
            </w:pPr>
          </w:p>
        </w:tc>
        <w:tc>
          <w:tcPr>
            <w:tcW w:w="38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72</w:t>
            </w:r>
          </w:p>
        </w:tc>
        <w:tc>
          <w:tcPr>
            <w:tcW w:w="180" w:type="dxa"/>
            <w:vAlign w:val="bottom"/>
          </w:tcPr>
          <w:p>
            <w:pPr>
              <w:spacing w:after="0"/>
              <w:rPr>
                <w:sz w:val="9"/>
                <w:szCs w:val="9"/>
                <w:color w:val="auto"/>
              </w:rPr>
            </w:pPr>
          </w:p>
        </w:tc>
        <w:tc>
          <w:tcPr>
            <w:tcW w:w="5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65</w:t>
            </w:r>
          </w:p>
        </w:tc>
        <w:tc>
          <w:tcPr>
            <w:tcW w:w="180" w:type="dxa"/>
            <w:vAlign w:val="bottom"/>
          </w:tcPr>
          <w:p>
            <w:pPr>
              <w:spacing w:after="0"/>
              <w:rPr>
                <w:sz w:val="9"/>
                <w:szCs w:val="9"/>
                <w:color w:val="auto"/>
              </w:rPr>
            </w:pPr>
          </w:p>
        </w:tc>
        <w:tc>
          <w:tcPr>
            <w:tcW w:w="54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67</w:t>
            </w:r>
          </w:p>
        </w:tc>
        <w:tc>
          <w:tcPr>
            <w:tcW w:w="180" w:type="dxa"/>
            <w:vAlign w:val="bottom"/>
          </w:tcPr>
          <w:p>
            <w:pPr>
              <w:spacing w:after="0"/>
              <w:rPr>
                <w:sz w:val="9"/>
                <w:szCs w:val="9"/>
                <w:color w:val="auto"/>
              </w:rPr>
            </w:pPr>
          </w:p>
        </w:tc>
        <w:tc>
          <w:tcPr>
            <w:tcW w:w="4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67</w:t>
            </w:r>
          </w:p>
        </w:tc>
        <w:tc>
          <w:tcPr>
            <w:tcW w:w="180" w:type="dxa"/>
            <w:vAlign w:val="bottom"/>
          </w:tcPr>
          <w:p>
            <w:pPr>
              <w:spacing w:after="0"/>
              <w:rPr>
                <w:sz w:val="9"/>
                <w:szCs w:val="9"/>
                <w:color w:val="auto"/>
              </w:rPr>
            </w:pPr>
          </w:p>
        </w:tc>
        <w:tc>
          <w:tcPr>
            <w:tcW w:w="38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61</w:t>
            </w:r>
          </w:p>
        </w:tc>
        <w:tc>
          <w:tcPr>
            <w:tcW w:w="180" w:type="dxa"/>
            <w:vAlign w:val="bottom"/>
          </w:tcPr>
          <w:p>
            <w:pPr>
              <w:spacing w:after="0"/>
              <w:rPr>
                <w:sz w:val="9"/>
                <w:szCs w:val="9"/>
                <w:color w:val="auto"/>
              </w:rPr>
            </w:pPr>
          </w:p>
        </w:tc>
        <w:tc>
          <w:tcPr>
            <w:tcW w:w="5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94</w:t>
            </w:r>
          </w:p>
        </w:tc>
        <w:tc>
          <w:tcPr>
            <w:tcW w:w="200" w:type="dxa"/>
            <w:vAlign w:val="bottom"/>
          </w:tcPr>
          <w:p>
            <w:pPr>
              <w:spacing w:after="0"/>
              <w:rPr>
                <w:sz w:val="9"/>
                <w:szCs w:val="9"/>
                <w:color w:val="auto"/>
              </w:rPr>
            </w:pPr>
          </w:p>
        </w:tc>
        <w:tc>
          <w:tcPr>
            <w:tcW w:w="5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71</w:t>
            </w:r>
          </w:p>
        </w:tc>
        <w:tc>
          <w:tcPr>
            <w:tcW w:w="180" w:type="dxa"/>
            <w:vAlign w:val="bottom"/>
          </w:tcPr>
          <w:p>
            <w:pPr>
              <w:spacing w:after="0"/>
              <w:rPr>
                <w:sz w:val="9"/>
                <w:szCs w:val="9"/>
                <w:color w:val="auto"/>
              </w:rPr>
            </w:pPr>
          </w:p>
        </w:tc>
        <w:tc>
          <w:tcPr>
            <w:tcW w:w="4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76</w:t>
            </w:r>
          </w:p>
        </w:tc>
        <w:tc>
          <w:tcPr>
            <w:tcW w:w="200" w:type="dxa"/>
            <w:vAlign w:val="bottom"/>
          </w:tcPr>
          <w:p>
            <w:pPr>
              <w:spacing w:after="0"/>
              <w:rPr>
                <w:sz w:val="9"/>
                <w:szCs w:val="9"/>
                <w:color w:val="auto"/>
              </w:rPr>
            </w:pPr>
          </w:p>
        </w:tc>
        <w:tc>
          <w:tcPr>
            <w:tcW w:w="36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75</w:t>
            </w:r>
          </w:p>
        </w:tc>
        <w:tc>
          <w:tcPr>
            <w:tcW w:w="160" w:type="dxa"/>
            <w:vAlign w:val="bottom"/>
          </w:tcPr>
          <w:p>
            <w:pPr>
              <w:spacing w:after="0"/>
              <w:rPr>
                <w:sz w:val="9"/>
                <w:szCs w:val="9"/>
                <w:color w:val="auto"/>
              </w:rPr>
            </w:pPr>
          </w:p>
        </w:tc>
      </w:tr>
      <w:tr>
        <w:trPr>
          <w:trHeight w:val="107"/>
        </w:trPr>
        <w:tc>
          <w:tcPr>
            <w:tcW w:w="20" w:type="dxa"/>
            <w:vAlign w:val="bottom"/>
          </w:tcPr>
          <w:p>
            <w:pPr>
              <w:spacing w:after="0"/>
              <w:rPr>
                <w:sz w:val="9"/>
                <w:szCs w:val="9"/>
                <w:color w:val="auto"/>
              </w:rPr>
            </w:pPr>
          </w:p>
        </w:tc>
        <w:tc>
          <w:tcPr>
            <w:tcW w:w="1520" w:type="dxa"/>
            <w:vAlign w:val="bottom"/>
            <w:shd w:val="clear" w:color="auto" w:fill="CCEEFF"/>
          </w:tcPr>
          <w:p>
            <w:pPr>
              <w:ind w:left="200"/>
              <w:spacing w:after="0" w:line="107" w:lineRule="exact"/>
              <w:rPr>
                <w:sz w:val="20"/>
                <w:szCs w:val="20"/>
                <w:color w:val="auto"/>
              </w:rPr>
            </w:pPr>
            <w:r>
              <w:rPr>
                <w:rFonts w:ascii="Times New Roman" w:cs="Times New Roman" w:eastAsia="Times New Roman" w:hAnsi="Times New Roman"/>
                <w:sz w:val="10"/>
                <w:szCs w:val="10"/>
                <w:color w:val="auto"/>
              </w:rPr>
              <w:t>General and administrative</w:t>
            </w:r>
          </w:p>
        </w:tc>
        <w:tc>
          <w:tcPr>
            <w:tcW w:w="50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26</w:t>
            </w:r>
          </w:p>
        </w:tc>
        <w:tc>
          <w:tcPr>
            <w:tcW w:w="1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27</w:t>
            </w:r>
          </w:p>
        </w:tc>
        <w:tc>
          <w:tcPr>
            <w:tcW w:w="1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27</w:t>
            </w:r>
          </w:p>
        </w:tc>
        <w:tc>
          <w:tcPr>
            <w:tcW w:w="1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25</w:t>
            </w:r>
          </w:p>
        </w:tc>
        <w:tc>
          <w:tcPr>
            <w:tcW w:w="1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25</w:t>
            </w:r>
          </w:p>
        </w:tc>
        <w:tc>
          <w:tcPr>
            <w:tcW w:w="1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23</w:t>
            </w:r>
          </w:p>
        </w:tc>
        <w:tc>
          <w:tcPr>
            <w:tcW w:w="1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53</w:t>
            </w:r>
          </w:p>
        </w:tc>
        <w:tc>
          <w:tcPr>
            <w:tcW w:w="20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28</w:t>
            </w:r>
          </w:p>
        </w:tc>
        <w:tc>
          <w:tcPr>
            <w:tcW w:w="1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25</w:t>
            </w:r>
          </w:p>
        </w:tc>
        <w:tc>
          <w:tcPr>
            <w:tcW w:w="20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27</w:t>
            </w:r>
          </w:p>
        </w:tc>
        <w:tc>
          <w:tcPr>
            <w:tcW w:w="160" w:type="dxa"/>
            <w:vAlign w:val="bottom"/>
            <w:shd w:val="clear" w:color="auto" w:fill="CCEEFF"/>
          </w:tcPr>
          <w:p>
            <w:pPr>
              <w:spacing w:after="0"/>
              <w:rPr>
                <w:sz w:val="9"/>
                <w:szCs w:val="9"/>
                <w:color w:val="auto"/>
              </w:rPr>
            </w:pPr>
          </w:p>
        </w:tc>
      </w:tr>
      <w:tr>
        <w:trPr>
          <w:trHeight w:val="106"/>
        </w:trPr>
        <w:tc>
          <w:tcPr>
            <w:tcW w:w="154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Total operating expenses</w:t>
            </w:r>
          </w:p>
        </w:tc>
        <w:tc>
          <w:tcPr>
            <w:tcW w:w="140" w:type="dxa"/>
            <w:vAlign w:val="bottom"/>
          </w:tcPr>
          <w:p>
            <w:pPr>
              <w:spacing w:after="0"/>
              <w:rPr>
                <w:sz w:val="9"/>
                <w:szCs w:val="9"/>
                <w:color w:val="auto"/>
              </w:rPr>
            </w:pPr>
          </w:p>
        </w:tc>
        <w:tc>
          <w:tcPr>
            <w:tcW w:w="36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155</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173</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143</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136</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140</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134</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252</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145</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148</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151</w:t>
            </w:r>
          </w:p>
        </w:tc>
        <w:tc>
          <w:tcPr>
            <w:tcW w:w="160" w:type="dxa"/>
            <w:vAlign w:val="bottom"/>
          </w:tcPr>
          <w:p>
            <w:pPr>
              <w:spacing w:after="0"/>
              <w:rPr>
                <w:sz w:val="9"/>
                <w:szCs w:val="9"/>
                <w:color w:val="auto"/>
              </w:rPr>
            </w:pPr>
          </w:p>
        </w:tc>
      </w:tr>
      <w:tr>
        <w:trPr>
          <w:trHeight w:val="106"/>
        </w:trPr>
        <w:tc>
          <w:tcPr>
            <w:tcW w:w="20" w:type="dxa"/>
            <w:vAlign w:val="bottom"/>
          </w:tcPr>
          <w:p>
            <w:pPr>
              <w:spacing w:after="0"/>
              <w:rPr>
                <w:sz w:val="9"/>
                <w:szCs w:val="9"/>
                <w:color w:val="auto"/>
              </w:rPr>
            </w:pPr>
          </w:p>
        </w:tc>
        <w:tc>
          <w:tcPr>
            <w:tcW w:w="15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0"/>
                <w:szCs w:val="10"/>
                <w:color w:val="auto"/>
              </w:rPr>
              <w:t>Loss from operations</w:t>
            </w:r>
          </w:p>
        </w:tc>
        <w:tc>
          <w:tcPr>
            <w:tcW w:w="680" w:type="dxa"/>
            <w:vAlign w:val="bottom"/>
            <w:gridSpan w:val="3"/>
            <w:shd w:val="clear" w:color="auto" w:fill="CCEEFF"/>
          </w:tcPr>
          <w:p>
            <w:pPr>
              <w:jc w:val="right"/>
              <w:ind w:right="160"/>
              <w:spacing w:after="0" w:line="106" w:lineRule="exact"/>
              <w:rPr>
                <w:sz w:val="20"/>
                <w:szCs w:val="20"/>
                <w:color w:val="auto"/>
              </w:rPr>
            </w:pPr>
            <w:r>
              <w:rPr>
                <w:rFonts w:ascii="Times New Roman" w:cs="Times New Roman" w:eastAsia="Times New Roman" w:hAnsi="Times New Roman"/>
                <w:sz w:val="10"/>
                <w:szCs w:val="10"/>
                <w:color w:val="auto"/>
              </w:rPr>
              <w:t>(76)</w:t>
            </w:r>
          </w:p>
        </w:tc>
        <w:tc>
          <w:tcPr>
            <w:tcW w:w="560" w:type="dxa"/>
            <w:vAlign w:val="bottom"/>
            <w:gridSpan w:val="3"/>
            <w:shd w:val="clear" w:color="auto" w:fill="CCEEFF"/>
          </w:tcPr>
          <w:p>
            <w:pPr>
              <w:jc w:val="right"/>
              <w:ind w:right="160"/>
              <w:spacing w:after="0" w:line="106" w:lineRule="exact"/>
              <w:rPr>
                <w:sz w:val="20"/>
                <w:szCs w:val="20"/>
                <w:color w:val="auto"/>
              </w:rPr>
            </w:pPr>
            <w:r>
              <w:rPr>
                <w:rFonts w:ascii="Times New Roman" w:cs="Times New Roman" w:eastAsia="Times New Roman" w:hAnsi="Times New Roman"/>
                <w:sz w:val="10"/>
                <w:szCs w:val="10"/>
                <w:color w:val="auto"/>
              </w:rPr>
              <w:t>(91)</w:t>
            </w:r>
          </w:p>
        </w:tc>
        <w:tc>
          <w:tcPr>
            <w:tcW w:w="700" w:type="dxa"/>
            <w:vAlign w:val="bottom"/>
            <w:gridSpan w:val="3"/>
            <w:shd w:val="clear" w:color="auto" w:fill="CCEEFF"/>
          </w:tcPr>
          <w:p>
            <w:pPr>
              <w:jc w:val="right"/>
              <w:ind w:right="160"/>
              <w:spacing w:after="0" w:line="106" w:lineRule="exact"/>
              <w:rPr>
                <w:sz w:val="20"/>
                <w:szCs w:val="20"/>
                <w:color w:val="auto"/>
              </w:rPr>
            </w:pPr>
            <w:r>
              <w:rPr>
                <w:rFonts w:ascii="Times New Roman" w:cs="Times New Roman" w:eastAsia="Times New Roman" w:hAnsi="Times New Roman"/>
                <w:sz w:val="10"/>
                <w:szCs w:val="10"/>
                <w:color w:val="auto"/>
              </w:rPr>
              <w:t>(60)</w:t>
            </w:r>
          </w:p>
        </w:tc>
        <w:tc>
          <w:tcPr>
            <w:tcW w:w="720" w:type="dxa"/>
            <w:vAlign w:val="bottom"/>
            <w:gridSpan w:val="3"/>
            <w:shd w:val="clear" w:color="auto" w:fill="CCEEFF"/>
          </w:tcPr>
          <w:p>
            <w:pPr>
              <w:jc w:val="right"/>
              <w:ind w:right="160"/>
              <w:spacing w:after="0" w:line="106" w:lineRule="exact"/>
              <w:rPr>
                <w:sz w:val="20"/>
                <w:szCs w:val="20"/>
                <w:color w:val="auto"/>
              </w:rPr>
            </w:pPr>
            <w:r>
              <w:rPr>
                <w:rFonts w:ascii="Times New Roman" w:cs="Times New Roman" w:eastAsia="Times New Roman" w:hAnsi="Times New Roman"/>
                <w:sz w:val="10"/>
                <w:szCs w:val="10"/>
                <w:color w:val="auto"/>
              </w:rPr>
              <w:t>(52)</w:t>
            </w:r>
          </w:p>
        </w:tc>
        <w:tc>
          <w:tcPr>
            <w:tcW w:w="600" w:type="dxa"/>
            <w:vAlign w:val="bottom"/>
            <w:gridSpan w:val="3"/>
            <w:shd w:val="clear" w:color="auto" w:fill="CCEEFF"/>
          </w:tcPr>
          <w:p>
            <w:pPr>
              <w:jc w:val="right"/>
              <w:ind w:right="160"/>
              <w:spacing w:after="0" w:line="106" w:lineRule="exact"/>
              <w:rPr>
                <w:sz w:val="20"/>
                <w:szCs w:val="20"/>
                <w:color w:val="auto"/>
              </w:rPr>
            </w:pPr>
            <w:r>
              <w:rPr>
                <w:rFonts w:ascii="Times New Roman" w:cs="Times New Roman" w:eastAsia="Times New Roman" w:hAnsi="Times New Roman"/>
                <w:sz w:val="10"/>
                <w:szCs w:val="10"/>
                <w:color w:val="auto"/>
              </w:rPr>
              <w:t>(55)</w:t>
            </w:r>
          </w:p>
        </w:tc>
        <w:tc>
          <w:tcPr>
            <w:tcW w:w="560" w:type="dxa"/>
            <w:vAlign w:val="bottom"/>
            <w:gridSpan w:val="3"/>
            <w:shd w:val="clear" w:color="auto" w:fill="CCEEFF"/>
          </w:tcPr>
          <w:p>
            <w:pPr>
              <w:jc w:val="right"/>
              <w:ind w:right="140"/>
              <w:spacing w:after="0" w:line="106" w:lineRule="exact"/>
              <w:rPr>
                <w:sz w:val="20"/>
                <w:szCs w:val="20"/>
                <w:color w:val="auto"/>
              </w:rPr>
            </w:pPr>
            <w:r>
              <w:rPr>
                <w:rFonts w:ascii="Times New Roman" w:cs="Times New Roman" w:eastAsia="Times New Roman" w:hAnsi="Times New Roman"/>
                <w:sz w:val="10"/>
                <w:szCs w:val="10"/>
                <w:color w:val="auto"/>
              </w:rPr>
              <w:t>(48)</w:t>
            </w:r>
          </w:p>
        </w:tc>
        <w:tc>
          <w:tcPr>
            <w:tcW w:w="720" w:type="dxa"/>
            <w:vAlign w:val="bottom"/>
            <w:gridSpan w:val="3"/>
            <w:shd w:val="clear" w:color="auto" w:fill="CCEEFF"/>
          </w:tcPr>
          <w:p>
            <w:pPr>
              <w:jc w:val="right"/>
              <w:ind w:right="160"/>
              <w:spacing w:after="0" w:line="106" w:lineRule="exact"/>
              <w:rPr>
                <w:sz w:val="20"/>
                <w:szCs w:val="20"/>
                <w:color w:val="auto"/>
              </w:rPr>
            </w:pPr>
            <w:r>
              <w:rPr>
                <w:rFonts w:ascii="Times New Roman" w:cs="Times New Roman" w:eastAsia="Times New Roman" w:hAnsi="Times New Roman"/>
                <w:sz w:val="10"/>
                <w:szCs w:val="10"/>
                <w:color w:val="auto"/>
              </w:rPr>
              <w:t>(166)</w:t>
            </w:r>
          </w:p>
        </w:tc>
        <w:tc>
          <w:tcPr>
            <w:tcW w:w="700" w:type="dxa"/>
            <w:vAlign w:val="bottom"/>
            <w:gridSpan w:val="3"/>
            <w:shd w:val="clear" w:color="auto" w:fill="CCEEFF"/>
          </w:tcPr>
          <w:p>
            <w:pPr>
              <w:jc w:val="right"/>
              <w:ind w:right="140"/>
              <w:spacing w:after="0" w:line="106" w:lineRule="exact"/>
              <w:rPr>
                <w:sz w:val="20"/>
                <w:szCs w:val="20"/>
                <w:color w:val="auto"/>
              </w:rPr>
            </w:pPr>
            <w:r>
              <w:rPr>
                <w:rFonts w:ascii="Times New Roman" w:cs="Times New Roman" w:eastAsia="Times New Roman" w:hAnsi="Times New Roman"/>
                <w:sz w:val="10"/>
                <w:szCs w:val="10"/>
                <w:color w:val="auto"/>
              </w:rPr>
              <w:t>(58)</w:t>
            </w:r>
          </w:p>
        </w:tc>
        <w:tc>
          <w:tcPr>
            <w:tcW w:w="620" w:type="dxa"/>
            <w:vAlign w:val="bottom"/>
            <w:gridSpan w:val="3"/>
            <w:shd w:val="clear" w:color="auto" w:fill="CCEEFF"/>
          </w:tcPr>
          <w:p>
            <w:pPr>
              <w:jc w:val="right"/>
              <w:ind w:right="160"/>
              <w:spacing w:after="0" w:line="106" w:lineRule="exact"/>
              <w:rPr>
                <w:sz w:val="20"/>
                <w:szCs w:val="20"/>
                <w:color w:val="auto"/>
              </w:rPr>
            </w:pPr>
            <w:r>
              <w:rPr>
                <w:rFonts w:ascii="Times New Roman" w:cs="Times New Roman" w:eastAsia="Times New Roman" w:hAnsi="Times New Roman"/>
                <w:sz w:val="10"/>
                <w:szCs w:val="10"/>
                <w:color w:val="auto"/>
              </w:rPr>
              <w:t>(61)</w:t>
            </w:r>
          </w:p>
        </w:tc>
        <w:tc>
          <w:tcPr>
            <w:tcW w:w="520" w:type="dxa"/>
            <w:vAlign w:val="bottom"/>
            <w:gridSpan w:val="3"/>
            <w:shd w:val="clear" w:color="auto" w:fill="CCEEFF"/>
          </w:tcPr>
          <w:p>
            <w:pPr>
              <w:jc w:val="right"/>
              <w:ind w:right="120"/>
              <w:spacing w:after="0" w:line="106" w:lineRule="exact"/>
              <w:rPr>
                <w:sz w:val="20"/>
                <w:szCs w:val="20"/>
                <w:color w:val="auto"/>
              </w:rPr>
            </w:pPr>
            <w:r>
              <w:rPr>
                <w:rFonts w:ascii="Times New Roman" w:cs="Times New Roman" w:eastAsia="Times New Roman" w:hAnsi="Times New Roman"/>
                <w:sz w:val="10"/>
                <w:szCs w:val="10"/>
                <w:color w:val="auto"/>
              </w:rPr>
              <w:t>(65)</w:t>
            </w:r>
          </w:p>
        </w:tc>
      </w:tr>
      <w:tr>
        <w:trPr>
          <w:trHeight w:val="107"/>
        </w:trPr>
        <w:tc>
          <w:tcPr>
            <w:tcW w:w="20" w:type="dxa"/>
            <w:vAlign w:val="bottom"/>
          </w:tcPr>
          <w:p>
            <w:pPr>
              <w:spacing w:after="0"/>
              <w:rPr>
                <w:sz w:val="9"/>
                <w:szCs w:val="9"/>
                <w:color w:val="auto"/>
              </w:rPr>
            </w:pPr>
          </w:p>
        </w:tc>
        <w:tc>
          <w:tcPr>
            <w:tcW w:w="152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Interest income</w:t>
            </w:r>
          </w:p>
        </w:tc>
        <w:tc>
          <w:tcPr>
            <w:tcW w:w="50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2</w:t>
            </w:r>
          </w:p>
        </w:tc>
        <w:tc>
          <w:tcPr>
            <w:tcW w:w="180" w:type="dxa"/>
            <w:vAlign w:val="bottom"/>
          </w:tcPr>
          <w:p>
            <w:pPr>
              <w:spacing w:after="0"/>
              <w:rPr>
                <w:sz w:val="9"/>
                <w:szCs w:val="9"/>
                <w:color w:val="auto"/>
              </w:rPr>
            </w:pPr>
          </w:p>
        </w:tc>
        <w:tc>
          <w:tcPr>
            <w:tcW w:w="38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1</w:t>
            </w:r>
          </w:p>
        </w:tc>
        <w:tc>
          <w:tcPr>
            <w:tcW w:w="180" w:type="dxa"/>
            <w:vAlign w:val="bottom"/>
          </w:tcPr>
          <w:p>
            <w:pPr>
              <w:spacing w:after="0"/>
              <w:rPr>
                <w:sz w:val="9"/>
                <w:szCs w:val="9"/>
                <w:color w:val="auto"/>
              </w:rPr>
            </w:pPr>
          </w:p>
        </w:tc>
        <w:tc>
          <w:tcPr>
            <w:tcW w:w="5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1</w:t>
            </w:r>
          </w:p>
        </w:tc>
        <w:tc>
          <w:tcPr>
            <w:tcW w:w="180" w:type="dxa"/>
            <w:vAlign w:val="bottom"/>
          </w:tcPr>
          <w:p>
            <w:pPr>
              <w:spacing w:after="0"/>
              <w:rPr>
                <w:sz w:val="9"/>
                <w:szCs w:val="9"/>
                <w:color w:val="auto"/>
              </w:rPr>
            </w:pPr>
          </w:p>
        </w:tc>
        <w:tc>
          <w:tcPr>
            <w:tcW w:w="54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2</w:t>
            </w:r>
          </w:p>
        </w:tc>
        <w:tc>
          <w:tcPr>
            <w:tcW w:w="180" w:type="dxa"/>
            <w:vAlign w:val="bottom"/>
          </w:tcPr>
          <w:p>
            <w:pPr>
              <w:spacing w:after="0"/>
              <w:rPr>
                <w:sz w:val="9"/>
                <w:szCs w:val="9"/>
                <w:color w:val="auto"/>
              </w:rPr>
            </w:pPr>
          </w:p>
        </w:tc>
        <w:tc>
          <w:tcPr>
            <w:tcW w:w="4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2</w:t>
            </w:r>
          </w:p>
        </w:tc>
        <w:tc>
          <w:tcPr>
            <w:tcW w:w="180" w:type="dxa"/>
            <w:vAlign w:val="bottom"/>
          </w:tcPr>
          <w:p>
            <w:pPr>
              <w:spacing w:after="0"/>
              <w:rPr>
                <w:sz w:val="9"/>
                <w:szCs w:val="9"/>
                <w:color w:val="auto"/>
              </w:rPr>
            </w:pPr>
          </w:p>
        </w:tc>
        <w:tc>
          <w:tcPr>
            <w:tcW w:w="38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1</w:t>
            </w:r>
          </w:p>
        </w:tc>
        <w:tc>
          <w:tcPr>
            <w:tcW w:w="180" w:type="dxa"/>
            <w:vAlign w:val="bottom"/>
          </w:tcPr>
          <w:p>
            <w:pPr>
              <w:spacing w:after="0"/>
              <w:rPr>
                <w:sz w:val="9"/>
                <w:szCs w:val="9"/>
                <w:color w:val="auto"/>
              </w:rPr>
            </w:pPr>
          </w:p>
        </w:tc>
        <w:tc>
          <w:tcPr>
            <w:tcW w:w="5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1</w:t>
            </w:r>
          </w:p>
        </w:tc>
        <w:tc>
          <w:tcPr>
            <w:tcW w:w="200" w:type="dxa"/>
            <w:vAlign w:val="bottom"/>
          </w:tcPr>
          <w:p>
            <w:pPr>
              <w:spacing w:after="0"/>
              <w:rPr>
                <w:sz w:val="9"/>
                <w:szCs w:val="9"/>
                <w:color w:val="auto"/>
              </w:rPr>
            </w:pPr>
          </w:p>
        </w:tc>
        <w:tc>
          <w:tcPr>
            <w:tcW w:w="5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4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1</w:t>
            </w:r>
          </w:p>
        </w:tc>
        <w:tc>
          <w:tcPr>
            <w:tcW w:w="200" w:type="dxa"/>
            <w:vAlign w:val="bottom"/>
          </w:tcPr>
          <w:p>
            <w:pPr>
              <w:spacing w:after="0"/>
              <w:rPr>
                <w:sz w:val="9"/>
                <w:szCs w:val="9"/>
                <w:color w:val="auto"/>
              </w:rPr>
            </w:pPr>
          </w:p>
        </w:tc>
        <w:tc>
          <w:tcPr>
            <w:tcW w:w="36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r>
      <w:tr>
        <w:trPr>
          <w:trHeight w:val="107"/>
        </w:trPr>
        <w:tc>
          <w:tcPr>
            <w:tcW w:w="20" w:type="dxa"/>
            <w:vAlign w:val="bottom"/>
          </w:tcPr>
          <w:p>
            <w:pPr>
              <w:spacing w:after="0"/>
              <w:rPr>
                <w:sz w:val="9"/>
                <w:szCs w:val="9"/>
                <w:color w:val="auto"/>
              </w:rPr>
            </w:pPr>
          </w:p>
        </w:tc>
        <w:tc>
          <w:tcPr>
            <w:tcW w:w="152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0"/>
                <w:szCs w:val="10"/>
                <w:color w:val="auto"/>
              </w:rPr>
              <w:t>Interest expense</w:t>
            </w:r>
          </w:p>
        </w:tc>
        <w:tc>
          <w:tcPr>
            <w:tcW w:w="1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200"/>
              <w:spacing w:after="0" w:line="107"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200"/>
              <w:spacing w:after="0" w:line="107"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80"/>
              <w:spacing w:after="0" w:line="107"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80"/>
              <w:spacing w:after="0" w:line="107"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7"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80"/>
              <w:spacing w:after="0" w:line="107"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200"/>
              <w:spacing w:after="0" w:line="107"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9"/>
                <w:szCs w:val="9"/>
                <w:color w:val="auto"/>
              </w:rPr>
            </w:pPr>
          </w:p>
        </w:tc>
        <w:tc>
          <w:tcPr>
            <w:tcW w:w="620" w:type="dxa"/>
            <w:vAlign w:val="bottom"/>
            <w:gridSpan w:val="3"/>
            <w:shd w:val="clear" w:color="auto" w:fill="CCEEFF"/>
          </w:tcPr>
          <w:p>
            <w:pPr>
              <w:jc w:val="right"/>
              <w:ind w:right="160"/>
              <w:spacing w:after="0" w:line="107" w:lineRule="exact"/>
              <w:rPr>
                <w:sz w:val="20"/>
                <w:szCs w:val="20"/>
                <w:color w:val="auto"/>
              </w:rPr>
            </w:pPr>
            <w:r>
              <w:rPr>
                <w:rFonts w:ascii="Times New Roman" w:cs="Times New Roman" w:eastAsia="Times New Roman" w:hAnsi="Times New Roman"/>
                <w:sz w:val="10"/>
                <w:szCs w:val="10"/>
                <w:color w:val="auto"/>
              </w:rPr>
              <w:t>(15)</w:t>
            </w:r>
          </w:p>
        </w:tc>
        <w:tc>
          <w:tcPr>
            <w:tcW w:w="520" w:type="dxa"/>
            <w:vAlign w:val="bottom"/>
            <w:gridSpan w:val="3"/>
            <w:shd w:val="clear" w:color="auto" w:fill="CCEEFF"/>
          </w:tcPr>
          <w:p>
            <w:pPr>
              <w:jc w:val="right"/>
              <w:ind w:right="120"/>
              <w:spacing w:after="0" w:line="107" w:lineRule="exact"/>
              <w:rPr>
                <w:sz w:val="20"/>
                <w:szCs w:val="20"/>
                <w:color w:val="auto"/>
              </w:rPr>
            </w:pPr>
            <w:r>
              <w:rPr>
                <w:rFonts w:ascii="Times New Roman" w:cs="Times New Roman" w:eastAsia="Times New Roman" w:hAnsi="Times New Roman"/>
                <w:sz w:val="10"/>
                <w:szCs w:val="10"/>
                <w:color w:val="auto"/>
              </w:rPr>
              <w:t>(16)</w:t>
            </w:r>
          </w:p>
        </w:tc>
      </w:tr>
      <w:tr>
        <w:trPr>
          <w:trHeight w:val="107"/>
        </w:trPr>
        <w:tc>
          <w:tcPr>
            <w:tcW w:w="20" w:type="dxa"/>
            <w:vAlign w:val="bottom"/>
          </w:tcPr>
          <w:p>
            <w:pPr>
              <w:spacing w:after="0"/>
              <w:rPr>
                <w:sz w:val="9"/>
                <w:szCs w:val="9"/>
                <w:color w:val="auto"/>
              </w:rPr>
            </w:pPr>
          </w:p>
        </w:tc>
        <w:tc>
          <w:tcPr>
            <w:tcW w:w="152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Other income (expense), net</w:t>
            </w:r>
          </w:p>
        </w:tc>
        <w:tc>
          <w:tcPr>
            <w:tcW w:w="50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38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5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54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4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38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5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5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4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36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2</w:t>
            </w:r>
          </w:p>
        </w:tc>
        <w:tc>
          <w:tcPr>
            <w:tcW w:w="160" w:type="dxa"/>
            <w:vAlign w:val="bottom"/>
          </w:tcPr>
          <w:p>
            <w:pPr>
              <w:spacing w:after="0"/>
              <w:rPr>
                <w:sz w:val="9"/>
                <w:szCs w:val="9"/>
                <w:color w:val="auto"/>
              </w:rPr>
            </w:pPr>
          </w:p>
        </w:tc>
      </w:tr>
      <w:tr>
        <w:trPr>
          <w:trHeight w:val="91"/>
        </w:trPr>
        <w:tc>
          <w:tcPr>
            <w:tcW w:w="20" w:type="dxa"/>
            <w:vAlign w:val="bottom"/>
          </w:tcPr>
          <w:p>
            <w:pPr>
              <w:spacing w:after="0"/>
              <w:rPr>
                <w:sz w:val="7"/>
                <w:szCs w:val="7"/>
                <w:color w:val="auto"/>
              </w:rPr>
            </w:pPr>
          </w:p>
        </w:tc>
        <w:tc>
          <w:tcPr>
            <w:tcW w:w="1520" w:type="dxa"/>
            <w:vAlign w:val="bottom"/>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Loss before provision for income</w:t>
            </w:r>
          </w:p>
        </w:tc>
        <w:tc>
          <w:tcPr>
            <w:tcW w:w="140" w:type="dxa"/>
            <w:vAlign w:val="bottom"/>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r>
      <w:tr>
        <w:trPr>
          <w:trHeight w:val="121"/>
        </w:trPr>
        <w:tc>
          <w:tcPr>
            <w:tcW w:w="20" w:type="dxa"/>
            <w:vAlign w:val="bottom"/>
          </w:tcPr>
          <w:p>
            <w:pPr>
              <w:spacing w:after="0"/>
              <w:rPr>
                <w:sz w:val="10"/>
                <w:szCs w:val="10"/>
                <w:color w:val="auto"/>
              </w:rPr>
            </w:pPr>
          </w:p>
        </w:tc>
        <w:tc>
          <w:tcPr>
            <w:tcW w:w="1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taxes</w:t>
            </w: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(74)</w:t>
            </w:r>
          </w:p>
        </w:tc>
        <w:tc>
          <w:tcPr>
            <w:tcW w:w="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(90)</w:t>
            </w: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(59)</w:t>
            </w: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(50)</w:t>
            </w:r>
          </w:p>
        </w:tc>
        <w:tc>
          <w:tcPr>
            <w:tcW w:w="6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(53)</w:t>
            </w:r>
          </w:p>
        </w:tc>
        <w:tc>
          <w:tcPr>
            <w:tcW w:w="5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(47)</w:t>
            </w: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(165)</w:t>
            </w: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(58)</w:t>
            </w: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(75)</w:t>
            </w:r>
          </w:p>
        </w:tc>
        <w:tc>
          <w:tcPr>
            <w:tcW w:w="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(79)</w:t>
            </w:r>
          </w:p>
        </w:tc>
      </w:tr>
      <w:tr>
        <w:trPr>
          <w:trHeight w:val="107"/>
        </w:trPr>
        <w:tc>
          <w:tcPr>
            <w:tcW w:w="20" w:type="dxa"/>
            <w:vAlign w:val="bottom"/>
          </w:tcPr>
          <w:p>
            <w:pPr>
              <w:spacing w:after="0"/>
              <w:rPr>
                <w:sz w:val="9"/>
                <w:szCs w:val="9"/>
                <w:color w:val="auto"/>
              </w:rPr>
            </w:pPr>
          </w:p>
        </w:tc>
        <w:tc>
          <w:tcPr>
            <w:tcW w:w="152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Provision for income taxes</w:t>
            </w:r>
          </w:p>
        </w:tc>
        <w:tc>
          <w:tcPr>
            <w:tcW w:w="140" w:type="dxa"/>
            <w:vAlign w:val="bottom"/>
          </w:tcPr>
          <w:p>
            <w:pPr>
              <w:spacing w:after="0"/>
              <w:rPr>
                <w:sz w:val="9"/>
                <w:szCs w:val="9"/>
                <w:color w:val="auto"/>
              </w:rPr>
            </w:pPr>
          </w:p>
        </w:tc>
        <w:tc>
          <w:tcPr>
            <w:tcW w:w="36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r>
      <w:tr>
        <w:trPr>
          <w:trHeight w:val="106"/>
        </w:trPr>
        <w:tc>
          <w:tcPr>
            <w:tcW w:w="20" w:type="dxa"/>
            <w:vAlign w:val="bottom"/>
          </w:tcPr>
          <w:p>
            <w:pPr>
              <w:spacing w:after="0"/>
              <w:rPr>
                <w:sz w:val="9"/>
                <w:szCs w:val="9"/>
                <w:color w:val="auto"/>
              </w:rPr>
            </w:pPr>
          </w:p>
        </w:tc>
        <w:tc>
          <w:tcPr>
            <w:tcW w:w="15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0"/>
                <w:szCs w:val="10"/>
                <w:color w:val="auto"/>
              </w:rPr>
              <w:t>Net loss</w:t>
            </w:r>
          </w:p>
        </w:tc>
        <w:tc>
          <w:tcPr>
            <w:tcW w:w="1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80"/>
              <w:spacing w:after="0" w:line="106" w:lineRule="exact"/>
              <w:rPr>
                <w:sz w:val="20"/>
                <w:szCs w:val="20"/>
                <w:color w:val="auto"/>
              </w:rPr>
            </w:pPr>
            <w:r>
              <w:rPr>
                <w:rFonts w:ascii="Times New Roman" w:cs="Times New Roman" w:eastAsia="Times New Roman" w:hAnsi="Times New Roman"/>
                <w:sz w:val="10"/>
                <w:szCs w:val="10"/>
                <w:color w:val="auto"/>
              </w:rPr>
              <w:t>(74)%</w:t>
            </w:r>
          </w:p>
        </w:tc>
        <w:tc>
          <w:tcPr>
            <w:tcW w:w="560" w:type="dxa"/>
            <w:vAlign w:val="bottom"/>
            <w:gridSpan w:val="3"/>
            <w:shd w:val="clear" w:color="auto" w:fill="CCEEFF"/>
          </w:tcPr>
          <w:p>
            <w:pPr>
              <w:jc w:val="right"/>
              <w:ind w:right="80"/>
              <w:spacing w:after="0" w:line="106" w:lineRule="exact"/>
              <w:rPr>
                <w:sz w:val="20"/>
                <w:szCs w:val="20"/>
                <w:color w:val="auto"/>
              </w:rPr>
            </w:pPr>
            <w:r>
              <w:rPr>
                <w:rFonts w:ascii="Times New Roman" w:cs="Times New Roman" w:eastAsia="Times New Roman" w:hAnsi="Times New Roman"/>
                <w:sz w:val="10"/>
                <w:szCs w:val="10"/>
                <w:color w:val="auto"/>
              </w:rPr>
              <w:t>(90)%</w:t>
            </w:r>
          </w:p>
        </w:tc>
        <w:tc>
          <w:tcPr>
            <w:tcW w:w="700" w:type="dxa"/>
            <w:vAlign w:val="bottom"/>
            <w:gridSpan w:val="3"/>
            <w:shd w:val="clear" w:color="auto" w:fill="CCEEFF"/>
          </w:tcPr>
          <w:p>
            <w:pPr>
              <w:jc w:val="right"/>
              <w:ind w:right="60"/>
              <w:spacing w:after="0" w:line="106" w:lineRule="exact"/>
              <w:rPr>
                <w:sz w:val="20"/>
                <w:szCs w:val="20"/>
                <w:color w:val="auto"/>
              </w:rPr>
            </w:pPr>
            <w:r>
              <w:rPr>
                <w:rFonts w:ascii="Times New Roman" w:cs="Times New Roman" w:eastAsia="Times New Roman" w:hAnsi="Times New Roman"/>
                <w:sz w:val="10"/>
                <w:szCs w:val="10"/>
                <w:color w:val="auto"/>
              </w:rPr>
              <w:t>(59)%</w:t>
            </w:r>
          </w:p>
        </w:tc>
        <w:tc>
          <w:tcPr>
            <w:tcW w:w="720" w:type="dxa"/>
            <w:vAlign w:val="bottom"/>
            <w:gridSpan w:val="3"/>
            <w:shd w:val="clear" w:color="auto" w:fill="CCEEFF"/>
          </w:tcPr>
          <w:p>
            <w:pPr>
              <w:jc w:val="right"/>
              <w:ind w:right="60"/>
              <w:spacing w:after="0" w:line="106" w:lineRule="exact"/>
              <w:rPr>
                <w:sz w:val="20"/>
                <w:szCs w:val="20"/>
                <w:color w:val="auto"/>
              </w:rPr>
            </w:pPr>
            <w:r>
              <w:rPr>
                <w:rFonts w:ascii="Times New Roman" w:cs="Times New Roman" w:eastAsia="Times New Roman" w:hAnsi="Times New Roman"/>
                <w:sz w:val="10"/>
                <w:szCs w:val="10"/>
                <w:color w:val="auto"/>
              </w:rPr>
              <w:t>(51)%</w:t>
            </w:r>
          </w:p>
        </w:tc>
        <w:tc>
          <w:tcPr>
            <w:tcW w:w="600" w:type="dxa"/>
            <w:vAlign w:val="bottom"/>
            <w:gridSpan w:val="3"/>
            <w:shd w:val="clear" w:color="auto" w:fill="CCEEFF"/>
          </w:tcPr>
          <w:p>
            <w:pPr>
              <w:jc w:val="right"/>
              <w:ind w:right="60"/>
              <w:spacing w:after="0" w:line="106" w:lineRule="exact"/>
              <w:rPr>
                <w:sz w:val="20"/>
                <w:szCs w:val="20"/>
                <w:color w:val="auto"/>
              </w:rPr>
            </w:pPr>
            <w:r>
              <w:rPr>
                <w:rFonts w:ascii="Times New Roman" w:cs="Times New Roman" w:eastAsia="Times New Roman" w:hAnsi="Times New Roman"/>
                <w:sz w:val="10"/>
                <w:szCs w:val="10"/>
                <w:color w:val="auto"/>
              </w:rPr>
              <w:t>(53)%</w:t>
            </w:r>
          </w:p>
        </w:tc>
        <w:tc>
          <w:tcPr>
            <w:tcW w:w="560" w:type="dxa"/>
            <w:vAlign w:val="bottom"/>
            <w:gridSpan w:val="3"/>
            <w:shd w:val="clear" w:color="auto" w:fill="CCEEFF"/>
          </w:tcPr>
          <w:p>
            <w:pPr>
              <w:jc w:val="right"/>
              <w:ind w:right="60"/>
              <w:spacing w:after="0" w:line="106" w:lineRule="exact"/>
              <w:rPr>
                <w:sz w:val="20"/>
                <w:szCs w:val="20"/>
                <w:color w:val="auto"/>
              </w:rPr>
            </w:pPr>
            <w:r>
              <w:rPr>
                <w:rFonts w:ascii="Times New Roman" w:cs="Times New Roman" w:eastAsia="Times New Roman" w:hAnsi="Times New Roman"/>
                <w:sz w:val="10"/>
                <w:szCs w:val="10"/>
                <w:color w:val="auto"/>
              </w:rPr>
              <w:t>(47)%</w:t>
            </w:r>
          </w:p>
        </w:tc>
        <w:tc>
          <w:tcPr>
            <w:tcW w:w="720" w:type="dxa"/>
            <w:vAlign w:val="bottom"/>
            <w:gridSpan w:val="3"/>
            <w:shd w:val="clear" w:color="auto" w:fill="CCEEFF"/>
          </w:tcPr>
          <w:p>
            <w:pPr>
              <w:jc w:val="right"/>
              <w:ind w:right="80"/>
              <w:spacing w:after="0" w:line="106" w:lineRule="exact"/>
              <w:rPr>
                <w:sz w:val="20"/>
                <w:szCs w:val="20"/>
                <w:color w:val="auto"/>
              </w:rPr>
            </w:pPr>
            <w:r>
              <w:rPr>
                <w:rFonts w:ascii="Times New Roman" w:cs="Times New Roman" w:eastAsia="Times New Roman" w:hAnsi="Times New Roman"/>
                <w:sz w:val="10"/>
                <w:szCs w:val="10"/>
                <w:color w:val="auto"/>
              </w:rPr>
              <w:t>(165)%</w:t>
            </w:r>
          </w:p>
        </w:tc>
        <w:tc>
          <w:tcPr>
            <w:tcW w:w="700" w:type="dxa"/>
            <w:vAlign w:val="bottom"/>
            <w:gridSpan w:val="3"/>
            <w:shd w:val="clear" w:color="auto" w:fill="CCEEFF"/>
          </w:tcPr>
          <w:p>
            <w:pPr>
              <w:jc w:val="right"/>
              <w:ind w:right="60"/>
              <w:spacing w:after="0" w:line="106" w:lineRule="exact"/>
              <w:rPr>
                <w:sz w:val="20"/>
                <w:szCs w:val="20"/>
                <w:color w:val="auto"/>
              </w:rPr>
            </w:pPr>
            <w:r>
              <w:rPr>
                <w:rFonts w:ascii="Times New Roman" w:cs="Times New Roman" w:eastAsia="Times New Roman" w:hAnsi="Times New Roman"/>
                <w:sz w:val="10"/>
                <w:szCs w:val="10"/>
                <w:color w:val="auto"/>
              </w:rPr>
              <w:t>(58)%</w:t>
            </w:r>
          </w:p>
        </w:tc>
        <w:tc>
          <w:tcPr>
            <w:tcW w:w="620" w:type="dxa"/>
            <w:vAlign w:val="bottom"/>
            <w:gridSpan w:val="3"/>
            <w:shd w:val="clear" w:color="auto" w:fill="CCEEFF"/>
          </w:tcPr>
          <w:p>
            <w:pPr>
              <w:jc w:val="right"/>
              <w:ind w:right="80"/>
              <w:spacing w:after="0" w:line="106" w:lineRule="exact"/>
              <w:rPr>
                <w:sz w:val="20"/>
                <w:szCs w:val="20"/>
                <w:color w:val="auto"/>
              </w:rPr>
            </w:pPr>
            <w:r>
              <w:rPr>
                <w:rFonts w:ascii="Times New Roman" w:cs="Times New Roman" w:eastAsia="Times New Roman" w:hAnsi="Times New Roman"/>
                <w:sz w:val="10"/>
                <w:szCs w:val="10"/>
                <w:color w:val="auto"/>
              </w:rPr>
              <w:t>(75)%</w:t>
            </w:r>
          </w:p>
        </w:tc>
        <w:tc>
          <w:tcPr>
            <w:tcW w:w="520" w:type="dxa"/>
            <w:vAlign w:val="bottom"/>
            <w:gridSpan w:val="3"/>
            <w:shd w:val="clear" w:color="auto" w:fill="CCEEFF"/>
          </w:tcPr>
          <w:p>
            <w:pPr>
              <w:jc w:val="right"/>
              <w:ind w:right="40"/>
              <w:spacing w:after="0" w:line="106" w:lineRule="exact"/>
              <w:rPr>
                <w:sz w:val="20"/>
                <w:szCs w:val="20"/>
                <w:color w:val="auto"/>
              </w:rPr>
            </w:pPr>
            <w:r>
              <w:rPr>
                <w:rFonts w:ascii="Times New Roman" w:cs="Times New Roman" w:eastAsia="Times New Roman" w:hAnsi="Times New Roman"/>
                <w:sz w:val="10"/>
                <w:szCs w:val="10"/>
                <w:color w:val="auto"/>
              </w:rPr>
              <w:t>(79)%</w:t>
            </w:r>
          </w:p>
        </w:tc>
      </w:tr>
      <w:tr>
        <w:trPr>
          <w:trHeight w:val="29"/>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67945</wp:posOffset>
            </wp:positionV>
            <wp:extent cx="548005"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48005" cy="6350"/>
                    </a:xfrm>
                    <a:prstGeom prst="rect">
                      <a:avLst/>
                    </a:prstGeom>
                    <a:noFill/>
                  </pic:spPr>
                </pic:pic>
              </a:graphicData>
            </a:graphic>
          </wp:anchor>
        </w:drawing>
      </w:r>
    </w:p>
    <w:p>
      <w:pPr>
        <w:spacing w:after="0" w:line="11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0"/>
          <w:szCs w:val="10"/>
          <w:color w:val="auto"/>
        </w:rPr>
        <w:t>* Less than 1%</w:t>
      </w:r>
    </w:p>
    <w:p>
      <w:pPr>
        <w:spacing w:after="0" w:line="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0"/>
          <w:szCs w:val="10"/>
          <w:color w:val="auto"/>
        </w:rPr>
        <w:t>Note: Certain figures might not sum due to rounding.</w:t>
      </w:r>
    </w:p>
    <w:p>
      <w:pPr>
        <w:spacing w:after="0" w:line="21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Quarterly Trends</w:t>
      </w:r>
    </w:p>
    <w:p>
      <w:pPr>
        <w:spacing w:after="0" w:line="8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Revenues</w:t>
      </w:r>
    </w:p>
    <w:p>
      <w:pPr>
        <w:spacing w:after="0" w:line="85" w:lineRule="exact"/>
        <w:rPr>
          <w:sz w:val="20"/>
          <w:szCs w:val="20"/>
          <w:color w:val="auto"/>
        </w:rPr>
      </w:pPr>
    </w:p>
    <w:p>
      <w:pPr>
        <w:ind w:left="1680" w:right="739" w:firstLine="316"/>
        <w:spacing w:after="0" w:line="263" w:lineRule="auto"/>
        <w:rPr>
          <w:sz w:val="20"/>
          <w:szCs w:val="20"/>
          <w:color w:val="auto"/>
        </w:rPr>
      </w:pPr>
      <w:r>
        <w:rPr>
          <w:rFonts w:ascii="Times New Roman" w:cs="Times New Roman" w:eastAsia="Times New Roman" w:hAnsi="Times New Roman"/>
          <w:sz w:val="13"/>
          <w:szCs w:val="13"/>
          <w:color w:val="auto"/>
        </w:rPr>
        <w:t>Our quarterly revenues increased sequentially in each of the periods presented due primarily to a shift in our sales mix toward our higher priced subscription plans, such as Enterprise and Business plans, and increased sales of our higher priced subscription plans, as well as the addition of new paying customers, and revenue growth from expansion within existing paying customers.</w:t>
      </w:r>
    </w:p>
    <w:p>
      <w:pPr>
        <w:spacing w:after="0" w:line="20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Cost of Revenues and Gross Margin</w:t>
      </w:r>
    </w:p>
    <w:p>
      <w:pPr>
        <w:spacing w:after="0" w:line="85" w:lineRule="exact"/>
        <w:rPr>
          <w:sz w:val="20"/>
          <w:szCs w:val="20"/>
          <w:color w:val="auto"/>
        </w:rPr>
      </w:pPr>
    </w:p>
    <w:p>
      <w:pPr>
        <w:ind w:left="1680" w:right="779" w:firstLine="316"/>
        <w:spacing w:after="0" w:line="277" w:lineRule="auto"/>
        <w:rPr>
          <w:sz w:val="20"/>
          <w:szCs w:val="20"/>
          <w:color w:val="auto"/>
        </w:rPr>
      </w:pPr>
      <w:r>
        <w:rPr>
          <w:rFonts w:ascii="Times New Roman" w:cs="Times New Roman" w:eastAsia="Times New Roman" w:hAnsi="Times New Roman"/>
          <w:sz w:val="13"/>
          <w:szCs w:val="13"/>
          <w:color w:val="auto"/>
        </w:rPr>
        <w:t>Cost of revenues increased sequentially in each of the quarters presented, primarily driven by increased third-party hosting-related costs due to expanded use of our cloud-based platform by new and existing customers, personnel-related costs, and credit card processing fees.</w:t>
      </w:r>
    </w:p>
    <w:p>
      <w:pPr>
        <w:spacing w:after="0" w:line="120" w:lineRule="exact"/>
        <w:rPr>
          <w:sz w:val="20"/>
          <w:szCs w:val="20"/>
          <w:color w:val="auto"/>
        </w:rPr>
      </w:pPr>
    </w:p>
    <w:p>
      <w:pPr>
        <w:ind w:left="1680" w:right="739" w:firstLine="316"/>
        <w:spacing w:after="0" w:line="277" w:lineRule="auto"/>
        <w:rPr>
          <w:sz w:val="20"/>
          <w:szCs w:val="20"/>
          <w:color w:val="auto"/>
        </w:rPr>
      </w:pPr>
      <w:r>
        <w:rPr>
          <w:rFonts w:ascii="Times New Roman" w:cs="Times New Roman" w:eastAsia="Times New Roman" w:hAnsi="Times New Roman"/>
          <w:sz w:val="13"/>
          <w:szCs w:val="13"/>
          <w:color w:val="auto"/>
        </w:rPr>
        <w:t>Our quarterly gross margin has generally increased for the quarters presented as we increased our revenues and more efficiently managed third-party hosting costs, realized benefits due to economies of scale resulting</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74</w:t>
      </w:r>
    </w:p>
    <w:p>
      <w:pPr>
        <w:sectPr>
          <w:pgSz w:w="11900" w:h="16838" w:orient="portrait"/>
          <w:cols w:equalWidth="0" w:num="1">
            <w:col w:w="10159"/>
          </w:cols>
          <w:pgMar w:left="300" w:top="367" w:right="1440" w:bottom="1440" w:gutter="0" w:footer="0" w:header="0"/>
        </w:sectPr>
      </w:pPr>
    </w:p>
    <w:bookmarkStart w:id="79" w:name="page80"/>
    <w:bookmarkEnd w:id="7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from increased efficiency with our technology and infrastructure, and experienced a decrease in amortization of capitalized internal-use software costs.</w:t>
      </w:r>
    </w:p>
    <w:p>
      <w:pPr>
        <w:spacing w:after="0" w:line="23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Operating Expenses</w:t>
      </w:r>
    </w:p>
    <w:p>
      <w:pPr>
        <w:spacing w:after="0" w:line="85" w:lineRule="exact"/>
        <w:rPr>
          <w:sz w:val="20"/>
          <w:szCs w:val="20"/>
          <w:color w:val="auto"/>
        </w:rPr>
      </w:pPr>
    </w:p>
    <w:p>
      <w:pPr>
        <w:ind w:left="1680" w:right="639" w:firstLine="316"/>
        <w:spacing w:after="0" w:line="258" w:lineRule="auto"/>
        <w:rPr>
          <w:sz w:val="20"/>
          <w:szCs w:val="20"/>
          <w:color w:val="auto"/>
        </w:rPr>
      </w:pPr>
      <w:r>
        <w:rPr>
          <w:rFonts w:ascii="Times New Roman" w:cs="Times New Roman" w:eastAsia="Times New Roman" w:hAnsi="Times New Roman"/>
          <w:sz w:val="13"/>
          <w:szCs w:val="13"/>
          <w:color w:val="auto"/>
        </w:rPr>
        <w:t>Total operating expenses have increased sequentially in each quarter presented except for the fourth quarter of fiscal 2020 when they decreased compared to the prior quarter, as a result of the higher stock-based compensation expense from our fiscal 2020 tender offer recorded in the prior quarter as discussed below. The increases in total operating expenses were primarily due to increases in personnel-related expenses as a result of increased headcount and other related expenses to support the growth of our business and related infrastructure.</w:t>
      </w:r>
    </w:p>
    <w:p>
      <w:pPr>
        <w:spacing w:after="0" w:line="133" w:lineRule="exact"/>
        <w:rPr>
          <w:sz w:val="20"/>
          <w:szCs w:val="20"/>
          <w:color w:val="auto"/>
        </w:rPr>
      </w:pPr>
    </w:p>
    <w:p>
      <w:pPr>
        <w:ind w:left="1680" w:right="659" w:firstLine="316"/>
        <w:spacing w:after="0" w:line="254" w:lineRule="auto"/>
        <w:rPr>
          <w:sz w:val="20"/>
          <w:szCs w:val="20"/>
          <w:color w:val="auto"/>
        </w:rPr>
      </w:pPr>
      <w:r>
        <w:rPr>
          <w:rFonts w:ascii="Times New Roman" w:cs="Times New Roman" w:eastAsia="Times New Roman" w:hAnsi="Times New Roman"/>
          <w:sz w:val="13"/>
          <w:szCs w:val="13"/>
          <w:color w:val="auto"/>
        </w:rPr>
        <w:t>The increases in research and development, sales and marketing, and general and administrative expenses in the third quarter of fiscal 2020 were due in part to stock-based compensation expense of $38.7 million attributable to our fiscal 2020 tender offer. The increases in sales and marketing expenses in the fourth quarter of fiscal 2019, the third quarter of fiscal 2020, and the first quarter of fiscal 2021 were due in part to an increase in investments in brand and other paid marketing campaigns. The increases in general and administrative expenses in the first quarter of fiscal 2021 and second quarter of fiscal 2021 were due in part to legal and accounting expenses associated with preparing to be a public company, including direct listing expenses of $1.1 million in each quarter.</w:t>
      </w:r>
    </w:p>
    <w:p>
      <w:pPr>
        <w:spacing w:after="0" w:line="21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Interest Expense</w:t>
      </w:r>
    </w:p>
    <w:p>
      <w:pPr>
        <w:spacing w:after="0" w:line="8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2"/>
          <w:szCs w:val="12"/>
          <w:color w:val="auto"/>
        </w:rPr>
        <w:t>Our interest expense increased for the first quarter of fiscal 2021 as a result of the senior mandatory convertible promissory note issued in January</w:t>
      </w:r>
    </w:p>
    <w:p>
      <w:pPr>
        <w:spacing w:after="0" w:line="29" w:lineRule="exact"/>
        <w:rPr>
          <w:sz w:val="20"/>
          <w:szCs w:val="20"/>
          <w:color w:val="auto"/>
        </w:rPr>
      </w:pPr>
    </w:p>
    <w:p>
      <w:pPr>
        <w:ind w:left="1680" w:right="859"/>
        <w:spacing w:after="0" w:line="258" w:lineRule="auto"/>
        <w:rPr>
          <w:sz w:val="20"/>
          <w:szCs w:val="20"/>
          <w:color w:val="auto"/>
        </w:rPr>
      </w:pPr>
      <w:r>
        <w:rPr>
          <w:rFonts w:ascii="Times New Roman" w:cs="Times New Roman" w:eastAsia="Times New Roman" w:hAnsi="Times New Roman"/>
          <w:sz w:val="13"/>
          <w:szCs w:val="13"/>
          <w:color w:val="auto"/>
        </w:rPr>
        <w:t>2020. Our interest expense increased for the second quarter of fiscal 2021 primarily as a result of the senior mandatory convertible promissory note issued in June 2020.</w:t>
      </w:r>
    </w:p>
    <w:p>
      <w:pPr>
        <w:spacing w:after="0" w:line="2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Liquidity and Capital Resources</w:t>
      </w:r>
    </w:p>
    <w:p>
      <w:pPr>
        <w:spacing w:after="0" w:line="85" w:lineRule="exact"/>
        <w:rPr>
          <w:sz w:val="20"/>
          <w:szCs w:val="20"/>
          <w:color w:val="auto"/>
        </w:rPr>
      </w:pPr>
    </w:p>
    <w:p>
      <w:pPr>
        <w:ind w:left="1680" w:right="599" w:firstLine="316"/>
        <w:spacing w:after="0" w:line="253" w:lineRule="auto"/>
        <w:rPr>
          <w:sz w:val="20"/>
          <w:szCs w:val="20"/>
          <w:color w:val="auto"/>
        </w:rPr>
      </w:pPr>
      <w:r>
        <w:rPr>
          <w:rFonts w:ascii="Times New Roman" w:cs="Times New Roman" w:eastAsia="Times New Roman" w:hAnsi="Times New Roman"/>
          <w:sz w:val="13"/>
          <w:szCs w:val="13"/>
          <w:color w:val="auto"/>
        </w:rPr>
        <w:t>Since inception, we have financed operations primarily through the net proceeds we have received from the sales of our preferred stock and common stock, the issuance of senior mandatory convertible promissory notes in January and June 2020 to a trust affiliated with our CEO, and cash generated from the sale of subscriptions to our platform. We have generated losses from our operations as reflected in our accumulated deficit of $406.6 million as of July 31, 2020 and negative cash flows from operating activities for fiscal 2019, fiscal 2020, and the six months ended July 31, 2019 and 2020. Our future capital requirements will depend on many factors, including revenue growth and costs incurred to support customer usage and growth in our customer base, increased research and development expenses to support the growth of our business and related infrastructure, and increased general and administrative expenses to support being a publicly traded company.</w:t>
      </w:r>
    </w:p>
    <w:p>
      <w:pPr>
        <w:spacing w:after="0" w:line="138" w:lineRule="exact"/>
        <w:rPr>
          <w:sz w:val="20"/>
          <w:szCs w:val="20"/>
          <w:color w:val="auto"/>
        </w:rPr>
      </w:pPr>
    </w:p>
    <w:p>
      <w:pPr>
        <w:ind w:left="1680" w:right="619" w:firstLine="316"/>
        <w:spacing w:after="0" w:line="277" w:lineRule="auto"/>
        <w:rPr>
          <w:sz w:val="20"/>
          <w:szCs w:val="20"/>
          <w:color w:val="auto"/>
        </w:rPr>
      </w:pPr>
      <w:r>
        <w:rPr>
          <w:rFonts w:ascii="Times New Roman" w:cs="Times New Roman" w:eastAsia="Times New Roman" w:hAnsi="Times New Roman"/>
          <w:sz w:val="13"/>
          <w:szCs w:val="13"/>
          <w:color w:val="auto"/>
        </w:rPr>
        <w:t>As of July 31, 2020, our principal sources of liquidity were cash, cash equivalents, and marketable securities of $455.9 million and restricted cash of $1.2 million.</w:t>
      </w:r>
    </w:p>
    <w:p>
      <w:pPr>
        <w:spacing w:after="0" w:line="120" w:lineRule="exact"/>
        <w:rPr>
          <w:sz w:val="20"/>
          <w:szCs w:val="20"/>
          <w:color w:val="auto"/>
        </w:rPr>
      </w:pPr>
    </w:p>
    <w:p>
      <w:pPr>
        <w:ind w:left="1680" w:right="599" w:firstLine="316"/>
        <w:spacing w:after="0" w:line="279" w:lineRule="auto"/>
        <w:rPr>
          <w:sz w:val="20"/>
          <w:szCs w:val="20"/>
          <w:color w:val="auto"/>
        </w:rPr>
      </w:pPr>
      <w:r>
        <w:rPr>
          <w:rFonts w:ascii="Times New Roman" w:cs="Times New Roman" w:eastAsia="Times New Roman" w:hAnsi="Times New Roman"/>
          <w:sz w:val="12"/>
          <w:szCs w:val="12"/>
          <w:color w:val="auto"/>
        </w:rPr>
        <w:t>In April 2020, we entered into a five-year $40.0 million term loan agreement with Silicon Valley Bank. The agreement provides for a senior secured term loan facility, in an aggregate principal amount of up to $40.0 million, to be used for the construction of our new corporate headquarters. Interest will accrue on any outstanding balance at a floating rate per annum equal to the prime rate (as publicly announced from time to time by the Wall Street Journal) plus an applicable margin equal to either (a) 0% if our unrestricted cash at the lender is equal to or less than $80.0 million, or (b) (0.5)% if our unrestricted cash at the lender is between $80.0 million and $100.0 million, or (c) (1.0)% if our unrestricted cash balance at the lender is equal to or greater than $100.0 million. Interest shall be payable monthly. As of July 31, 2020, $3.0 million was drawn and outstanding under this term loan.</w:t>
      </w:r>
    </w:p>
    <w:p>
      <w:pPr>
        <w:spacing w:after="0" w:line="123" w:lineRule="exact"/>
        <w:rPr>
          <w:sz w:val="20"/>
          <w:szCs w:val="20"/>
          <w:color w:val="auto"/>
        </w:rPr>
      </w:pPr>
    </w:p>
    <w:p>
      <w:pPr>
        <w:ind w:left="1680" w:right="579" w:firstLine="316"/>
        <w:spacing w:after="0" w:line="277" w:lineRule="auto"/>
        <w:rPr>
          <w:sz w:val="20"/>
          <w:szCs w:val="20"/>
          <w:color w:val="auto"/>
        </w:rPr>
      </w:pPr>
      <w:r>
        <w:rPr>
          <w:rFonts w:ascii="Times New Roman" w:cs="Times New Roman" w:eastAsia="Times New Roman" w:hAnsi="Times New Roman"/>
          <w:sz w:val="13"/>
          <w:szCs w:val="13"/>
          <w:color w:val="auto"/>
        </w:rPr>
        <w:t>A substantial source of our cash provided by operating activities is our deferred revenue, which is included on our consolidated balance sheets as a liability. Deferred revenue consists of the unearned portion of billed fees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75</w:t>
      </w:r>
    </w:p>
    <w:p>
      <w:pPr>
        <w:sectPr>
          <w:pgSz w:w="11900" w:h="16838" w:orient="portrait"/>
          <w:cols w:equalWidth="0" w:num="1">
            <w:col w:w="10159"/>
          </w:cols>
          <w:pgMar w:left="300" w:top="367" w:right="1440" w:bottom="1440" w:gutter="0" w:footer="0" w:header="0"/>
        </w:sectPr>
      </w:pPr>
    </w:p>
    <w:bookmarkStart w:id="80" w:name="page81"/>
    <w:bookmarkEnd w:id="8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jc w:val="both"/>
        <w:ind w:left="1680" w:right="799"/>
        <w:spacing w:after="0" w:line="263" w:lineRule="auto"/>
        <w:rPr>
          <w:sz w:val="20"/>
          <w:szCs w:val="20"/>
          <w:color w:val="auto"/>
        </w:rPr>
      </w:pPr>
      <w:r>
        <w:rPr>
          <w:rFonts w:ascii="Times New Roman" w:cs="Times New Roman" w:eastAsia="Times New Roman" w:hAnsi="Times New Roman"/>
          <w:sz w:val="13"/>
          <w:szCs w:val="13"/>
          <w:color w:val="auto"/>
        </w:rPr>
        <w:t>for our subscriptions, which is recorded as revenues over the term of the subscription agreement. As of January 31, 2020 and July 31, 2020, we had $64.1 million and $75.0 million of deferred revenue, respectively, of which $62.7 million and $73.8 million, respectively, were recorded as a current liability. This deferred revenue will be recognized as revenues when all of the revenue recognition criteria are met.</w:t>
      </w:r>
    </w:p>
    <w:p>
      <w:pPr>
        <w:spacing w:after="0" w:line="129" w:lineRule="exact"/>
        <w:rPr>
          <w:sz w:val="20"/>
          <w:szCs w:val="20"/>
          <w:color w:val="auto"/>
        </w:rPr>
      </w:pPr>
    </w:p>
    <w:p>
      <w:pPr>
        <w:ind w:left="1680" w:right="639" w:firstLine="316"/>
        <w:spacing w:after="0" w:line="263" w:lineRule="auto"/>
        <w:rPr>
          <w:sz w:val="20"/>
          <w:szCs w:val="20"/>
          <w:color w:val="auto"/>
        </w:rPr>
      </w:pPr>
      <w:r>
        <w:rPr>
          <w:rFonts w:ascii="Times New Roman" w:cs="Times New Roman" w:eastAsia="Times New Roman" w:hAnsi="Times New Roman"/>
          <w:sz w:val="13"/>
          <w:szCs w:val="13"/>
          <w:color w:val="auto"/>
        </w:rPr>
        <w:t>We assess our liquidity primarily through our cash on hand as well as the projected timing of billings under contract with our paying customers and related collection cycles. We believe our current cash, cash equivalents, marketable securities, and amounts available under our senior secured term loan facility will be sufficient to meet our working capital and capital expenditure requirements for at least the next 12 months.</w:t>
      </w:r>
    </w:p>
    <w:p>
      <w:pPr>
        <w:spacing w:after="0" w:line="20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Cash Flows</w:t>
      </w:r>
    </w:p>
    <w:p>
      <w:pPr>
        <w:spacing w:after="0" w:line="8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following table shows a summary of our cash flows for the periods presented:</w:t>
      </w:r>
    </w:p>
    <w:p>
      <w:pPr>
        <w:spacing w:after="0" w:line="176"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0" w:type="dxa"/>
            <w:vAlign w:val="bottom"/>
            <w:gridSpan w:val="3"/>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Year Ended January 31,</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gridSpan w:val="3"/>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Six Months Ended July 31,</w:t>
            </w:r>
          </w:p>
        </w:tc>
      </w:tr>
      <w:tr>
        <w:trPr>
          <w:trHeight w:val="96"/>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Borders>
              <w:top w:val="single" w:sz="8" w:color="auto"/>
              <w:bottom w:val="single" w:sz="8" w:color="auto"/>
            </w:tcBorders>
          </w:tcPr>
          <w:p>
            <w:pPr>
              <w:jc w:val="right"/>
              <w:ind w:right="348"/>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780" w:type="dxa"/>
            <w:vAlign w:val="bottom"/>
            <w:tcBorders>
              <w:top w:val="single" w:sz="8" w:color="auto"/>
              <w:bottom w:val="single" w:sz="8" w:color="auto"/>
            </w:tcBorders>
          </w:tcPr>
          <w:p>
            <w:pPr>
              <w:jc w:val="right"/>
              <w:ind w:right="141"/>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640" w:type="dxa"/>
            <w:vAlign w:val="bottom"/>
            <w:tcBorders>
              <w:top w:val="single" w:sz="8" w:color="auto"/>
              <w:bottom w:val="single" w:sz="8" w:color="auto"/>
            </w:tcBorders>
          </w:tcPr>
          <w:p>
            <w:pPr>
              <w:jc w:val="right"/>
              <w:ind w:right="341"/>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780" w:type="dxa"/>
            <w:vAlign w:val="bottom"/>
            <w:tcBorders>
              <w:top w:val="single" w:sz="8" w:color="auto"/>
              <w:bottom w:val="single" w:sz="8" w:color="auto"/>
            </w:tcBorders>
          </w:tcPr>
          <w:p>
            <w:pPr>
              <w:jc w:val="right"/>
              <w:ind w:right="139"/>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20" w:type="dxa"/>
            <w:vAlign w:val="bottom"/>
            <w:gridSpan w:val="4"/>
          </w:tcPr>
          <w:p>
            <w:pPr>
              <w:jc w:val="right"/>
              <w:ind w:right="40"/>
              <w:spacing w:after="0" w:line="97"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55"/>
        </w:trPr>
        <w:tc>
          <w:tcPr>
            <w:tcW w:w="2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16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3"/>
                <w:szCs w:val="13"/>
                <w:color w:val="auto"/>
              </w:rPr>
              <w:t>$   (30,180)</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(40,136)</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3"/>
                <w:szCs w:val="13"/>
                <w:color w:val="auto"/>
              </w:rPr>
              <w:t>(13,100)</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   (40,270)</w:t>
            </w:r>
          </w:p>
        </w:tc>
      </w:tr>
      <w:tr>
        <w:trPr>
          <w:trHeight w:val="155"/>
        </w:trPr>
        <w:tc>
          <w:tcPr>
            <w:tcW w:w="2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166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color w:val="auto"/>
              </w:rPr>
              <w:t>(44,662)</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12,655</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101"/>
              <w:spacing w:after="0"/>
              <w:rPr>
                <w:sz w:val="20"/>
                <w:szCs w:val="20"/>
                <w:color w:val="auto"/>
              </w:rPr>
            </w:pPr>
            <w:r>
              <w:rPr>
                <w:rFonts w:ascii="Times New Roman" w:cs="Times New Roman" w:eastAsia="Times New Roman" w:hAnsi="Times New Roman"/>
                <w:sz w:val="13"/>
                <w:szCs w:val="13"/>
                <w:color w:val="auto"/>
              </w:rPr>
              <w:t>(1,877)</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25,723</w:t>
            </w: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16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3"/>
                <w:szCs w:val="13"/>
                <w:color w:val="auto"/>
              </w:rPr>
              <w:t>55,293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311,597</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3"/>
                <w:szCs w:val="13"/>
                <w:color w:val="auto"/>
              </w:rPr>
              <w:t>2,923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154,480</w:t>
            </w:r>
          </w:p>
        </w:tc>
        <w:tc>
          <w:tcPr>
            <w:tcW w:w="80" w:type="dxa"/>
            <w:vAlign w:val="bottom"/>
            <w:shd w:val="clear" w:color="auto" w:fill="CCEEFF"/>
          </w:tcPr>
          <w:p>
            <w:pPr>
              <w:spacing w:after="0"/>
              <w:rPr>
                <w:sz w:val="13"/>
                <w:szCs w:val="13"/>
                <w:color w:val="auto"/>
              </w:rPr>
            </w:pPr>
          </w:p>
        </w:tc>
      </w:tr>
    </w:tbl>
    <w:p>
      <w:pPr>
        <w:spacing w:after="0" w:line="2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Operating Activities</w:t>
      </w:r>
    </w:p>
    <w:p>
      <w:pPr>
        <w:spacing w:after="0" w:line="87" w:lineRule="exact"/>
        <w:rPr>
          <w:sz w:val="20"/>
          <w:szCs w:val="20"/>
          <w:color w:val="auto"/>
        </w:rPr>
      </w:pPr>
    </w:p>
    <w:p>
      <w:pPr>
        <w:ind w:left="1680" w:right="619" w:firstLine="316"/>
        <w:spacing w:after="0" w:line="258" w:lineRule="auto"/>
        <w:rPr>
          <w:sz w:val="20"/>
          <w:szCs w:val="20"/>
          <w:color w:val="auto"/>
        </w:rPr>
      </w:pPr>
      <w:r>
        <w:rPr>
          <w:rFonts w:ascii="Times New Roman" w:cs="Times New Roman" w:eastAsia="Times New Roman" w:hAnsi="Times New Roman"/>
          <w:sz w:val="13"/>
          <w:szCs w:val="13"/>
          <w:color w:val="auto"/>
        </w:rPr>
        <w:t>Our largest source of operating cash is cash collection from sales of subscriptions to our paying customers. Our primary uses of cash from operating activities are for personnel-related expenses, marketing expenses, and third-party hosting-related and software expenses. In the last several years, we have generated negative cash flows from operating activities and have supplemented working capital requirements through net proceeds from the sale of equity and equity-linked securities.</w:t>
      </w:r>
    </w:p>
    <w:p>
      <w:pPr>
        <w:spacing w:after="0" w:line="133" w:lineRule="exact"/>
        <w:rPr>
          <w:sz w:val="20"/>
          <w:szCs w:val="20"/>
          <w:color w:val="auto"/>
        </w:rPr>
      </w:pPr>
    </w:p>
    <w:p>
      <w:pPr>
        <w:ind w:left="1680" w:right="559" w:firstLine="316"/>
        <w:spacing w:after="0" w:line="252" w:lineRule="auto"/>
        <w:rPr>
          <w:sz w:val="20"/>
          <w:szCs w:val="20"/>
          <w:color w:val="auto"/>
        </w:rPr>
      </w:pPr>
      <w:r>
        <w:rPr>
          <w:rFonts w:ascii="Times New Roman" w:cs="Times New Roman" w:eastAsia="Times New Roman" w:hAnsi="Times New Roman"/>
          <w:sz w:val="13"/>
          <w:szCs w:val="13"/>
          <w:color w:val="auto"/>
        </w:rPr>
        <w:t>Net cash used in operating activities of $40.3 million for the six months ended July 31, 2020 reflects our net loss of $76.9 million, adjusted by non-cash items such as amortization of discount on convertible notes of $9.6 million, stock-based compensation expense of $9.4 million, non-cash lease expense of $6.6 million, non-cash interest expense of $5.7 million, amortization of deferred contract acquisition costs of $1.6 million, depreciation and amortization of $1.5 million, provision for doubtful accounts of $1.1 million, and net cash inflows of $1.2 million from changes in our operating assets and liabilities. The net cash inflows from changes in operating assets and liabilities primarily consisted of a $10.9 million increase in deferred revenue, resulting from increased billings for subscriptions, a $3.5 million increase in accrued liabilities and other liabilities primarily from an increase in accrued advertising, and a $1.5 million increase in accounts payable. These amounts were partially offset by a $4.8 million increase in accounts receivable due to higher customer billings, a $4.3 million decrease in operating lease liabilities, and a $4.4 million increase in prepaid expenses and other current assets related to an increase in deferred contract acquisition costs.</w:t>
      </w:r>
    </w:p>
    <w:p>
      <w:pPr>
        <w:spacing w:after="0" w:line="138" w:lineRule="exact"/>
        <w:rPr>
          <w:sz w:val="20"/>
          <w:szCs w:val="20"/>
          <w:color w:val="auto"/>
        </w:rPr>
      </w:pPr>
    </w:p>
    <w:p>
      <w:pPr>
        <w:ind w:left="1680" w:right="579" w:firstLine="316"/>
        <w:spacing w:after="0" w:line="253" w:lineRule="auto"/>
        <w:rPr>
          <w:sz w:val="20"/>
          <w:szCs w:val="20"/>
          <w:color w:val="auto"/>
        </w:rPr>
      </w:pPr>
      <w:r>
        <w:rPr>
          <w:rFonts w:ascii="Times New Roman" w:cs="Times New Roman" w:eastAsia="Times New Roman" w:hAnsi="Times New Roman"/>
          <w:sz w:val="13"/>
          <w:szCs w:val="13"/>
          <w:color w:val="auto"/>
        </w:rPr>
        <w:t>Net cash used in operating activities of $13.1 million for the six months ended July 31, 2019 reflects our net loss of $30.5 million, adjusted by non-cash items such as non-cash lease expense of $3.7 million, stock-based compensation expense of $3.4 million, depreciation and amortization of $1.2 million, and net cash inflows of $9.0 million from changes in our operating assets and liabilities. The net cash inflows from changes in operating assets and liabilities primarily consisted of a $14.6 million increase in deferred revenue resulting from increased billings for subscriptions and a $1.8 million increase in accounts payable. These amounts were partially offset by a $3.2 million decrease in operating lease liabilities, a $2.4 million increase in prepaid expenses and other current assets primarily related to an increase in deferred contract acquisition costs, and a $2.1 million increase in accounts receivable due to higher customer billings.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76</w:t>
      </w:r>
    </w:p>
    <w:p>
      <w:pPr>
        <w:sectPr>
          <w:pgSz w:w="11900" w:h="16838" w:orient="portrait"/>
          <w:cols w:equalWidth="0" w:num="1">
            <w:col w:w="10159"/>
          </w:cols>
          <w:pgMar w:left="300" w:top="367" w:right="1440" w:bottom="1440" w:gutter="0" w:footer="0" w:header="0"/>
        </w:sectPr>
      </w:pPr>
    </w:p>
    <w:bookmarkStart w:id="81" w:name="page82"/>
    <w:bookmarkEnd w:id="8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99" w:firstLine="316"/>
        <w:spacing w:after="0" w:line="252" w:lineRule="auto"/>
        <w:rPr>
          <w:sz w:val="20"/>
          <w:szCs w:val="20"/>
          <w:color w:val="auto"/>
        </w:rPr>
      </w:pPr>
      <w:r>
        <w:rPr>
          <w:rFonts w:ascii="Times New Roman" w:cs="Times New Roman" w:eastAsia="Times New Roman" w:hAnsi="Times New Roman"/>
          <w:sz w:val="13"/>
          <w:szCs w:val="13"/>
          <w:color w:val="auto"/>
        </w:rPr>
        <w:t>Net cash used in operating activities of $40.1 million for fiscal 2020 reflects our net loss of $118.6 million, adjusted by non-cash items such as stock-based compensation expense of $48.4 million, non-cash lease expense of $8.2 million, depreciation and amortization of $2.2 million, amortization of deferred contract acquisition costs of $1.6 million, and net accretion of discount on marketable securities of $1.0 million, and net cash inflows of $18.2 million from changes in our operating assets and liabilities. The net cash inflows from changes in operating assets and liabilities primarily consisted of a $32.2 million increase in deferred revenue, resulting from increased billings for subscriptions, and an $8.3 million increase in accrued expenses and other current liabilities, resulting primarily from increases in accrued professional services, marketing, accrued payroll, and benefits, and a $3.5 million increase in accounts payable. These amounts were partially offset by an $8.7 million increase in prepaid expenses and other current assets related to an increase in prepayments made in advance for future services and an increase in deferred contract acquisition costs, a $7.7 million increase in accounts receivable due to higher customer billings, and a $7.6 million decrease in operating lease liabilities.</w:t>
      </w:r>
    </w:p>
    <w:p>
      <w:pPr>
        <w:spacing w:after="0" w:line="138" w:lineRule="exact"/>
        <w:rPr>
          <w:sz w:val="20"/>
          <w:szCs w:val="20"/>
          <w:color w:val="auto"/>
        </w:rPr>
      </w:pPr>
    </w:p>
    <w:p>
      <w:pPr>
        <w:ind w:left="1680" w:right="579" w:firstLine="316"/>
        <w:spacing w:after="0" w:line="253" w:lineRule="auto"/>
        <w:rPr>
          <w:sz w:val="20"/>
          <w:szCs w:val="20"/>
          <w:color w:val="auto"/>
        </w:rPr>
      </w:pPr>
      <w:r>
        <w:rPr>
          <w:rFonts w:ascii="Times New Roman" w:cs="Times New Roman" w:eastAsia="Times New Roman" w:hAnsi="Times New Roman"/>
          <w:sz w:val="13"/>
          <w:szCs w:val="13"/>
          <w:color w:val="auto"/>
        </w:rPr>
        <w:t xml:space="preserve">Net cash used in operating activities of $30.2 million for fiscal 2019 reflects our net loss of $50.9 million, offset by non-cash items such as stock-based compensation expense of $8.5 million and depreciation and amortization of $4.2 million, and net cash inflows of $8.3 million from changes in our operating assets and liabilities. The net cash inflows from changes in operating assets and liabilities primarily consisted of a $15.1 million increase in deferred revenue, resulting from increased billings for subscriptions, and a $4.0 million increase in accrued expenses and other current liabilities, resulting primarily from increases in accrued payroll related to commissions and bonuses. These amounts were partially offset by a $4.5 million increase in prepaid expenses and other current assets related to prepayments made in advance for future services, a $3.7 million increase in other assets related to deferred contract acquisition costs resulting from the adoption of Accounting Standards Codification Topic 606, </w:t>
      </w:r>
      <w:r>
        <w:rPr>
          <w:rFonts w:ascii="Times New Roman" w:cs="Times New Roman" w:eastAsia="Times New Roman" w:hAnsi="Times New Roman"/>
          <w:sz w:val="13"/>
          <w:szCs w:val="13"/>
          <w:i w:val="1"/>
          <w:iCs w:val="1"/>
          <w:color w:val="auto"/>
        </w:rPr>
        <w:t>Revenue From Contracts With</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Customers</w:t>
      </w:r>
      <w:r>
        <w:rPr>
          <w:rFonts w:ascii="Times New Roman" w:cs="Times New Roman" w:eastAsia="Times New Roman" w:hAnsi="Times New Roman"/>
          <w:sz w:val="13"/>
          <w:szCs w:val="13"/>
          <w:color w:val="auto"/>
        </w:rPr>
        <w:t>, or ASC 606, and a $3.4 million increase in accounts receivable due to higher customer billings.</w:t>
      </w:r>
    </w:p>
    <w:p>
      <w:pPr>
        <w:spacing w:after="0" w:line="20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Investing Activities</w:t>
      </w:r>
    </w:p>
    <w:p>
      <w:pPr>
        <w:spacing w:after="0" w:line="87" w:lineRule="exact"/>
        <w:rPr>
          <w:sz w:val="20"/>
          <w:szCs w:val="20"/>
          <w:color w:val="auto"/>
        </w:rPr>
      </w:pPr>
    </w:p>
    <w:p>
      <w:pPr>
        <w:ind w:left="1680" w:right="939" w:firstLine="316"/>
        <w:spacing w:after="0" w:line="263" w:lineRule="auto"/>
        <w:rPr>
          <w:sz w:val="20"/>
          <w:szCs w:val="20"/>
          <w:color w:val="auto"/>
        </w:rPr>
      </w:pPr>
      <w:r>
        <w:rPr>
          <w:rFonts w:ascii="Times New Roman" w:cs="Times New Roman" w:eastAsia="Times New Roman" w:hAnsi="Times New Roman"/>
          <w:sz w:val="13"/>
          <w:szCs w:val="13"/>
          <w:color w:val="auto"/>
        </w:rPr>
        <w:t>Net cash provided by investing activities of $25.7 million for the six months ended July 31, 2020 consisted of $38.9 million in maturities of marketable securities, partially offset by $12.4 million in purchases of property and equipment from an increase in construction in progress and $0.8 million in capitalized internal-use software costs.</w:t>
      </w:r>
    </w:p>
    <w:p>
      <w:pPr>
        <w:spacing w:after="0" w:line="129" w:lineRule="exact"/>
        <w:rPr>
          <w:sz w:val="20"/>
          <w:szCs w:val="20"/>
          <w:color w:val="auto"/>
        </w:rPr>
      </w:pPr>
    </w:p>
    <w:p>
      <w:pPr>
        <w:ind w:left="1680" w:right="559" w:firstLine="316"/>
        <w:spacing w:after="0" w:line="263" w:lineRule="auto"/>
        <w:rPr>
          <w:sz w:val="20"/>
          <w:szCs w:val="20"/>
          <w:color w:val="auto"/>
        </w:rPr>
      </w:pPr>
      <w:r>
        <w:rPr>
          <w:rFonts w:ascii="Times New Roman" w:cs="Times New Roman" w:eastAsia="Times New Roman" w:hAnsi="Times New Roman"/>
          <w:sz w:val="13"/>
          <w:szCs w:val="13"/>
          <w:color w:val="auto"/>
        </w:rPr>
        <w:t>Net cash used in investing activities of $1.9 million for the six months ended July 31, 2019 consisted of $0.7 million in net purchases, sales, and maturities of marketable securities, $0.8 million in purchases of property and equipment from an increase in construction in progress, and $0.3 million in capitalized internal-use software costs.</w:t>
      </w:r>
    </w:p>
    <w:p>
      <w:pPr>
        <w:spacing w:after="0" w:line="129" w:lineRule="exact"/>
        <w:rPr>
          <w:sz w:val="20"/>
          <w:szCs w:val="20"/>
          <w:color w:val="auto"/>
        </w:rPr>
      </w:pPr>
    </w:p>
    <w:p>
      <w:pPr>
        <w:ind w:left="1680" w:right="619" w:firstLine="316"/>
        <w:spacing w:after="0" w:line="263" w:lineRule="auto"/>
        <w:rPr>
          <w:sz w:val="20"/>
          <w:szCs w:val="20"/>
          <w:color w:val="auto"/>
        </w:rPr>
      </w:pPr>
      <w:r>
        <w:rPr>
          <w:rFonts w:ascii="Times New Roman" w:cs="Times New Roman" w:eastAsia="Times New Roman" w:hAnsi="Times New Roman"/>
          <w:sz w:val="13"/>
          <w:szCs w:val="13"/>
          <w:color w:val="auto"/>
        </w:rPr>
        <w:t>Net cash provided by investing activities of $12.7 million for fiscal 2020 consisted of $19.9 million in net purchases, sales, and maturities of marketable securities, partially offset by $6.9 million in purchases of property and equipment from an increase in construction in progress and leasehold improvements, and $0.4 million in capitalized internal-use software costs.</w:t>
      </w:r>
    </w:p>
    <w:p>
      <w:pPr>
        <w:spacing w:after="0" w:line="129" w:lineRule="exact"/>
        <w:rPr>
          <w:sz w:val="20"/>
          <w:szCs w:val="20"/>
          <w:color w:val="auto"/>
        </w:rPr>
      </w:pPr>
    </w:p>
    <w:p>
      <w:pPr>
        <w:ind w:left="1680" w:right="719" w:firstLine="316"/>
        <w:spacing w:after="0" w:line="263" w:lineRule="auto"/>
        <w:rPr>
          <w:sz w:val="20"/>
          <w:szCs w:val="20"/>
          <w:color w:val="auto"/>
        </w:rPr>
      </w:pPr>
      <w:r>
        <w:rPr>
          <w:rFonts w:ascii="Times New Roman" w:cs="Times New Roman" w:eastAsia="Times New Roman" w:hAnsi="Times New Roman"/>
          <w:sz w:val="13"/>
          <w:szCs w:val="13"/>
          <w:color w:val="auto"/>
        </w:rPr>
        <w:t>Net cash used in investing activities of $44.7 million for fiscal 2019 consisted of $41.3 million in net purchases and maturities of marketable securities, $2.9 million in purchases of property and equipment from an increase in leasehold improvements and furniture and fixtures associated with supporting higher headcount, and $0.6 million in capitalized internal-use software costs.</w:t>
      </w:r>
    </w:p>
    <w:p>
      <w:pPr>
        <w:spacing w:after="0" w:line="20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Financing Activities</w:t>
      </w:r>
    </w:p>
    <w:p>
      <w:pPr>
        <w:spacing w:after="0" w:line="87" w:lineRule="exact"/>
        <w:rPr>
          <w:sz w:val="20"/>
          <w:szCs w:val="20"/>
          <w:color w:val="auto"/>
        </w:rPr>
      </w:pPr>
    </w:p>
    <w:p>
      <w:pPr>
        <w:ind w:left="1680" w:right="699" w:firstLine="316"/>
        <w:spacing w:after="0" w:line="263" w:lineRule="auto"/>
        <w:rPr>
          <w:sz w:val="20"/>
          <w:szCs w:val="20"/>
          <w:color w:val="auto"/>
        </w:rPr>
      </w:pPr>
      <w:r>
        <w:rPr>
          <w:rFonts w:ascii="Times New Roman" w:cs="Times New Roman" w:eastAsia="Times New Roman" w:hAnsi="Times New Roman"/>
          <w:sz w:val="13"/>
          <w:szCs w:val="13"/>
          <w:color w:val="auto"/>
        </w:rPr>
        <w:t>Net cash provided by financing activities of $154.5 million for the six months ended July 31, 2020 consisted of $150.0 million of proceeds from the issuance of a senior mandatory convertible promissory note in June 2020 to a trust affiliated with our CEO, $2.9 million in net proceeds from our term loan, and $1.8 million in proceeds</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77</w:t>
      </w:r>
    </w:p>
    <w:p>
      <w:pPr>
        <w:sectPr>
          <w:pgSz w:w="11900" w:h="16838" w:orient="portrait"/>
          <w:cols w:equalWidth="0" w:num="1">
            <w:col w:w="10159"/>
          </w:cols>
          <w:pgMar w:left="300" w:top="367" w:right="1440" w:bottom="1440" w:gutter="0" w:footer="0" w:header="0"/>
        </w:sectPr>
      </w:pPr>
    </w:p>
    <w:bookmarkStart w:id="82" w:name="page83"/>
    <w:bookmarkEnd w:id="8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from the exercise of stock options, partially offset by $0.2 million in taxes paid related to the net share settlement of equity awards.</w:t>
      </w:r>
    </w:p>
    <w:p>
      <w:pPr>
        <w:spacing w:after="0" w:line="161" w:lineRule="exact"/>
        <w:rPr>
          <w:sz w:val="20"/>
          <w:szCs w:val="20"/>
          <w:color w:val="auto"/>
        </w:rPr>
      </w:pPr>
    </w:p>
    <w:p>
      <w:pPr>
        <w:ind w:left="1680" w:right="739" w:firstLine="316"/>
        <w:spacing w:after="0" w:line="277" w:lineRule="auto"/>
        <w:rPr>
          <w:sz w:val="20"/>
          <w:szCs w:val="20"/>
          <w:color w:val="auto"/>
        </w:rPr>
      </w:pPr>
      <w:r>
        <w:rPr>
          <w:rFonts w:ascii="Times New Roman" w:cs="Times New Roman" w:eastAsia="Times New Roman" w:hAnsi="Times New Roman"/>
          <w:sz w:val="13"/>
          <w:szCs w:val="13"/>
          <w:color w:val="auto"/>
        </w:rPr>
        <w:t>Net cash provided by financing activities of $2.9 million for the six months ended July 31, 2019 primarily consisted of $2.9 million in proceeds from the exercise of stock options.</w:t>
      </w:r>
    </w:p>
    <w:p>
      <w:pPr>
        <w:spacing w:after="0" w:line="120" w:lineRule="exact"/>
        <w:rPr>
          <w:sz w:val="20"/>
          <w:szCs w:val="20"/>
          <w:color w:val="auto"/>
        </w:rPr>
      </w:pPr>
    </w:p>
    <w:p>
      <w:pPr>
        <w:ind w:left="1680" w:right="719" w:firstLine="316"/>
        <w:spacing w:after="0" w:line="263" w:lineRule="auto"/>
        <w:rPr>
          <w:sz w:val="20"/>
          <w:szCs w:val="20"/>
          <w:color w:val="auto"/>
        </w:rPr>
      </w:pPr>
      <w:r>
        <w:rPr>
          <w:rFonts w:ascii="Times New Roman" w:cs="Times New Roman" w:eastAsia="Times New Roman" w:hAnsi="Times New Roman"/>
          <w:sz w:val="13"/>
          <w:szCs w:val="13"/>
          <w:color w:val="auto"/>
        </w:rPr>
        <w:t>Net cash provided by financing activities of $311.6 million for fiscal 2020 consisted of $300.0 million of proceeds from the issuance of a senior mandatory convertible promissory note in January 2020 to a trust affiliated with our CEO and $11.7 million in proceeds from the exercise of stock options, partially offset by $0.1 million in repurchases of common stock.</w:t>
      </w:r>
    </w:p>
    <w:p>
      <w:pPr>
        <w:spacing w:after="0" w:line="129" w:lineRule="exact"/>
        <w:rPr>
          <w:sz w:val="20"/>
          <w:szCs w:val="20"/>
          <w:color w:val="auto"/>
        </w:rPr>
      </w:pPr>
    </w:p>
    <w:p>
      <w:pPr>
        <w:ind w:left="1680" w:right="639" w:firstLine="316"/>
        <w:spacing w:after="0" w:line="277" w:lineRule="auto"/>
        <w:rPr>
          <w:sz w:val="20"/>
          <w:szCs w:val="20"/>
          <w:color w:val="auto"/>
        </w:rPr>
      </w:pPr>
      <w:r>
        <w:rPr>
          <w:rFonts w:ascii="Times New Roman" w:cs="Times New Roman" w:eastAsia="Times New Roman" w:hAnsi="Times New Roman"/>
          <w:sz w:val="13"/>
          <w:szCs w:val="13"/>
          <w:color w:val="auto"/>
        </w:rPr>
        <w:t>Net cash provided by financing activities of $55.3 million for fiscal 2019 consisted of $51.0 million in net proceeds from the sale and issuance of Series E preferred stock and $4.3 million in proceeds from the exercise of stock options.</w:t>
      </w:r>
    </w:p>
    <w:p>
      <w:pPr>
        <w:spacing w:after="0" w:line="19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Contractual Obligations and Commitments</w:t>
      </w:r>
    </w:p>
    <w:p>
      <w:pPr>
        <w:spacing w:after="0" w:line="85" w:lineRule="exact"/>
        <w:rPr>
          <w:sz w:val="20"/>
          <w:szCs w:val="20"/>
          <w:color w:val="auto"/>
        </w:rPr>
      </w:pPr>
    </w:p>
    <w:p>
      <w:pPr>
        <w:ind w:left="1680" w:right="639" w:firstLine="316"/>
        <w:spacing w:after="0" w:line="263" w:lineRule="auto"/>
        <w:rPr>
          <w:sz w:val="20"/>
          <w:szCs w:val="20"/>
          <w:color w:val="auto"/>
        </w:rPr>
      </w:pPr>
      <w:r>
        <w:rPr>
          <w:rFonts w:ascii="Times New Roman" w:cs="Times New Roman" w:eastAsia="Times New Roman" w:hAnsi="Times New Roman"/>
          <w:sz w:val="13"/>
          <w:szCs w:val="13"/>
          <w:color w:val="auto"/>
        </w:rPr>
        <w:t>The contractual commitment amounts in the table below are associated with agreements that are enforceable and legally binding. Purchase orders issued in the ordinary course of business are not included in the table below, as our purchase orders represent authorizations to purchase rather than binding agreements.</w:t>
      </w:r>
    </w:p>
    <w:p>
      <w:pPr>
        <w:spacing w:after="0" w:line="12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following table summarizes our contractual obligations as of January 31, 2020:</w:t>
      </w:r>
    </w:p>
    <w:p>
      <w:pPr>
        <w:spacing w:after="0" w:line="176"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3"/>
          </w:tcPr>
          <w:p>
            <w:pPr>
              <w:jc w:val="center"/>
              <w:ind w:left="22"/>
              <w:spacing w:after="0"/>
              <w:rPr>
                <w:sz w:val="20"/>
                <w:szCs w:val="20"/>
                <w:color w:val="auto"/>
              </w:rPr>
            </w:pPr>
            <w:r>
              <w:rPr>
                <w:rFonts w:ascii="Times New Roman" w:cs="Times New Roman" w:eastAsia="Times New Roman" w:hAnsi="Times New Roman"/>
                <w:sz w:val="10"/>
                <w:szCs w:val="10"/>
                <w:b w:val="1"/>
                <w:bCs w:val="1"/>
                <w:color w:val="auto"/>
              </w:rPr>
              <w:t>Payments Due by Period</w:t>
            </w: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40" w:type="dxa"/>
            <w:vAlign w:val="bottom"/>
            <w:vMerge w:val="restart"/>
          </w:tcPr>
          <w:p>
            <w:pPr>
              <w:jc w:val="right"/>
              <w:ind w:right="6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940" w:type="dxa"/>
            <w:vAlign w:val="bottom"/>
            <w:gridSpan w:val="3"/>
          </w:tcPr>
          <w:p>
            <w:pPr>
              <w:ind w:left="440"/>
              <w:spacing w:after="0" w:line="80" w:lineRule="exact"/>
              <w:rPr>
                <w:sz w:val="20"/>
                <w:szCs w:val="20"/>
                <w:color w:val="auto"/>
              </w:rPr>
            </w:pPr>
            <w:r>
              <w:rPr>
                <w:rFonts w:ascii="Times New Roman" w:cs="Times New Roman" w:eastAsia="Times New Roman" w:hAnsi="Times New Roman"/>
                <w:sz w:val="9"/>
                <w:szCs w:val="9"/>
                <w:b w:val="1"/>
                <w:bCs w:val="1"/>
                <w:color w:val="auto"/>
              </w:rPr>
              <w:t>Less than 1</w:t>
            </w:r>
          </w:p>
        </w:tc>
        <w:tc>
          <w:tcPr>
            <w:tcW w:w="440" w:type="dxa"/>
            <w:vAlign w:val="bottom"/>
          </w:tcPr>
          <w:p>
            <w:pPr>
              <w:spacing w:after="0"/>
              <w:rPr>
                <w:sz w:val="6"/>
                <w:szCs w:val="6"/>
                <w:color w:val="auto"/>
              </w:rPr>
            </w:pPr>
          </w:p>
        </w:tc>
        <w:tc>
          <w:tcPr>
            <w:tcW w:w="8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7"/>
              </w:rPr>
              <w:t>1-3 Years</w:t>
            </w:r>
          </w:p>
        </w:tc>
        <w:tc>
          <w:tcPr>
            <w:tcW w:w="4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3-5 Years</w:t>
            </w:r>
          </w:p>
        </w:tc>
        <w:tc>
          <w:tcPr>
            <w:tcW w:w="1000" w:type="dxa"/>
            <w:vAlign w:val="bottom"/>
            <w:gridSpan w:val="3"/>
          </w:tcPr>
          <w:p>
            <w:pPr>
              <w:jc w:val="right"/>
              <w:spacing w:after="0" w:line="80" w:lineRule="exact"/>
              <w:rPr>
                <w:sz w:val="20"/>
                <w:szCs w:val="20"/>
                <w:color w:val="auto"/>
              </w:rPr>
            </w:pPr>
            <w:r>
              <w:rPr>
                <w:rFonts w:ascii="Times New Roman" w:cs="Times New Roman" w:eastAsia="Times New Roman" w:hAnsi="Times New Roman"/>
                <w:sz w:val="9"/>
                <w:szCs w:val="9"/>
                <w:b w:val="1"/>
                <w:bCs w:val="1"/>
                <w:color w:val="auto"/>
              </w:rPr>
              <w:t>More than 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ind w:right="99"/>
              <w:spacing w:after="0"/>
              <w:rPr>
                <w:sz w:val="20"/>
                <w:szCs w:val="20"/>
                <w:color w:val="auto"/>
              </w:rPr>
            </w:pPr>
            <w:r>
              <w:rPr>
                <w:rFonts w:ascii="Times New Roman" w:cs="Times New Roman" w:eastAsia="Times New Roman" w:hAnsi="Times New Roman"/>
                <w:sz w:val="10"/>
                <w:szCs w:val="10"/>
                <w:b w:val="1"/>
                <w:bCs w:val="1"/>
                <w:color w:val="auto"/>
              </w:rPr>
              <w:t>Year</w:t>
            </w:r>
          </w:p>
        </w:tc>
        <w:tc>
          <w:tcPr>
            <w:tcW w:w="4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Years</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gridSpan w:val="3"/>
          </w:tcPr>
          <w:p>
            <w:pPr>
              <w:jc w:val="center"/>
              <w:ind w:left="22"/>
              <w:spacing w:after="0" w:line="97"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 commitments</w:t>
            </w:r>
            <w:r>
              <w:rPr>
                <w:rFonts w:ascii="Times New Roman" w:cs="Times New Roman" w:eastAsia="Times New Roman" w:hAnsi="Times New Roman"/>
                <w:sz w:val="10"/>
                <w:szCs w:val="10"/>
                <w:color w:val="auto"/>
              </w:rPr>
              <w:t>(1)</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$22,852</w:t>
            </w: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12,156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$10,696</w:t>
            </w:r>
          </w:p>
        </w:tc>
        <w:tc>
          <w:tcPr>
            <w:tcW w:w="3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Purchase commitments</w:t>
            </w:r>
            <w:r>
              <w:rPr>
                <w:rFonts w:ascii="Times New Roman" w:cs="Times New Roman" w:eastAsia="Times New Roman" w:hAnsi="Times New Roman"/>
                <w:sz w:val="10"/>
                <w:szCs w:val="10"/>
                <w:color w:val="auto"/>
              </w:rPr>
              <w:t>(2)</w:t>
            </w:r>
          </w:p>
        </w:tc>
        <w:tc>
          <w:tcPr>
            <w:tcW w:w="10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9,160</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9,160</w:t>
            </w:r>
          </w:p>
        </w:tc>
        <w:tc>
          <w:tcPr>
            <w:tcW w:w="4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2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 contractual obligations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32,012</w:t>
            </w: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21,316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10,696</w:t>
            </w:r>
          </w:p>
        </w:tc>
        <w:tc>
          <w:tcPr>
            <w:tcW w:w="3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67945</wp:posOffset>
            </wp:positionV>
            <wp:extent cx="548005"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48005" cy="6350"/>
                    </a:xfrm>
                    <a:prstGeom prst="rect">
                      <a:avLst/>
                    </a:prstGeom>
                    <a:noFill/>
                  </pic:spPr>
                </pic:pic>
              </a:graphicData>
            </a:graphic>
          </wp:anchor>
        </w:drawing>
      </w:r>
    </w:p>
    <w:p>
      <w:pPr>
        <w:spacing w:after="0" w:line="111" w:lineRule="exact"/>
        <w:rPr>
          <w:sz w:val="20"/>
          <w:szCs w:val="20"/>
          <w:color w:val="auto"/>
        </w:rPr>
      </w:pPr>
    </w:p>
    <w:p>
      <w:pPr>
        <w:ind w:left="2000" w:hanging="311"/>
        <w:spacing w:after="0"/>
        <w:tabs>
          <w:tab w:leader="none" w:pos="2000" w:val="left"/>
        </w:tabs>
        <w:numPr>
          <w:ilvl w:val="0"/>
          <w:numId w:val="3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future non-cancelable minimum rental payments under operating leases for our offices. Amounts above include imputed interest.</w:t>
      </w:r>
    </w:p>
    <w:p>
      <w:pPr>
        <w:spacing w:after="0" w:line="1" w:lineRule="exact"/>
        <w:rPr>
          <w:rFonts w:ascii="Times New Roman" w:cs="Times New Roman" w:eastAsia="Times New Roman" w:hAnsi="Times New Roman"/>
          <w:sz w:val="10"/>
          <w:szCs w:val="10"/>
          <w:color w:val="auto"/>
        </w:rPr>
      </w:pPr>
    </w:p>
    <w:p>
      <w:pPr>
        <w:ind w:left="2000" w:right="639" w:hanging="311"/>
        <w:spacing w:after="0" w:line="233" w:lineRule="auto"/>
        <w:tabs>
          <w:tab w:leader="none" w:pos="2000" w:val="left"/>
        </w:tabs>
        <w:numPr>
          <w:ilvl w:val="0"/>
          <w:numId w:val="3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December 2018, we entered into a 27-month contract with Amazon Web Services for hosting-related services. Pursuant to the terms of the contract, we are required to spend a minimum of $9.0 million within the first year and an additional minimum of $11.0 million within the second year. As of January 31, 2020 and July 31, 2020, we had $9.2 million and $1.0 million, respectively, remaining on the commitment.</w:t>
      </w:r>
    </w:p>
    <w:p>
      <w:pPr>
        <w:spacing w:after="0" w:line="132" w:lineRule="exact"/>
        <w:rPr>
          <w:sz w:val="20"/>
          <w:szCs w:val="20"/>
          <w:color w:val="auto"/>
        </w:rPr>
      </w:pPr>
    </w:p>
    <w:p>
      <w:pPr>
        <w:ind w:left="1680" w:right="579" w:firstLine="316"/>
        <w:spacing w:after="0" w:line="252" w:lineRule="auto"/>
        <w:rPr>
          <w:sz w:val="20"/>
          <w:szCs w:val="20"/>
          <w:color w:val="auto"/>
        </w:rPr>
      </w:pPr>
      <w:r>
        <w:rPr>
          <w:rFonts w:ascii="Times New Roman" w:cs="Times New Roman" w:eastAsia="Times New Roman" w:hAnsi="Times New Roman"/>
          <w:sz w:val="13"/>
          <w:szCs w:val="13"/>
          <w:color w:val="auto"/>
        </w:rPr>
        <w:t>In February 2019, we entered into a new lease agreement for our corporate headquarters in San Francisco. This lease commenced in May 2020 and expires in October 2033. As part of the agreement, we issued a $17.0 million letter of credit upon access to the office space. We expect to start making recurring rental payments under the lease in the second quarter of fiscal 2022. We have begun participating in the construction of the office space and have incurred construction costs to prepare the office space for its use, which will be partially reimbursed by the landlord. As of January 31, 2020, the future minimum payments and capital commitments related to this lease, which include tenant improvement allowances of $26.6 million, totaled $466.0 million. Subsequent to January 31, 2020, we incurred a delay associated with the construction of the office space, and as a result, we expect to incur a total of approximately $457.4 million of future minimum payments and capital commitments as of July 31, 2020. Additionally, in April 2020, we amended the lease arrangement to include additional space, for which future minimum payments total $3.9 million. The first and second phases of this lease commenced in May 2020 and July 2020, respectively. Our CEO acts as a personal guarantor to the lease for the full rent payments over the entire term of the lease should we default on our obligations. These amounts are not included in the table above.</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78</w:t>
      </w:r>
    </w:p>
    <w:p>
      <w:pPr>
        <w:sectPr>
          <w:pgSz w:w="11900" w:h="16838" w:orient="portrait"/>
          <w:cols w:equalWidth="0" w:num="1">
            <w:col w:w="10159"/>
          </w:cols>
          <w:pgMar w:left="300" w:top="367" w:right="1440" w:bottom="1440" w:gutter="0" w:footer="0" w:header="0"/>
        </w:sectPr>
      </w:pPr>
    </w:p>
    <w:bookmarkStart w:id="83" w:name="page84"/>
    <w:bookmarkEnd w:id="8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In January and June 2020, we issued two unsecured senior mandatory convertible promissory notes for an aggregate principal amount of</w:t>
      </w:r>
    </w:p>
    <w:p>
      <w:pPr>
        <w:spacing w:after="0" w:line="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2"/>
          <w:szCs w:val="12"/>
          <w:color w:val="auto"/>
        </w:rPr>
        <w:t>$450.0 million, or the 2020 Notes, to a trust affiliated with our CEO. The 2020 Notes are senior, unsecured obligations of the Company. The 2020 Notes</w:t>
      </w:r>
    </w:p>
    <w:p>
      <w:pPr>
        <w:spacing w:after="0" w:line="1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bear interest at a fixed rate of 3.5% per annum that will be compounded annually and payable in-kind, resulting in an aggregate $534.5 million being</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due upon settlement. The 2020 Notes consist of a note that matures on January 30, 2025 and a note that matures on June 26, 2025. The 2020 Notes</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mature, and would be converted into shares of our Class B common stock, on the applicable maturity date, unless earlier converted into shares of our</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Class B common stock or redeemed in connection with our bankruptcy, insolvency, or other similar events. The holder of the 2020 Notes is not entitled</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to convert the 2020 Notes at any time. The 2020 Notes are only convertible into shares of our Class B common stock at our option under certain</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scenarios, as discussed in Note 5 to our consolidated financial statements included elsewhere in this prospectus.</w:t>
      </w:r>
    </w:p>
    <w:p>
      <w:pPr>
        <w:spacing w:after="0" w:line="149" w:lineRule="exact"/>
        <w:rPr>
          <w:sz w:val="20"/>
          <w:szCs w:val="20"/>
          <w:color w:val="auto"/>
        </w:rPr>
      </w:pPr>
    </w:p>
    <w:p>
      <w:pPr>
        <w:ind w:left="1680" w:right="619" w:firstLine="316"/>
        <w:spacing w:after="0" w:line="253" w:lineRule="auto"/>
        <w:rPr>
          <w:sz w:val="20"/>
          <w:szCs w:val="20"/>
          <w:color w:val="auto"/>
        </w:rPr>
      </w:pPr>
      <w:r>
        <w:rPr>
          <w:rFonts w:ascii="Times New Roman" w:cs="Times New Roman" w:eastAsia="Times New Roman" w:hAnsi="Times New Roman"/>
          <w:sz w:val="13"/>
          <w:szCs w:val="13"/>
          <w:color w:val="auto"/>
        </w:rPr>
        <w:t>In April 2020, we entered into a $40.0 million term loan agreement with Silicon Valley Bank. The agreement provides for a senior secured term loan facility, in an aggregate principal amount of up to $40.0 million, to be used for the construction of our new corporate headquarters. Any borrowings, together with accrued but unpaid interest, under the term loan agreement are due and payable in April 2025. Interest will accrue on any outstanding balance at a floating rate per annum equal to the prime rate (as publicly announced from time to time by the Wall Street Journal) plus an applicable margin equal to either (a) 0% if our unrestricted cash at the lender is equal to or less than $80.0 million, or (b) (0.5)% if our unrestricted cash at the lender is between $80.0 million and $100.0 million, or (c) (1.0)% if our unrestricted cash balance at the lender is equal to or greater than $100.0 million. Interest shall be payable monthly. As of July 31, 2020, $3.0 million was drawn and outstanding under this term loan.</w:t>
      </w:r>
    </w:p>
    <w:p>
      <w:pPr>
        <w:spacing w:after="0" w:line="21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Indemnification Agreements</w:t>
      </w:r>
    </w:p>
    <w:p>
      <w:pPr>
        <w:spacing w:after="0" w:line="87" w:lineRule="exact"/>
        <w:rPr>
          <w:sz w:val="20"/>
          <w:szCs w:val="20"/>
          <w:color w:val="auto"/>
        </w:rPr>
      </w:pPr>
    </w:p>
    <w:p>
      <w:pPr>
        <w:ind w:left="1680" w:right="599" w:firstLine="316"/>
        <w:spacing w:after="0" w:line="253" w:lineRule="auto"/>
        <w:rPr>
          <w:sz w:val="20"/>
          <w:szCs w:val="20"/>
          <w:color w:val="auto"/>
        </w:rPr>
      </w:pPr>
      <w:r>
        <w:rPr>
          <w:rFonts w:ascii="Times New Roman" w:cs="Times New Roman" w:eastAsia="Times New Roman" w:hAnsi="Times New Roman"/>
          <w:sz w:val="13"/>
          <w:szCs w:val="13"/>
          <w:color w:val="auto"/>
        </w:rPr>
        <w:t>In the ordinary course of business, we enter into agreements of varying scope and terms pursuant to which we agree to indemnify customers, vendors, lessors, business partners, and other parties with respect to certain matters, including, but not limited to, losses arising out of the breach of such agreements, services to be provided by us, or from intellectual property infringement claims made by third parties. Additionally, in connection with the listing of our Class A common stock on the NYSE,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financial position, results of operations, or cash flows.</w:t>
      </w:r>
    </w:p>
    <w:p>
      <w:pPr>
        <w:spacing w:after="0" w:line="21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Off-Balance Sheet Arrangements</w:t>
      </w:r>
    </w:p>
    <w:p>
      <w:pPr>
        <w:spacing w:after="0" w:line="85" w:lineRule="exact"/>
        <w:rPr>
          <w:sz w:val="20"/>
          <w:szCs w:val="20"/>
          <w:color w:val="auto"/>
        </w:rPr>
      </w:pPr>
    </w:p>
    <w:p>
      <w:pPr>
        <w:ind w:left="1680" w:right="579" w:firstLine="316"/>
        <w:spacing w:after="0" w:line="263" w:lineRule="auto"/>
        <w:rPr>
          <w:sz w:val="20"/>
          <w:szCs w:val="20"/>
          <w:color w:val="auto"/>
        </w:rPr>
      </w:pPr>
      <w:r>
        <w:rPr>
          <w:rFonts w:ascii="Times New Roman" w:cs="Times New Roman" w:eastAsia="Times New Roman" w:hAnsi="Times New Roman"/>
          <w:sz w:val="13"/>
          <w:szCs w:val="13"/>
          <w:color w:val="auto"/>
        </w:rPr>
        <w:t>For all periods presented, we did not have any relationships with unconsolidated organizations or financial partnerships, such as structured finance or special purpose entities, which would have been established for the purpose of facilitating off-balance sheet arrangements or other contractually narrow or limited purposes.</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Quantitative and Qualitative Disclosures About Market Risk</w:t>
      </w:r>
    </w:p>
    <w:p>
      <w:pPr>
        <w:spacing w:after="0" w:line="8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We have operations in the United States and internationally, and we are exposed to market risk in the ordinary course of our business.</w:t>
      </w:r>
    </w:p>
    <w:p>
      <w:pPr>
        <w:spacing w:after="0" w:line="23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Interest Rate Risk</w:t>
      </w:r>
    </w:p>
    <w:p>
      <w:pPr>
        <w:spacing w:after="0" w:line="87" w:lineRule="exact"/>
        <w:rPr>
          <w:sz w:val="20"/>
          <w:szCs w:val="20"/>
          <w:color w:val="auto"/>
        </w:rPr>
      </w:pPr>
    </w:p>
    <w:p>
      <w:pPr>
        <w:ind w:left="1680" w:right="639" w:firstLine="316"/>
        <w:spacing w:after="0" w:line="258" w:lineRule="auto"/>
        <w:rPr>
          <w:sz w:val="20"/>
          <w:szCs w:val="20"/>
          <w:color w:val="auto"/>
        </w:rPr>
      </w:pPr>
      <w:r>
        <w:rPr>
          <w:rFonts w:ascii="Times New Roman" w:cs="Times New Roman" w:eastAsia="Times New Roman" w:hAnsi="Times New Roman"/>
          <w:sz w:val="13"/>
          <w:szCs w:val="13"/>
          <w:color w:val="auto"/>
        </w:rPr>
        <w:t>Our cash, cash equivalents, and marketable securities primarily consist of cash on hand and highly liquid investments in money market funds and U.S. government securities. As of January 31, 2020 and July 31, 2020, we had cash and cash equivalents of $306.0 million and $449.5 million, respectively, and marketable securities of $45.3 million and $6.4 million, respectively. We do not enter into investments for trading or speculative purposes. Our investments are exposed to market risk due to fluctuations in interest rates, which may affect our</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79</w:t>
      </w:r>
    </w:p>
    <w:p>
      <w:pPr>
        <w:sectPr>
          <w:pgSz w:w="11900" w:h="16838" w:orient="portrait"/>
          <w:cols w:equalWidth="0" w:num="1">
            <w:col w:w="10159"/>
          </w:cols>
          <w:pgMar w:left="300" w:top="367" w:right="1440" w:bottom="1440" w:gutter="0" w:footer="0" w:header="0"/>
        </w:sectPr>
      </w:pPr>
    </w:p>
    <w:bookmarkStart w:id="84" w:name="page85"/>
    <w:bookmarkEnd w:id="8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jc w:val="both"/>
        <w:ind w:left="1680" w:right="579"/>
        <w:spacing w:after="0" w:line="263" w:lineRule="auto"/>
        <w:rPr>
          <w:sz w:val="20"/>
          <w:szCs w:val="20"/>
          <w:color w:val="auto"/>
        </w:rPr>
      </w:pPr>
      <w:r>
        <w:rPr>
          <w:rFonts w:ascii="Times New Roman" w:cs="Times New Roman" w:eastAsia="Times New Roman" w:hAnsi="Times New Roman"/>
          <w:sz w:val="13"/>
          <w:szCs w:val="13"/>
          <w:color w:val="auto"/>
        </w:rPr>
        <w:t>interest income and the fair value of our investments. However, due to the short-term nature of our investment portfolio, we do not believe an immediate 10% increase or decrease in interest rates would have a material effect on the fair value of our portfolio. We therefore do not expect our operating results or cash flows to be materially affected by a sudden change in market interest rates.</w:t>
      </w:r>
    </w:p>
    <w:p>
      <w:pPr>
        <w:spacing w:after="0" w:line="129" w:lineRule="exact"/>
        <w:rPr>
          <w:sz w:val="20"/>
          <w:szCs w:val="20"/>
          <w:color w:val="auto"/>
        </w:rPr>
      </w:pPr>
    </w:p>
    <w:p>
      <w:pPr>
        <w:ind w:left="1680" w:right="619" w:firstLine="316"/>
        <w:spacing w:after="0" w:line="254" w:lineRule="auto"/>
        <w:rPr>
          <w:sz w:val="20"/>
          <w:szCs w:val="20"/>
          <w:color w:val="auto"/>
        </w:rPr>
      </w:pPr>
      <w:r>
        <w:rPr>
          <w:rFonts w:ascii="Times New Roman" w:cs="Times New Roman" w:eastAsia="Times New Roman" w:hAnsi="Times New Roman"/>
          <w:sz w:val="13"/>
          <w:szCs w:val="13"/>
          <w:color w:val="auto"/>
        </w:rPr>
        <w:t>In January and June 2020, we issued the 2020 Notes for an aggregate principal amount of $450 million to a trust affiliated with our CEO. The 2020 Notes bear interest at a fixed rate of 3.5% per annum that will be compounded annually and payable in-kind. As the 2020 Notes have a fixed annual interest rate, we have no financial exposure associated with changes in interest rates. However, the fair values of the 2020 Notes are subject to interest rate risk, market risk, and other factors, as the fair values of the 2020 Notes will fluctuate when there are changes to the interest rate or the price of our common stock. The interest and common stock value changes affect the fair values of the 2020 Notes, but do not impact our financial position, cash flows, or results of operations due to the fixed nature of the debt obligation.</w:t>
      </w:r>
    </w:p>
    <w:p>
      <w:pPr>
        <w:spacing w:after="0" w:line="21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Foreign Currency Risk</w:t>
      </w:r>
    </w:p>
    <w:p>
      <w:pPr>
        <w:spacing w:after="0" w:line="87" w:lineRule="exact"/>
        <w:rPr>
          <w:sz w:val="20"/>
          <w:szCs w:val="20"/>
          <w:color w:val="auto"/>
        </w:rPr>
      </w:pPr>
    </w:p>
    <w:p>
      <w:pPr>
        <w:ind w:left="1680" w:right="559" w:firstLine="316"/>
        <w:spacing w:after="0" w:line="253" w:lineRule="auto"/>
        <w:rPr>
          <w:sz w:val="20"/>
          <w:szCs w:val="20"/>
          <w:color w:val="auto"/>
        </w:rPr>
      </w:pPr>
      <w:r>
        <w:rPr>
          <w:rFonts w:ascii="Times New Roman" w:cs="Times New Roman" w:eastAsia="Times New Roman" w:hAnsi="Times New Roman"/>
          <w:sz w:val="13"/>
          <w:szCs w:val="13"/>
          <w:color w:val="auto"/>
        </w:rPr>
        <w:t>The vast majority of our subscription agreements are denominated in U.S. dollars, with a small number of subscription agreements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Australian Dollar, Japanese Yen, and Icelandic Krona. Additionally, fluctuations in foreign currency exchange rates may cause us to recognize transaction gains and losses in our consolidated statements of operations.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21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Critical Accounting Policies and Estimates</w:t>
      </w:r>
    </w:p>
    <w:p>
      <w:pPr>
        <w:spacing w:after="0" w:line="85" w:lineRule="exact"/>
        <w:rPr>
          <w:sz w:val="20"/>
          <w:szCs w:val="20"/>
          <w:color w:val="auto"/>
        </w:rPr>
      </w:pPr>
    </w:p>
    <w:p>
      <w:pPr>
        <w:jc w:val="both"/>
        <w:ind w:left="1680" w:right="639" w:firstLine="316"/>
        <w:spacing w:after="0" w:line="258" w:lineRule="auto"/>
        <w:rPr>
          <w:sz w:val="20"/>
          <w:szCs w:val="20"/>
          <w:color w:val="auto"/>
        </w:rPr>
      </w:pPr>
      <w:r>
        <w:rPr>
          <w:rFonts w:ascii="Times New Roman" w:cs="Times New Roman" w:eastAsia="Times New Roman" w:hAnsi="Times New Roman"/>
          <w:sz w:val="13"/>
          <w:szCs w:val="13"/>
          <w:color w:val="auto"/>
        </w:rPr>
        <w:t>Our financial statements are prepared in accordance with U.S. GAAP. The preparation of these financial statements requires us to make estimates and assumptions that affect the reported amounts of assets, liabilities, revenues, and expenses, as well as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33" w:lineRule="exact"/>
        <w:rPr>
          <w:sz w:val="20"/>
          <w:szCs w:val="20"/>
          <w:color w:val="auto"/>
        </w:rPr>
      </w:pPr>
    </w:p>
    <w:p>
      <w:pPr>
        <w:ind w:left="1680" w:right="859" w:firstLine="316"/>
        <w:spacing w:after="0" w:line="277" w:lineRule="auto"/>
        <w:rPr>
          <w:sz w:val="20"/>
          <w:szCs w:val="20"/>
          <w:color w:val="auto"/>
        </w:rPr>
      </w:pPr>
      <w:r>
        <w:rPr>
          <w:rFonts w:ascii="Times New Roman" w:cs="Times New Roman" w:eastAsia="Times New Roman" w:hAnsi="Times New Roman"/>
          <w:sz w:val="13"/>
          <w:szCs w:val="13"/>
          <w:color w:val="auto"/>
        </w:rPr>
        <w:t>The critical accounting estimates, assumptions, and judgments that we believe have the most significant impact on our consolidated financial statements are described below.</w:t>
      </w:r>
    </w:p>
    <w:p>
      <w:pPr>
        <w:spacing w:after="0" w:line="19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Revenue Recognition</w:t>
      </w:r>
    </w:p>
    <w:p>
      <w:pPr>
        <w:spacing w:after="0" w:line="87" w:lineRule="exact"/>
        <w:rPr>
          <w:sz w:val="20"/>
          <w:szCs w:val="20"/>
          <w:color w:val="auto"/>
        </w:rPr>
      </w:pPr>
    </w:p>
    <w:p>
      <w:pPr>
        <w:jc w:val="both"/>
        <w:ind w:left="1680" w:right="579" w:firstLine="316"/>
        <w:spacing w:after="0" w:line="263" w:lineRule="auto"/>
        <w:rPr>
          <w:sz w:val="20"/>
          <w:szCs w:val="20"/>
          <w:color w:val="auto"/>
        </w:rPr>
      </w:pPr>
      <w:r>
        <w:rPr>
          <w:rFonts w:ascii="Times New Roman" w:cs="Times New Roman" w:eastAsia="Times New Roman" w:hAnsi="Times New Roman"/>
          <w:sz w:val="13"/>
          <w:szCs w:val="13"/>
          <w:color w:val="auto"/>
        </w:rPr>
        <w:t>We derive our revenues from monthly and annual subscription fees earned from paying customers accessing the platform. Our policy is to exclude sales and other indirect taxes when measuring the transaction price of our subscription agreements. We account for revenue contracts with customers by applying the requirements of ASC 606, which includes the following steps:</w:t>
      </w:r>
    </w:p>
    <w:p>
      <w:pPr>
        <w:spacing w:after="0" w:line="61" w:lineRule="exact"/>
        <w:rPr>
          <w:sz w:val="20"/>
          <w:szCs w:val="20"/>
          <w:color w:val="auto"/>
        </w:rPr>
      </w:pPr>
    </w:p>
    <w:p>
      <w:pPr>
        <w:ind w:left="2380" w:hanging="381"/>
        <w:spacing w:after="0"/>
        <w:tabs>
          <w:tab w:leader="none" w:pos="23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Identification of the contract, or contracts, with the customer;</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Identification of the performance obligations in the contract;</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Determination of the transaction price;</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Allocation of the transaction price to the performance obligations in the contract; and</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Recognition of the revenues when, or as, we satisfy a performance obligation.</w:t>
      </w:r>
    </w:p>
    <w:p>
      <w:pPr>
        <w:spacing w:after="0" w:line="1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80</w:t>
      </w:r>
    </w:p>
    <w:p>
      <w:pPr>
        <w:sectPr>
          <w:pgSz w:w="11900" w:h="16838" w:orient="portrait"/>
          <w:cols w:equalWidth="0" w:num="1">
            <w:col w:w="10159"/>
          </w:cols>
          <w:pgMar w:left="300" w:top="367" w:right="1440" w:bottom="1440" w:gutter="0" w:footer="0" w:header="0"/>
        </w:sectPr>
      </w:pPr>
    </w:p>
    <w:bookmarkStart w:id="85" w:name="page86"/>
    <w:bookmarkEnd w:id="8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19" w:firstLine="316"/>
        <w:spacing w:after="0" w:line="258" w:lineRule="auto"/>
        <w:rPr>
          <w:sz w:val="20"/>
          <w:szCs w:val="20"/>
          <w:color w:val="auto"/>
        </w:rPr>
      </w:pPr>
      <w:r>
        <w:rPr>
          <w:rFonts w:ascii="Times New Roman" w:cs="Times New Roman" w:eastAsia="Times New Roman" w:hAnsi="Times New Roman"/>
          <w:sz w:val="13"/>
          <w:szCs w:val="13"/>
          <w:color w:val="auto"/>
        </w:rPr>
        <w:t>Our subscription agreements generally have monthly or annual contractual terms. We recognize revenues ratably over the related contractual term beginning on the date that the platform is made available to a customer, as the customer receives and consumes the benefits of the platform throughout the contractual period. Access to the platform represents a series of distinct services that comprise a single performance obligation that is satisfied over time. Our contracts are generally non-cancelable and do not provide for refunds to paying customers in the event of cancellations.</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Deferred Contract Acquisition Costs</w:t>
      </w:r>
    </w:p>
    <w:p>
      <w:pPr>
        <w:spacing w:after="0" w:line="87" w:lineRule="exact"/>
        <w:rPr>
          <w:sz w:val="20"/>
          <w:szCs w:val="20"/>
          <w:color w:val="auto"/>
        </w:rPr>
      </w:pPr>
    </w:p>
    <w:p>
      <w:pPr>
        <w:ind w:left="1680" w:right="559" w:firstLine="316"/>
        <w:spacing w:after="0" w:line="258" w:lineRule="auto"/>
        <w:rPr>
          <w:sz w:val="20"/>
          <w:szCs w:val="20"/>
          <w:color w:val="auto"/>
        </w:rPr>
      </w:pPr>
      <w:r>
        <w:rPr>
          <w:rFonts w:ascii="Times New Roman" w:cs="Times New Roman" w:eastAsia="Times New Roman" w:hAnsi="Times New Roman"/>
          <w:sz w:val="13"/>
          <w:szCs w:val="13"/>
          <w:color w:val="auto"/>
        </w:rPr>
        <w:t>Deferred contract acquisition costs represent gross deferred contract acquisition costs less accumulated amortization. Sales commissions earned by our sales force and bonuses earned by executives, as well as related payroll taxes, are considered to be incremental and recoverable costs of obtaining a contract with a customer. As a result, these amounts have been capitalized as deferred contract acquisition costs within prepaid and other current assets and other assets on the consolidated balance sheets.</w:t>
      </w:r>
    </w:p>
    <w:p>
      <w:pPr>
        <w:spacing w:after="0" w:line="133" w:lineRule="exact"/>
        <w:rPr>
          <w:sz w:val="20"/>
          <w:szCs w:val="20"/>
          <w:color w:val="auto"/>
        </w:rPr>
      </w:pPr>
    </w:p>
    <w:p>
      <w:pPr>
        <w:ind w:left="1680" w:right="699" w:firstLine="316"/>
        <w:spacing w:after="0" w:line="320" w:lineRule="auto"/>
        <w:rPr>
          <w:sz w:val="20"/>
          <w:szCs w:val="20"/>
          <w:color w:val="auto"/>
        </w:rPr>
      </w:pPr>
      <w:r>
        <w:rPr>
          <w:rFonts w:ascii="Times New Roman" w:cs="Times New Roman" w:eastAsia="Times New Roman" w:hAnsi="Times New Roman"/>
          <w:sz w:val="12"/>
          <w:szCs w:val="12"/>
          <w:color w:val="auto"/>
        </w:rPr>
        <w:t>We amortize deferred contract acquisition costs over a period of benefit of three years. We estimated the period of benefit by considering factors such as historical customer attrition rates, the useful life of our technology, and the impact of competition in the software-as-a-service industry.</w:t>
      </w:r>
    </w:p>
    <w:p>
      <w:pPr>
        <w:spacing w:after="0" w:line="17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Stock-Based Compensation Expense</w:t>
      </w:r>
    </w:p>
    <w:p>
      <w:pPr>
        <w:spacing w:after="0" w:line="87" w:lineRule="exact"/>
        <w:rPr>
          <w:sz w:val="20"/>
          <w:szCs w:val="20"/>
          <w:color w:val="auto"/>
        </w:rPr>
      </w:pPr>
    </w:p>
    <w:p>
      <w:pPr>
        <w:ind w:left="1680" w:right="559" w:firstLine="316"/>
        <w:spacing w:after="0" w:line="252" w:lineRule="auto"/>
        <w:rPr>
          <w:sz w:val="20"/>
          <w:szCs w:val="20"/>
          <w:color w:val="auto"/>
        </w:rPr>
      </w:pPr>
      <w:r>
        <w:rPr>
          <w:rFonts w:ascii="Times New Roman" w:cs="Times New Roman" w:eastAsia="Times New Roman" w:hAnsi="Times New Roman"/>
          <w:sz w:val="13"/>
          <w:szCs w:val="13"/>
          <w:color w:val="auto"/>
        </w:rPr>
        <w:t>We record stock-based compensation expense for all stock-based awards made to employees, non-employees, and directors based on estimated fair values recognized over the requisite service period. We estimate the fair value of options granted to employees for purposes of calculating stock-based compensation expense on the grant date using the Black-Scholes pricing model. The Black-Scholes pricing model requires us to make assumptions and judgments about the inputs used in the calculation, including the expected term (weighted-average period of time that the options granted are expected to be outstanding), the volatility of our common stock, risk-free interest rate, and expected dividend yield. The expected term represents the period that we expect our stock-based awards to be outstanding. We determine the expected term assumptions based on the vesting terms, exercise terms, and contractual lives of the options. The volatility is based on an average of the historical volatilities of the common stock of comparable public companies with characteristics similar to ours. The risk-free rate is based on the U.S. Treasury yield curve in effect at the time of grant for periods corresponding with the expected life of the option. Our expected dividend yield input is zero as we have not historically paid, nor do we expect in the future to pay, cash dividends.</w:t>
      </w:r>
    </w:p>
    <w:p>
      <w:pPr>
        <w:spacing w:after="0" w:line="136" w:lineRule="exact"/>
        <w:rPr>
          <w:sz w:val="20"/>
          <w:szCs w:val="20"/>
          <w:color w:val="auto"/>
        </w:rPr>
      </w:pPr>
    </w:p>
    <w:p>
      <w:pPr>
        <w:ind w:left="1680" w:right="679" w:firstLine="316"/>
        <w:spacing w:after="0" w:line="277" w:lineRule="auto"/>
        <w:rPr>
          <w:sz w:val="20"/>
          <w:szCs w:val="20"/>
          <w:color w:val="auto"/>
        </w:rPr>
      </w:pPr>
      <w:r>
        <w:rPr>
          <w:rFonts w:ascii="Times New Roman" w:cs="Times New Roman" w:eastAsia="Times New Roman" w:hAnsi="Times New Roman"/>
          <w:sz w:val="13"/>
          <w:szCs w:val="13"/>
          <w:color w:val="auto"/>
        </w:rPr>
        <w:t>We measure stock-based compensation expense related to our restricted stock units, or RSUs, based on the fair value of the underlying shares on the date of grant. RSUs are subject to time-based vesting, which generally occurs over a period of four years.</w:t>
      </w:r>
    </w:p>
    <w:p>
      <w:pPr>
        <w:spacing w:after="0" w:line="1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We recognize stock-based compensation expense over the requisite service period, which is generally the vesting period of the respective award.</w:t>
      </w:r>
    </w:p>
    <w:p>
      <w:pPr>
        <w:spacing w:after="0" w:line="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We use the straight-line method for expense attribution. We account for forfeitures as they occur.</w:t>
      </w:r>
    </w:p>
    <w:p>
      <w:pPr>
        <w:spacing w:after="0" w:line="14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following assumptions were used for each respective period to calculate our stock-based compensation:</w:t>
      </w:r>
    </w:p>
    <w:p>
      <w:pPr>
        <w:spacing w:after="0" w:line="176"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2300" w:type="dxa"/>
            <w:vAlign w:val="bottom"/>
            <w:gridSpan w:val="4"/>
          </w:tcPr>
          <w:p>
            <w:pPr>
              <w:jc w:val="right"/>
              <w:ind w:right="840"/>
              <w:spacing w:after="0"/>
              <w:rPr>
                <w:sz w:val="20"/>
                <w:szCs w:val="20"/>
                <w:color w:val="auto"/>
              </w:rPr>
            </w:pPr>
            <w:r>
              <w:rPr>
                <w:rFonts w:ascii="Times New Roman" w:cs="Times New Roman" w:eastAsia="Times New Roman" w:hAnsi="Times New Roman"/>
                <w:sz w:val="10"/>
                <w:szCs w:val="10"/>
                <w:b w:val="1"/>
                <w:bCs w:val="1"/>
                <w:color w:val="auto"/>
              </w:rPr>
              <w:t>Year Ended January 31,</w:t>
            </w:r>
          </w:p>
        </w:tc>
        <w:tc>
          <w:tcPr>
            <w:tcW w:w="2020" w:type="dxa"/>
            <w:vAlign w:val="bottom"/>
            <w:gridSpan w:val="4"/>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Six Months Ended July 31,</w:t>
            </w:r>
          </w:p>
        </w:tc>
      </w:tr>
      <w:tr>
        <w:trPr>
          <w:trHeight w:val="96"/>
        </w:trPr>
        <w:tc>
          <w:tcPr>
            <w:tcW w:w="20" w:type="dxa"/>
            <w:vAlign w:val="bottom"/>
          </w:tcPr>
          <w:p>
            <w:pPr>
              <w:spacing w:after="0"/>
              <w:rPr>
                <w:sz w:val="8"/>
                <w:szCs w:val="8"/>
                <w:color w:val="auto"/>
              </w:rPr>
            </w:pPr>
          </w:p>
        </w:tc>
        <w:tc>
          <w:tcPr>
            <w:tcW w:w="3580" w:type="dxa"/>
            <w:vAlign w:val="bottom"/>
            <w:tcBorders>
              <w:bottom w:val="single" w:sz="8" w:color="CCEEFF"/>
            </w:tcBorders>
          </w:tcPr>
          <w:p>
            <w:pPr>
              <w:spacing w:after="0"/>
              <w:rPr>
                <w:sz w:val="8"/>
                <w:szCs w:val="8"/>
                <w:color w:val="auto"/>
              </w:rPr>
            </w:pPr>
          </w:p>
        </w:tc>
        <w:tc>
          <w:tcPr>
            <w:tcW w:w="720" w:type="dxa"/>
            <w:vAlign w:val="bottom"/>
            <w:tcBorders>
              <w:top w:val="single" w:sz="8" w:color="auto"/>
              <w:bottom w:val="single" w:sz="8" w:color="auto"/>
            </w:tcBorders>
          </w:tcPr>
          <w:p>
            <w:pPr>
              <w:jc w:val="right"/>
              <w:ind w:right="199"/>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420" w:type="dxa"/>
            <w:vAlign w:val="bottom"/>
            <w:tcBorders>
              <w:top w:val="single" w:sz="8" w:color="auto"/>
              <w:bottom w:val="single" w:sz="8" w:color="CCEEFF"/>
            </w:tcBorders>
          </w:tcPr>
          <w:p>
            <w:pPr>
              <w:spacing w:after="0"/>
              <w:rPr>
                <w:sz w:val="8"/>
                <w:szCs w:val="8"/>
                <w:color w:val="auto"/>
              </w:rPr>
            </w:pPr>
          </w:p>
        </w:tc>
        <w:tc>
          <w:tcPr>
            <w:tcW w:w="740" w:type="dxa"/>
            <w:vAlign w:val="bottom"/>
            <w:tcBorders>
              <w:top w:val="single" w:sz="8" w:color="auto"/>
              <w:bottom w:val="single" w:sz="8" w:color="auto"/>
            </w:tcBorders>
          </w:tcPr>
          <w:p>
            <w:pPr>
              <w:jc w:val="right"/>
              <w:ind w:right="218"/>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420" w:type="dxa"/>
            <w:vAlign w:val="bottom"/>
            <w:tcBorders>
              <w:bottom w:val="single" w:sz="8" w:color="CCEEFF"/>
            </w:tcBorders>
          </w:tcPr>
          <w:p>
            <w:pPr>
              <w:spacing w:after="0"/>
              <w:rPr>
                <w:sz w:val="8"/>
                <w:szCs w:val="8"/>
                <w:color w:val="auto"/>
              </w:rPr>
            </w:pPr>
          </w:p>
        </w:tc>
        <w:tc>
          <w:tcPr>
            <w:tcW w:w="720" w:type="dxa"/>
            <w:vAlign w:val="bottom"/>
            <w:tcBorders>
              <w:top w:val="single" w:sz="8" w:color="auto"/>
              <w:bottom w:val="single" w:sz="8" w:color="auto"/>
            </w:tcBorders>
          </w:tcPr>
          <w:p>
            <w:pPr>
              <w:jc w:val="right"/>
              <w:ind w:right="200"/>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440" w:type="dxa"/>
            <w:vAlign w:val="bottom"/>
            <w:tcBorders>
              <w:top w:val="single" w:sz="8" w:color="auto"/>
              <w:bottom w:val="single" w:sz="8" w:color="CCEEFF"/>
            </w:tcBorders>
          </w:tcPr>
          <w:p>
            <w:pPr>
              <w:spacing w:after="0"/>
              <w:rPr>
                <w:sz w:val="8"/>
                <w:szCs w:val="8"/>
                <w:color w:val="auto"/>
              </w:rPr>
            </w:pPr>
          </w:p>
        </w:tc>
        <w:tc>
          <w:tcPr>
            <w:tcW w:w="720" w:type="dxa"/>
            <w:vAlign w:val="bottom"/>
            <w:tcBorders>
              <w:top w:val="single" w:sz="8" w:color="auto"/>
              <w:bottom w:val="single" w:sz="8" w:color="auto"/>
            </w:tcBorders>
          </w:tcPr>
          <w:p>
            <w:pPr>
              <w:jc w:val="right"/>
              <w:ind w:right="198"/>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140" w:type="dxa"/>
            <w:vAlign w:val="bottom"/>
            <w:tcBorders>
              <w:bottom w:val="single" w:sz="8" w:color="CCEEFF"/>
            </w:tcBorders>
          </w:tcPr>
          <w:p>
            <w:pPr>
              <w:spacing w:after="0"/>
              <w:rPr>
                <w:sz w:val="8"/>
                <w:szCs w:val="8"/>
                <w:color w:val="auto"/>
              </w:rPr>
            </w:pPr>
          </w:p>
        </w:tc>
      </w:tr>
      <w:tr>
        <w:trPr>
          <w:trHeight w:val="145"/>
        </w:trPr>
        <w:tc>
          <w:tcPr>
            <w:tcW w:w="20" w:type="dxa"/>
            <w:vAlign w:val="bottom"/>
          </w:tcPr>
          <w:p>
            <w:pPr>
              <w:spacing w:after="0"/>
              <w:rPr>
                <w:sz w:val="12"/>
                <w:szCs w:val="12"/>
                <w:color w:val="auto"/>
              </w:rPr>
            </w:pPr>
          </w:p>
        </w:tc>
        <w:tc>
          <w:tcPr>
            <w:tcW w:w="35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Risk-free interest rate</w:t>
            </w:r>
          </w:p>
        </w:tc>
        <w:tc>
          <w:tcPr>
            <w:tcW w:w="1140" w:type="dxa"/>
            <w:vAlign w:val="bottom"/>
            <w:gridSpan w:val="2"/>
            <w:shd w:val="clear" w:color="auto" w:fill="CCEEFF"/>
          </w:tcPr>
          <w:p>
            <w:pPr>
              <w:jc w:val="right"/>
              <w:ind w:right="320"/>
              <w:spacing w:after="0" w:line="145" w:lineRule="exact"/>
              <w:rPr>
                <w:sz w:val="20"/>
                <w:szCs w:val="20"/>
                <w:color w:val="auto"/>
              </w:rPr>
            </w:pPr>
            <w:r>
              <w:rPr>
                <w:rFonts w:ascii="Times New Roman" w:cs="Times New Roman" w:eastAsia="Times New Roman" w:hAnsi="Times New Roman"/>
                <w:sz w:val="13"/>
                <w:szCs w:val="13"/>
                <w:color w:val="auto"/>
              </w:rPr>
              <w:t>2.8% - 3.1%</w:t>
            </w:r>
          </w:p>
        </w:tc>
        <w:tc>
          <w:tcPr>
            <w:tcW w:w="1160" w:type="dxa"/>
            <w:vAlign w:val="bottom"/>
            <w:gridSpan w:val="2"/>
            <w:shd w:val="clear" w:color="auto" w:fill="CCEEFF"/>
          </w:tcPr>
          <w:p>
            <w:pPr>
              <w:jc w:val="right"/>
              <w:ind w:right="320"/>
              <w:spacing w:after="0" w:line="145" w:lineRule="exact"/>
              <w:rPr>
                <w:sz w:val="20"/>
                <w:szCs w:val="20"/>
                <w:color w:val="auto"/>
              </w:rPr>
            </w:pPr>
            <w:r>
              <w:rPr>
                <w:rFonts w:ascii="Times New Roman" w:cs="Times New Roman" w:eastAsia="Times New Roman" w:hAnsi="Times New Roman"/>
                <w:sz w:val="13"/>
                <w:szCs w:val="13"/>
                <w:color w:val="auto"/>
              </w:rPr>
              <w:t>1.8% - 2.6%</w:t>
            </w:r>
          </w:p>
        </w:tc>
        <w:tc>
          <w:tcPr>
            <w:tcW w:w="1160" w:type="dxa"/>
            <w:vAlign w:val="bottom"/>
            <w:gridSpan w:val="2"/>
            <w:shd w:val="clear" w:color="auto" w:fill="CCEEFF"/>
          </w:tcPr>
          <w:p>
            <w:pPr>
              <w:jc w:val="right"/>
              <w:ind w:right="340"/>
              <w:spacing w:after="0" w:line="145" w:lineRule="exact"/>
              <w:rPr>
                <w:sz w:val="20"/>
                <w:szCs w:val="20"/>
                <w:color w:val="auto"/>
              </w:rPr>
            </w:pPr>
            <w:r>
              <w:rPr>
                <w:rFonts w:ascii="Times New Roman" w:cs="Times New Roman" w:eastAsia="Times New Roman" w:hAnsi="Times New Roman"/>
                <w:sz w:val="13"/>
                <w:szCs w:val="13"/>
                <w:color w:val="auto"/>
              </w:rPr>
              <w:t>1.9% - 2.6%</w:t>
            </w:r>
          </w:p>
        </w:tc>
        <w:tc>
          <w:tcPr>
            <w:tcW w:w="8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3"/>
                <w:szCs w:val="13"/>
                <w:color w:val="auto"/>
              </w:rPr>
              <w:t>1.2%</w:t>
            </w:r>
          </w:p>
        </w:tc>
      </w:tr>
      <w:tr>
        <w:trPr>
          <w:trHeight w:val="155"/>
        </w:trPr>
        <w:tc>
          <w:tcPr>
            <w:tcW w:w="20" w:type="dxa"/>
            <w:vAlign w:val="bottom"/>
          </w:tcPr>
          <w:p>
            <w:pPr>
              <w:spacing w:after="0"/>
              <w:rPr>
                <w:sz w:val="13"/>
                <w:szCs w:val="13"/>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3"/>
                <w:szCs w:val="13"/>
                <w:color w:val="auto"/>
              </w:rPr>
              <w:t>Expected term</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8 years</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8 years</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8 years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 years</w:t>
            </w:r>
          </w:p>
        </w:tc>
      </w:tr>
      <w:tr>
        <w:trPr>
          <w:trHeight w:val="155"/>
        </w:trPr>
        <w:tc>
          <w:tcPr>
            <w:tcW w:w="20" w:type="dxa"/>
            <w:vAlign w:val="bottom"/>
          </w:tcPr>
          <w:p>
            <w:pPr>
              <w:spacing w:after="0"/>
              <w:rPr>
                <w:sz w:val="13"/>
                <w:szCs w:val="13"/>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Dividend yield</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r>
      <w:tr>
        <w:trPr>
          <w:trHeight w:val="167"/>
        </w:trPr>
        <w:tc>
          <w:tcPr>
            <w:tcW w:w="20" w:type="dxa"/>
            <w:vAlign w:val="bottom"/>
          </w:tcPr>
          <w:p>
            <w:pPr>
              <w:spacing w:after="0"/>
              <w:rPr>
                <w:sz w:val="14"/>
                <w:szCs w:val="14"/>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3"/>
                <w:szCs w:val="13"/>
                <w:color w:val="auto"/>
              </w:rPr>
              <w:t>Expected volatility</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41.6% - 46.6%</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44.8% - 46.3%</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45.1% - 46.3%</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44.6%</w:t>
            </w:r>
          </w:p>
        </w:tc>
      </w:tr>
      <w:tr>
        <w:trPr>
          <w:trHeight w:val="249"/>
        </w:trPr>
        <w:tc>
          <w:tcPr>
            <w:tcW w:w="2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3"/>
                <w:szCs w:val="13"/>
                <w:color w:val="auto"/>
              </w:rPr>
              <w:t>81</w:t>
            </w: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r>
    </w:tbl>
    <w:p>
      <w:pPr>
        <w:sectPr>
          <w:pgSz w:w="11900" w:h="16838" w:orient="portrait"/>
          <w:cols w:equalWidth="0" w:num="1">
            <w:col w:w="10159"/>
          </w:cols>
          <w:pgMar w:left="300" w:top="367" w:right="1440" w:bottom="1440" w:gutter="0" w:footer="0" w:header="0"/>
        </w:sectPr>
      </w:pPr>
    </w:p>
    <w:bookmarkStart w:id="86" w:name="page87"/>
    <w:bookmarkEnd w:id="8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assumptions are based on the following for each of the years presented:</w:t>
      </w:r>
    </w:p>
    <w:p>
      <w:pPr>
        <w:spacing w:after="0" w:line="91" w:lineRule="exact"/>
        <w:rPr>
          <w:sz w:val="20"/>
          <w:szCs w:val="20"/>
          <w:color w:val="auto"/>
        </w:rPr>
      </w:pPr>
    </w:p>
    <w:p>
      <w:pPr>
        <w:ind w:left="2380" w:right="639" w:hanging="381"/>
        <w:spacing w:after="0" w:line="280" w:lineRule="auto"/>
        <w:tabs>
          <w:tab w:leader="none" w:pos="23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Fair value of common stock—</w:t>
      </w:r>
      <w:r>
        <w:rPr>
          <w:rFonts w:ascii="Times New Roman" w:cs="Times New Roman" w:eastAsia="Times New Roman" w:hAnsi="Times New Roman"/>
          <w:sz w:val="13"/>
          <w:szCs w:val="13"/>
          <w:color w:val="auto"/>
        </w:rPr>
        <w:t>Because our common stock is not yet publicly traded, we must estimate the fair value of common stock; see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“—Common Stock Valuations” below.</w:t>
      </w:r>
    </w:p>
    <w:p>
      <w:pPr>
        <w:spacing w:after="0" w:line="48" w:lineRule="exact"/>
        <w:rPr>
          <w:rFonts w:ascii="Times New Roman" w:cs="Times New Roman" w:eastAsia="Times New Roman" w:hAnsi="Times New Roman"/>
          <w:sz w:val="13"/>
          <w:szCs w:val="13"/>
          <w:color w:val="auto"/>
        </w:rPr>
      </w:pPr>
    </w:p>
    <w:p>
      <w:pPr>
        <w:ind w:left="2380" w:right="599" w:hanging="381"/>
        <w:spacing w:after="0" w:line="296" w:lineRule="auto"/>
        <w:tabs>
          <w:tab w:leader="none" w:pos="238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Expected volatility—</w:t>
      </w:r>
      <w:r>
        <w:rPr>
          <w:rFonts w:ascii="Times New Roman" w:cs="Times New Roman" w:eastAsia="Times New Roman" w:hAnsi="Times New Roman"/>
          <w:sz w:val="12"/>
          <w:szCs w:val="12"/>
          <w:color w:val="auto"/>
        </w:rPr>
        <w:t>Expected volatility is a measure of the amount by which the stock price is expected to fluctuate. Since we do not have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sufficient trading history of our common stock, we estimate the expected volatility of our stock options at the grant date by taking the average historical volatility of a group of comparable publicly traded companies over a period equal to the expected life of the options.</w:t>
      </w:r>
    </w:p>
    <w:p>
      <w:pPr>
        <w:spacing w:after="0" w:line="41" w:lineRule="exact"/>
        <w:rPr>
          <w:rFonts w:ascii="Times New Roman" w:cs="Times New Roman" w:eastAsia="Times New Roman" w:hAnsi="Times New Roman"/>
          <w:sz w:val="12"/>
          <w:szCs w:val="12"/>
          <w:color w:val="auto"/>
        </w:rPr>
      </w:pPr>
    </w:p>
    <w:p>
      <w:pPr>
        <w:ind w:left="2380" w:right="959" w:hanging="381"/>
        <w:spacing w:after="0" w:line="280" w:lineRule="auto"/>
        <w:tabs>
          <w:tab w:leader="none" w:pos="23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Expected term—</w:t>
      </w:r>
      <w:r>
        <w:rPr>
          <w:rFonts w:ascii="Times New Roman" w:cs="Times New Roman" w:eastAsia="Times New Roman" w:hAnsi="Times New Roman"/>
          <w:sz w:val="13"/>
          <w:szCs w:val="13"/>
          <w:color w:val="auto"/>
        </w:rPr>
        <w:t>Expected term represents the period that our stock-based awards are expected to be outstanding. The expected term</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assumptions are determined based on the vesting terms, exercise terms, and contractual lives of the options.</w:t>
      </w:r>
    </w:p>
    <w:p>
      <w:pPr>
        <w:spacing w:after="0" w:line="48"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Risk-free rate—</w:t>
      </w:r>
      <w:r>
        <w:rPr>
          <w:rFonts w:ascii="Times New Roman" w:cs="Times New Roman" w:eastAsia="Times New Roman" w:hAnsi="Times New Roman"/>
          <w:sz w:val="13"/>
          <w:szCs w:val="13"/>
          <w:color w:val="auto"/>
        </w:rPr>
        <w:t>We use the U.S. Treasury yield for our risk-free interest rate that corresponds with the expected term.</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Dividend yield—</w:t>
      </w:r>
      <w:r>
        <w:rPr>
          <w:rFonts w:ascii="Times New Roman" w:cs="Times New Roman" w:eastAsia="Times New Roman" w:hAnsi="Times New Roman"/>
          <w:sz w:val="13"/>
          <w:szCs w:val="13"/>
          <w:color w:val="auto"/>
        </w:rPr>
        <w:t>We utilize a dividend yield of zero, as we do not currently issue dividends, nor do we expect to do so in the future.</w:t>
      </w:r>
    </w:p>
    <w:p>
      <w:pPr>
        <w:spacing w:after="0" w:line="23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Common Stock Valuations</w:t>
      </w:r>
    </w:p>
    <w:p>
      <w:pPr>
        <w:spacing w:after="0" w:line="85" w:lineRule="exact"/>
        <w:rPr>
          <w:sz w:val="20"/>
          <w:szCs w:val="20"/>
          <w:color w:val="auto"/>
        </w:rPr>
      </w:pPr>
    </w:p>
    <w:p>
      <w:pPr>
        <w:ind w:left="1680" w:right="679" w:firstLine="316"/>
        <w:spacing w:after="0" w:line="263" w:lineRule="auto"/>
        <w:rPr>
          <w:sz w:val="20"/>
          <w:szCs w:val="20"/>
          <w:color w:val="auto"/>
        </w:rPr>
      </w:pPr>
      <w:r>
        <w:rPr>
          <w:rFonts w:ascii="Times New Roman" w:cs="Times New Roman" w:eastAsia="Times New Roman" w:hAnsi="Times New Roman"/>
          <w:sz w:val="13"/>
          <w:szCs w:val="13"/>
          <w:color w:val="auto"/>
        </w:rPr>
        <w:t>Given the absence of an active market for our common stock, our board of directors was required to estimate the fair value of our common stock at the time of each option grant based upon several factors, including its consideration of input from management and contemporaneous third-party valuations.</w:t>
      </w:r>
    </w:p>
    <w:p>
      <w:pPr>
        <w:spacing w:after="0" w:line="129" w:lineRule="exact"/>
        <w:rPr>
          <w:sz w:val="20"/>
          <w:szCs w:val="20"/>
          <w:color w:val="auto"/>
        </w:rPr>
      </w:pPr>
    </w:p>
    <w:p>
      <w:pPr>
        <w:jc w:val="both"/>
        <w:ind w:left="1680" w:right="619" w:firstLine="316"/>
        <w:spacing w:after="0" w:line="295" w:lineRule="auto"/>
        <w:rPr>
          <w:sz w:val="20"/>
          <w:szCs w:val="20"/>
          <w:color w:val="auto"/>
        </w:rPr>
      </w:pPr>
      <w:r>
        <w:rPr>
          <w:rFonts w:ascii="Times New Roman" w:cs="Times New Roman" w:eastAsia="Times New Roman" w:hAnsi="Times New Roman"/>
          <w:sz w:val="12"/>
          <w:szCs w:val="12"/>
          <w:color w:val="auto"/>
        </w:rPr>
        <w:t xml:space="preserve">The exercise price for all stock options granted was the estimated fair value of the underlying common stock, as estimated on the date of grant by our board of directors in accordance with the guidelines outlined in the </w:t>
      </w:r>
      <w:r>
        <w:rPr>
          <w:rFonts w:ascii="Times New Roman" w:cs="Times New Roman" w:eastAsia="Times New Roman" w:hAnsi="Times New Roman"/>
          <w:sz w:val="12"/>
          <w:szCs w:val="12"/>
          <w:i w:val="1"/>
          <w:iCs w:val="1"/>
          <w:color w:val="auto"/>
        </w:rPr>
        <w:t xml:space="preserve">American Institute of Certified Public Accountants, Valuation of Privately-Held-Company Equity Securities Issued as Compensation </w:t>
      </w:r>
      <w:r>
        <w:rPr>
          <w:rFonts w:ascii="Times New Roman" w:cs="Times New Roman" w:eastAsia="Times New Roman" w:hAnsi="Times New Roman"/>
          <w:sz w:val="12"/>
          <w:szCs w:val="12"/>
          <w:color w:val="auto"/>
        </w:rPr>
        <w:t>guide. Each fair value estimate was based on a variety of factors, which included the following:</w:t>
      </w:r>
    </w:p>
    <w:p>
      <w:pPr>
        <w:spacing w:after="0" w:line="44" w:lineRule="exact"/>
        <w:rPr>
          <w:sz w:val="20"/>
          <w:szCs w:val="20"/>
          <w:color w:val="auto"/>
        </w:rPr>
      </w:pPr>
    </w:p>
    <w:p>
      <w:pPr>
        <w:ind w:left="2380" w:hanging="381"/>
        <w:spacing w:after="0"/>
        <w:tabs>
          <w:tab w:leader="none" w:pos="23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contemporaneous valuations performed by an unrelated third-party valuation firm;</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prices, rights, preferences, and privileges of our preferred stock relative to those of our common stock;</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lack of marketability of our common stock;</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operating and financial performance;</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current business conditions and outlook;</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hiring of key personnel and the experience of our management;</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history and the timing of the introduction of new applications and capabilities;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stage of development;</w:t>
      </w:r>
    </w:p>
    <w:p>
      <w:pPr>
        <w:spacing w:after="0" w:line="92" w:lineRule="exact"/>
        <w:rPr>
          <w:rFonts w:ascii="Times New Roman" w:cs="Times New Roman" w:eastAsia="Times New Roman" w:hAnsi="Times New Roman"/>
          <w:sz w:val="13"/>
          <w:szCs w:val="13"/>
          <w:color w:val="auto"/>
        </w:rPr>
      </w:pPr>
    </w:p>
    <w:p>
      <w:pPr>
        <w:ind w:left="2380" w:right="719" w:hanging="381"/>
        <w:spacing w:after="0" w:line="277" w:lineRule="auto"/>
        <w:tabs>
          <w:tab w:leader="none" w:pos="23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likelihood of achieving a liquidity event, such as an initial public offering or a merger or acquisition of our business given prevailing market conditions;</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market performance of comparable publicly traded companies; and</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 and global capital market conditions.</w:t>
      </w:r>
    </w:p>
    <w:p>
      <w:pPr>
        <w:spacing w:after="0" w:line="161" w:lineRule="exact"/>
        <w:rPr>
          <w:sz w:val="20"/>
          <w:szCs w:val="20"/>
          <w:color w:val="auto"/>
        </w:rPr>
      </w:pPr>
    </w:p>
    <w:p>
      <w:pPr>
        <w:ind w:left="1680" w:right="1179" w:firstLine="316"/>
        <w:spacing w:after="0" w:line="277" w:lineRule="auto"/>
        <w:rPr>
          <w:sz w:val="20"/>
          <w:szCs w:val="20"/>
          <w:color w:val="auto"/>
        </w:rPr>
      </w:pPr>
      <w:r>
        <w:rPr>
          <w:rFonts w:ascii="Times New Roman" w:cs="Times New Roman" w:eastAsia="Times New Roman" w:hAnsi="Times New Roman"/>
          <w:sz w:val="13"/>
          <w:szCs w:val="13"/>
          <w:color w:val="auto"/>
        </w:rPr>
        <w:t>In valuing our common stock, our board of directors determined the equity value of our business using valuation methods they deemed appropriate under the circumstances applicable at the valuation date.</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82</w:t>
      </w:r>
    </w:p>
    <w:p>
      <w:pPr>
        <w:sectPr>
          <w:pgSz w:w="11900" w:h="16838" w:orient="portrait"/>
          <w:cols w:equalWidth="0" w:num="1">
            <w:col w:w="10159"/>
          </w:cols>
          <w:pgMar w:left="300" w:top="367" w:right="1440" w:bottom="1440" w:gutter="0" w:footer="0" w:header="0"/>
        </w:sectPr>
      </w:pPr>
    </w:p>
    <w:bookmarkStart w:id="87" w:name="page88"/>
    <w:bookmarkEnd w:id="8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739" w:firstLine="316"/>
        <w:spacing w:after="0" w:line="254" w:lineRule="auto"/>
        <w:rPr>
          <w:sz w:val="20"/>
          <w:szCs w:val="20"/>
          <w:color w:val="auto"/>
        </w:rPr>
      </w:pPr>
      <w:r>
        <w:rPr>
          <w:rFonts w:ascii="Times New Roman" w:cs="Times New Roman" w:eastAsia="Times New Roman" w:hAnsi="Times New Roman"/>
          <w:sz w:val="13"/>
          <w:szCs w:val="13"/>
          <w:color w:val="auto"/>
        </w:rPr>
        <w:t>One method, the market approach, estimates value based on a comparison of our company to comparable public companies in a similar line of business. To determine our peer group of companies, we considered public enterprise cloud-based application providers and selected those that are similar to us in size, economic drivers, and operating characteristics. From the comparable companies, a representative market value multiple was determined, which was applied to our operating results to estimate the enterprise value of our company. When applicable, we also used the option pricing model to backsolve the value of the security from our most recent round of financing, which implies a total equity value as well as a per share common stock value.</w:t>
      </w:r>
    </w:p>
    <w:p>
      <w:pPr>
        <w:spacing w:after="0" w:line="136" w:lineRule="exact"/>
        <w:rPr>
          <w:sz w:val="20"/>
          <w:szCs w:val="20"/>
          <w:color w:val="auto"/>
        </w:rPr>
      </w:pPr>
    </w:p>
    <w:p>
      <w:pPr>
        <w:ind w:left="1680" w:right="679" w:firstLine="316"/>
        <w:spacing w:after="0" w:line="277" w:lineRule="auto"/>
        <w:rPr>
          <w:sz w:val="20"/>
          <w:szCs w:val="20"/>
          <w:color w:val="auto"/>
        </w:rPr>
      </w:pPr>
      <w:r>
        <w:rPr>
          <w:rFonts w:ascii="Times New Roman" w:cs="Times New Roman" w:eastAsia="Times New Roman" w:hAnsi="Times New Roman"/>
          <w:sz w:val="13"/>
          <w:szCs w:val="13"/>
          <w:color w:val="auto"/>
        </w:rPr>
        <w:t>For valuations prior to January 31, 2020, once the enterprise value was determined under the market approach, we used the option pricing model to allocate that value among the various classes of securities to arrive at the fair value of the common stock.</w:t>
      </w:r>
    </w:p>
    <w:p>
      <w:pPr>
        <w:spacing w:after="0" w:line="120" w:lineRule="exact"/>
        <w:rPr>
          <w:sz w:val="20"/>
          <w:szCs w:val="20"/>
          <w:color w:val="auto"/>
        </w:rPr>
      </w:pPr>
    </w:p>
    <w:p>
      <w:pPr>
        <w:ind w:left="1680" w:right="619" w:firstLine="316"/>
        <w:spacing w:after="0" w:line="258" w:lineRule="auto"/>
        <w:rPr>
          <w:sz w:val="20"/>
          <w:szCs w:val="20"/>
          <w:color w:val="auto"/>
        </w:rPr>
      </w:pPr>
      <w:r>
        <w:rPr>
          <w:rFonts w:ascii="Times New Roman" w:cs="Times New Roman" w:eastAsia="Times New Roman" w:hAnsi="Times New Roman"/>
          <w:sz w:val="13"/>
          <w:szCs w:val="13"/>
          <w:color w:val="auto"/>
        </w:rPr>
        <w:t>For valuations as of and subsequent to January 31, 2020, we used a hybrid method utilizing a combination of the option pricing model and the probability-weighted expected return method, or the PWERM, in estimating the fair value of our common stock. Using the PWERM, the value of our common stock is estimated based upon a probability-weighted analysis of varying values for our common stock assuming possible future events for our company, including a scenario assuming we become a publicly traded company and a scenario assuming we continue as a privately held company.</w:t>
      </w:r>
    </w:p>
    <w:p>
      <w:pPr>
        <w:spacing w:after="0" w:line="133" w:lineRule="exact"/>
        <w:rPr>
          <w:sz w:val="20"/>
          <w:szCs w:val="20"/>
          <w:color w:val="auto"/>
        </w:rPr>
      </w:pPr>
    </w:p>
    <w:p>
      <w:pPr>
        <w:ind w:left="1680" w:right="599" w:firstLine="316"/>
        <w:spacing w:after="0" w:line="258" w:lineRule="auto"/>
        <w:rPr>
          <w:sz w:val="20"/>
          <w:szCs w:val="20"/>
          <w:color w:val="auto"/>
        </w:rPr>
      </w:pPr>
      <w:r>
        <w:rPr>
          <w:rFonts w:ascii="Times New Roman" w:cs="Times New Roman" w:eastAsia="Times New Roman" w:hAnsi="Times New Roman"/>
          <w:sz w:val="13"/>
          <w:szCs w:val="13"/>
          <w:color w:val="auto"/>
        </w:rPr>
        <w:t>In addition, we also considered any secondary transactions involving our capital stock. In our evaluation of those transactions, we considered the facts and circumstances of each transaction to determine the extent to which they represented a fair value exchange. Factors considered include transaction volume, timing, whether the transactions occurred among willing and unrelated parties, and whether the transactions involved investors with access to our financial information.</w:t>
      </w:r>
    </w:p>
    <w:p>
      <w:pPr>
        <w:spacing w:after="0" w:line="133" w:lineRule="exact"/>
        <w:rPr>
          <w:sz w:val="20"/>
          <w:szCs w:val="20"/>
          <w:color w:val="auto"/>
        </w:rPr>
      </w:pPr>
    </w:p>
    <w:p>
      <w:pPr>
        <w:jc w:val="both"/>
        <w:ind w:left="1680" w:right="599" w:firstLine="316"/>
        <w:spacing w:after="0" w:line="263" w:lineRule="auto"/>
        <w:rPr>
          <w:sz w:val="20"/>
          <w:szCs w:val="20"/>
          <w:color w:val="auto"/>
        </w:rPr>
      </w:pPr>
      <w:r>
        <w:rPr>
          <w:rFonts w:ascii="Times New Roman" w:cs="Times New Roman" w:eastAsia="Times New Roman" w:hAnsi="Times New Roman"/>
          <w:sz w:val="13"/>
          <w:szCs w:val="13"/>
          <w:color w:val="auto"/>
        </w:rPr>
        <w:t>Upon the listing of our Class A common stock on the NYSE, our common stock will be publicly traded and will therefore be subject to potentially significant fluctuations in the market price. Increases and decreases in the market price of our Class A common stock will also increase and decrease the fair value of our stock-based awards granted in future periods.</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Recent Accounting Pronouncements</w:t>
      </w:r>
    </w:p>
    <w:p>
      <w:pPr>
        <w:spacing w:after="0" w:line="85" w:lineRule="exact"/>
        <w:rPr>
          <w:sz w:val="20"/>
          <w:szCs w:val="20"/>
          <w:color w:val="auto"/>
        </w:rPr>
      </w:pPr>
    </w:p>
    <w:p>
      <w:pPr>
        <w:ind w:left="1680" w:right="939" w:firstLine="316"/>
        <w:spacing w:after="0" w:line="277" w:lineRule="auto"/>
        <w:rPr>
          <w:sz w:val="20"/>
          <w:szCs w:val="20"/>
          <w:color w:val="auto"/>
        </w:rPr>
      </w:pPr>
      <w:r>
        <w:rPr>
          <w:rFonts w:ascii="Times New Roman" w:cs="Times New Roman" w:eastAsia="Times New Roman" w:hAnsi="Times New Roman"/>
          <w:sz w:val="13"/>
          <w:szCs w:val="13"/>
          <w:color w:val="auto"/>
        </w:rPr>
        <w:t>See Note 2 to our consolidated financial statements included elsewhere in this prospectus for more information regarding recent accounting pronouncements.</w:t>
      </w:r>
    </w:p>
    <w:p>
      <w:pPr>
        <w:spacing w:after="0" w:line="19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JOBS Act Accounting Election</w:t>
      </w:r>
    </w:p>
    <w:p>
      <w:pPr>
        <w:spacing w:after="0" w:line="85" w:lineRule="exact"/>
        <w:rPr>
          <w:sz w:val="20"/>
          <w:szCs w:val="20"/>
          <w:color w:val="auto"/>
        </w:rPr>
      </w:pPr>
    </w:p>
    <w:p>
      <w:pPr>
        <w:ind w:left="1680" w:right="639" w:firstLine="316"/>
        <w:spacing w:after="0" w:line="254" w:lineRule="auto"/>
        <w:rPr>
          <w:sz w:val="20"/>
          <w:szCs w:val="20"/>
          <w:color w:val="auto"/>
        </w:rPr>
      </w:pPr>
      <w:r>
        <w:rPr>
          <w:rFonts w:ascii="Times New Roman" w:cs="Times New Roman" w:eastAsia="Times New Roman" w:hAnsi="Times New Roman"/>
          <w:sz w:val="13"/>
          <w:szCs w:val="13"/>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83</w:t>
      </w:r>
    </w:p>
    <w:p>
      <w:pPr>
        <w:sectPr>
          <w:pgSz w:w="11900" w:h="16838" w:orient="portrait"/>
          <w:cols w:equalWidth="0" w:num="1">
            <w:col w:w="10159"/>
          </w:cols>
          <w:pgMar w:left="300" w:top="367" w:right="1440" w:bottom="1440" w:gutter="0" w:footer="0" w:header="0"/>
        </w:sectPr>
      </w:pPr>
    </w:p>
    <w:bookmarkStart w:id="88" w:name="page89"/>
    <w:bookmarkEnd w:id="8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b w:val="1"/>
          <w:bCs w:val="1"/>
          <w:color w:val="auto"/>
        </w:rPr>
        <w:t>LETTER FROM OUR CO-FOUNDERS</w:t>
      </w:r>
    </w:p>
    <w:p>
      <w:pPr>
        <w:spacing w:after="0" w:line="16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Everything we do here is in service of our mission: to help humanity thrive by enabling the world’s teams to work together effortlessly.</w:t>
      </w:r>
    </w:p>
    <w:p>
      <w:pPr>
        <w:spacing w:after="0" w:line="16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When we work together, we can do great things—things that contribute to a better life for people and the planet.</w:t>
      </w:r>
    </w:p>
    <w:p>
      <w:pPr>
        <w:spacing w:after="0" w:line="161" w:lineRule="exact"/>
        <w:rPr>
          <w:sz w:val="20"/>
          <w:szCs w:val="20"/>
          <w:color w:val="auto"/>
        </w:rPr>
      </w:pPr>
    </w:p>
    <w:p>
      <w:pPr>
        <w:ind w:left="1680" w:right="739" w:firstLine="316"/>
        <w:spacing w:after="0" w:line="277" w:lineRule="auto"/>
        <w:rPr>
          <w:sz w:val="20"/>
          <w:szCs w:val="20"/>
          <w:color w:val="auto"/>
        </w:rPr>
      </w:pPr>
      <w:r>
        <w:rPr>
          <w:rFonts w:ascii="Times New Roman" w:cs="Times New Roman" w:eastAsia="Times New Roman" w:hAnsi="Times New Roman"/>
          <w:sz w:val="13"/>
          <w:szCs w:val="13"/>
          <w:color w:val="auto"/>
        </w:rPr>
        <w:t>All important progress in the world requires teams of people to work together. But today, most progress is severely impeded by the difficulty of coordinating teams and a pervasive lack of clarity about what needs to be done, when.</w:t>
      </w:r>
    </w:p>
    <w:p>
      <w:pPr>
        <w:spacing w:after="0" w:line="120" w:lineRule="exact"/>
        <w:rPr>
          <w:sz w:val="20"/>
          <w:szCs w:val="20"/>
          <w:color w:val="auto"/>
        </w:rPr>
      </w:pPr>
    </w:p>
    <w:p>
      <w:pPr>
        <w:ind w:left="1680" w:right="799" w:firstLine="316"/>
        <w:spacing w:after="0" w:line="277" w:lineRule="auto"/>
        <w:rPr>
          <w:sz w:val="20"/>
          <w:szCs w:val="20"/>
          <w:color w:val="auto"/>
        </w:rPr>
      </w:pPr>
      <w:r>
        <w:rPr>
          <w:rFonts w:ascii="Times New Roman" w:cs="Times New Roman" w:eastAsia="Times New Roman" w:hAnsi="Times New Roman"/>
          <w:sz w:val="13"/>
          <w:szCs w:val="13"/>
          <w:color w:val="auto"/>
        </w:rPr>
        <w:t>If Asana succeeds at its mission, every one of these teams—from small partnerships to global organizations—will be vastly more efficient and effective because they have greater clarity, and the people who comprise these teams will feel more confident and less stressed.</w:t>
      </w:r>
    </w:p>
    <w:p>
      <w:pPr>
        <w:spacing w:after="0" w:line="120" w:lineRule="exact"/>
        <w:rPr>
          <w:sz w:val="20"/>
          <w:szCs w:val="20"/>
          <w:color w:val="auto"/>
        </w:rPr>
      </w:pPr>
    </w:p>
    <w:p>
      <w:pPr>
        <w:jc w:val="both"/>
        <w:ind w:left="1680" w:right="599" w:firstLine="316"/>
        <w:spacing w:after="0" w:line="263" w:lineRule="auto"/>
        <w:rPr>
          <w:sz w:val="20"/>
          <w:szCs w:val="20"/>
          <w:color w:val="auto"/>
        </w:rPr>
      </w:pPr>
      <w:r>
        <w:rPr>
          <w:rFonts w:ascii="Times New Roman" w:cs="Times New Roman" w:eastAsia="Times New Roman" w:hAnsi="Times New Roman"/>
          <w:sz w:val="13"/>
          <w:szCs w:val="13"/>
          <w:color w:val="auto"/>
        </w:rPr>
        <w:t>Building a system that enables the world’s teams to work together effortlessly represents an extraordinary leverage point on all other opportunities to drive progress in the world. Because delivering on that value proposition is also a great business opportunity, it creates a financial engine that enables us to continuously reinvest in our mission.</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What is Asana?</w:t>
      </w:r>
    </w:p>
    <w:p>
      <w:pPr>
        <w:spacing w:after="0" w:line="85" w:lineRule="exact"/>
        <w:rPr>
          <w:sz w:val="20"/>
          <w:szCs w:val="20"/>
          <w:color w:val="auto"/>
        </w:rPr>
      </w:pPr>
    </w:p>
    <w:p>
      <w:pPr>
        <w:ind w:left="1680" w:right="679" w:firstLine="316"/>
        <w:spacing w:after="0" w:line="263" w:lineRule="auto"/>
        <w:rPr>
          <w:sz w:val="20"/>
          <w:szCs w:val="20"/>
          <w:color w:val="auto"/>
        </w:rPr>
      </w:pPr>
      <w:r>
        <w:rPr>
          <w:rFonts w:ascii="Times New Roman" w:cs="Times New Roman" w:eastAsia="Times New Roman" w:hAnsi="Times New Roman"/>
          <w:sz w:val="13"/>
          <w:szCs w:val="13"/>
          <w:color w:val="auto"/>
        </w:rPr>
        <w:t>We were inspired to start Asana after seeing the broad adoption and impact of an internal work management tool we built while at Facebook. We left Facebook and created Asana to address our own pain: We love working on big ideas, but we loathe the annoying busywork required by their execution.</w:t>
      </w:r>
    </w:p>
    <w:p>
      <w:pPr>
        <w:spacing w:after="0" w:line="129" w:lineRule="exact"/>
        <w:rPr>
          <w:sz w:val="20"/>
          <w:szCs w:val="20"/>
          <w:color w:val="auto"/>
        </w:rPr>
      </w:pPr>
    </w:p>
    <w:p>
      <w:pPr>
        <w:ind w:left="1680" w:right="719" w:firstLine="316"/>
        <w:spacing w:after="0" w:line="258" w:lineRule="auto"/>
        <w:rPr>
          <w:sz w:val="20"/>
          <w:szCs w:val="20"/>
          <w:color w:val="auto"/>
        </w:rPr>
      </w:pPr>
      <w:r>
        <w:rPr>
          <w:rFonts w:ascii="Times New Roman" w:cs="Times New Roman" w:eastAsia="Times New Roman" w:hAnsi="Times New Roman"/>
          <w:sz w:val="13"/>
          <w:szCs w:val="13"/>
          <w:color w:val="auto"/>
        </w:rPr>
        <w:t xml:space="preserve">That’s because coordinating work across teams is generally chaotic. The problem has only gotten worse as organizations take on greater challenges with more people, complexity, and technology. Most people working in teams today spend more time coordinating work in emails, chats, spreadsheets, and meetings than they spend doing actual productive work. Every day, they get inundated with requests and don’t know where to focus their attention. For people </w:t>
      </w:r>
      <w:r>
        <w:rPr>
          <w:rFonts w:ascii="Times New Roman" w:cs="Times New Roman" w:eastAsia="Times New Roman" w:hAnsi="Times New Roman"/>
          <w:sz w:val="13"/>
          <w:szCs w:val="13"/>
          <w:i w:val="1"/>
          <w:iCs w:val="1"/>
          <w:color w:val="auto"/>
        </w:rPr>
        <w:t>leading</w:t>
      </w:r>
      <w:r>
        <w:rPr>
          <w:rFonts w:ascii="Times New Roman" w:cs="Times New Roman" w:eastAsia="Times New Roman" w:hAnsi="Times New Roman"/>
          <w:sz w:val="13"/>
          <w:szCs w:val="13"/>
          <w:color w:val="auto"/>
        </w:rPr>
        <w:t xml:space="preserve"> teams, there’s the near-constant anxiety about missing deadlines and having work fall through the cracks.</w:t>
      </w:r>
    </w:p>
    <w:p>
      <w:pPr>
        <w:spacing w:after="0" w:line="13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What organizations need is a system to orchestrate their work, from daily tasks to big, strategic initiatives. Asana is that system.</w:t>
      </w:r>
    </w:p>
    <w:p>
      <w:pPr>
        <w:spacing w:after="0" w:line="161" w:lineRule="exact"/>
        <w:rPr>
          <w:sz w:val="20"/>
          <w:szCs w:val="20"/>
          <w:color w:val="auto"/>
        </w:rPr>
      </w:pPr>
    </w:p>
    <w:p>
      <w:pPr>
        <w:ind w:left="1680" w:right="619" w:firstLine="316"/>
        <w:spacing w:after="0" w:line="256" w:lineRule="auto"/>
        <w:rPr>
          <w:sz w:val="20"/>
          <w:szCs w:val="20"/>
          <w:color w:val="auto"/>
        </w:rPr>
      </w:pPr>
      <w:r>
        <w:rPr>
          <w:rFonts w:ascii="Times New Roman" w:cs="Times New Roman" w:eastAsia="Times New Roman" w:hAnsi="Times New Roman"/>
          <w:sz w:val="13"/>
          <w:szCs w:val="13"/>
          <w:color w:val="auto"/>
        </w:rPr>
        <w:t>We’re gratified that, a decade later, Asana is the work management platform that addresses the pain of coordinating work for organizations across the globe. With Asana, they have a living system of clarity where everyone—regardless of where they’re located—can see, discuss, and execute their team’s priorities. Individual team members experience less of the soul-grinding “work about work” that plagues the coordination of complex undertakings, making work much more productive and enjoyable. And team leaders feel more organized and confident about making progress on their team’s plans.</w:t>
      </w:r>
    </w:p>
    <w:p>
      <w:pPr>
        <w:spacing w:after="0" w:line="20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Creating products customers love</w:t>
      </w:r>
    </w:p>
    <w:p>
      <w:pPr>
        <w:spacing w:after="0" w:line="85" w:lineRule="exact"/>
        <w:rPr>
          <w:sz w:val="20"/>
          <w:szCs w:val="20"/>
          <w:color w:val="auto"/>
        </w:rPr>
      </w:pPr>
    </w:p>
    <w:p>
      <w:pPr>
        <w:ind w:left="1680" w:right="559" w:firstLine="316"/>
        <w:spacing w:after="0" w:line="258" w:lineRule="auto"/>
        <w:rPr>
          <w:sz w:val="20"/>
          <w:szCs w:val="20"/>
          <w:color w:val="auto"/>
        </w:rPr>
      </w:pPr>
      <w:r>
        <w:rPr>
          <w:rFonts w:ascii="Times New Roman" w:cs="Times New Roman" w:eastAsia="Times New Roman" w:hAnsi="Times New Roman"/>
          <w:sz w:val="13"/>
          <w:szCs w:val="13"/>
          <w:color w:val="auto"/>
        </w:rPr>
        <w:t>The predominant attitude people have toward software they use at work is either hatred or apathy. These enterprise services succeed in spite of this sentiment. Sometimes, there’s just no better alternative. Other times, the typical enterprise sales model causes leaders to make purchase decisions based on the description of features without ever trying the experience of using them. In contrast, consumer software is expected to be beautifully designed, easy to learn, and a joy to use.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84</w:t>
      </w:r>
    </w:p>
    <w:p>
      <w:pPr>
        <w:sectPr>
          <w:pgSz w:w="11900" w:h="16838" w:orient="portrait"/>
          <w:cols w:equalWidth="0" w:num="1">
            <w:col w:w="10159"/>
          </w:cols>
          <w:pgMar w:left="300" w:top="367" w:right="1440" w:bottom="1440" w:gutter="0" w:footer="0" w:header="0"/>
        </w:sectPr>
      </w:pPr>
    </w:p>
    <w:bookmarkStart w:id="89" w:name="page90"/>
    <w:bookmarkEnd w:id="8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jc w:val="both"/>
        <w:ind w:left="1680" w:right="619" w:firstLine="316"/>
        <w:spacing w:after="0" w:line="263" w:lineRule="auto"/>
        <w:rPr>
          <w:sz w:val="20"/>
          <w:szCs w:val="20"/>
          <w:color w:val="auto"/>
        </w:rPr>
      </w:pPr>
      <w:r>
        <w:rPr>
          <w:rFonts w:ascii="Times New Roman" w:cs="Times New Roman" w:eastAsia="Times New Roman" w:hAnsi="Times New Roman"/>
          <w:sz w:val="13"/>
          <w:szCs w:val="13"/>
          <w:color w:val="auto"/>
        </w:rPr>
        <w:t>“Enterprise users” are just consumer users—or, as we like to call them, “people”—at work, with the same desire and appreciation for high-quality design and delightful interactive experiences. We want our customers to love the product we’ve built and to feel more connected to their teammates and their organization’s mission by using it. This is why we’ve set out to design and build products that rival the best consumer software.</w:t>
      </w:r>
    </w:p>
    <w:p>
      <w:pPr>
        <w:spacing w:after="0" w:line="127" w:lineRule="exact"/>
        <w:rPr>
          <w:sz w:val="20"/>
          <w:szCs w:val="20"/>
          <w:color w:val="auto"/>
        </w:rPr>
      </w:pPr>
    </w:p>
    <w:p>
      <w:pPr>
        <w:jc w:val="both"/>
        <w:ind w:left="1680" w:right="839" w:firstLine="316"/>
        <w:spacing w:after="0" w:line="264" w:lineRule="auto"/>
        <w:rPr>
          <w:sz w:val="20"/>
          <w:szCs w:val="20"/>
          <w:color w:val="auto"/>
        </w:rPr>
      </w:pPr>
      <w:r>
        <w:rPr>
          <w:rFonts w:ascii="Times New Roman" w:cs="Times New Roman" w:eastAsia="Times New Roman" w:hAnsi="Times New Roman"/>
          <w:sz w:val="13"/>
          <w:szCs w:val="13"/>
          <w:color w:val="auto"/>
        </w:rPr>
        <w:t xml:space="preserve">Of course, Asana also aims to rival the best </w:t>
      </w:r>
      <w:r>
        <w:rPr>
          <w:rFonts w:ascii="Times New Roman" w:cs="Times New Roman" w:eastAsia="Times New Roman" w:hAnsi="Times New Roman"/>
          <w:sz w:val="13"/>
          <w:szCs w:val="13"/>
          <w:i w:val="1"/>
          <w:iCs w:val="1"/>
          <w:color w:val="auto"/>
        </w:rPr>
        <w:t>enterprise</w:t>
      </w:r>
      <w:r>
        <w:rPr>
          <w:rFonts w:ascii="Times New Roman" w:cs="Times New Roman" w:eastAsia="Times New Roman" w:hAnsi="Times New Roman"/>
          <w:sz w:val="13"/>
          <w:szCs w:val="13"/>
          <w:color w:val="auto"/>
        </w:rPr>
        <w:t xml:space="preserve"> software, with a deep bench of functionality and controls powerful enough to meet the needs of the world’s largest companies, along with rock-solid stability, security, and compliance. We also provide world-class customer success and support: when you need more engagement from our team, you’ll get the help you need quickly and effectively.</w:t>
      </w:r>
    </w:p>
    <w:p>
      <w:pPr>
        <w:spacing w:after="0" w:line="129" w:lineRule="exact"/>
        <w:rPr>
          <w:sz w:val="20"/>
          <w:szCs w:val="20"/>
          <w:color w:val="auto"/>
        </w:rPr>
      </w:pPr>
    </w:p>
    <w:p>
      <w:pPr>
        <w:ind w:left="1680" w:right="579" w:firstLine="316"/>
        <w:spacing w:after="0" w:line="258" w:lineRule="auto"/>
        <w:rPr>
          <w:sz w:val="20"/>
          <w:szCs w:val="20"/>
          <w:color w:val="auto"/>
        </w:rPr>
      </w:pPr>
      <w:r>
        <w:rPr>
          <w:rFonts w:ascii="Times New Roman" w:cs="Times New Roman" w:eastAsia="Times New Roman" w:hAnsi="Times New Roman"/>
          <w:sz w:val="13"/>
          <w:szCs w:val="13"/>
          <w:color w:val="auto"/>
        </w:rPr>
        <w:t>We believe that artisanship lies at the heart of all great experiences. We take pride in crafting the product experience we deliver to our customers, the underlying technology that powers it, the interactions that teams have with our own employees, and the environment in which we ourselves work. We aim to be excellent across all these areas and more, in order to create the best possible outcomes for our customers and maximize the potential of our mission.</w:t>
      </w:r>
    </w:p>
    <w:p>
      <w:pPr>
        <w:spacing w:after="0" w:line="20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Growing a talented and diverse team</w:t>
      </w:r>
    </w:p>
    <w:p>
      <w:pPr>
        <w:spacing w:after="0" w:line="85" w:lineRule="exact"/>
        <w:rPr>
          <w:sz w:val="20"/>
          <w:szCs w:val="20"/>
          <w:color w:val="auto"/>
        </w:rPr>
      </w:pPr>
    </w:p>
    <w:p>
      <w:pPr>
        <w:jc w:val="both"/>
        <w:ind w:left="1680" w:right="599" w:firstLine="316"/>
        <w:spacing w:after="0" w:line="263" w:lineRule="auto"/>
        <w:rPr>
          <w:sz w:val="20"/>
          <w:szCs w:val="20"/>
          <w:color w:val="auto"/>
        </w:rPr>
      </w:pPr>
      <w:r>
        <w:rPr>
          <w:rFonts w:ascii="Times New Roman" w:cs="Times New Roman" w:eastAsia="Times New Roman" w:hAnsi="Times New Roman"/>
          <w:sz w:val="13"/>
          <w:szCs w:val="13"/>
          <w:color w:val="auto"/>
        </w:rPr>
        <w:t>Asana has invested deeply in hiring and developing an astoundingly capable, mission-driven, and values-aligned group of people. To achieve this, we have built a world-class talent acquisition organization, which partners with our existing team to identify top candidates all over the world in service of our global customer base.</w:t>
      </w:r>
    </w:p>
    <w:p>
      <w:pPr>
        <w:spacing w:after="0" w:line="129" w:lineRule="exact"/>
        <w:rPr>
          <w:sz w:val="20"/>
          <w:szCs w:val="20"/>
          <w:color w:val="auto"/>
        </w:rPr>
      </w:pPr>
    </w:p>
    <w:p>
      <w:pPr>
        <w:jc w:val="both"/>
        <w:ind w:left="1680" w:right="639" w:firstLine="316"/>
        <w:spacing w:after="0" w:line="263" w:lineRule="auto"/>
        <w:rPr>
          <w:sz w:val="20"/>
          <w:szCs w:val="20"/>
          <w:color w:val="auto"/>
        </w:rPr>
      </w:pPr>
      <w:r>
        <w:rPr>
          <w:rFonts w:ascii="Times New Roman" w:cs="Times New Roman" w:eastAsia="Times New Roman" w:hAnsi="Times New Roman"/>
          <w:sz w:val="13"/>
          <w:szCs w:val="13"/>
          <w:color w:val="auto"/>
        </w:rPr>
        <w:t>In addition to seeking excellence in each individual hire, we work hard to build a team that is diverse in order to maximize our creative potential, develop empathy with our diverse customer base, and be the change we want to see in the workplace. This strategy makes us a better company and also contributes to the type of culture we want to work in: inclusive, dynamic, and engaging.</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Co-creating a mindful culture</w:t>
      </w:r>
    </w:p>
    <w:p>
      <w:pPr>
        <w:spacing w:after="0" w:line="85" w:lineRule="exact"/>
        <w:rPr>
          <w:sz w:val="20"/>
          <w:szCs w:val="20"/>
          <w:color w:val="auto"/>
        </w:rPr>
      </w:pPr>
    </w:p>
    <w:p>
      <w:pPr>
        <w:ind w:left="1680" w:right="579" w:firstLine="316"/>
        <w:spacing w:after="0" w:line="256" w:lineRule="auto"/>
        <w:rPr>
          <w:sz w:val="20"/>
          <w:szCs w:val="20"/>
          <w:color w:val="auto"/>
        </w:rPr>
      </w:pPr>
      <w:r>
        <w:rPr>
          <w:rFonts w:ascii="Times New Roman" w:cs="Times New Roman" w:eastAsia="Times New Roman" w:hAnsi="Times New Roman"/>
          <w:sz w:val="13"/>
          <w:szCs w:val="13"/>
          <w:color w:val="auto"/>
        </w:rPr>
        <w:t>We have designed our culture with the same care and intentionality that we’ve invested in designing our product. As a result, Asana is consistently recognized as one of the best places to work, and as a cultural leader in technology and business at large. This enables us to hire and retain exceptional talent, move quickly like a well-oiled machine, and avoid conflict and dysfunction. Our reputation in the market means that customers turn to us as an authority on best practices to create clarity for teams. We regularly integrate these learnings into our product, our resources and publications on effective teamwork and our customer success services.</w:t>
      </w:r>
    </w:p>
    <w:p>
      <w:pPr>
        <w:spacing w:after="0" w:line="133" w:lineRule="exact"/>
        <w:rPr>
          <w:sz w:val="20"/>
          <w:szCs w:val="20"/>
          <w:color w:val="auto"/>
        </w:rPr>
      </w:pPr>
    </w:p>
    <w:p>
      <w:pPr>
        <w:ind w:left="1680" w:right="619" w:firstLine="316"/>
        <w:spacing w:after="0" w:line="254" w:lineRule="auto"/>
        <w:rPr>
          <w:sz w:val="20"/>
          <w:szCs w:val="20"/>
          <w:color w:val="auto"/>
        </w:rPr>
      </w:pPr>
      <w:r>
        <w:rPr>
          <w:rFonts w:ascii="Times New Roman" w:cs="Times New Roman" w:eastAsia="Times New Roman" w:hAnsi="Times New Roman"/>
          <w:sz w:val="13"/>
          <w:szCs w:val="13"/>
          <w:color w:val="auto"/>
        </w:rPr>
        <w:t>By culture, we don’t mean “beer on Fridays.” We mean the practical and pervasive implementation of norms, best practices, and ideals. We empower people with what they need to do their best work and avoid micromanagement. We achieve flow with practices like No Meeting Wednesday. We practice an unusual degree of candor, even when it’s uncomfortable, and the truth makes us better. We enact a fierce commitment to equity and inclusion for all teammates of every gender, appearance, race, and identity. We connect everything back to the mission, so everyone understands why their work is a critical piece of the puzzle. We work hard, move fast, and, simultaneously, live well. It’s a culture of clarity, accountability, transparency, empathy, humility, and, as a result, trust.</w:t>
      </w:r>
    </w:p>
    <w:p>
      <w:pPr>
        <w:spacing w:after="0" w:line="136" w:lineRule="exact"/>
        <w:rPr>
          <w:sz w:val="20"/>
          <w:szCs w:val="20"/>
          <w:color w:val="auto"/>
        </w:rPr>
      </w:pPr>
    </w:p>
    <w:p>
      <w:pPr>
        <w:ind w:left="1680" w:right="579" w:firstLine="316"/>
        <w:spacing w:after="0" w:line="277" w:lineRule="auto"/>
        <w:rPr>
          <w:sz w:val="20"/>
          <w:szCs w:val="20"/>
          <w:color w:val="auto"/>
        </w:rPr>
      </w:pPr>
      <w:r>
        <w:rPr>
          <w:rFonts w:ascii="Times New Roman" w:cs="Times New Roman" w:eastAsia="Times New Roman" w:hAnsi="Times New Roman"/>
          <w:sz w:val="13"/>
          <w:szCs w:val="13"/>
          <w:color w:val="auto"/>
        </w:rPr>
        <w:t>Ironically, many companies see culture as an indulgence, at odds with business performance. Not only is this a false trade-off, but culture is one of Asana’s most enduring competitive advantages, and a core factor in the tremendous business results we’ve achieved.</w:t>
      </w:r>
    </w:p>
    <w:p>
      <w:pPr>
        <w:spacing w:after="0" w:line="120" w:lineRule="exact"/>
        <w:rPr>
          <w:sz w:val="20"/>
          <w:szCs w:val="20"/>
          <w:color w:val="auto"/>
        </w:rPr>
      </w:pPr>
    </w:p>
    <w:p>
      <w:pPr>
        <w:ind w:left="1680" w:right="939" w:firstLine="316"/>
        <w:spacing w:after="0" w:line="277" w:lineRule="auto"/>
        <w:rPr>
          <w:sz w:val="20"/>
          <w:szCs w:val="20"/>
          <w:color w:val="auto"/>
        </w:rPr>
      </w:pPr>
      <w:r>
        <w:rPr>
          <w:rFonts w:ascii="Times New Roman" w:cs="Times New Roman" w:eastAsia="Times New Roman" w:hAnsi="Times New Roman"/>
          <w:sz w:val="13"/>
          <w:szCs w:val="13"/>
          <w:color w:val="auto"/>
        </w:rPr>
        <w:t>We leverage our value of mindfulness to regularly and intentionally improve our business engine, customer support, onboarding, recruiting, internal processes, and everything else about our own organization. Just like we</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85</w:t>
      </w:r>
    </w:p>
    <w:p>
      <w:pPr>
        <w:sectPr>
          <w:pgSz w:w="11900" w:h="16838" w:orient="portrait"/>
          <w:cols w:equalWidth="0" w:num="1">
            <w:col w:w="10159"/>
          </w:cols>
          <w:pgMar w:left="300" w:top="367" w:right="1440" w:bottom="1440" w:gutter="0" w:footer="0" w:header="0"/>
        </w:sectPr>
      </w:pPr>
    </w:p>
    <w:bookmarkStart w:id="90" w:name="page91"/>
    <w:bookmarkEnd w:id="9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79"/>
        <w:spacing w:after="0" w:line="258" w:lineRule="auto"/>
        <w:rPr>
          <w:sz w:val="20"/>
          <w:szCs w:val="20"/>
          <w:color w:val="auto"/>
        </w:rPr>
      </w:pPr>
      <w:r>
        <w:rPr>
          <w:rFonts w:ascii="Times New Roman" w:cs="Times New Roman" w:eastAsia="Times New Roman" w:hAnsi="Times New Roman"/>
          <w:sz w:val="13"/>
          <w:szCs w:val="13"/>
          <w:color w:val="auto"/>
        </w:rPr>
        <w:t>continuously improve the Asana product, we aim to continuously improve Asana’s culture and processes. We strive to be unswervingly self-aware and have built processes at various organizational and time scales to periodically take stock of how well our actions—and their results—match our intentions. This surfaces areas that need improvement, which we call “culture bugs.” We then co-create concrete plans to address these bugs and improve our culture during the next period of work.</w:t>
      </w:r>
    </w:p>
    <w:p>
      <w:pPr>
        <w:spacing w:after="0" w:line="133" w:lineRule="exact"/>
        <w:rPr>
          <w:sz w:val="20"/>
          <w:szCs w:val="20"/>
          <w:color w:val="auto"/>
        </w:rPr>
      </w:pPr>
    </w:p>
    <w:p>
      <w:pPr>
        <w:ind w:left="1680" w:right="979" w:firstLine="316"/>
        <w:spacing w:after="0" w:line="277" w:lineRule="auto"/>
        <w:rPr>
          <w:sz w:val="20"/>
          <w:szCs w:val="20"/>
          <w:color w:val="auto"/>
        </w:rPr>
      </w:pPr>
      <w:r>
        <w:rPr>
          <w:rFonts w:ascii="Times New Roman" w:cs="Times New Roman" w:eastAsia="Times New Roman" w:hAnsi="Times New Roman"/>
          <w:sz w:val="13"/>
          <w:szCs w:val="13"/>
          <w:color w:val="auto"/>
        </w:rPr>
        <w:t>Through repeated iterations of this approach, we have succeeded in scaling our culture. While cultures tend notoriously to degrade as most companies scale, our system for mindful, organizational self-improvement makes the company better and better over time.</w:t>
      </w:r>
    </w:p>
    <w:p>
      <w:pPr>
        <w:spacing w:after="0" w:line="19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Innovating new technologies</w:t>
      </w:r>
    </w:p>
    <w:p>
      <w:pPr>
        <w:spacing w:after="0" w:line="8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We have invested heavily in a number of technologies which put us at a competitive advantage, including:</w:t>
      </w:r>
    </w:p>
    <w:p>
      <w:pPr>
        <w:spacing w:after="0" w:line="93" w:lineRule="exact"/>
        <w:rPr>
          <w:sz w:val="20"/>
          <w:szCs w:val="20"/>
          <w:color w:val="auto"/>
        </w:rPr>
      </w:pPr>
    </w:p>
    <w:p>
      <w:pPr>
        <w:ind w:left="2380" w:right="719" w:hanging="381"/>
        <w:spacing w:after="0" w:line="263" w:lineRule="auto"/>
        <w:tabs>
          <w:tab w:leader="none" w:pos="238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“work graph.” Like the social graph the two of us helped create for Facebook, the work graph is a flexible data model—of people, tasks, goals, projects, portfolios, conversations, files, and the relationships among them—powering Asana. The work graph enables each Asana user to see information in the format that makes most sense for them.</w:t>
      </w:r>
    </w:p>
    <w:p>
      <w:pPr>
        <w:spacing w:after="0" w:line="61" w:lineRule="exact"/>
        <w:rPr>
          <w:rFonts w:ascii="Times New Roman" w:cs="Times New Roman" w:eastAsia="Times New Roman" w:hAnsi="Times New Roman"/>
          <w:sz w:val="13"/>
          <w:szCs w:val="13"/>
          <w:color w:val="auto"/>
        </w:rPr>
      </w:pPr>
    </w:p>
    <w:p>
      <w:pPr>
        <w:jc w:val="both"/>
        <w:ind w:left="2380" w:right="659" w:hanging="381"/>
        <w:spacing w:after="0" w:line="263" w:lineRule="auto"/>
        <w:tabs>
          <w:tab w:leader="none" w:pos="238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proprietary “Luna2” application framework, which we believe to be ahead of the state of the art in enabling the rapid development of high-performance applications with complex user interfaces. This enables us to deliver sophisticated new functionality to customers with unusual speed even while concurrently scaling our infrastructure to support a quickly growing number of customers worldwide.</w:t>
      </w:r>
    </w:p>
    <w:p>
      <w:pPr>
        <w:spacing w:after="0" w:line="61"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“mindful technology” approach to design that respects user attention and enables focus.</w:t>
      </w:r>
    </w:p>
    <w:p>
      <w:pPr>
        <w:spacing w:after="0" w:line="161" w:lineRule="exact"/>
        <w:rPr>
          <w:sz w:val="20"/>
          <w:szCs w:val="20"/>
          <w:color w:val="auto"/>
        </w:rPr>
      </w:pPr>
    </w:p>
    <w:p>
      <w:pPr>
        <w:ind w:left="1680" w:right="799" w:firstLine="316"/>
        <w:spacing w:after="0" w:line="277" w:lineRule="auto"/>
        <w:rPr>
          <w:sz w:val="20"/>
          <w:szCs w:val="20"/>
          <w:color w:val="auto"/>
        </w:rPr>
      </w:pPr>
      <w:r>
        <w:rPr>
          <w:rFonts w:ascii="Times New Roman" w:cs="Times New Roman" w:eastAsia="Times New Roman" w:hAnsi="Times New Roman"/>
          <w:sz w:val="13"/>
          <w:szCs w:val="13"/>
          <w:color w:val="auto"/>
        </w:rPr>
        <w:t>Going forward, we plan to double down on these investments and expand into AI, marrying human and computer intelligence to automate and prioritize work for individuals, teams, and organizations.</w:t>
      </w:r>
    </w:p>
    <w:p>
      <w:pPr>
        <w:spacing w:after="0" w:line="19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Building a fast-growing business</w:t>
      </w:r>
    </w:p>
    <w:p>
      <w:pPr>
        <w:spacing w:after="0" w:line="85" w:lineRule="exact"/>
        <w:rPr>
          <w:sz w:val="20"/>
          <w:szCs w:val="20"/>
          <w:color w:val="auto"/>
        </w:rPr>
      </w:pPr>
    </w:p>
    <w:p>
      <w:pPr>
        <w:ind w:left="1680" w:right="599" w:firstLine="316"/>
        <w:spacing w:after="0" w:line="277" w:lineRule="auto"/>
        <w:rPr>
          <w:sz w:val="20"/>
          <w:szCs w:val="20"/>
          <w:color w:val="auto"/>
        </w:rPr>
      </w:pPr>
      <w:r>
        <w:rPr>
          <w:rFonts w:ascii="Times New Roman" w:cs="Times New Roman" w:eastAsia="Times New Roman" w:hAnsi="Times New Roman"/>
          <w:sz w:val="13"/>
          <w:szCs w:val="13"/>
          <w:color w:val="auto"/>
        </w:rPr>
        <w:t>At Asana, revenue is not an end in itself; it is the rocket fuel for achieving our mission. Enabling the world’s teams to work together effortlessly is a very big mission, so we have invested tremendous energy in building and optimizing an unusually powerful engine for revenue and growth.</w:t>
      </w:r>
    </w:p>
    <w:p>
      <w:pPr>
        <w:spacing w:after="0" w:line="118" w:lineRule="exact"/>
        <w:rPr>
          <w:sz w:val="20"/>
          <w:szCs w:val="20"/>
          <w:color w:val="auto"/>
        </w:rPr>
      </w:pPr>
    </w:p>
    <w:p>
      <w:pPr>
        <w:ind w:left="1680" w:right="559" w:firstLine="316"/>
        <w:spacing w:after="0" w:line="280" w:lineRule="auto"/>
        <w:rPr>
          <w:sz w:val="20"/>
          <w:szCs w:val="20"/>
          <w:color w:val="auto"/>
        </w:rPr>
      </w:pPr>
      <w:r>
        <w:rPr>
          <w:rFonts w:ascii="Times New Roman" w:cs="Times New Roman" w:eastAsia="Times New Roman" w:hAnsi="Times New Roman"/>
          <w:sz w:val="13"/>
          <w:szCs w:val="13"/>
          <w:color w:val="auto"/>
        </w:rPr>
        <w:t xml:space="preserve">Traditional business software is sold </w:t>
      </w:r>
      <w:r>
        <w:rPr>
          <w:rFonts w:ascii="Times New Roman" w:cs="Times New Roman" w:eastAsia="Times New Roman" w:hAnsi="Times New Roman"/>
          <w:sz w:val="13"/>
          <w:szCs w:val="13"/>
          <w:i w:val="1"/>
          <w:iCs w:val="1"/>
          <w:color w:val="auto"/>
        </w:rPr>
        <w:t>top-down</w:t>
      </w:r>
      <w:r>
        <w:rPr>
          <w:rFonts w:ascii="Times New Roman" w:cs="Times New Roman" w:eastAsia="Times New Roman" w:hAnsi="Times New Roman"/>
          <w:sz w:val="13"/>
          <w:szCs w:val="13"/>
          <w:color w:val="auto"/>
        </w:rPr>
        <w:t xml:space="preserve"> with expensive enterprise sales reps and slow sales cycles. A new generation of vendors has taken a </w:t>
      </w:r>
      <w:r>
        <w:rPr>
          <w:rFonts w:ascii="Times New Roman" w:cs="Times New Roman" w:eastAsia="Times New Roman" w:hAnsi="Times New Roman"/>
          <w:sz w:val="13"/>
          <w:szCs w:val="13"/>
          <w:i w:val="1"/>
          <w:iCs w:val="1"/>
          <w:color w:val="auto"/>
        </w:rPr>
        <w:t xml:space="preserve">bottom-up </w:t>
      </w:r>
      <w:r>
        <w:rPr>
          <w:rFonts w:ascii="Times New Roman" w:cs="Times New Roman" w:eastAsia="Times New Roman" w:hAnsi="Times New Roman"/>
          <w:sz w:val="13"/>
          <w:szCs w:val="13"/>
          <w:color w:val="auto"/>
        </w:rPr>
        <w:t>approach, allowing small teams within large organizations to try and purchase business software online.</w:t>
      </w:r>
    </w:p>
    <w:p>
      <w:pPr>
        <w:spacing w:after="0" w:line="116" w:lineRule="exact"/>
        <w:rPr>
          <w:sz w:val="20"/>
          <w:szCs w:val="20"/>
          <w:color w:val="auto"/>
        </w:rPr>
      </w:pPr>
    </w:p>
    <w:p>
      <w:pPr>
        <w:ind w:left="1680" w:right="559" w:firstLine="316"/>
        <w:spacing w:after="0" w:line="256" w:lineRule="auto"/>
        <w:rPr>
          <w:sz w:val="20"/>
          <w:szCs w:val="20"/>
          <w:color w:val="auto"/>
        </w:rPr>
      </w:pPr>
      <w:r>
        <w:rPr>
          <w:rFonts w:ascii="Times New Roman" w:cs="Times New Roman" w:eastAsia="Times New Roman" w:hAnsi="Times New Roman"/>
          <w:sz w:val="13"/>
          <w:szCs w:val="13"/>
          <w:color w:val="auto"/>
        </w:rPr>
        <w:t xml:space="preserve">Asana takes an unusual </w:t>
      </w:r>
      <w:r>
        <w:rPr>
          <w:rFonts w:ascii="Times New Roman" w:cs="Times New Roman" w:eastAsia="Times New Roman" w:hAnsi="Times New Roman"/>
          <w:sz w:val="13"/>
          <w:szCs w:val="13"/>
          <w:i w:val="1"/>
          <w:iCs w:val="1"/>
          <w:color w:val="auto"/>
        </w:rPr>
        <w:t>hybrid</w:t>
      </w:r>
      <w:r>
        <w:rPr>
          <w:rFonts w:ascii="Times New Roman" w:cs="Times New Roman" w:eastAsia="Times New Roman" w:hAnsi="Times New Roman"/>
          <w:sz w:val="13"/>
          <w:szCs w:val="13"/>
          <w:color w:val="auto"/>
        </w:rPr>
        <w:t xml:space="preserve"> approach. Our optimized self-service engine allows us to land rapidly in teams all over the world, often via word-of-mouth recommendations, and our direct sales team can expand that bottom-up usage into company-wide deployment much faster than through organic growth. With this approach, we not only get the best of both worlds; we also get more than the sum of their parts. We close deals much more quickly by showing buyers the successful and happy Asana users that already exist within their organizations without needing to cold-call and “wine and dine” CIOs.</w:t>
      </w:r>
    </w:p>
    <w:p>
      <w:pPr>
        <w:spacing w:after="0" w:line="135" w:lineRule="exact"/>
        <w:rPr>
          <w:sz w:val="20"/>
          <w:szCs w:val="20"/>
          <w:color w:val="auto"/>
        </w:rPr>
      </w:pPr>
    </w:p>
    <w:p>
      <w:pPr>
        <w:ind w:left="1680" w:right="579" w:firstLine="316"/>
        <w:spacing w:after="0" w:line="258" w:lineRule="auto"/>
        <w:rPr>
          <w:sz w:val="20"/>
          <w:szCs w:val="20"/>
          <w:color w:val="auto"/>
        </w:rPr>
      </w:pPr>
      <w:r>
        <w:rPr>
          <w:rFonts w:ascii="Times New Roman" w:cs="Times New Roman" w:eastAsia="Times New Roman" w:hAnsi="Times New Roman"/>
          <w:sz w:val="13"/>
          <w:szCs w:val="13"/>
          <w:color w:val="auto"/>
        </w:rPr>
        <w:t>Similarly, our product and go-to-market strategy also gives us the best of both worlds. While some vendors choose to focus on an individual target market, and others create broad generic solutions, we offer a horizontal platform that can be used by any team in any industry anywhere, as well as templates, solutions, and in-house experts that are tailored to the needs of specific segments and geographies where we have the best product-market fit. The result is strong adoption across industries from technology and media to government and nonprofits, with customers in 190 countries.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86</w:t>
      </w:r>
    </w:p>
    <w:p>
      <w:pPr>
        <w:sectPr>
          <w:pgSz w:w="11900" w:h="16838" w:orient="portrait"/>
          <w:cols w:equalWidth="0" w:num="1">
            <w:col w:w="10159"/>
          </w:cols>
          <w:pgMar w:left="300" w:top="367" w:right="1440" w:bottom="1440" w:gutter="0" w:footer="0" w:header="0"/>
        </w:sectPr>
      </w:pPr>
    </w:p>
    <w:bookmarkStart w:id="91" w:name="page92"/>
    <w:bookmarkEnd w:id="9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Pursuing our long-term vision</w:t>
      </w:r>
    </w:p>
    <w:p>
      <w:pPr>
        <w:spacing w:after="0" w:line="85" w:lineRule="exact"/>
        <w:rPr>
          <w:sz w:val="20"/>
          <w:szCs w:val="20"/>
          <w:color w:val="auto"/>
        </w:rPr>
      </w:pPr>
    </w:p>
    <w:p>
      <w:pPr>
        <w:ind w:left="1680" w:right="579" w:firstLine="316"/>
        <w:spacing w:after="0" w:line="263" w:lineRule="auto"/>
        <w:rPr>
          <w:sz w:val="20"/>
          <w:szCs w:val="20"/>
          <w:color w:val="auto"/>
        </w:rPr>
      </w:pPr>
      <w:r>
        <w:rPr>
          <w:rFonts w:ascii="Times New Roman" w:cs="Times New Roman" w:eastAsia="Times New Roman" w:hAnsi="Times New Roman"/>
          <w:sz w:val="13"/>
          <w:szCs w:val="13"/>
          <w:color w:val="auto"/>
        </w:rPr>
        <w:t>From the beginning, we have had an expansive long-term vision to enable teams to work together effortlessly. Since then, we have partnered closely with our customers and the broader Asana team to develop and refine this vision. While many details have changed from what we first imagined, the fundamentals have endured.</w:t>
      </w:r>
    </w:p>
    <w:p>
      <w:pPr>
        <w:spacing w:after="0" w:line="129" w:lineRule="exact"/>
        <w:rPr>
          <w:sz w:val="20"/>
          <w:szCs w:val="20"/>
          <w:color w:val="auto"/>
        </w:rPr>
      </w:pPr>
    </w:p>
    <w:p>
      <w:pPr>
        <w:jc w:val="both"/>
        <w:ind w:left="1680" w:right="659" w:firstLine="316"/>
        <w:spacing w:after="0" w:line="277" w:lineRule="auto"/>
        <w:rPr>
          <w:sz w:val="20"/>
          <w:szCs w:val="20"/>
          <w:color w:val="auto"/>
        </w:rPr>
      </w:pPr>
      <w:r>
        <w:rPr>
          <w:rFonts w:ascii="Times New Roman" w:cs="Times New Roman" w:eastAsia="Times New Roman" w:hAnsi="Times New Roman"/>
          <w:sz w:val="13"/>
          <w:szCs w:val="13"/>
          <w:color w:val="auto"/>
        </w:rPr>
        <w:t>People are most effective, fulfilled, and happy at work when they are engaged in tasks that are uniquely human. That is, they are able to leverage their empathy, creativity, and judgment.</w:t>
      </w:r>
    </w:p>
    <w:p>
      <w:pPr>
        <w:spacing w:after="0" w:line="120" w:lineRule="exact"/>
        <w:rPr>
          <w:sz w:val="20"/>
          <w:szCs w:val="20"/>
          <w:color w:val="auto"/>
        </w:rPr>
      </w:pPr>
    </w:p>
    <w:p>
      <w:pPr>
        <w:jc w:val="both"/>
        <w:ind w:left="1680" w:right="659" w:firstLine="316"/>
        <w:spacing w:after="0" w:line="263" w:lineRule="auto"/>
        <w:rPr>
          <w:sz w:val="20"/>
          <w:szCs w:val="20"/>
          <w:color w:val="auto"/>
        </w:rPr>
      </w:pPr>
      <w:r>
        <w:rPr>
          <w:rFonts w:ascii="Times New Roman" w:cs="Times New Roman" w:eastAsia="Times New Roman" w:hAnsi="Times New Roman"/>
          <w:sz w:val="13"/>
          <w:szCs w:val="13"/>
          <w:color w:val="auto"/>
        </w:rPr>
        <w:t>Computers are most effective when they eliminate everything else: the work that can be error-prone, tedious, and even soul-sucking for humans. Asana aims to facilitate—and ultimately automate—all of the “work about work” associated with coordinating projects and managing schedules across individuals, teams, and organizations.</w:t>
      </w:r>
    </w:p>
    <w:p>
      <w:pPr>
        <w:spacing w:after="0" w:line="129" w:lineRule="exact"/>
        <w:rPr>
          <w:sz w:val="20"/>
          <w:szCs w:val="20"/>
          <w:color w:val="auto"/>
        </w:rPr>
      </w:pPr>
    </w:p>
    <w:p>
      <w:pPr>
        <w:ind w:left="1680" w:right="619" w:firstLine="316"/>
        <w:spacing w:after="0" w:line="258" w:lineRule="auto"/>
        <w:rPr>
          <w:sz w:val="20"/>
          <w:szCs w:val="20"/>
          <w:color w:val="auto"/>
        </w:rPr>
      </w:pPr>
      <w:r>
        <w:rPr>
          <w:rFonts w:ascii="Times New Roman" w:cs="Times New Roman" w:eastAsia="Times New Roman" w:hAnsi="Times New Roman"/>
          <w:sz w:val="13"/>
          <w:szCs w:val="13"/>
          <w:color w:val="auto"/>
        </w:rPr>
        <w:t>The first phase of our vision was to deliver clarity up, down, and across organizations. We created the work graph, which gives everyone a unique view of their individual work and how it fits into the work of their team and organization. This comprehensive, yet personalized map provides clarity and alignment on goals and progress across an entire organization to reach its collective aspirations. As of 2020, we are well through our roadmap for delivering the first stage of our vision: to create the living system of clarity for organizations.</w:t>
      </w:r>
    </w:p>
    <w:p>
      <w:pPr>
        <w:spacing w:after="0" w:line="133" w:lineRule="exact"/>
        <w:rPr>
          <w:sz w:val="20"/>
          <w:szCs w:val="20"/>
          <w:color w:val="auto"/>
        </w:rPr>
      </w:pPr>
    </w:p>
    <w:p>
      <w:pPr>
        <w:ind w:left="1680" w:right="579" w:firstLine="316"/>
        <w:spacing w:after="0" w:line="258" w:lineRule="auto"/>
        <w:rPr>
          <w:sz w:val="20"/>
          <w:szCs w:val="20"/>
          <w:color w:val="auto"/>
        </w:rPr>
      </w:pPr>
      <w:r>
        <w:rPr>
          <w:rFonts w:ascii="Times New Roman" w:cs="Times New Roman" w:eastAsia="Times New Roman" w:hAnsi="Times New Roman"/>
          <w:sz w:val="13"/>
          <w:szCs w:val="13"/>
          <w:color w:val="auto"/>
        </w:rPr>
        <w:t>The second phase of our vision capitalizes on the benefits of the work graph by marrying human intelligence with computer intelligence. When details and data about work are linked to and tracked in our database, Asana can serve as a powerful, intelligent tool in service of individuals, teams, and organizations—from optimizing how work should be done to predicting bottlenecks and suggesting ways to alleviate them. The second phase of our roadmap envisions Asana as the navigation system for organizations, its teams, and the individuals that comprise them.</w:t>
      </w:r>
    </w:p>
    <w:p>
      <w:pPr>
        <w:spacing w:after="0" w:line="13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Over the next several years, we intend to offer several benefits:</w:t>
      </w:r>
    </w:p>
    <w:p>
      <w:pPr>
        <w:spacing w:after="0" w:line="91" w:lineRule="exact"/>
        <w:rPr>
          <w:sz w:val="20"/>
          <w:szCs w:val="20"/>
          <w:color w:val="auto"/>
        </w:rPr>
      </w:pPr>
    </w:p>
    <w:p>
      <w:pPr>
        <w:ind w:left="2380" w:right="579" w:hanging="381"/>
        <w:spacing w:after="0" w:line="254" w:lineRule="auto"/>
        <w:tabs>
          <w:tab w:leader="none" w:pos="238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For team members</w:t>
      </w:r>
      <w:r>
        <w:rPr>
          <w:rFonts w:ascii="Times New Roman" w:cs="Times New Roman" w:eastAsia="Times New Roman" w:hAnsi="Times New Roman"/>
          <w:sz w:val="13"/>
          <w:szCs w:val="13"/>
          <w:color w:val="auto"/>
        </w:rPr>
        <w:t>: Team members do their best, most creative work when they have clarity on how their work contributes to greater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goals, the context and feedback they need to complete the task at hand, and freedom from distractions. We clarify how a given task fits into a team’s project or process, a division’s broader goals, and an organization’s mission. Our solution will surface the relevant context for tasks across workflows and apps, with features designed to enable teammates to recognize, encourage, and share feedback in real time. We also plan to deliver an intelligent assistant that curates notifications and suggests how work should be prioritized based on its importance to the organization. We seek to maximize the flow state for individuals by intentionally designing experiences that create the conditions for their best work to occur.</w:t>
      </w:r>
    </w:p>
    <w:p>
      <w:pPr>
        <w:spacing w:after="0" w:line="65" w:lineRule="exact"/>
        <w:rPr>
          <w:rFonts w:ascii="Times New Roman" w:cs="Times New Roman" w:eastAsia="Times New Roman" w:hAnsi="Times New Roman"/>
          <w:sz w:val="13"/>
          <w:szCs w:val="13"/>
          <w:color w:val="auto"/>
        </w:rPr>
      </w:pPr>
    </w:p>
    <w:p>
      <w:pPr>
        <w:ind w:left="2380" w:right="599" w:hanging="381"/>
        <w:spacing w:after="0" w:line="253" w:lineRule="auto"/>
        <w:tabs>
          <w:tab w:leader="none" w:pos="238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For teams</w:t>
      </w:r>
      <w:r>
        <w:rPr>
          <w:rFonts w:ascii="Times New Roman" w:cs="Times New Roman" w:eastAsia="Times New Roman" w:hAnsi="Times New Roman"/>
          <w:sz w:val="13"/>
          <w:szCs w:val="13"/>
          <w:color w:val="auto"/>
        </w:rPr>
        <w:t>: When individuals do less work about work, their teams collectively become more efficient. Asana improves efficiency for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teams by serving as their real time executional plan of record. It also acts as a central hub across all their workflows, integrating with other tools where work is accomplished. Asana is the platform that puts the components of work themselves—tasks, projects, and goals—at the center. Asana reduces the number of messages required to accomplish team goals by making priorities unambiguous and intelligently clarifying team communication. We plan to eliminate the need for status meetings, and make other meetings more efficient and focused by enhancing them with software-based assistance. Asana democratizes the benefits of having a professional project manager for all teams by building and leveraging best practices for projects and processes seamlessly in the solution. Ultimately Asana will guide teams to create and automate workflows that make sure work doesn’t slip through the cracks.</w:t>
      </w:r>
    </w:p>
    <w:p>
      <w:pPr>
        <w:spacing w:after="0" w:line="67" w:lineRule="exact"/>
        <w:rPr>
          <w:rFonts w:ascii="Times New Roman" w:cs="Times New Roman" w:eastAsia="Times New Roman" w:hAnsi="Times New Roman"/>
          <w:sz w:val="13"/>
          <w:szCs w:val="13"/>
          <w:color w:val="auto"/>
        </w:rPr>
      </w:pPr>
    </w:p>
    <w:p>
      <w:pPr>
        <w:ind w:left="2380" w:right="639" w:hanging="381"/>
        <w:spacing w:after="0" w:line="280" w:lineRule="auto"/>
        <w:tabs>
          <w:tab w:leader="none" w:pos="238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For organizations</w:t>
      </w:r>
      <w:r>
        <w:rPr>
          <w:rFonts w:ascii="Times New Roman" w:cs="Times New Roman" w:eastAsia="Times New Roman" w:hAnsi="Times New Roman"/>
          <w:sz w:val="13"/>
          <w:szCs w:val="13"/>
          <w:color w:val="auto"/>
        </w:rPr>
        <w:t>: When team members spend more time on creative work instead of work about work and their teams are able to create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shared victories more efficiently, overall employee engagement</w:t>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87</w:t>
      </w:r>
    </w:p>
    <w:p>
      <w:pPr>
        <w:sectPr>
          <w:pgSz w:w="11900" w:h="16838" w:orient="portrait"/>
          <w:cols w:equalWidth="0" w:num="1">
            <w:col w:w="10159"/>
          </w:cols>
          <w:pgMar w:left="300" w:top="367" w:right="1440" w:bottom="1440" w:gutter="0" w:footer="0" w:header="0"/>
        </w:sectPr>
      </w:pPr>
    </w:p>
    <w:bookmarkStart w:id="92" w:name="page93"/>
    <w:bookmarkEnd w:id="9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2400" w:right="579"/>
        <w:spacing w:after="0" w:line="252" w:lineRule="auto"/>
        <w:rPr>
          <w:sz w:val="20"/>
          <w:szCs w:val="20"/>
          <w:color w:val="auto"/>
        </w:rPr>
      </w:pPr>
      <w:r>
        <w:rPr>
          <w:rFonts w:ascii="Times New Roman" w:cs="Times New Roman" w:eastAsia="Times New Roman" w:hAnsi="Times New Roman"/>
          <w:sz w:val="13"/>
          <w:szCs w:val="13"/>
          <w:color w:val="auto"/>
        </w:rPr>
        <w:t>rises, the best talent can be attracted and retained, and organizations can better serve their customers. We are building Asana to be the navigation system for an organization. Leaders will be able to set goals in Asana, and Asana will help intelligently map the plans needed to achieve them—from strategy to execution—unifying and aligning an organization around its most important work. Asana will be able to predict and optimize team schedules, suggest where energy and attention need to be shifted for maximum efficiency, and assist with forecasting and scenario planning. It can assist in implementing company-wide processes, leveraging Asana’s ever-increasing knowledge of vertical-specific best practices. Executives will be able to plan and achieve high-level objectives, and monitor progress with an integrated dashboard that summarizes data across every department and third-party tool. For the first time, a tool will exist that links organization goals to strategy, and strategy to execution, that is easy to adopt across functions and teams. Organizations will experience clarity, accountability, alignment, continuous improvement, and, consequently, improved results.</w:t>
      </w:r>
    </w:p>
    <w:p>
      <w:pPr>
        <w:spacing w:after="0" w:line="138" w:lineRule="exact"/>
        <w:rPr>
          <w:sz w:val="20"/>
          <w:szCs w:val="20"/>
          <w:color w:val="auto"/>
        </w:rPr>
      </w:pPr>
    </w:p>
    <w:p>
      <w:pPr>
        <w:ind w:left="1680" w:right="599" w:firstLine="316"/>
        <w:spacing w:after="0" w:line="263" w:lineRule="auto"/>
        <w:rPr>
          <w:sz w:val="20"/>
          <w:szCs w:val="20"/>
          <w:color w:val="auto"/>
        </w:rPr>
      </w:pPr>
      <w:r>
        <w:rPr>
          <w:rFonts w:ascii="Times New Roman" w:cs="Times New Roman" w:eastAsia="Times New Roman" w:hAnsi="Times New Roman"/>
          <w:sz w:val="13"/>
          <w:szCs w:val="13"/>
          <w:color w:val="auto"/>
        </w:rPr>
        <w:t>Ten years in, we’re thrilled to have manifested so much of Asana’s vision. We continue to be viscerally excited by the promise of how much more we can do to create a joyful experience of flow every day for individuals, drive clarity and accountability to improve how teams work together, and automate work in unprecedented ways.</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Leadership and Governance</w:t>
      </w:r>
    </w:p>
    <w:p>
      <w:pPr>
        <w:spacing w:after="0" w:line="85" w:lineRule="exact"/>
        <w:rPr>
          <w:sz w:val="20"/>
          <w:szCs w:val="20"/>
          <w:color w:val="auto"/>
        </w:rPr>
      </w:pPr>
    </w:p>
    <w:p>
      <w:pPr>
        <w:ind w:left="1680" w:right="919" w:firstLine="316"/>
        <w:spacing w:after="0" w:line="258" w:lineRule="auto"/>
        <w:rPr>
          <w:sz w:val="20"/>
          <w:szCs w:val="20"/>
          <w:color w:val="auto"/>
        </w:rPr>
      </w:pPr>
      <w:r>
        <w:rPr>
          <w:rFonts w:ascii="Times New Roman" w:cs="Times New Roman" w:eastAsia="Times New Roman" w:hAnsi="Times New Roman"/>
          <w:sz w:val="13"/>
          <w:szCs w:val="13"/>
          <w:color w:val="auto"/>
        </w:rPr>
        <w:t>Like many fast-growing technology companies, we have opted to use a dual class voting structure, with more voting power given to early investors and employees who joined in our first few years of operations. This structure results in a large portion of voting power being held by the founders and the two of us commit to managing this power the way we always have: by listening to others and engaging sincerely with their perspectives.</w:t>
      </w:r>
    </w:p>
    <w:p>
      <w:pPr>
        <w:spacing w:after="0" w:line="133" w:lineRule="exact"/>
        <w:rPr>
          <w:sz w:val="20"/>
          <w:szCs w:val="20"/>
          <w:color w:val="auto"/>
        </w:rPr>
      </w:pPr>
    </w:p>
    <w:p>
      <w:pPr>
        <w:ind w:left="1680" w:right="579" w:firstLine="316"/>
        <w:spacing w:after="0" w:line="277" w:lineRule="auto"/>
        <w:rPr>
          <w:sz w:val="20"/>
          <w:szCs w:val="20"/>
          <w:color w:val="auto"/>
        </w:rPr>
      </w:pPr>
      <w:r>
        <w:rPr>
          <w:rFonts w:ascii="Times New Roman" w:cs="Times New Roman" w:eastAsia="Times New Roman" w:hAnsi="Times New Roman"/>
          <w:sz w:val="13"/>
          <w:szCs w:val="13"/>
          <w:color w:val="auto"/>
        </w:rPr>
        <w:t>Philosophically, we are choosing this path to align the governance of the company with the people who have taken the long view of our growth, in service of pursuing our long-term vision in a steady and persistent manner.</w:t>
      </w:r>
    </w:p>
    <w:p>
      <w:pPr>
        <w:spacing w:after="0" w:line="19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For whose benefit</w:t>
      </w:r>
    </w:p>
    <w:p>
      <w:pPr>
        <w:spacing w:after="0" w:line="85" w:lineRule="exact"/>
        <w:rPr>
          <w:sz w:val="20"/>
          <w:szCs w:val="20"/>
          <w:color w:val="auto"/>
        </w:rPr>
      </w:pPr>
    </w:p>
    <w:p>
      <w:pPr>
        <w:ind w:left="1680" w:right="739" w:firstLine="316"/>
        <w:spacing w:after="0" w:line="263" w:lineRule="auto"/>
        <w:rPr>
          <w:sz w:val="20"/>
          <w:szCs w:val="20"/>
          <w:color w:val="auto"/>
        </w:rPr>
      </w:pPr>
      <w:r>
        <w:rPr>
          <w:rFonts w:ascii="Times New Roman" w:cs="Times New Roman" w:eastAsia="Times New Roman" w:hAnsi="Times New Roman"/>
          <w:sz w:val="13"/>
          <w:szCs w:val="13"/>
          <w:color w:val="auto"/>
        </w:rPr>
        <w:t>Like all companies, we intend to create great returns for our shareholders. That outcome, however, is a byproduct and catalyst of our ultimate purpose: the fulfillment of our mission. We are also deeply committed to benefitting all our stakeholders: our customers, our employees, our partners, our communities, the environment, and humanity.</w:t>
      </w:r>
    </w:p>
    <w:p>
      <w:pPr>
        <w:spacing w:after="0" w:line="129" w:lineRule="exact"/>
        <w:rPr>
          <w:sz w:val="20"/>
          <w:szCs w:val="20"/>
          <w:color w:val="auto"/>
        </w:rPr>
      </w:pPr>
    </w:p>
    <w:p>
      <w:pPr>
        <w:ind w:left="1680" w:right="859" w:firstLine="316"/>
        <w:spacing w:after="0" w:line="277" w:lineRule="auto"/>
        <w:rPr>
          <w:sz w:val="20"/>
          <w:szCs w:val="20"/>
          <w:color w:val="auto"/>
        </w:rPr>
      </w:pPr>
      <w:r>
        <w:rPr>
          <w:rFonts w:ascii="Times New Roman" w:cs="Times New Roman" w:eastAsia="Times New Roman" w:hAnsi="Times New Roman"/>
          <w:sz w:val="13"/>
          <w:szCs w:val="13"/>
          <w:color w:val="auto"/>
        </w:rPr>
        <w:t>We, the founders, are individually Asana’s largest shareholders, and will receive a large portion of the financial proceeds from the company’s enduring success. Both of us pledge to use 100% of the value of our Asana equity for philanthropic purposes.</w:t>
      </w:r>
    </w:p>
    <w:p>
      <w:pPr>
        <w:spacing w:after="0" w:line="275" w:lineRule="exact"/>
        <w:rPr>
          <w:sz w:val="20"/>
          <w:szCs w:val="20"/>
          <w:color w:val="auto"/>
        </w:rPr>
      </w:pPr>
    </w:p>
    <w:p>
      <w:pPr>
        <w:ind w:left="1680" w:right="559" w:firstLine="316"/>
        <w:spacing w:after="0" w:line="258" w:lineRule="auto"/>
        <w:rPr>
          <w:sz w:val="20"/>
          <w:szCs w:val="20"/>
          <w:color w:val="auto"/>
        </w:rPr>
      </w:pPr>
      <w:r>
        <w:rPr>
          <w:rFonts w:ascii="Times New Roman" w:cs="Times New Roman" w:eastAsia="Times New Roman" w:hAnsi="Times New Roman"/>
          <w:sz w:val="13"/>
          <w:szCs w:val="13"/>
          <w:color w:val="auto"/>
        </w:rPr>
        <w:t>We built Asana because the work people do together matters. From curing diseases and developing clean energy to building local schools and creating global movements, progress depends on teamwork. We’re proud of how often teams tell us that Asana gives them the clarity to make their work today more effortless, but we’re just getting started. If you feel aligned with our mission, values, and approach, we would be honored to have you join us on this journey.</w:t>
      </w:r>
    </w:p>
    <w:p>
      <w:pPr>
        <w:spacing w:after="0" w:line="28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Dustin and Justin</w:t>
      </w:r>
    </w:p>
    <w:p>
      <w:pPr>
        <w:spacing w:after="0" w:line="1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88</w:t>
      </w:r>
    </w:p>
    <w:p>
      <w:pPr>
        <w:sectPr>
          <w:pgSz w:w="11900" w:h="16838" w:orient="portrait"/>
          <w:cols w:equalWidth="0" w:num="1">
            <w:col w:w="10159"/>
          </w:cols>
          <w:pgMar w:left="300" w:top="367" w:right="1440" w:bottom="1440" w:gutter="0" w:footer="0" w:header="0"/>
        </w:sectPr>
      </w:pPr>
    </w:p>
    <w:bookmarkStart w:id="93" w:name="page94"/>
    <w:bookmarkEnd w:id="9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3"/>
          <w:szCs w:val="13"/>
          <w:b w:val="1"/>
          <w:bCs w:val="1"/>
          <w:color w:val="auto"/>
        </w:rPr>
        <w:t>BUSINESS</w:t>
      </w:r>
    </w:p>
    <w:p>
      <w:pPr>
        <w:spacing w:after="0" w:line="16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8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Our mission is to help humanity thrive by enabling the world’s teams to work together effortlessly.</w:t>
      </w:r>
    </w:p>
    <w:p>
      <w:pPr>
        <w:spacing w:after="0" w:line="161" w:lineRule="exact"/>
        <w:rPr>
          <w:sz w:val="20"/>
          <w:szCs w:val="20"/>
          <w:color w:val="auto"/>
        </w:rPr>
      </w:pPr>
    </w:p>
    <w:p>
      <w:pPr>
        <w:ind w:left="1680" w:right="639" w:firstLine="316"/>
        <w:spacing w:after="0" w:line="258" w:lineRule="auto"/>
        <w:rPr>
          <w:sz w:val="20"/>
          <w:szCs w:val="20"/>
          <w:color w:val="auto"/>
        </w:rPr>
      </w:pPr>
      <w:r>
        <w:rPr>
          <w:rFonts w:ascii="Times New Roman" w:cs="Times New Roman" w:eastAsia="Times New Roman" w:hAnsi="Times New Roman"/>
          <w:sz w:val="13"/>
          <w:szCs w:val="13"/>
          <w:color w:val="auto"/>
        </w:rPr>
        <w:t>Asana is a work management platform that helps teams orchestrate work, from daily tasks to cross-functional strategic initiatives. Over 82,000 paying customers use Asana to manage everything from product launches to marketing campaigns to organization-wide goal setting. Our platform adds structure to unstructured work, creating clarity, transparency, and accountability to everyone within an organization—individuals, team leads, and executives—so they understand exactly who is doing what, by when.</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History</w:t>
      </w:r>
    </w:p>
    <w:p>
      <w:pPr>
        <w:spacing w:after="0" w:line="87" w:lineRule="exact"/>
        <w:rPr>
          <w:sz w:val="20"/>
          <w:szCs w:val="20"/>
          <w:color w:val="auto"/>
        </w:rPr>
      </w:pPr>
    </w:p>
    <w:p>
      <w:pPr>
        <w:ind w:left="1680" w:right="579" w:firstLine="316"/>
        <w:spacing w:after="0" w:line="256" w:lineRule="auto"/>
        <w:rPr>
          <w:sz w:val="20"/>
          <w:szCs w:val="20"/>
          <w:color w:val="auto"/>
        </w:rPr>
      </w:pPr>
      <w:r>
        <w:rPr>
          <w:rFonts w:ascii="Times New Roman" w:cs="Times New Roman" w:eastAsia="Times New Roman" w:hAnsi="Times New Roman"/>
          <w:sz w:val="13"/>
          <w:szCs w:val="13"/>
          <w:color w:val="auto"/>
        </w:rPr>
        <w:t>We started Asana because our co-founders experienced firsthand the growing problem of work about work. While at Facebook, they saw the coordination challenges the company faced as it scaled. Instead of spending time on work that generated results, they were spending time in status meetings and long email threads trying to figure out who was responsible for what. They recognized the pain of work about work was universal to teams that need to coordinate their work effectively to achieve their objectives. Yet there were no products in the market that adequately addressed this pain. As a result of that frustration, they were inspired to create Asana to solve this problem for the world’s teams.</w:t>
      </w:r>
    </w:p>
    <w:p>
      <w:pPr>
        <w:spacing w:after="0" w:line="133" w:lineRule="exact"/>
        <w:rPr>
          <w:sz w:val="20"/>
          <w:szCs w:val="20"/>
          <w:color w:val="auto"/>
        </w:rPr>
      </w:pPr>
    </w:p>
    <w:p>
      <w:pPr>
        <w:ind w:left="1680" w:right="839" w:firstLine="316"/>
        <w:spacing w:after="0" w:line="320" w:lineRule="auto"/>
        <w:rPr>
          <w:sz w:val="20"/>
          <w:szCs w:val="20"/>
          <w:color w:val="auto"/>
        </w:rPr>
      </w:pPr>
      <w:r>
        <w:rPr>
          <w:rFonts w:ascii="Times New Roman" w:cs="Times New Roman" w:eastAsia="Times New Roman" w:hAnsi="Times New Roman"/>
          <w:sz w:val="12"/>
          <w:szCs w:val="12"/>
          <w:color w:val="auto"/>
        </w:rPr>
        <w:t>Since our inception, millions of teams in virtually every country around the world have used Asana. With Asana, users experience higher productivity, which has led to rapid adoption across teams, departments, and organizations. As of July 31, 2020, we had over 1.3 million paid users.</w:t>
      </w:r>
    </w:p>
    <w:p>
      <w:pPr>
        <w:spacing w:after="0" w:line="17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Teams Spend Too Much Time on Work About Work</w:t>
      </w:r>
    </w:p>
    <w:p>
      <w:pPr>
        <w:spacing w:after="0" w:line="87" w:lineRule="exact"/>
        <w:rPr>
          <w:sz w:val="20"/>
          <w:szCs w:val="20"/>
          <w:color w:val="auto"/>
        </w:rPr>
      </w:pPr>
    </w:p>
    <w:p>
      <w:pPr>
        <w:ind w:left="1680" w:right="619" w:firstLine="316"/>
        <w:spacing w:after="0" w:line="253" w:lineRule="auto"/>
        <w:rPr>
          <w:sz w:val="20"/>
          <w:szCs w:val="20"/>
          <w:color w:val="auto"/>
        </w:rPr>
      </w:pPr>
      <w:r>
        <w:rPr>
          <w:rFonts w:ascii="Times New Roman" w:cs="Times New Roman" w:eastAsia="Times New Roman" w:hAnsi="Times New Roman"/>
          <w:sz w:val="13"/>
          <w:szCs w:val="13"/>
          <w:color w:val="auto"/>
        </w:rPr>
        <w:t>Work continues to get harder to manage as organizations try to move faster to accomplish ambitious goals and respond to changing market demands. Today, 60% of knowledge workers’ time is spent on work about work. Moreover, coordinating work within and across teams is chaotic. Without a system of record, teams move slowly, miss deadlines, and fail to live up to their full potential. At work, people face an overwhelming volume of communications from email and messaging applications, many of which are asking for status updates. These messages often provide limited clarity around what steps need to be taken, and by when, and limited accountability around who owns the action. As a result, requests go unanswered, and employees spend more time searching and responding to messages in an attempt to provide clarity and accountability to their teams. These emails and messages only give teams momentary clarity about specific deliverables or actions, and as such they do not provide a holistic, persistent, and referenceable plan of record that can be easily or quickly accessed.</w:t>
      </w:r>
    </w:p>
    <w:p>
      <w:pPr>
        <w:spacing w:after="0" w:line="135" w:lineRule="exact"/>
        <w:rPr>
          <w:sz w:val="20"/>
          <w:szCs w:val="20"/>
          <w:color w:val="auto"/>
        </w:rPr>
      </w:pPr>
    </w:p>
    <w:p>
      <w:pPr>
        <w:ind w:left="1680" w:right="559" w:firstLine="316"/>
        <w:spacing w:after="0" w:line="263" w:lineRule="auto"/>
        <w:rPr>
          <w:sz w:val="20"/>
          <w:szCs w:val="20"/>
          <w:color w:val="auto"/>
        </w:rPr>
      </w:pPr>
      <w:r>
        <w:rPr>
          <w:rFonts w:ascii="Times New Roman" w:cs="Times New Roman" w:eastAsia="Times New Roman" w:hAnsi="Times New Roman"/>
          <w:sz w:val="13"/>
          <w:szCs w:val="13"/>
          <w:color w:val="auto"/>
        </w:rPr>
        <w:t>To minimize work about work, reduce chaos, and give individuals time back to focus on the work that matters, teams need a purpose-built solution for coordination. Despite the growth in collaboration technology such as content tools and messaging apps, there has been little innovation in work management—systems that help teams to plan, manage, and execute their work.</w:t>
      </w:r>
    </w:p>
    <w:p>
      <w:pPr>
        <w:spacing w:after="0" w:line="20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How Asana Helps Teams</w:t>
      </w:r>
    </w:p>
    <w:p>
      <w:pPr>
        <w:spacing w:after="0" w:line="87" w:lineRule="exact"/>
        <w:rPr>
          <w:sz w:val="20"/>
          <w:szCs w:val="20"/>
          <w:color w:val="auto"/>
        </w:rPr>
      </w:pPr>
    </w:p>
    <w:p>
      <w:pPr>
        <w:ind w:left="1680" w:right="699" w:firstLine="316"/>
        <w:spacing w:after="0" w:line="263" w:lineRule="auto"/>
        <w:rPr>
          <w:sz w:val="20"/>
          <w:szCs w:val="20"/>
          <w:color w:val="auto"/>
        </w:rPr>
      </w:pPr>
      <w:r>
        <w:rPr>
          <w:rFonts w:ascii="Times New Roman" w:cs="Times New Roman" w:eastAsia="Times New Roman" w:hAnsi="Times New Roman"/>
          <w:sz w:val="13"/>
          <w:szCs w:val="13"/>
          <w:color w:val="auto"/>
        </w:rPr>
        <w:t>Asana is a system of record for work. This system collects and structures institutional knowledge about how past work was completed and provides a real-time plan and roadmap for current and future initiatives. Our platform is built on our proprietary, multi-dimensional data model, which we call the work graph. The work graph captures and associates:</w:t>
      </w:r>
    </w:p>
    <w:p>
      <w:pPr>
        <w:spacing w:after="0" w:line="61" w:lineRule="exact"/>
        <w:rPr>
          <w:sz w:val="20"/>
          <w:szCs w:val="20"/>
          <w:color w:val="auto"/>
        </w:rPr>
      </w:pPr>
    </w:p>
    <w:p>
      <w:pPr>
        <w:ind w:left="2380" w:hanging="381"/>
        <w:spacing w:after="0"/>
        <w:tabs>
          <w:tab w:leader="none" w:pos="238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units of work—tasks, projects, milestones, portfolios, and goals;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people responsible for executing those units of work;</w:t>
      </w:r>
    </w:p>
    <w:p>
      <w:pPr>
        <w:spacing w:after="0" w:line="1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89</w:t>
      </w:r>
    </w:p>
    <w:p>
      <w:pPr>
        <w:sectPr>
          <w:pgSz w:w="11900" w:h="16838" w:orient="portrait"/>
          <w:cols w:equalWidth="0" w:num="1">
            <w:col w:w="10159"/>
          </w:cols>
          <w:pgMar w:left="300" w:top="367" w:right="1440" w:bottom="1440" w:gutter="0" w:footer="0" w:header="0"/>
        </w:sectPr>
      </w:pPr>
    </w:p>
    <w:bookmarkStart w:id="94" w:name="page95"/>
    <w:bookmarkEnd w:id="9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2380" w:hanging="381"/>
        <w:spacing w:after="0"/>
        <w:tabs>
          <w:tab w:leader="none" w:pos="238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processes in which work gets done—rules and templates;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information about that work—files, comments, status, and metadata; and</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relationships across and within this data.</w:t>
      </w:r>
    </w:p>
    <w:p>
      <w:pPr>
        <w:spacing w:after="0" w:line="161" w:lineRule="exact"/>
        <w:rPr>
          <w:sz w:val="20"/>
          <w:szCs w:val="20"/>
          <w:color w:val="auto"/>
        </w:rPr>
      </w:pPr>
    </w:p>
    <w:p>
      <w:pPr>
        <w:ind w:left="1680" w:right="619" w:firstLine="316"/>
        <w:spacing w:after="0" w:line="258" w:lineRule="auto"/>
        <w:rPr>
          <w:sz w:val="20"/>
          <w:szCs w:val="20"/>
          <w:color w:val="auto"/>
        </w:rPr>
      </w:pPr>
      <w:r>
        <w:rPr>
          <w:rFonts w:ascii="Times New Roman" w:cs="Times New Roman" w:eastAsia="Times New Roman" w:hAnsi="Times New Roman"/>
          <w:sz w:val="13"/>
          <w:szCs w:val="13"/>
          <w:color w:val="auto"/>
        </w:rPr>
        <w:t>Our data model provides individuals, team leads, and executives with dynamic views into the work that is most relevant to them—across multiple people and projects—all based on the same underlying data in the work graph. Individuals can manage and prioritize their daily tasks and collaborate with team members on shared projects, gaining visibility into who is doing what, and when each piece of work is due. Team leads can plan work and optimize team workload across multiple projects, and executives can track progress towards company objectives in real time.</w:t>
      </w:r>
    </w:p>
    <w:p>
      <w:pPr>
        <w:spacing w:after="0" w:line="133" w:lineRule="exact"/>
        <w:rPr>
          <w:sz w:val="20"/>
          <w:szCs w:val="20"/>
          <w:color w:val="auto"/>
        </w:rPr>
      </w:pPr>
    </w:p>
    <w:p>
      <w:pPr>
        <w:ind w:left="1680" w:right="579" w:firstLine="316"/>
        <w:spacing w:after="0" w:line="258" w:lineRule="auto"/>
        <w:rPr>
          <w:sz w:val="20"/>
          <w:szCs w:val="20"/>
          <w:color w:val="auto"/>
        </w:rPr>
      </w:pPr>
      <w:r>
        <w:rPr>
          <w:rFonts w:ascii="Times New Roman" w:cs="Times New Roman" w:eastAsia="Times New Roman" w:hAnsi="Times New Roman"/>
          <w:sz w:val="13"/>
          <w:szCs w:val="13"/>
          <w:color w:val="auto"/>
        </w:rPr>
        <w:t>Asana is flexible and applicable to virtually any use case across departments and organizations of all sizes. We designed our platform to be easy to use and intuitive to all users, regardless of role or technical proficiency. Users can start a project within minutes and onboard team members seamlessly without external support. We allow users to work the way they want with the interface that is right for them, using tasks, lists, calendars, boards, timelines, and workload.</w:t>
      </w:r>
    </w:p>
    <w:p>
      <w:pPr>
        <w:spacing w:after="0" w:line="12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Our Business Model</w:t>
      </w:r>
    </w:p>
    <w:p>
      <w:pPr>
        <w:spacing w:after="0" w:line="87" w:lineRule="exact"/>
        <w:rPr>
          <w:sz w:val="20"/>
          <w:szCs w:val="20"/>
          <w:color w:val="auto"/>
        </w:rPr>
      </w:pPr>
    </w:p>
    <w:p>
      <w:pPr>
        <w:ind w:left="1680" w:right="619" w:firstLine="316"/>
        <w:spacing w:after="0" w:line="276" w:lineRule="auto"/>
        <w:rPr>
          <w:sz w:val="20"/>
          <w:szCs w:val="20"/>
          <w:color w:val="auto"/>
        </w:rPr>
      </w:pPr>
      <w:r>
        <w:rPr>
          <w:rFonts w:ascii="Times New Roman" w:cs="Times New Roman" w:eastAsia="Times New Roman" w:hAnsi="Times New Roman"/>
          <w:sz w:val="12"/>
          <w:szCs w:val="12"/>
          <w:color w:val="auto"/>
        </w:rPr>
        <w:t>Our hybrid self-service and direct sales model allows us to efficiently reach teams everywhere and then rapidly expand the use of our platform within their organizations. A majority of our paying customers initially adopt our platform through self-service and free trials. Once adopted, customers can expand through self-service or with the assistance of our direct sales team, which is focused on promoting new use cases of Asana. As customers realize the productivity benefits we provide, our platform often becomes critical to managing their work and achieving their objectives, which drives further adoption and expansion opportunities. This is evidenced by our dollar-based net retention rate, which generally increases with greater organizational spend. As of July 31, 2020, our dollar-based net retention rate within organizations spending $5,000 or more with us on an annualized basis was over 125%, consisting of 7,933 customers. Our dollar-based net retention rate within organizations spending $50,000 or more with us on an annualized basis was over 140%, consisting of 283 customers. Our overall dollar-based net retention rate as of July 31, 2020 was over 115%.</w:t>
      </w:r>
    </w:p>
    <w:p>
      <w:pPr>
        <w:spacing w:after="0" w:line="20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Our Company Culture</w:t>
      </w:r>
    </w:p>
    <w:p>
      <w:pPr>
        <w:spacing w:after="0" w:line="87" w:lineRule="exact"/>
        <w:rPr>
          <w:sz w:val="20"/>
          <w:szCs w:val="20"/>
          <w:color w:val="auto"/>
        </w:rPr>
      </w:pPr>
    </w:p>
    <w:p>
      <w:pPr>
        <w:ind w:left="1680" w:right="579" w:firstLine="316"/>
        <w:spacing w:after="0" w:line="286" w:lineRule="auto"/>
        <w:rPr>
          <w:sz w:val="20"/>
          <w:szCs w:val="20"/>
          <w:color w:val="auto"/>
        </w:rPr>
      </w:pPr>
      <w:r>
        <w:rPr>
          <w:rFonts w:ascii="Times New Roman" w:cs="Times New Roman" w:eastAsia="Times New Roman" w:hAnsi="Times New Roman"/>
          <w:sz w:val="12"/>
          <w:szCs w:val="12"/>
          <w:color w:val="auto"/>
        </w:rPr>
        <w:t>We believe that our company culture enables us to achieve our mission and is a core driver of our business success. We endeavor to make product, business, and people decisions that allow us to carry out our mission while staying true to our values. We are a mission-driven organization first and have designed our values, along with our programs and processes, to help us maximize the potential of every individual in our company. Our values and processes also give us credibility when we share best practices for teamwork in the market and allow us to build those practices into our solution.</w:t>
      </w:r>
    </w:p>
    <w:p>
      <w:pPr>
        <w:spacing w:after="0" w:line="19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Our Rapid Growth</w:t>
      </w:r>
    </w:p>
    <w:p>
      <w:pPr>
        <w:spacing w:after="0" w:line="87" w:lineRule="exact"/>
        <w:rPr>
          <w:sz w:val="20"/>
          <w:szCs w:val="20"/>
          <w:color w:val="auto"/>
        </w:rPr>
      </w:pPr>
    </w:p>
    <w:p>
      <w:pPr>
        <w:ind w:left="1680" w:right="579" w:firstLine="316"/>
        <w:spacing w:after="0" w:line="256" w:lineRule="auto"/>
        <w:rPr>
          <w:sz w:val="20"/>
          <w:szCs w:val="20"/>
          <w:color w:val="auto"/>
        </w:rPr>
      </w:pPr>
      <w:r>
        <w:rPr>
          <w:rFonts w:ascii="Times New Roman" w:cs="Times New Roman" w:eastAsia="Times New Roman" w:hAnsi="Times New Roman"/>
          <w:sz w:val="13"/>
          <w:szCs w:val="13"/>
          <w:color w:val="auto"/>
        </w:rPr>
        <w:t>We have experienced rapid growth in recent periods. Our revenues were $76.8 million and $142.6 million for fiscal 2019 and fiscal 2020, respectively, representing growth of 86%. Our revenues were $61.1 million and $99.7 million for the six months ended July 31, 2019 and 2020, respectively, representing growth of 63%. As of January 31, 2020, we had 701 employees, representing growth of 65% since January 31, 2019, and as of July 31, 2020, we had 910 employees. We had a net loss of $50.9 million and $118.6 million for fiscal 2019 and fiscal 2020, respectively, and $30.5 million and $76.9 million for the six months ended July 31, 2019 and 2020, respectively.</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90</w:t>
      </w:r>
    </w:p>
    <w:p>
      <w:pPr>
        <w:sectPr>
          <w:pgSz w:w="11900" w:h="16838" w:orient="portrait"/>
          <w:cols w:equalWidth="0" w:num="1">
            <w:col w:w="10159"/>
          </w:cols>
          <w:pgMar w:left="300" w:top="367" w:right="1440" w:bottom="1440" w:gutter="0" w:footer="0" w:header="0"/>
        </w:sectPr>
      </w:pPr>
    </w:p>
    <w:bookmarkStart w:id="95" w:name="page96"/>
    <w:bookmarkEnd w:id="9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Industry Background</w:t>
      </w:r>
    </w:p>
    <w:p>
      <w:pPr>
        <w:spacing w:after="0" w:line="15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Teams must be coordinated and move quickly to be successful</w:t>
      </w:r>
    </w:p>
    <w:p>
      <w:pPr>
        <w:spacing w:after="0" w:line="87" w:lineRule="exact"/>
        <w:rPr>
          <w:sz w:val="20"/>
          <w:szCs w:val="20"/>
          <w:color w:val="auto"/>
        </w:rPr>
      </w:pPr>
    </w:p>
    <w:p>
      <w:pPr>
        <w:ind w:left="1680" w:right="619" w:firstLine="316"/>
        <w:spacing w:after="0" w:line="253" w:lineRule="auto"/>
        <w:rPr>
          <w:sz w:val="20"/>
          <w:szCs w:val="20"/>
          <w:color w:val="auto"/>
        </w:rPr>
      </w:pPr>
      <w:r>
        <w:rPr>
          <w:rFonts w:ascii="Times New Roman" w:cs="Times New Roman" w:eastAsia="Times New Roman" w:hAnsi="Times New Roman"/>
          <w:sz w:val="13"/>
          <w:szCs w:val="13"/>
          <w:color w:val="auto"/>
        </w:rPr>
        <w:t>Teams today must navigate work that is increasingly cross-functional, matrixed, and distributed, while also moving quickly to meet the objectives of their organizations. For example, a product launch typically requires coordination across multiple departments—product management, engineering, marketing, sales, and customer support. However, traditional hierarchical processes, where centralized managers make decisions and disseminate information down to team members, mean that weeks and months may go by before contributors have the clarity they need to execute on work. With product lifecycles now measured in months and weeks rather than years, organizations cannot afford to be slowed down by inefficient processes. Individuals and teams need to be empowered to design their own processes, manage their work and change course when needed, and make autonomous decisions aligned with organizational goals to ensure business agility in rapidly changing markets.</w:t>
      </w:r>
    </w:p>
    <w:p>
      <w:pPr>
        <w:spacing w:after="0" w:line="21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Communication overload hurts productivity</w:t>
      </w:r>
    </w:p>
    <w:p>
      <w:pPr>
        <w:spacing w:after="0" w:line="87" w:lineRule="exact"/>
        <w:rPr>
          <w:sz w:val="20"/>
          <w:szCs w:val="20"/>
          <w:color w:val="auto"/>
        </w:rPr>
      </w:pPr>
    </w:p>
    <w:p>
      <w:pPr>
        <w:ind w:left="1680" w:right="619" w:firstLine="316"/>
        <w:spacing w:after="0" w:line="256" w:lineRule="auto"/>
        <w:rPr>
          <w:sz w:val="20"/>
          <w:szCs w:val="20"/>
          <w:color w:val="auto"/>
        </w:rPr>
      </w:pPr>
      <w:r>
        <w:rPr>
          <w:rFonts w:ascii="Times New Roman" w:cs="Times New Roman" w:eastAsia="Times New Roman" w:hAnsi="Times New Roman"/>
          <w:sz w:val="13"/>
          <w:szCs w:val="13"/>
          <w:color w:val="auto"/>
        </w:rPr>
        <w:t>Businesses have adopted a number of applications to improve communication. Starting with email in the 1990s, the communications category has expanded to include Skype, WeChat, WhatsApp, Microsoft Teams, and Slack, among others. While these applications help teams communicate, they were not designed to provide a system of record to track and coordinate units of work or set up processes to quickly execute that work. The average knowledge worker receives 121 emails per day—70% of which are opened within six seconds. Instead of becoming more productive, people have become prisoners to email and messaging applications, using their inboxes as makeshift to-do lists.</w:t>
      </w:r>
    </w:p>
    <w:p>
      <w:pPr>
        <w:spacing w:after="0" w:line="2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Teams spend more time coordinating work than actually doing work</w:t>
      </w:r>
    </w:p>
    <w:p>
      <w:pPr>
        <w:spacing w:after="0" w:line="87" w:lineRule="exact"/>
        <w:rPr>
          <w:sz w:val="20"/>
          <w:szCs w:val="20"/>
          <w:color w:val="auto"/>
        </w:rPr>
      </w:pPr>
    </w:p>
    <w:p>
      <w:pPr>
        <w:ind w:left="1680" w:right="719" w:firstLine="316"/>
        <w:spacing w:after="0" w:line="258" w:lineRule="auto"/>
        <w:rPr>
          <w:sz w:val="20"/>
          <w:szCs w:val="20"/>
          <w:color w:val="auto"/>
        </w:rPr>
      </w:pPr>
      <w:r>
        <w:rPr>
          <w:rFonts w:ascii="Times New Roman" w:cs="Times New Roman" w:eastAsia="Times New Roman" w:hAnsi="Times New Roman"/>
          <w:sz w:val="13"/>
          <w:szCs w:val="13"/>
          <w:color w:val="auto"/>
        </w:rPr>
        <w:t>Productivity gains can occur when individuals and teams have the opportunity to focus uninterrupted and do the skilled work they were hired to do, such as creating a brand campaign, developing a new product, negotiating a sales agreement, onboarding customers, recruiting new employees, or writing code. However, employees spend less than half of their time during the day on the work that is critical to generating results. According to a survey conducted by McKinsey Global Institute of a broad set of knowledge workers:</w:t>
      </w:r>
    </w:p>
    <w:p>
      <w:pPr>
        <w:spacing w:after="0" w:line="65" w:lineRule="exact"/>
        <w:rPr>
          <w:sz w:val="20"/>
          <w:szCs w:val="20"/>
          <w:color w:val="auto"/>
        </w:rPr>
      </w:pPr>
    </w:p>
    <w:p>
      <w:pPr>
        <w:ind w:left="2380" w:hanging="381"/>
        <w:spacing w:after="0"/>
        <w:tabs>
          <w:tab w:leader="none" w:pos="238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28% of time is spent answering email;</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19% of time is spent gathering information; and</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14% of time is spent on internal communication.</w:t>
      </w:r>
    </w:p>
    <w:p>
      <w:pPr>
        <w:spacing w:after="0" w:line="23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Teams need more effective tools to orchestrate work</w:t>
      </w:r>
    </w:p>
    <w:p>
      <w:pPr>
        <w:spacing w:after="0" w:line="87" w:lineRule="exact"/>
        <w:rPr>
          <w:sz w:val="20"/>
          <w:szCs w:val="20"/>
          <w:color w:val="auto"/>
        </w:rPr>
      </w:pPr>
    </w:p>
    <w:p>
      <w:pPr>
        <w:ind w:left="1680" w:right="659" w:firstLine="316"/>
        <w:spacing w:after="0" w:line="253" w:lineRule="auto"/>
        <w:rPr>
          <w:sz w:val="20"/>
          <w:szCs w:val="20"/>
          <w:color w:val="auto"/>
        </w:rPr>
      </w:pPr>
      <w:r>
        <w:rPr>
          <w:rFonts w:ascii="Times New Roman" w:cs="Times New Roman" w:eastAsia="Times New Roman" w:hAnsi="Times New Roman"/>
          <w:sz w:val="13"/>
          <w:szCs w:val="13"/>
          <w:color w:val="auto"/>
        </w:rPr>
        <w:t>The primary methods for managing work today—across any department, any sized team, and any project—consist of a combination of spreadsheets and email, in addition to handwritten notes, calls, and meetings. Over time, communication tools (like email and messaging) and content applications (such as file sharing and storage services) have been repurposed for coordinating work because they are familiar and accessible. However, these tools lack the purpose-built functionality required for teams to collaboratively plan, manage, and execute work. Spreadsheets require much more work about work to create, quickly become outdated, lack automation capabilities, and cannot provide multi-dimensional views of multiple projects or real-time insight into how work is getting done. Email cannot build workflows, assign tasks, or track progress across individuals or teams. Teams need better tools designed specifically to orchestrate work.</w:t>
      </w:r>
    </w:p>
    <w:p>
      <w:pPr>
        <w:spacing w:after="0" w:line="21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Clarity drives employee engagement that improves business results</w:t>
      </w:r>
    </w:p>
    <w:p>
      <w:pPr>
        <w:spacing w:after="0" w:line="87" w:lineRule="exact"/>
        <w:rPr>
          <w:sz w:val="20"/>
          <w:szCs w:val="20"/>
          <w:color w:val="auto"/>
        </w:rPr>
      </w:pPr>
    </w:p>
    <w:p>
      <w:pPr>
        <w:ind w:left="1680" w:right="579" w:firstLine="316"/>
        <w:spacing w:after="0" w:line="277" w:lineRule="auto"/>
        <w:rPr>
          <w:sz w:val="20"/>
          <w:szCs w:val="20"/>
          <w:color w:val="auto"/>
        </w:rPr>
      </w:pPr>
      <w:r>
        <w:rPr>
          <w:rFonts w:ascii="Times New Roman" w:cs="Times New Roman" w:eastAsia="Times New Roman" w:hAnsi="Times New Roman"/>
          <w:sz w:val="13"/>
          <w:szCs w:val="13"/>
          <w:color w:val="auto"/>
        </w:rPr>
        <w:t>Employee engagement—the extent to which employees are invested in their job and contribute the effort needed to do their job well—is critical to high-performing businesses. According to Gallup, organizations in the</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91</w:t>
      </w:r>
    </w:p>
    <w:p>
      <w:pPr>
        <w:sectPr>
          <w:pgSz w:w="11900" w:h="16838" w:orient="portrait"/>
          <w:cols w:equalWidth="0" w:num="1">
            <w:col w:w="10159"/>
          </w:cols>
          <w:pgMar w:left="300" w:top="367" w:right="1440" w:bottom="1440" w:gutter="0" w:footer="0" w:header="0"/>
        </w:sectPr>
      </w:pPr>
    </w:p>
    <w:bookmarkStart w:id="96" w:name="page97"/>
    <w:bookmarkEnd w:id="9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59"/>
        <w:spacing w:after="0" w:line="256" w:lineRule="auto"/>
        <w:rPr>
          <w:sz w:val="20"/>
          <w:szCs w:val="20"/>
          <w:color w:val="auto"/>
        </w:rPr>
      </w:pPr>
      <w:r>
        <w:rPr>
          <w:rFonts w:ascii="Times New Roman" w:cs="Times New Roman" w:eastAsia="Times New Roman" w:hAnsi="Times New Roman"/>
          <w:sz w:val="13"/>
          <w:szCs w:val="13"/>
          <w:color w:val="auto"/>
        </w:rPr>
        <w:t>top quartile of employee engagement realize substantially better customer engagement, higher productivity, better retention, fewer accidents, and 21% higher profitability than organizations with low engagement. With median employee tenure now at only approximately four years, and 71% of millennials—the largest population of U.S. workers—not engaged at work, keeping employees engaged is all the more important. Individuals are more engaged at work when they have clarity. Clarity helps individuals better understand how their work connects to the organization’s objectives so they know where to focus their energy for maximum impact and find their work more rewarding and engaging.</w:t>
      </w:r>
    </w:p>
    <w:p>
      <w:pPr>
        <w:spacing w:after="0" w:line="2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Organizations need new, purpose-built solutions for work management</w:t>
      </w:r>
    </w:p>
    <w:p>
      <w:pPr>
        <w:spacing w:after="0" w:line="87" w:lineRule="exact"/>
        <w:rPr>
          <w:sz w:val="20"/>
          <w:szCs w:val="20"/>
          <w:color w:val="auto"/>
        </w:rPr>
      </w:pPr>
    </w:p>
    <w:p>
      <w:pPr>
        <w:ind w:left="1680" w:right="639" w:firstLine="316"/>
        <w:spacing w:after="0" w:line="258" w:lineRule="auto"/>
        <w:rPr>
          <w:sz w:val="20"/>
          <w:szCs w:val="20"/>
          <w:color w:val="auto"/>
        </w:rPr>
      </w:pPr>
      <w:r>
        <w:rPr>
          <w:rFonts w:ascii="Times New Roman" w:cs="Times New Roman" w:eastAsia="Times New Roman" w:hAnsi="Times New Roman"/>
          <w:sz w:val="13"/>
          <w:szCs w:val="13"/>
          <w:color w:val="auto"/>
        </w:rPr>
        <w:t>Organizations need a work management solution that provides transparency, clarity, and accountability so that individuals and teams know what work needs to get done, who is doing that work, and when that work will be done. This solution needs to scale across people, projects, and portfolios of projects across an entire organization so individuals, team leads, and executives can understand why and how work is getting done and quickly take action on opportunities and inefficiencies in real time.</w:t>
      </w:r>
    </w:p>
    <w:p>
      <w:pPr>
        <w:spacing w:after="0" w:line="13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Existing offerings fall short of delivering on these imperatives:</w:t>
      </w:r>
    </w:p>
    <w:p>
      <w:pPr>
        <w:spacing w:after="0" w:line="79" w:lineRule="exact"/>
        <w:rPr>
          <w:sz w:val="20"/>
          <w:szCs w:val="20"/>
          <w:color w:val="auto"/>
        </w:rPr>
      </w:pPr>
    </w:p>
    <w:p>
      <w:pPr>
        <w:ind w:left="1680" w:right="719" w:firstLine="316"/>
        <w:spacing w:after="0" w:line="266" w:lineRule="auto"/>
        <w:rPr>
          <w:sz w:val="20"/>
          <w:szCs w:val="20"/>
          <w:color w:val="auto"/>
        </w:rPr>
      </w:pPr>
      <w:r>
        <w:rPr>
          <w:rFonts w:ascii="Times New Roman" w:cs="Times New Roman" w:eastAsia="Times New Roman" w:hAnsi="Times New Roman"/>
          <w:sz w:val="13"/>
          <w:szCs w:val="13"/>
          <w:b w:val="1"/>
          <w:bCs w:val="1"/>
          <w:i w:val="1"/>
          <w:iCs w:val="1"/>
          <w:color w:val="auto"/>
        </w:rPr>
        <w:t>Spreadsheets and email</w:t>
      </w:r>
      <w:r>
        <w:rPr>
          <w:rFonts w:ascii="Times New Roman" w:cs="Times New Roman" w:eastAsia="Times New Roman" w:hAnsi="Times New Roman"/>
          <w:sz w:val="13"/>
          <w:szCs w:val="13"/>
          <w:color w:val="auto"/>
        </w:rPr>
        <w:t>. Spreadsheets and email are poor tools for project management. These tools lack the required capabilities to help teams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effectively plan, manage, and orchestrate work at scale. Captured information quickly becomes out of date because it is not connected to the workstreams happening outside of these tools, requiring constant work about work to ensure teams stay on the same page.</w:t>
      </w:r>
    </w:p>
    <w:p>
      <w:pPr>
        <w:spacing w:after="0" w:line="123" w:lineRule="exact"/>
        <w:rPr>
          <w:sz w:val="20"/>
          <w:szCs w:val="20"/>
          <w:color w:val="auto"/>
        </w:rPr>
      </w:pPr>
    </w:p>
    <w:p>
      <w:pPr>
        <w:ind w:left="1680" w:right="639" w:firstLine="316"/>
        <w:spacing w:after="0" w:line="288" w:lineRule="auto"/>
        <w:rPr>
          <w:sz w:val="20"/>
          <w:szCs w:val="20"/>
          <w:color w:val="auto"/>
        </w:rPr>
      </w:pPr>
      <w:r>
        <w:rPr>
          <w:rFonts w:ascii="Times New Roman" w:cs="Times New Roman" w:eastAsia="Times New Roman" w:hAnsi="Times New Roman"/>
          <w:sz w:val="12"/>
          <w:szCs w:val="12"/>
          <w:b w:val="1"/>
          <w:bCs w:val="1"/>
          <w:i w:val="1"/>
          <w:iCs w:val="1"/>
          <w:color w:val="auto"/>
        </w:rPr>
        <w:t>Legacy project management tools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Legacy project management tools are difficult for many users to adopt. These tools were primarily designed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for dedicated project managers, not everyday users who also need to coordinate work as part of their jobs. Everyday users often lack the skills to design a project, make customizations for a specific use case or integrate third-party applications with these difficult-to-use legacy project management tools. Additionally, they create information silos because they are not linked to the underlying work and communications about that work.</w:t>
      </w:r>
    </w:p>
    <w:p>
      <w:pPr>
        <w:spacing w:after="0" w:line="113" w:lineRule="exact"/>
        <w:rPr>
          <w:sz w:val="20"/>
          <w:szCs w:val="20"/>
          <w:color w:val="auto"/>
        </w:rPr>
      </w:pPr>
    </w:p>
    <w:p>
      <w:pPr>
        <w:ind w:left="1680" w:right="639" w:firstLine="316"/>
        <w:spacing w:after="0" w:line="266" w:lineRule="auto"/>
        <w:rPr>
          <w:sz w:val="20"/>
          <w:szCs w:val="20"/>
          <w:color w:val="auto"/>
        </w:rPr>
      </w:pPr>
      <w:r>
        <w:rPr>
          <w:rFonts w:ascii="Times New Roman" w:cs="Times New Roman" w:eastAsia="Times New Roman" w:hAnsi="Times New Roman"/>
          <w:sz w:val="13"/>
          <w:szCs w:val="13"/>
          <w:b w:val="1"/>
          <w:bCs w:val="1"/>
          <w:i w:val="1"/>
          <w:iCs w:val="1"/>
          <w:color w:val="auto"/>
        </w:rPr>
        <w:t>Vertical applications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Vertical applications are purpose-built for specific use cases, such as software development, ticketing, and financial</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planning. These generally operate in departmental silos and are not designed for teams to collaborate cross-functionally. These tools are also difficult to adapt to other use cases, either at all or without coding.</w:t>
      </w:r>
    </w:p>
    <w:p>
      <w:pPr>
        <w:spacing w:after="0" w:line="20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Our Solution</w:t>
      </w:r>
    </w:p>
    <w:p>
      <w:pPr>
        <w:spacing w:after="0" w:line="85" w:lineRule="exact"/>
        <w:rPr>
          <w:sz w:val="20"/>
          <w:szCs w:val="20"/>
          <w:color w:val="auto"/>
        </w:rPr>
      </w:pPr>
    </w:p>
    <w:p>
      <w:pPr>
        <w:ind w:left="1680" w:right="739" w:firstLine="316"/>
        <w:spacing w:after="0" w:line="263" w:lineRule="auto"/>
        <w:rPr>
          <w:sz w:val="20"/>
          <w:szCs w:val="20"/>
          <w:color w:val="auto"/>
        </w:rPr>
      </w:pPr>
      <w:r>
        <w:rPr>
          <w:rFonts w:ascii="Times New Roman" w:cs="Times New Roman" w:eastAsia="Times New Roman" w:hAnsi="Times New Roman"/>
          <w:sz w:val="13"/>
          <w:szCs w:val="13"/>
          <w:color w:val="auto"/>
        </w:rPr>
        <w:t>We provide a work management platform that enables individuals and teams to get work done faster while improving employee engagement by allowing everyone to see how their work—whether it is a task, process, project, or portfolio of projects—connects to the broader mission of an organization.</w:t>
      </w:r>
    </w:p>
    <w:p>
      <w:pPr>
        <w:spacing w:after="0" w:line="12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With Asana:</w:t>
      </w:r>
    </w:p>
    <w:p>
      <w:pPr>
        <w:spacing w:after="0" w:line="89" w:lineRule="exact"/>
        <w:rPr>
          <w:sz w:val="20"/>
          <w:szCs w:val="20"/>
          <w:color w:val="auto"/>
        </w:rPr>
      </w:pPr>
    </w:p>
    <w:p>
      <w:pPr>
        <w:ind w:left="2380" w:right="579" w:hanging="381"/>
        <w:spacing w:after="0" w:line="254" w:lineRule="auto"/>
        <w:tabs>
          <w:tab w:leader="none" w:pos="238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Individuals </w:t>
      </w:r>
      <w:r>
        <w:rPr>
          <w:rFonts w:ascii="Times New Roman" w:cs="Times New Roman" w:eastAsia="Times New Roman" w:hAnsi="Times New Roman"/>
          <w:sz w:val="13"/>
          <w:szCs w:val="13"/>
          <w:color w:val="auto"/>
        </w:rPr>
        <w:t>can manage and prioritize across each of their projects to maximize their effectiveness and reduce distractions. They can see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their own view of tasks that need to be done, how their dependencies owned by teammates are tracking, and how their work contributes to the overall team and organization-wide goals. A new brand campaign, for example, may include daily tasks such as drafting an internal presentation, setting up a client meeting, designing a layout, updating social media channels, and preparing a budget. Individuals can collaborate with teammates and have visibility into each team member’s responsibilities and progress. When teammates operate off a single, real-time plan of record, they do not need to check in with each other for updates or sit through status meetings. This clarity reduces work about work and helps individuals get work done faster.</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92</w:t>
      </w:r>
    </w:p>
    <w:p>
      <w:pPr>
        <w:sectPr>
          <w:pgSz w:w="11900" w:h="16838" w:orient="portrait"/>
          <w:cols w:equalWidth="0" w:num="1">
            <w:col w:w="10159"/>
          </w:cols>
          <w:pgMar w:left="300" w:top="367" w:right="1440" w:bottom="1440" w:gutter="0" w:footer="0" w:header="0"/>
        </w:sectPr>
      </w:pPr>
    </w:p>
    <w:bookmarkStart w:id="97" w:name="page98"/>
    <w:bookmarkEnd w:id="9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2380" w:right="599" w:hanging="381"/>
        <w:spacing w:after="0" w:line="257" w:lineRule="auto"/>
        <w:tabs>
          <w:tab w:leader="none" w:pos="238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Team leads </w:t>
      </w:r>
      <w:r>
        <w:rPr>
          <w:rFonts w:ascii="Times New Roman" w:cs="Times New Roman" w:eastAsia="Times New Roman" w:hAnsi="Times New Roman"/>
          <w:sz w:val="13"/>
          <w:szCs w:val="13"/>
          <w:color w:val="auto"/>
        </w:rPr>
        <w:t>can manage work across a portfolio of projects or processes. A portfolio could include the new brand campaign, a user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conference, a holiday promotion, and a product launch, all happening simultaneously, involving various cross-functional project teams. Team leads see progress, bottlenecks, resource constraints, and milestones without having to create work about work for teams to come up with this information in spreadsheets, email, or via a status meeting. When surprises or disruptions occur, it is easy for team leads to adjust the plan, reallocate resources, and communicate updates in real time.</w:t>
      </w:r>
    </w:p>
    <w:p>
      <w:pPr>
        <w:spacing w:after="0" w:line="62" w:lineRule="exact"/>
        <w:rPr>
          <w:rFonts w:ascii="Times New Roman" w:cs="Times New Roman" w:eastAsia="Times New Roman" w:hAnsi="Times New Roman"/>
          <w:sz w:val="13"/>
          <w:szCs w:val="13"/>
          <w:color w:val="auto"/>
        </w:rPr>
      </w:pPr>
    </w:p>
    <w:p>
      <w:pPr>
        <w:ind w:left="2380" w:right="599" w:hanging="381"/>
        <w:spacing w:after="0" w:line="266" w:lineRule="auto"/>
        <w:tabs>
          <w:tab w:leader="none" w:pos="238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Executives </w:t>
      </w:r>
      <w:r>
        <w:rPr>
          <w:rFonts w:ascii="Times New Roman" w:cs="Times New Roman" w:eastAsia="Times New Roman" w:hAnsi="Times New Roman"/>
          <w:sz w:val="13"/>
          <w:szCs w:val="13"/>
          <w:color w:val="auto"/>
        </w:rPr>
        <w:t>can communicate company-wide goals, monitor status, and oversee work across projects to gain real-time insights into which</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initiatives are on track or at risk. With this visibility, they can proactively ensure alignment, address inefficiencies, manage team workload, and reallocate work among teams or departments so that the company can stay on track to achieve its objectives.</w:t>
      </w:r>
    </w:p>
    <w:p>
      <w:pPr>
        <w:spacing w:after="0" w:line="127" w:lineRule="exact"/>
        <w:rPr>
          <w:sz w:val="20"/>
          <w:szCs w:val="20"/>
          <w:color w:val="auto"/>
        </w:rPr>
      </w:pPr>
    </w:p>
    <w:p>
      <w:pPr>
        <w:ind w:left="1680" w:right="599" w:firstLine="316"/>
        <w:spacing w:after="0" w:line="256" w:lineRule="auto"/>
        <w:rPr>
          <w:sz w:val="20"/>
          <w:szCs w:val="20"/>
          <w:color w:val="auto"/>
        </w:rPr>
      </w:pPr>
      <w:r>
        <w:rPr>
          <w:rFonts w:ascii="Times New Roman" w:cs="Times New Roman" w:eastAsia="Times New Roman" w:hAnsi="Times New Roman"/>
          <w:sz w:val="13"/>
          <w:szCs w:val="13"/>
          <w:color w:val="auto"/>
        </w:rPr>
        <w:t>As the system of record of past, current, and future work, Asana is powered by a proprietary, multi-dimensional data model called the work graph. The work graph captures and associates units of work (tasks, projects, milestones, and portfolios), the people responsible for executing those units of work, the processes in which work gets done (rules and templates), information about that work (files, comments, status, and metadata), and the relationships across and within this data. The work graph provides individuals, team leads, and executives with dynamic, up-to-date views into the work that is most relevant to them, across multiple people and projects.</w:t>
      </w:r>
    </w:p>
    <w:p>
      <w:pPr>
        <w:spacing w:after="0" w:line="13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core tenet of our platform is to bring clarity, transparency, and accountability to the process of getting work done.</w:t>
      </w:r>
    </w:p>
    <w:p>
      <w:pPr>
        <w:spacing w:after="0" w:line="157" w:lineRule="exact"/>
        <w:rPr>
          <w:sz w:val="20"/>
          <w:szCs w:val="20"/>
          <w:color w:val="auto"/>
        </w:rPr>
      </w:pPr>
    </w:p>
    <w:p>
      <w:pPr>
        <w:jc w:val="both"/>
        <w:ind w:left="1680" w:right="739" w:firstLine="316"/>
        <w:spacing w:after="0" w:line="266" w:lineRule="auto"/>
        <w:rPr>
          <w:sz w:val="20"/>
          <w:szCs w:val="20"/>
          <w:color w:val="auto"/>
        </w:rPr>
      </w:pPr>
      <w:r>
        <w:rPr>
          <w:rFonts w:ascii="Times New Roman" w:cs="Times New Roman" w:eastAsia="Times New Roman" w:hAnsi="Times New Roman"/>
          <w:sz w:val="13"/>
          <w:szCs w:val="13"/>
          <w:b w:val="1"/>
          <w:bCs w:val="1"/>
          <w:i w:val="1"/>
          <w:iCs w:val="1"/>
          <w:color w:val="auto"/>
        </w:rPr>
        <w:t xml:space="preserve">Clarity. </w:t>
      </w:r>
      <w:r>
        <w:rPr>
          <w:rFonts w:ascii="Times New Roman" w:cs="Times New Roman" w:eastAsia="Times New Roman" w:hAnsi="Times New Roman"/>
          <w:sz w:val="13"/>
          <w:szCs w:val="13"/>
          <w:color w:val="auto"/>
        </w:rPr>
        <w:t>Our platform adds structure to unstructured work so everyone on a team has clarity into exactly what needs to be done, who is doing it,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and when it is due. Our multi-dimensional data model provides different views into a project or process, so individuals can not only see the tasks they are working on, but also understand how their individual work contributes to a broader project goal.</w:t>
      </w:r>
    </w:p>
    <w:p>
      <w:pPr>
        <w:spacing w:after="0" w:line="123" w:lineRule="exact"/>
        <w:rPr>
          <w:sz w:val="20"/>
          <w:szCs w:val="20"/>
          <w:color w:val="auto"/>
        </w:rPr>
      </w:pPr>
    </w:p>
    <w:p>
      <w:pPr>
        <w:jc w:val="both"/>
        <w:ind w:left="1680" w:right="619" w:firstLine="316"/>
        <w:spacing w:after="0" w:line="266" w:lineRule="auto"/>
        <w:rPr>
          <w:sz w:val="20"/>
          <w:szCs w:val="20"/>
          <w:color w:val="auto"/>
        </w:rPr>
      </w:pPr>
      <w:r>
        <w:rPr>
          <w:rFonts w:ascii="Times New Roman" w:cs="Times New Roman" w:eastAsia="Times New Roman" w:hAnsi="Times New Roman"/>
          <w:sz w:val="13"/>
          <w:szCs w:val="13"/>
          <w:b w:val="1"/>
          <w:bCs w:val="1"/>
          <w:i w:val="1"/>
          <w:iCs w:val="1"/>
          <w:color w:val="auto"/>
        </w:rPr>
        <w:t xml:space="preserve">Transparency. </w:t>
      </w:r>
      <w:r>
        <w:rPr>
          <w:rFonts w:ascii="Times New Roman" w:cs="Times New Roman" w:eastAsia="Times New Roman" w:hAnsi="Times New Roman"/>
          <w:sz w:val="13"/>
          <w:szCs w:val="13"/>
          <w:color w:val="auto"/>
        </w:rPr>
        <w:t>Our platform provides transparency into the work being done across a project or portfolio of projects so everyone can see progress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to completion, manage deadlines, identify and resolve bottlenecks, and rebalance workloads if needed. Everyone has consistent access to the same data, so team members are on the same page all the time in real time.</w:t>
      </w:r>
    </w:p>
    <w:p>
      <w:pPr>
        <w:spacing w:after="0" w:line="123" w:lineRule="exact"/>
        <w:rPr>
          <w:sz w:val="20"/>
          <w:szCs w:val="20"/>
          <w:color w:val="auto"/>
        </w:rPr>
      </w:pPr>
    </w:p>
    <w:p>
      <w:pPr>
        <w:ind w:left="1680" w:right="799" w:firstLine="316"/>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 xml:space="preserve">Accountability. </w:t>
      </w:r>
      <w:r>
        <w:rPr>
          <w:rFonts w:ascii="Times New Roman" w:cs="Times New Roman" w:eastAsia="Times New Roman" w:hAnsi="Times New Roman"/>
          <w:sz w:val="13"/>
          <w:szCs w:val="13"/>
          <w:color w:val="auto"/>
        </w:rPr>
        <w:t>Our platform enables teams to assign work to individuals with completion dates and requirements, eliminating ambiguity over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responsibilities. Individuals can track their action items across projects and manage their time more effectively.</w:t>
      </w:r>
    </w:p>
    <w:p>
      <w:pPr>
        <w:spacing w:after="0" w:line="19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Benefits of Our Solution</w:t>
      </w:r>
    </w:p>
    <w:p>
      <w:pPr>
        <w:spacing w:after="0" w:line="8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Our platform provides the following benefits for our customers:</w:t>
      </w:r>
    </w:p>
    <w:p>
      <w:pPr>
        <w:spacing w:after="0" w:line="23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Teams get work done faster</w:t>
      </w:r>
    </w:p>
    <w:p>
      <w:pPr>
        <w:spacing w:after="0" w:line="87" w:lineRule="exact"/>
        <w:rPr>
          <w:sz w:val="20"/>
          <w:szCs w:val="20"/>
          <w:color w:val="auto"/>
        </w:rPr>
      </w:pPr>
    </w:p>
    <w:p>
      <w:pPr>
        <w:jc w:val="both"/>
        <w:ind w:left="1680" w:right="599" w:firstLine="316"/>
        <w:spacing w:after="0" w:line="276" w:lineRule="auto"/>
        <w:rPr>
          <w:sz w:val="20"/>
          <w:szCs w:val="20"/>
          <w:color w:val="auto"/>
        </w:rPr>
      </w:pPr>
      <w:r>
        <w:rPr>
          <w:rFonts w:ascii="Times New Roman" w:cs="Times New Roman" w:eastAsia="Times New Roman" w:hAnsi="Times New Roman"/>
          <w:sz w:val="12"/>
          <w:szCs w:val="12"/>
          <w:color w:val="auto"/>
        </w:rPr>
        <w:t>Teams get work done faster using Asana. Organizations are more agile because they are able to respond to changing demands quickly, accelerate the pace of new offerings, and quickly align resources to achieve their goals. When structure is added to work, creating greater clarity, transparency, and accountability, teams are able to take action and be more efficient—regardless of whether their team members are in the office or working remotely.</w:t>
      </w:r>
    </w:p>
    <w:p>
      <w:pPr>
        <w:spacing w:after="0" w:line="1" w:lineRule="exact"/>
        <w:rPr>
          <w:sz w:val="20"/>
          <w:szCs w:val="20"/>
          <w:color w:val="auto"/>
        </w:rPr>
      </w:pPr>
    </w:p>
    <w:p>
      <w:pPr>
        <w:ind w:left="1680" w:right="739"/>
        <w:spacing w:after="0" w:line="252" w:lineRule="auto"/>
        <w:rPr>
          <w:sz w:val="20"/>
          <w:szCs w:val="20"/>
          <w:color w:val="auto"/>
        </w:rPr>
      </w:pPr>
      <w:r>
        <w:rPr>
          <w:rFonts w:ascii="Times New Roman" w:cs="Times New Roman" w:eastAsia="Times New Roman" w:hAnsi="Times New Roman"/>
          <w:sz w:val="13"/>
          <w:szCs w:val="13"/>
          <w:color w:val="auto"/>
        </w:rPr>
        <w:t>According to a survey of over 3,000 customers that we conducted in the fourth quarter of fiscal 2020, by adopting our platform, our customers experience increased productivity and improved job performance, factors which generally reduce costs. Of the surveyed customers, 83% agreed that Asana improves their job performance, 77% agreed that Asana reduces wasted time at work, and 74% agreed that Asana helps them accomplish tasks more quickly.</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93</w:t>
      </w:r>
    </w:p>
    <w:p>
      <w:pPr>
        <w:sectPr>
          <w:pgSz w:w="11900" w:h="16838" w:orient="portrait"/>
          <w:cols w:equalWidth="0" w:num="1">
            <w:col w:w="10159"/>
          </w:cols>
          <w:pgMar w:left="300" w:top="367" w:right="1440" w:bottom="1440" w:gutter="0" w:footer="0" w:header="0"/>
        </w:sectPr>
      </w:pPr>
    </w:p>
    <w:bookmarkStart w:id="98" w:name="page99"/>
    <w:bookmarkEnd w:id="9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Streamlined processes</w:t>
      </w:r>
    </w:p>
    <w:p>
      <w:pPr>
        <w:spacing w:after="0" w:line="87" w:lineRule="exact"/>
        <w:rPr>
          <w:sz w:val="20"/>
          <w:szCs w:val="20"/>
          <w:color w:val="auto"/>
        </w:rPr>
      </w:pPr>
    </w:p>
    <w:p>
      <w:pPr>
        <w:ind w:left="1680" w:right="559" w:firstLine="316"/>
        <w:spacing w:after="0" w:line="256" w:lineRule="auto"/>
        <w:rPr>
          <w:sz w:val="20"/>
          <w:szCs w:val="20"/>
          <w:color w:val="auto"/>
        </w:rPr>
      </w:pPr>
      <w:r>
        <w:rPr>
          <w:rFonts w:ascii="Times New Roman" w:cs="Times New Roman" w:eastAsia="Times New Roman" w:hAnsi="Times New Roman"/>
          <w:sz w:val="13"/>
          <w:szCs w:val="13"/>
          <w:color w:val="auto"/>
        </w:rPr>
        <w:t>Our horizontal application allows individuals to easily customize projects across a breadth of specific use cases. Once a process is defined, it can be templatized and scaled across an organization for consistent, repeatable process management. In October 2019, we launched Rules as part of our suite of automation features. Using Rules, individuals can auto-assign and triage tasks, trigger actions and notifications, and automatically populate due dates for templated projects. Rules can also be triggered from third-party applications such as Outlook, Gmail, and Slack. In the first 60 days of launching Rules, we automated over two million steps for our users.</w:t>
      </w:r>
    </w:p>
    <w:p>
      <w:pPr>
        <w:spacing w:after="0" w:line="2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Increased employee engagement</w:t>
      </w:r>
    </w:p>
    <w:p>
      <w:pPr>
        <w:spacing w:after="0" w:line="87" w:lineRule="exact"/>
        <w:rPr>
          <w:sz w:val="20"/>
          <w:szCs w:val="20"/>
          <w:color w:val="auto"/>
        </w:rPr>
      </w:pPr>
    </w:p>
    <w:p>
      <w:pPr>
        <w:ind w:left="1680" w:right="619" w:firstLine="316"/>
        <w:spacing w:after="0" w:line="258" w:lineRule="auto"/>
        <w:rPr>
          <w:sz w:val="20"/>
          <w:szCs w:val="20"/>
          <w:color w:val="auto"/>
        </w:rPr>
      </w:pPr>
      <w:r>
        <w:rPr>
          <w:rFonts w:ascii="Times New Roman" w:cs="Times New Roman" w:eastAsia="Times New Roman" w:hAnsi="Times New Roman"/>
          <w:sz w:val="13"/>
          <w:szCs w:val="13"/>
          <w:color w:val="auto"/>
        </w:rPr>
        <w:t>Our users love Asana because they gain clarity into what they need to do and why their contribution is important to their organization. Employees are able to see that the work they do matters and understand how it connects to broader organizational goals. This clarity is particularly important for distributed teams and remote employees. By eliminating much of the work about work, we give them back valuable hours in their day to focus on the work that matters, leading to higher productivity, higher engagement, and improved retention.</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Improved confidence and execution</w:t>
      </w:r>
    </w:p>
    <w:p>
      <w:pPr>
        <w:spacing w:after="0" w:line="87" w:lineRule="exact"/>
        <w:rPr>
          <w:sz w:val="20"/>
          <w:szCs w:val="20"/>
          <w:color w:val="auto"/>
        </w:rPr>
      </w:pPr>
    </w:p>
    <w:p>
      <w:pPr>
        <w:ind w:left="1680" w:right="659" w:firstLine="316"/>
        <w:spacing w:after="0" w:line="258" w:lineRule="auto"/>
        <w:rPr>
          <w:sz w:val="20"/>
          <w:szCs w:val="20"/>
          <w:color w:val="auto"/>
        </w:rPr>
      </w:pPr>
      <w:r>
        <w:rPr>
          <w:rFonts w:ascii="Times New Roman" w:cs="Times New Roman" w:eastAsia="Times New Roman" w:hAnsi="Times New Roman"/>
          <w:sz w:val="13"/>
          <w:szCs w:val="13"/>
          <w:color w:val="auto"/>
        </w:rPr>
        <w:t>Using Asana, individuals reduce their anxiety about missing deadlines and having work fall through the cracks. Many people keep mental to-do lists and spend days and nights worrying about everything that needs to get done. As a system of record for work, Asana stores all task and project information on past and present initiatives so people have greater confidence in meeting deliverables. Individuals, team leads, and executives gain real-time visibility into all the work that is happening in their organization, enabling them to feel organized and in control.</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Improved business continuity for distributed teams and remote work</w:t>
      </w:r>
    </w:p>
    <w:p>
      <w:pPr>
        <w:spacing w:after="0" w:line="87" w:lineRule="exact"/>
        <w:rPr>
          <w:sz w:val="20"/>
          <w:szCs w:val="20"/>
          <w:color w:val="auto"/>
        </w:rPr>
      </w:pPr>
    </w:p>
    <w:p>
      <w:pPr>
        <w:ind w:left="1680" w:right="639" w:firstLine="316"/>
        <w:spacing w:after="0" w:line="295" w:lineRule="auto"/>
        <w:rPr>
          <w:sz w:val="20"/>
          <w:szCs w:val="20"/>
          <w:color w:val="auto"/>
        </w:rPr>
      </w:pPr>
      <w:r>
        <w:rPr>
          <w:rFonts w:ascii="Times New Roman" w:cs="Times New Roman" w:eastAsia="Times New Roman" w:hAnsi="Times New Roman"/>
          <w:sz w:val="12"/>
          <w:szCs w:val="12"/>
          <w:color w:val="auto"/>
        </w:rPr>
        <w:t>Asana gives teams the clarity they need to stay organized and productive wherever they are. Distributed and remote teams can use Asana as a single, real-time plan of record, reducing the need for messaging threads and video calls to coordinate work. Asana is a secure, cloud-based service that is accessible via internet browsers and a mobile application so that team members can manage their work from home, office, cafe, or other workspace.</w:t>
      </w:r>
    </w:p>
    <w:p>
      <w:pPr>
        <w:spacing w:after="0" w:line="18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Competitive Strengths</w:t>
      </w:r>
    </w:p>
    <w:p>
      <w:pPr>
        <w:spacing w:after="0" w:line="81" w:lineRule="exact"/>
        <w:rPr>
          <w:sz w:val="20"/>
          <w:szCs w:val="20"/>
          <w:color w:val="auto"/>
        </w:rPr>
      </w:pPr>
    </w:p>
    <w:p>
      <w:pPr>
        <w:ind w:left="1680" w:right="599" w:firstLine="316"/>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 xml:space="preserve">Easy for an entire team to adopt. </w:t>
      </w:r>
      <w:r>
        <w:rPr>
          <w:rFonts w:ascii="Times New Roman" w:cs="Times New Roman" w:eastAsia="Times New Roman" w:hAnsi="Times New Roman"/>
          <w:sz w:val="13"/>
          <w:szCs w:val="13"/>
          <w:color w:val="auto"/>
        </w:rPr>
        <w:t>We designed our platform to be easy to adopt and transition away from legacy project management tools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without friction. For example, new users can import existing workflows from spreadsheets into Asana in a few clicks. We provide an intuitive interface —incorporating common language navigation, flexible views, and easy point-and-click and drag-and-drop functionalities—that allows users, across any role or level of technical proficiency, to easily set up and navigate a process or project.</w:t>
      </w:r>
    </w:p>
    <w:p>
      <w:pPr>
        <w:spacing w:after="0" w:line="128" w:lineRule="exact"/>
        <w:rPr>
          <w:sz w:val="20"/>
          <w:szCs w:val="20"/>
          <w:color w:val="auto"/>
        </w:rPr>
      </w:pPr>
    </w:p>
    <w:p>
      <w:pPr>
        <w:jc w:val="both"/>
        <w:ind w:left="1680" w:right="659" w:firstLine="316"/>
        <w:spacing w:after="0" w:line="266" w:lineRule="auto"/>
        <w:rPr>
          <w:sz w:val="20"/>
          <w:szCs w:val="20"/>
          <w:color w:val="auto"/>
        </w:rPr>
      </w:pPr>
      <w:r>
        <w:rPr>
          <w:rFonts w:ascii="Times New Roman" w:cs="Times New Roman" w:eastAsia="Times New Roman" w:hAnsi="Times New Roman"/>
          <w:sz w:val="13"/>
          <w:szCs w:val="13"/>
          <w:b w:val="1"/>
          <w:bCs w:val="1"/>
          <w:i w:val="1"/>
          <w:iCs w:val="1"/>
          <w:color w:val="auto"/>
        </w:rPr>
        <w:t xml:space="preserve">Applicable to individuals, team leads, and executives. </w:t>
      </w:r>
      <w:r>
        <w:rPr>
          <w:rFonts w:ascii="Times New Roman" w:cs="Times New Roman" w:eastAsia="Times New Roman" w:hAnsi="Times New Roman"/>
          <w:sz w:val="13"/>
          <w:szCs w:val="13"/>
          <w:color w:val="auto"/>
        </w:rPr>
        <w:t>Our multi-dimensional data model allows individuals, team leads, and executives to work</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the way they want, in the interface that is most applicable to them. Users across an organization realize different benefits from our platform, depending on their role:</w:t>
      </w:r>
    </w:p>
    <w:p>
      <w:pPr>
        <w:spacing w:after="0" w:line="59" w:lineRule="exact"/>
        <w:rPr>
          <w:sz w:val="20"/>
          <w:szCs w:val="20"/>
          <w:color w:val="auto"/>
        </w:rPr>
      </w:pPr>
    </w:p>
    <w:p>
      <w:pPr>
        <w:ind w:left="2380" w:hanging="381"/>
        <w:spacing w:after="0"/>
        <w:tabs>
          <w:tab w:leader="none" w:pos="238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individuals can view a task list to prioritize their work across projects and see how the work they depend on is progressing in real time;</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team leads can view the status of a project to identify dependencies or bottlenecks and manage workloads; and</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executives can see real-time updates on how their organization is tracking toward strategic objectives.</w:t>
      </w:r>
    </w:p>
    <w:p>
      <w:pPr>
        <w:spacing w:after="0" w:line="1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94</w:t>
      </w:r>
    </w:p>
    <w:p>
      <w:pPr>
        <w:sectPr>
          <w:pgSz w:w="11900" w:h="16838" w:orient="portrait"/>
          <w:cols w:equalWidth="0" w:num="1">
            <w:col w:w="10159"/>
          </w:cols>
          <w:pgMar w:left="300" w:top="367" w:right="1440" w:bottom="1440" w:gutter="0" w:footer="0" w:header="0"/>
        </w:sectPr>
      </w:pPr>
    </w:p>
    <w:bookmarkStart w:id="99" w:name="page100"/>
    <w:bookmarkEnd w:id="9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1680" w:right="579" w:firstLine="316"/>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 xml:space="preserve">Adaptable to virtually any use case. </w:t>
      </w:r>
      <w:r>
        <w:rPr>
          <w:rFonts w:ascii="Times New Roman" w:cs="Times New Roman" w:eastAsia="Times New Roman" w:hAnsi="Times New Roman"/>
          <w:sz w:val="13"/>
          <w:szCs w:val="13"/>
          <w:color w:val="auto"/>
        </w:rPr>
        <w:t>Asana has broad applicability to thousands of use cases, across many departments and industries. We have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seen strong initial adoption in our customer base particularly in marketing, sales, operations, human resources, product management, and design where there are many workstreams requiring cross-functional collaboration. We have also seen adoption among distributed teams and teams working from home. Customers typically adopt Asana for a specific need within a department where there is no standardized solution in place. After initial adoption, teams often extend their usage of Asana to new use cases and departments as a result of collaborating on cross-functional projects. Organizations can also use Asana for organization-wide processes such as new employee onboarding, goal setting, and meeting agendas, which can lead to rapid expansion as employees see their peers using the platform.</w:t>
      </w:r>
    </w:p>
    <w:p>
      <w:pPr>
        <w:spacing w:after="0" w:line="133" w:lineRule="exact"/>
        <w:rPr>
          <w:sz w:val="20"/>
          <w:szCs w:val="20"/>
          <w:color w:val="auto"/>
        </w:rPr>
      </w:pPr>
    </w:p>
    <w:p>
      <w:pPr>
        <w:ind w:left="1680" w:right="699" w:firstLine="316"/>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 xml:space="preserve">Loved by customers. </w:t>
      </w:r>
      <w:r>
        <w:rPr>
          <w:rFonts w:ascii="Times New Roman" w:cs="Times New Roman" w:eastAsia="Times New Roman" w:hAnsi="Times New Roman"/>
          <w:sz w:val="13"/>
          <w:szCs w:val="13"/>
          <w:color w:val="auto"/>
        </w:rPr>
        <w:t>We are intensely focused on customer experience, and in turn our customers love using Asana. We have fostered a vibrant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global user community that is passionate about using Asana to orchestrate their work and is active in our Asana Together programs, which include our online forum, Asana Ambassadors, and Asana Certified Pros. We believe we have high levels of customer satisfaction, and our large, loyal customer base often shares their experiences, helping us acquire new customers through word of mouth.</w:t>
      </w:r>
    </w:p>
    <w:p>
      <w:pPr>
        <w:spacing w:after="0" w:line="128" w:lineRule="exact"/>
        <w:rPr>
          <w:sz w:val="20"/>
          <w:szCs w:val="20"/>
          <w:color w:val="auto"/>
        </w:rPr>
      </w:pPr>
    </w:p>
    <w:p>
      <w:pPr>
        <w:ind w:left="1680" w:right="559" w:firstLine="316"/>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 xml:space="preserve">Efficient hybrid go-to-market model. </w:t>
      </w:r>
      <w:r>
        <w:rPr>
          <w:rFonts w:ascii="Times New Roman" w:cs="Times New Roman" w:eastAsia="Times New Roman" w:hAnsi="Times New Roman"/>
          <w:sz w:val="13"/>
          <w:szCs w:val="13"/>
          <w:color w:val="auto"/>
        </w:rPr>
        <w:t>Our hybrid self-service and direct sales model allows us to efficiently reach teams everywhere and then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rapidly expand within our customer base. A majority of our paying customers initially adopt our platform through self-service and free trials. Individuals can try our products using a limited functionality free version or a free trial of one of our paid subscription plans for a limited period of time. This allows us to reach a broad user base in organizations of all sizes and across international markets, with a limited sales presence. Our adoption model has allowed us to efficiently turn non-paying customers into paying customers and in some cases, enterprise-wide paid deployments. Our free-to-paid conversion rate of registered users, as measured by the number of paid users divided by the total number of then-registered users, has increased from 3.6% as of January 31, 2018 to 4.7% as of July 31, 2020.</w:t>
      </w:r>
    </w:p>
    <w:p>
      <w:pPr>
        <w:spacing w:after="0" w:line="133" w:lineRule="exact"/>
        <w:rPr>
          <w:sz w:val="20"/>
          <w:szCs w:val="20"/>
          <w:color w:val="auto"/>
        </w:rPr>
      </w:pPr>
    </w:p>
    <w:p>
      <w:pPr>
        <w:ind w:left="1680" w:right="579" w:firstLine="316"/>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 xml:space="preserve">High performance. </w:t>
      </w:r>
      <w:r>
        <w:rPr>
          <w:rFonts w:ascii="Times New Roman" w:cs="Times New Roman" w:eastAsia="Times New Roman" w:hAnsi="Times New Roman"/>
          <w:sz w:val="13"/>
          <w:szCs w:val="13"/>
          <w:color w:val="auto"/>
        </w:rPr>
        <w:t>We have architected our platform to be easy to use, extremely fast, and powerful. We have a modern architecture with</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proprietary intellectual property that enables flexible and fast queries that allow users to edit workflows, change views, and retrieve results. All user data is maintained in our cloud-native platform and changes are immediately synchronized to allow real-time collaboration. We have optimized the communication between the client application and servers to create a responsive experience with low latency and network utilization.</w:t>
      </w:r>
    </w:p>
    <w:p>
      <w:pPr>
        <w:spacing w:after="0" w:line="128" w:lineRule="exact"/>
        <w:rPr>
          <w:sz w:val="20"/>
          <w:szCs w:val="20"/>
          <w:color w:val="auto"/>
        </w:rPr>
      </w:pPr>
    </w:p>
    <w:p>
      <w:pPr>
        <w:ind w:left="1680" w:right="619" w:firstLine="316"/>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 xml:space="preserve">Strong company culture. </w:t>
      </w:r>
      <w:r>
        <w:rPr>
          <w:rFonts w:ascii="Times New Roman" w:cs="Times New Roman" w:eastAsia="Times New Roman" w:hAnsi="Times New Roman"/>
          <w:sz w:val="13"/>
          <w:szCs w:val="13"/>
          <w:color w:val="auto"/>
        </w:rPr>
        <w:t>Our culture has been a critical component of our success since our founding. Our commitment to transparency,</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distributed responsibility, and employee growth helps us attract and retain top quality talent from diverse backgrounds. We have seen strong retention rates overall, particularly across our engineering department, where our annual retention is over 90% despite competition for talent among software companies. We believe our diverse workforce helps us better understand the needs of our diverse user base and innovate in new and creative ways. We take pride in our industry recognition as a top workplace, such as being named one of the top 10 Best Small &amp; Medium Workplaces for the third year in a row by FORTUNE in 2019, which we believe helps drive our recruiting efforts. Our strong culture has led to high employee engagement as demonstrated by a survey conducted by Culture Amp, placing us in the top quartile of our peers.</w:t>
      </w:r>
    </w:p>
    <w:p>
      <w:pPr>
        <w:spacing w:after="0" w:line="133" w:lineRule="exact"/>
        <w:rPr>
          <w:sz w:val="20"/>
          <w:szCs w:val="20"/>
          <w:color w:val="auto"/>
        </w:rPr>
      </w:pPr>
    </w:p>
    <w:p>
      <w:pPr>
        <w:ind w:left="1680" w:right="619" w:firstLine="316"/>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 xml:space="preserve">Scalable and secure. </w:t>
      </w:r>
      <w:r>
        <w:rPr>
          <w:rFonts w:ascii="Times New Roman" w:cs="Times New Roman" w:eastAsia="Times New Roman" w:hAnsi="Times New Roman"/>
          <w:sz w:val="13"/>
          <w:szCs w:val="13"/>
          <w:color w:val="auto"/>
        </w:rPr>
        <w:t>We have built our platform using best practices for cloud-based, highly available, scalable, and secure applications. We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leverage tooling and automation to enable rapid feature deployment, with frequent code releases to production. We use horizontal-scaling as an architectural pattern across our servers and data storage, which allows us to easily add capacity for a growing customer base, and our systems can easily scale to millions of users. We have demonstrated reliability with over 99.9% average up-time during fiscal 2020 so that our customers can depend on Asana to manage critical projects. We have built security checks and mechanisms into all parts of our technology stack and embraced security practices, like a public bug bounty program and third-party penetration testing, to ensure we are protecting our customers’ data. We are SOC 2 Type II compliant and have implemented robust safeguards to protect the security of data uploaded to and shared within our platform.</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95</w:t>
      </w:r>
    </w:p>
    <w:p>
      <w:pPr>
        <w:sectPr>
          <w:pgSz w:w="11900" w:h="16838" w:orient="portrait"/>
          <w:cols w:equalWidth="0" w:num="1">
            <w:col w:w="10159"/>
          </w:cols>
          <w:pgMar w:left="300" w:top="367" w:right="1440" w:bottom="1440" w:gutter="0" w:footer="0" w:header="0"/>
        </w:sectPr>
      </w:pPr>
    </w:p>
    <w:bookmarkStart w:id="100" w:name="page101"/>
    <w:bookmarkEnd w:id="10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Our Market Opportunity</w:t>
      </w:r>
    </w:p>
    <w:p>
      <w:pPr>
        <w:spacing w:after="0" w:line="85" w:lineRule="exact"/>
        <w:rPr>
          <w:sz w:val="20"/>
          <w:szCs w:val="20"/>
          <w:color w:val="auto"/>
        </w:rPr>
      </w:pPr>
    </w:p>
    <w:p>
      <w:pPr>
        <w:ind w:left="1680" w:right="699" w:firstLine="316"/>
        <w:spacing w:after="0" w:line="258" w:lineRule="auto"/>
        <w:rPr>
          <w:sz w:val="20"/>
          <w:szCs w:val="20"/>
          <w:color w:val="auto"/>
        </w:rPr>
      </w:pPr>
      <w:r>
        <w:rPr>
          <w:rFonts w:ascii="Times New Roman" w:cs="Times New Roman" w:eastAsia="Times New Roman" w:hAnsi="Times New Roman"/>
          <w:sz w:val="13"/>
          <w:szCs w:val="13"/>
          <w:color w:val="auto"/>
        </w:rPr>
        <w:t>We believe every team can benefit from improved coordination. Individuals and teams alike share a universal need for greater clarity, transparency, and accountability. As work continues to get more complex, we believe the shift to using work management solutions like Asana is inevitable. We are primarily replacing tools like spreadsheets and email that were not originally designed for project management, as well as a number of manual processes including phone calls and in-person meetings that people use today to get work done.</w:t>
      </w:r>
    </w:p>
    <w:p>
      <w:pPr>
        <w:spacing w:after="0" w:line="133" w:lineRule="exact"/>
        <w:rPr>
          <w:sz w:val="20"/>
          <w:szCs w:val="20"/>
          <w:color w:val="auto"/>
        </w:rPr>
      </w:pPr>
    </w:p>
    <w:p>
      <w:pPr>
        <w:ind w:left="1680" w:right="719" w:firstLine="316"/>
        <w:spacing w:after="0" w:line="277" w:lineRule="auto"/>
        <w:rPr>
          <w:sz w:val="20"/>
          <w:szCs w:val="20"/>
          <w:color w:val="auto"/>
        </w:rPr>
      </w:pPr>
      <w:r>
        <w:rPr>
          <w:rFonts w:ascii="Times New Roman" w:cs="Times New Roman" w:eastAsia="Times New Roman" w:hAnsi="Times New Roman"/>
          <w:sz w:val="13"/>
          <w:szCs w:val="13"/>
          <w:color w:val="auto"/>
        </w:rPr>
        <w:t>The work management market that we address is large and rapidly growing. According to a June 2019 IDC report, the markets for collaborative applications and project and portfolio management, in aggregate, are expected to grow from $23 billion in 2020 to $32 billion in 2023.</w:t>
      </w:r>
    </w:p>
    <w:p>
      <w:pPr>
        <w:spacing w:after="0" w:line="120" w:lineRule="exact"/>
        <w:rPr>
          <w:sz w:val="20"/>
          <w:szCs w:val="20"/>
          <w:color w:val="auto"/>
        </w:rPr>
      </w:pPr>
    </w:p>
    <w:p>
      <w:pPr>
        <w:ind w:left="1680" w:right="799" w:firstLine="316"/>
        <w:spacing w:after="0" w:line="295" w:lineRule="auto"/>
        <w:rPr>
          <w:sz w:val="20"/>
          <w:szCs w:val="20"/>
          <w:color w:val="auto"/>
        </w:rPr>
      </w:pPr>
      <w:r>
        <w:rPr>
          <w:rFonts w:ascii="Times New Roman" w:cs="Times New Roman" w:eastAsia="Times New Roman" w:hAnsi="Times New Roman"/>
          <w:sz w:val="12"/>
          <w:szCs w:val="12"/>
          <w:color w:val="auto"/>
        </w:rPr>
        <w:t>We believe we have the opportunity to address the 1.25 billion global information workers, estimated by a September 2019 report by Forrester Research, Inc., or Forrester. We believe we are less than 3% penetrated among addressable employees in our existing customer base, indicating significant whitespace opportunity. Additionally, we believe we have significant greenfield opportunities among addressable customers worldwide.</w:t>
      </w:r>
    </w:p>
    <w:p>
      <w:pPr>
        <w:spacing w:after="0" w:line="18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Our Growth Strategies</w:t>
      </w:r>
    </w:p>
    <w:p>
      <w:pPr>
        <w:spacing w:after="0" w:line="85" w:lineRule="exact"/>
        <w:rPr>
          <w:sz w:val="20"/>
          <w:szCs w:val="20"/>
          <w:color w:val="auto"/>
        </w:rPr>
      </w:pPr>
    </w:p>
    <w:p>
      <w:pPr>
        <w:ind w:left="1680" w:right="859" w:firstLine="316"/>
        <w:spacing w:after="0" w:line="277" w:lineRule="auto"/>
        <w:rPr>
          <w:sz w:val="20"/>
          <w:szCs w:val="20"/>
          <w:color w:val="auto"/>
        </w:rPr>
      </w:pPr>
      <w:r>
        <w:rPr>
          <w:rFonts w:ascii="Times New Roman" w:cs="Times New Roman" w:eastAsia="Times New Roman" w:hAnsi="Times New Roman"/>
          <w:sz w:val="13"/>
          <w:szCs w:val="13"/>
          <w:color w:val="auto"/>
        </w:rPr>
        <w:t>We have driven rapid adoption of our platform and intend to continue to promote our platform and its adoption through the following growth strategies:</w:t>
      </w:r>
    </w:p>
    <w:p>
      <w:pPr>
        <w:spacing w:after="0" w:line="39" w:lineRule="exact"/>
        <w:rPr>
          <w:sz w:val="20"/>
          <w:szCs w:val="20"/>
          <w:color w:val="auto"/>
        </w:rPr>
      </w:pPr>
    </w:p>
    <w:p>
      <w:pPr>
        <w:ind w:left="1680" w:right="599" w:firstLine="316"/>
        <w:spacing w:after="0" w:line="255" w:lineRule="auto"/>
        <w:rPr>
          <w:sz w:val="20"/>
          <w:szCs w:val="20"/>
          <w:color w:val="auto"/>
        </w:rPr>
      </w:pPr>
      <w:r>
        <w:rPr>
          <w:rFonts w:ascii="Times New Roman" w:cs="Times New Roman" w:eastAsia="Times New Roman" w:hAnsi="Times New Roman"/>
          <w:sz w:val="13"/>
          <w:szCs w:val="13"/>
          <w:b w:val="1"/>
          <w:bCs w:val="1"/>
          <w:i w:val="1"/>
          <w:iCs w:val="1"/>
          <w:color w:val="auto"/>
        </w:rPr>
        <w:t>Add more customers</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We have over 82,000 paying customers as of July 31, 2020 and over 3.5 million free activated accounts since inception, and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we believe we have a large opportunity to convert these accounts into paying customers. An activated account represents an organization or individual that has collaborated with another user. We also plan to acquire new customers through word of mouth, marketing activities, self-service, and direct sales efforts. Separately, we also see a large opportunity to expand our international customer base. For fiscal 2020, 41% of our revenues came from international regions, with limited dedicated sales effort and no product customization outside of limited language translation and multi-currency capabilities. We have opened offices in key regions across Europe and Asia, and expect to grow our customer base within these areas.</w:t>
      </w:r>
    </w:p>
    <w:p>
      <w:pPr>
        <w:spacing w:after="0" w:line="133" w:lineRule="exact"/>
        <w:rPr>
          <w:sz w:val="20"/>
          <w:szCs w:val="20"/>
          <w:color w:val="auto"/>
        </w:rPr>
      </w:pPr>
    </w:p>
    <w:p>
      <w:pPr>
        <w:ind w:left="1680" w:right="579" w:firstLine="316"/>
        <w:spacing w:after="0" w:line="255" w:lineRule="auto"/>
        <w:rPr>
          <w:sz w:val="20"/>
          <w:szCs w:val="20"/>
          <w:color w:val="auto"/>
        </w:rPr>
      </w:pPr>
      <w:r>
        <w:rPr>
          <w:rFonts w:ascii="Times New Roman" w:cs="Times New Roman" w:eastAsia="Times New Roman" w:hAnsi="Times New Roman"/>
          <w:sz w:val="13"/>
          <w:szCs w:val="13"/>
          <w:b w:val="1"/>
          <w:bCs w:val="1"/>
          <w:i w:val="1"/>
          <w:iCs w:val="1"/>
          <w:color w:val="auto"/>
        </w:rPr>
        <w:t>Expand within our existing customer base</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Customers typically adopt Asana for a specific use case within a department. After initial adoption by</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one team, customers frequently expand to new use cases across departments and, in some instances, across an entire organization. As such, we have a significant opportunity to expand usage within our customer base. We believe we are less than 3% penetrated among addressable employees in our existing customer base. We are investing in our expansion efforts by growing our direct sales team, which has more than doubled in size since January 31, 2019, promoting department-specific use cases, targeting organization-wide use cases such as employee onboarding and goal setting, and continually improving our interface to ease cross-team adoption.</w:t>
      </w:r>
    </w:p>
    <w:p>
      <w:pPr>
        <w:spacing w:after="0" w:line="133" w:lineRule="exact"/>
        <w:rPr>
          <w:sz w:val="20"/>
          <w:szCs w:val="20"/>
          <w:color w:val="auto"/>
        </w:rPr>
      </w:pPr>
    </w:p>
    <w:p>
      <w:pPr>
        <w:ind w:left="1680" w:right="599" w:firstLine="316"/>
        <w:spacing w:after="0" w:line="257" w:lineRule="auto"/>
        <w:rPr>
          <w:sz w:val="20"/>
          <w:szCs w:val="20"/>
          <w:color w:val="auto"/>
        </w:rPr>
      </w:pPr>
      <w:r>
        <w:rPr>
          <w:rFonts w:ascii="Times New Roman" w:cs="Times New Roman" w:eastAsia="Times New Roman" w:hAnsi="Times New Roman"/>
          <w:sz w:val="13"/>
          <w:szCs w:val="13"/>
          <w:b w:val="1"/>
          <w:bCs w:val="1"/>
          <w:i w:val="1"/>
          <w:iCs w:val="1"/>
          <w:color w:val="auto"/>
        </w:rPr>
        <w:t xml:space="preserve">Continue to innovate. </w:t>
      </w:r>
      <w:r>
        <w:rPr>
          <w:rFonts w:ascii="Times New Roman" w:cs="Times New Roman" w:eastAsia="Times New Roman" w:hAnsi="Times New Roman"/>
          <w:sz w:val="13"/>
          <w:szCs w:val="13"/>
          <w:color w:val="auto"/>
        </w:rPr>
        <w:t>Product innovation is critical to maintaining our success as a leader in work management. We will continue to invest in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expanding our product offerings and enhancing the features and functionality of our platform, particularly in the areas of integrations, automation, functional workflows, security, and organization-wide use cases. While we add new capabilities to our platform, we are also focused on simplifying our platform so that it becomes easier for teams to adopt with the added functionality. Since January 31, 2019, we have grown our engineering team by over 80% to drive product innovation.</w:t>
      </w:r>
    </w:p>
    <w:p>
      <w:pPr>
        <w:spacing w:after="0" w:line="130" w:lineRule="exact"/>
        <w:rPr>
          <w:sz w:val="20"/>
          <w:szCs w:val="20"/>
          <w:color w:val="auto"/>
        </w:rPr>
      </w:pPr>
    </w:p>
    <w:p>
      <w:pPr>
        <w:ind w:left="1680" w:right="599" w:firstLine="316"/>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 xml:space="preserve">Keep building a high value brand. </w:t>
      </w:r>
      <w:r>
        <w:rPr>
          <w:rFonts w:ascii="Times New Roman" w:cs="Times New Roman" w:eastAsia="Times New Roman" w:hAnsi="Times New Roman"/>
          <w:sz w:val="13"/>
          <w:szCs w:val="13"/>
          <w:color w:val="auto"/>
        </w:rPr>
        <w:t>Our goal is to be the leader in work management. The work management market is still in the early stages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development, with greenfield opportunities for adoption among companies of all sizes. We will continue to invest in building our brand through customer experience, marketing, industry and analyst education, and broad customer engagement. In 2018, we were recognized by Forrester as a Leader in Collaborative Work Management Tools for the Enterprise based on a range of criteria, including the highest</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96</w:t>
      </w:r>
    </w:p>
    <w:p>
      <w:pPr>
        <w:sectPr>
          <w:pgSz w:w="11900" w:h="16838" w:orient="portrait"/>
          <w:cols w:equalWidth="0" w:num="1">
            <w:col w:w="10159"/>
          </w:cols>
          <w:pgMar w:left="300" w:top="367" w:right="1440" w:bottom="1440" w:gutter="0" w:footer="0" w:header="0"/>
        </w:sectPr>
      </w:pPr>
    </w:p>
    <w:bookmarkStart w:id="101" w:name="page102"/>
    <w:bookmarkEnd w:id="10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79"/>
        <w:spacing w:after="0" w:line="277" w:lineRule="auto"/>
        <w:rPr>
          <w:sz w:val="20"/>
          <w:szCs w:val="20"/>
          <w:color w:val="auto"/>
        </w:rPr>
      </w:pPr>
      <w:r>
        <w:rPr>
          <w:rFonts w:ascii="Times New Roman" w:cs="Times New Roman" w:eastAsia="Times New Roman" w:hAnsi="Times New Roman"/>
          <w:sz w:val="13"/>
          <w:szCs w:val="13"/>
          <w:color w:val="auto"/>
        </w:rPr>
        <w:t>scores possible in customer satisfaction and pace of innovation criteria. In addition, G2 ranks Asana as the top Project Management software platform, leading the industry in market presence and customer satisfaction.</w:t>
      </w:r>
    </w:p>
    <w:p>
      <w:pPr>
        <w:spacing w:after="0" w:line="116" w:lineRule="exact"/>
        <w:rPr>
          <w:sz w:val="20"/>
          <w:szCs w:val="20"/>
          <w:color w:val="auto"/>
        </w:rPr>
      </w:pPr>
    </w:p>
    <w:p>
      <w:pPr>
        <w:ind w:left="1680" w:right="579" w:firstLine="316"/>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 xml:space="preserve">Develop functional workflows. </w:t>
      </w:r>
      <w:r>
        <w:rPr>
          <w:rFonts w:ascii="Times New Roman" w:cs="Times New Roman" w:eastAsia="Times New Roman" w:hAnsi="Times New Roman"/>
          <w:sz w:val="13"/>
          <w:szCs w:val="13"/>
          <w:color w:val="auto"/>
        </w:rPr>
        <w:t>We have seen strong initial adoption in our customer base particularly in marketing, sales, operations, human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resources, product management, and design where there are many workstreams requiring cross-functional collaboration. We have developed purpose-built templates and premium functionality that focuses on common projects and processes within these groups. We will continue to find ways to develop specific functional workflows where we see an opportunity for early and broad adoption of our platform.</w:t>
      </w:r>
    </w:p>
    <w:p>
      <w:pPr>
        <w:spacing w:after="0" w:line="128" w:lineRule="exact"/>
        <w:rPr>
          <w:sz w:val="20"/>
          <w:szCs w:val="20"/>
          <w:color w:val="auto"/>
        </w:rPr>
      </w:pPr>
    </w:p>
    <w:p>
      <w:pPr>
        <w:ind w:left="1680" w:right="559" w:firstLine="316"/>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 xml:space="preserve">Develop organization-wide use cases. </w:t>
      </w:r>
      <w:r>
        <w:rPr>
          <w:rFonts w:ascii="Times New Roman" w:cs="Times New Roman" w:eastAsia="Times New Roman" w:hAnsi="Times New Roman"/>
          <w:sz w:val="13"/>
          <w:szCs w:val="13"/>
          <w:color w:val="auto"/>
        </w:rPr>
        <w:t>Customers use Asana for a number of use cases, from departmental projects to organization-wide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initiatives, including employee goal management, new employee onboarding, one-on-ones, and meeting agendas. Organization-wide initiatives represent a significant opportunity to expand our presence further within our customer base. Today, our customers can develop and implement organization-wide use cases on their own. Over time, we intend to productize and monetize organization-specific use cases on our platform.</w:t>
      </w:r>
    </w:p>
    <w:p>
      <w:pPr>
        <w:spacing w:after="0" w:line="2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Our Culture</w:t>
      </w:r>
    </w:p>
    <w:p>
      <w:pPr>
        <w:spacing w:after="0" w:line="85" w:lineRule="exact"/>
        <w:rPr>
          <w:sz w:val="20"/>
          <w:szCs w:val="20"/>
          <w:color w:val="auto"/>
        </w:rPr>
      </w:pPr>
    </w:p>
    <w:p>
      <w:pPr>
        <w:ind w:left="1680" w:right="579" w:firstLine="316"/>
        <w:spacing w:after="0" w:line="256" w:lineRule="auto"/>
        <w:rPr>
          <w:sz w:val="20"/>
          <w:szCs w:val="20"/>
          <w:color w:val="auto"/>
        </w:rPr>
      </w:pPr>
      <w:r>
        <w:rPr>
          <w:rFonts w:ascii="Times New Roman" w:cs="Times New Roman" w:eastAsia="Times New Roman" w:hAnsi="Times New Roman"/>
          <w:sz w:val="13"/>
          <w:szCs w:val="13"/>
          <w:color w:val="auto"/>
        </w:rPr>
        <w:t>Our company culture is a core driver of our business success and enables us to work towards achieving our mission. A core tenet of our culture is a shared commitment to mindfulness, which informs our product, business, and people decisions and shapes how we interact with each other daily. By investing in diversity and inclusion programs, we help ensure that everyone can thrive and feel a sense of belonging, enabling us to better understand the needs of our diverse customer base and innovate in new and creative ways. We also use Asana ourselves, providing our employees with clarity into how their work contributes to our mission and enabling them to do their most impactful work.</w:t>
      </w:r>
    </w:p>
    <w:p>
      <w:pPr>
        <w:spacing w:after="0" w:line="13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b w:val="1"/>
          <w:bCs w:val="1"/>
          <w:color w:val="auto"/>
        </w:rPr>
        <w:t>our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1955800</wp:posOffset>
            </wp:positionH>
            <wp:positionV relativeFrom="paragraph">
              <wp:posOffset>123825</wp:posOffset>
            </wp:positionV>
            <wp:extent cx="3262630" cy="16065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62630" cy="1606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680" w:right="579" w:firstLine="316"/>
        <w:spacing w:after="0" w:line="282" w:lineRule="auto"/>
        <w:rPr>
          <w:sz w:val="20"/>
          <w:szCs w:val="20"/>
          <w:color w:val="auto"/>
        </w:rPr>
      </w:pPr>
      <w:r>
        <w:rPr>
          <w:rFonts w:ascii="Times New Roman" w:cs="Times New Roman" w:eastAsia="Times New Roman" w:hAnsi="Times New Roman"/>
          <w:sz w:val="12"/>
          <w:szCs w:val="12"/>
          <w:color w:val="auto"/>
        </w:rPr>
        <w:t>On Glassdoor, we have a 4.9 out of 5.0 score, a 100% CEO approval rating, and a 99% “Recommend to a Friend” rating. For the fourth consecutive year, Great Place to Work and FORTUNE have placed us in the top 5 Best Small and Medium Workplaces in the Bay Area. In 2019, we were awarded the Top 10 Best Small and Medium Workplaces; #3 Best Workplaces Technology (Small and Medium); #5 Best Workplaces for Millennials (Small and Medium); and #11 Best Workplaces for Women (Small and Medium) by Great Place to Work. In 2020, we were awarded #1 Best Workplaces in Technology (Small and Medium). As of July 31, 2020, we had 910 employees, representing growth of 30% since January 31, 2019.</w:t>
      </w:r>
    </w:p>
    <w:p>
      <w:pPr>
        <w:spacing w:after="0" w:line="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97</w:t>
      </w:r>
    </w:p>
    <w:p>
      <w:pPr>
        <w:sectPr>
          <w:pgSz w:w="11900" w:h="16838" w:orient="portrait"/>
          <w:cols w:equalWidth="0" w:num="1">
            <w:col w:w="10159"/>
          </w:cols>
          <w:pgMar w:left="300" w:top="367" w:right="1440" w:bottom="1440" w:gutter="0" w:footer="0" w:header="0"/>
        </w:sectPr>
      </w:pPr>
    </w:p>
    <w:bookmarkStart w:id="102" w:name="page103"/>
    <w:bookmarkEnd w:id="10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Features of our Platform</w:t>
      </w:r>
    </w:p>
    <w:p>
      <w:pPr>
        <w:spacing w:after="0" w:line="85" w:lineRule="exact"/>
        <w:rPr>
          <w:sz w:val="20"/>
          <w:szCs w:val="20"/>
          <w:color w:val="auto"/>
        </w:rPr>
      </w:pPr>
    </w:p>
    <w:p>
      <w:pPr>
        <w:ind w:left="1680" w:right="639" w:firstLine="316"/>
        <w:spacing w:after="0" w:line="258" w:lineRule="auto"/>
        <w:rPr>
          <w:sz w:val="20"/>
          <w:szCs w:val="20"/>
          <w:color w:val="auto"/>
        </w:rPr>
      </w:pPr>
      <w:r>
        <w:rPr>
          <w:rFonts w:ascii="Times New Roman" w:cs="Times New Roman" w:eastAsia="Times New Roman" w:hAnsi="Times New Roman"/>
          <w:sz w:val="13"/>
          <w:szCs w:val="13"/>
          <w:color w:val="auto"/>
        </w:rPr>
        <w:t>Asana is a single unified platform that provides clarity at every level of an organization for individuals, team leads, and executives. Powered by a proprietary, multi-dimensional data model called the work graph, which captures and associates units of work, Asana provides dynamic views—List, Calendar, Board, Timeline, Portfolio, Reports—so that individuals can see work data in whatever way makes most sense to them. Any changes made to underlying data through one view is automatically updated in real time to all other views.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1715770</wp:posOffset>
            </wp:positionH>
            <wp:positionV relativeFrom="paragraph">
              <wp:posOffset>-5715</wp:posOffset>
            </wp:positionV>
            <wp:extent cx="3742690" cy="24003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74269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Work Graph Hierarchy</w:t>
      </w:r>
    </w:p>
    <w:p>
      <w:pPr>
        <w:spacing w:after="0" w:line="15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Tasks</w:t>
      </w:r>
    </w:p>
    <w:p>
      <w:pPr>
        <w:spacing w:after="0" w:line="87" w:lineRule="exact"/>
        <w:rPr>
          <w:sz w:val="20"/>
          <w:szCs w:val="20"/>
          <w:color w:val="auto"/>
        </w:rPr>
      </w:pPr>
    </w:p>
    <w:p>
      <w:pPr>
        <w:ind w:left="1680" w:right="619" w:firstLine="316"/>
        <w:spacing w:after="0" w:line="256" w:lineRule="auto"/>
        <w:rPr>
          <w:sz w:val="20"/>
          <w:szCs w:val="20"/>
          <w:color w:val="auto"/>
        </w:rPr>
      </w:pPr>
      <w:r>
        <w:rPr>
          <w:rFonts w:ascii="Times New Roman" w:cs="Times New Roman" w:eastAsia="Times New Roman" w:hAnsi="Times New Roman"/>
          <w:sz w:val="13"/>
          <w:szCs w:val="13"/>
          <w:color w:val="auto"/>
        </w:rPr>
        <w:t>Tasks are the atomic unit of work within the Asana work graph. Within tasks, users can assign owners, set due dates and times, attach documents, and define custom fields for information about the task so that everyone knows who is doing what by when and has the information needed to complete the work. Custom fields are metadata that help users plan, sort, and organize work. Collaboration including comments, sharing, @-mentions, and image markup are natively built into tasks, ensuring that relevant updates and context stay with the work at hand. Changes in task information made in one view are automatically updated across all views where the task is visible so that users don’t have to re-enter information.</w:t>
      </w:r>
    </w:p>
    <w:p>
      <w:pPr>
        <w:spacing w:after="0" w:line="2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Projects</w:t>
      </w:r>
    </w:p>
    <w:p>
      <w:pPr>
        <w:spacing w:after="0" w:line="87" w:lineRule="exact"/>
        <w:rPr>
          <w:sz w:val="20"/>
          <w:szCs w:val="20"/>
          <w:color w:val="auto"/>
        </w:rPr>
      </w:pPr>
    </w:p>
    <w:p>
      <w:pPr>
        <w:ind w:left="1680" w:right="599" w:firstLine="316"/>
        <w:spacing w:after="0" w:line="258" w:lineRule="auto"/>
        <w:rPr>
          <w:sz w:val="20"/>
          <w:szCs w:val="20"/>
          <w:color w:val="auto"/>
        </w:rPr>
      </w:pPr>
      <w:r>
        <w:rPr>
          <w:rFonts w:ascii="Times New Roman" w:cs="Times New Roman" w:eastAsia="Times New Roman" w:hAnsi="Times New Roman"/>
          <w:sz w:val="13"/>
          <w:szCs w:val="13"/>
          <w:color w:val="auto"/>
        </w:rPr>
        <w:t>A project consists of a set of tasks, which can be organized into sections and arranged into dependencies that give teams clarity on plan and process. Projects can be used to accomplish a specific goal, such as delivering a presentation or campaign, or can be used to intake and process requests, such as a help desk or creative production. If the project is a workflow the team normally follows, it can be converted into a template, making it easy to set up a repeatable workflow so that teams do not have to start from scratch or miss any steps.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98</w:t>
      </w:r>
    </w:p>
    <w:p>
      <w:pPr>
        <w:sectPr>
          <w:pgSz w:w="11900" w:h="16838" w:orient="portrait"/>
          <w:cols w:equalWidth="0" w:num="1">
            <w:col w:w="10159"/>
          </w:cols>
          <w:pgMar w:left="300" w:top="367" w:right="1440" w:bottom="1440" w:gutter="0" w:footer="0" w:header="0"/>
        </w:sectPr>
      </w:pPr>
    </w:p>
    <w:bookmarkStart w:id="103" w:name="page104"/>
    <w:bookmarkEnd w:id="10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Portfolios</w:t>
      </w:r>
    </w:p>
    <w:p>
      <w:pPr>
        <w:spacing w:after="0" w:line="87" w:lineRule="exact"/>
        <w:rPr>
          <w:sz w:val="20"/>
          <w:szCs w:val="20"/>
          <w:color w:val="auto"/>
        </w:rPr>
      </w:pPr>
    </w:p>
    <w:p>
      <w:pPr>
        <w:ind w:left="1680" w:right="619" w:firstLine="316"/>
        <w:spacing w:after="0" w:line="253" w:lineRule="auto"/>
        <w:rPr>
          <w:sz w:val="20"/>
          <w:szCs w:val="20"/>
          <w:color w:val="auto"/>
        </w:rPr>
      </w:pPr>
      <w:r>
        <w:rPr>
          <w:rFonts w:ascii="Times New Roman" w:cs="Times New Roman" w:eastAsia="Times New Roman" w:hAnsi="Times New Roman"/>
          <w:sz w:val="13"/>
          <w:szCs w:val="13"/>
          <w:color w:val="auto"/>
        </w:rPr>
        <w:t>Portfolio lets users organize projects into one centralized location, acting as the mission control so that team leads and executives have real-time visibility into how work is progressing across projects. Users can add or remove projects, check the status and progress of each project, view priorities, and assign relevant project owners. Individuals can click on any project to see a full summary overview of the project with the ability to edit due dates, view key milestones, link to the tasks and resources available, check or add status updates, and add comments for the team. They can also see all projects within the Portfolio on a Timeline to get a bird’s-eye view of when initiatives are kicking off and when they will be completed. Like many of the views in Asana, the layout of Portfolio can be customized based on individual preference. Portfolios can be made public or private, or can be shared only with specific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1722120</wp:posOffset>
            </wp:positionH>
            <wp:positionV relativeFrom="paragraph">
              <wp:posOffset>107950</wp:posOffset>
            </wp:positionV>
            <wp:extent cx="3729990" cy="2197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729990" cy="2197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Goals</w:t>
      </w:r>
    </w:p>
    <w:p>
      <w:pPr>
        <w:spacing w:after="0" w:line="87" w:lineRule="exact"/>
        <w:rPr>
          <w:sz w:val="20"/>
          <w:szCs w:val="20"/>
          <w:color w:val="auto"/>
        </w:rPr>
      </w:pPr>
    </w:p>
    <w:p>
      <w:pPr>
        <w:ind w:left="1680" w:right="679" w:firstLine="316"/>
        <w:spacing w:after="0" w:line="256" w:lineRule="auto"/>
        <w:rPr>
          <w:sz w:val="20"/>
          <w:szCs w:val="20"/>
          <w:color w:val="auto"/>
        </w:rPr>
      </w:pPr>
      <w:r>
        <w:rPr>
          <w:rFonts w:ascii="Times New Roman" w:cs="Times New Roman" w:eastAsia="Times New Roman" w:hAnsi="Times New Roman"/>
          <w:sz w:val="13"/>
          <w:szCs w:val="13"/>
          <w:color w:val="auto"/>
        </w:rPr>
        <w:t>Goals gives users a centralized place to set goals and track the work needed to achieve them. Goals is a flexible system that supports OKR (Objectives and Key Results) and other goal management methodologies. Users can set and view goals at the organization or team level and can create goal hierarchies to drive alignment across teams. Goals can be associated with Projects and Portfolios, providing executives and team leads a single system to set objectives and track progress. Goals can be made visible to the entire organization so all team members have clarity on the company’s priorities and see how their work contributes to the organization’s success.</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99</w:t>
      </w:r>
    </w:p>
    <w:p>
      <w:pPr>
        <w:sectPr>
          <w:pgSz w:w="11900" w:h="16838" w:orient="portrait"/>
          <w:cols w:equalWidth="0" w:num="1">
            <w:col w:w="10159"/>
          </w:cols>
          <w:pgMar w:left="300" w:top="367" w:right="1440" w:bottom="1440" w:gutter="0" w:footer="0" w:header="0"/>
        </w:sectPr>
      </w:pPr>
    </w:p>
    <w:bookmarkStart w:id="104" w:name="page105"/>
    <w:bookmarkEnd w:id="10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Dynamic Views</w:t>
      </w:r>
    </w:p>
    <w:p>
      <w:pPr>
        <w:spacing w:after="0" w:line="15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My Tasks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1722120</wp:posOffset>
            </wp:positionH>
            <wp:positionV relativeFrom="paragraph">
              <wp:posOffset>125095</wp:posOffset>
            </wp:positionV>
            <wp:extent cx="3724275" cy="22777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724275" cy="2277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680" w:right="639" w:firstLine="316"/>
        <w:spacing w:after="0" w:line="263" w:lineRule="auto"/>
        <w:rPr>
          <w:sz w:val="20"/>
          <w:szCs w:val="20"/>
          <w:color w:val="auto"/>
        </w:rPr>
      </w:pPr>
      <w:r>
        <w:rPr>
          <w:rFonts w:ascii="Times New Roman" w:cs="Times New Roman" w:eastAsia="Times New Roman" w:hAnsi="Times New Roman"/>
          <w:sz w:val="13"/>
          <w:szCs w:val="13"/>
          <w:color w:val="auto"/>
        </w:rPr>
        <w:t>My Tasks provides a single, clear view of every deliverable and due date assigned to individuals so that they start their day knowing exactly what they need to do, by when. Items can be organized and dragged and dropped into different categories so that individuals can prioritize their part of a project or any process-related tasks.</w:t>
      </w:r>
    </w:p>
    <w:p>
      <w:pPr>
        <w:spacing w:after="0" w:line="129" w:lineRule="exact"/>
        <w:rPr>
          <w:sz w:val="20"/>
          <w:szCs w:val="20"/>
          <w:color w:val="auto"/>
        </w:rPr>
      </w:pPr>
    </w:p>
    <w:p>
      <w:pPr>
        <w:ind w:left="1680" w:right="699" w:firstLine="316"/>
        <w:spacing w:after="0" w:line="277" w:lineRule="auto"/>
        <w:rPr>
          <w:sz w:val="20"/>
          <w:szCs w:val="20"/>
          <w:color w:val="auto"/>
        </w:rPr>
      </w:pPr>
      <w:r>
        <w:rPr>
          <w:rFonts w:ascii="Times New Roman" w:cs="Times New Roman" w:eastAsia="Times New Roman" w:hAnsi="Times New Roman"/>
          <w:sz w:val="13"/>
          <w:szCs w:val="13"/>
          <w:color w:val="auto"/>
        </w:rPr>
        <w:t>All individuals have their own My Tasks. Team members can view other team members’ tasks to see what they are working on. Individuals also have the option to create private tasks, which are only visible to themselves and the people they have explicitly added as collaborators.</w:t>
      </w:r>
    </w:p>
    <w:p>
      <w:pPr>
        <w:spacing w:after="0" w:line="19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Inbox</w:t>
      </w:r>
    </w:p>
    <w:p>
      <w:pPr>
        <w:spacing w:after="0" w:line="87" w:lineRule="exact"/>
        <w:rPr>
          <w:sz w:val="20"/>
          <w:szCs w:val="20"/>
          <w:color w:val="auto"/>
        </w:rPr>
      </w:pPr>
    </w:p>
    <w:p>
      <w:pPr>
        <w:ind w:left="1680" w:right="659" w:firstLine="316"/>
        <w:spacing w:after="0" w:line="258" w:lineRule="auto"/>
        <w:rPr>
          <w:sz w:val="20"/>
          <w:szCs w:val="20"/>
          <w:color w:val="auto"/>
        </w:rPr>
      </w:pPr>
      <w:r>
        <w:rPr>
          <w:rFonts w:ascii="Times New Roman" w:cs="Times New Roman" w:eastAsia="Times New Roman" w:hAnsi="Times New Roman"/>
          <w:sz w:val="13"/>
          <w:szCs w:val="13"/>
          <w:color w:val="auto"/>
        </w:rPr>
        <w:t>Inbox is the notification center for Asana. It displays updates on all projects that individuals are a member of and tasks that they follow or are assigned so that they can stay on top of the work that matters. Task and project updates—such as when a task is marked complete, a comment is added, or the status of a project is updated—triggers a notification that appears in the Inbox of anyone who follows the task or belongs to the project. Individuals can filter their Inbox based on assigned tasks and @-mentions so they can focus on their top priorities.</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100</w:t>
      </w:r>
    </w:p>
    <w:p>
      <w:pPr>
        <w:sectPr>
          <w:pgSz w:w="11900" w:h="16838" w:orient="portrait"/>
          <w:cols w:equalWidth="0" w:num="1">
            <w:col w:w="10159"/>
          </w:cols>
          <w:pgMar w:left="300" w:top="367" w:right="1440" w:bottom="1440" w:gutter="0" w:footer="0" w:header="0"/>
        </w:sectPr>
      </w:pPr>
    </w:p>
    <w:bookmarkStart w:id="105" w:name="page106"/>
    <w:bookmarkEnd w:id="10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List View</w:t>
      </w:r>
    </w:p>
    <w:p>
      <w:pPr>
        <w:spacing w:after="0" w:line="87" w:lineRule="exact"/>
        <w:rPr>
          <w:sz w:val="20"/>
          <w:szCs w:val="20"/>
          <w:color w:val="auto"/>
        </w:rPr>
      </w:pPr>
    </w:p>
    <w:p>
      <w:pPr>
        <w:ind w:left="1680" w:right="619" w:firstLine="316"/>
        <w:spacing w:after="0" w:line="263" w:lineRule="auto"/>
        <w:rPr>
          <w:sz w:val="20"/>
          <w:szCs w:val="20"/>
          <w:color w:val="auto"/>
        </w:rPr>
      </w:pPr>
      <w:r>
        <w:rPr>
          <w:rFonts w:ascii="Times New Roman" w:cs="Times New Roman" w:eastAsia="Times New Roman" w:hAnsi="Times New Roman"/>
          <w:sz w:val="13"/>
          <w:szCs w:val="13"/>
          <w:color w:val="auto"/>
        </w:rPr>
        <w:t>The List view of a project lets individuals sort, organize into sections, and filter a list of tasks. Tasks can be dragged and dropped, and filtered and sorted according to what matters most so project teams can see all the work needed to complete a project and easily drill down into details. Keyboard shortcuts can be used to move tasks up or down the list, and a project toolbar allows users to adjust their project 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1722120</wp:posOffset>
            </wp:positionH>
            <wp:positionV relativeFrom="paragraph">
              <wp:posOffset>102235</wp:posOffset>
            </wp:positionV>
            <wp:extent cx="3724275" cy="22898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724275" cy="228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101</w:t>
      </w:r>
    </w:p>
    <w:p>
      <w:pPr>
        <w:sectPr>
          <w:pgSz w:w="11900" w:h="16838" w:orient="portrait"/>
          <w:cols w:equalWidth="0" w:num="1">
            <w:col w:w="10159"/>
          </w:cols>
          <w:pgMar w:left="300" w:top="367" w:right="1440" w:bottom="1440" w:gutter="0" w:footer="0" w:header="0"/>
        </w:sectPr>
      </w:pPr>
    </w:p>
    <w:bookmarkStart w:id="106" w:name="page107"/>
    <w:bookmarkEnd w:id="10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Calendar View</w:t>
      </w:r>
    </w:p>
    <w:p>
      <w:pPr>
        <w:spacing w:after="0" w:line="87" w:lineRule="exact"/>
        <w:rPr>
          <w:sz w:val="20"/>
          <w:szCs w:val="20"/>
          <w:color w:val="auto"/>
        </w:rPr>
      </w:pPr>
    </w:p>
    <w:p>
      <w:pPr>
        <w:ind w:left="1680" w:right="619" w:firstLine="316"/>
        <w:spacing w:after="0" w:line="258" w:lineRule="auto"/>
        <w:rPr>
          <w:sz w:val="20"/>
          <w:szCs w:val="20"/>
          <w:color w:val="auto"/>
        </w:rPr>
      </w:pPr>
      <w:r>
        <w:rPr>
          <w:rFonts w:ascii="Times New Roman" w:cs="Times New Roman" w:eastAsia="Times New Roman" w:hAnsi="Times New Roman"/>
          <w:sz w:val="13"/>
          <w:szCs w:val="13"/>
          <w:color w:val="auto"/>
        </w:rPr>
        <w:t>Calendar view displays tasks within the project on a calendar based on due date and, optionally, start and end dates, so that individuals can see how many tasks are due within a time period and stay on top of their deadlines. Individuals can contribute tasks to a team calendar, plan their work on a schedule, and then easily drag and drop tasks to make adjustments. Individuals can see their personal task list, all the tasks within a specific project, as well as all tasks across projects relevant to a team on a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1722120</wp:posOffset>
            </wp:positionH>
            <wp:positionV relativeFrom="paragraph">
              <wp:posOffset>104775</wp:posOffset>
            </wp:positionV>
            <wp:extent cx="3724275" cy="25603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724275" cy="256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Board View</w:t>
      </w:r>
    </w:p>
    <w:p>
      <w:pPr>
        <w:spacing w:after="0" w:line="87" w:lineRule="exact"/>
        <w:rPr>
          <w:sz w:val="20"/>
          <w:szCs w:val="20"/>
          <w:color w:val="auto"/>
        </w:rPr>
      </w:pPr>
    </w:p>
    <w:p>
      <w:pPr>
        <w:ind w:left="1680" w:right="579" w:firstLine="316"/>
        <w:spacing w:after="0" w:line="258" w:lineRule="auto"/>
        <w:rPr>
          <w:sz w:val="20"/>
          <w:szCs w:val="20"/>
          <w:color w:val="auto"/>
        </w:rPr>
      </w:pPr>
      <w:r>
        <w:rPr>
          <w:rFonts w:ascii="Times New Roman" w:cs="Times New Roman" w:eastAsia="Times New Roman" w:hAnsi="Times New Roman"/>
          <w:sz w:val="13"/>
          <w:szCs w:val="13"/>
          <w:color w:val="auto"/>
        </w:rPr>
        <w:t>Boards provide individuals with a kanban-style display. Individuals use boards to plan and organize their work as if they were organizing sticky notes in columns on a wall so that they can quickly visualize the current stage of each task within a workstream. Tasks in the project are represented as cards within the columns and individuals commonly use the columns to represent stages in a workflow. As a task makes its way through the workflow, it moves from the left to the right. The tasks display due dates, assignee, custom fields, and previews of the latest attached files.</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102</w:t>
      </w:r>
    </w:p>
    <w:p>
      <w:pPr>
        <w:sectPr>
          <w:pgSz w:w="11900" w:h="16838" w:orient="portrait"/>
          <w:cols w:equalWidth="0" w:num="1">
            <w:col w:w="10159"/>
          </w:cols>
          <w:pgMar w:left="300" w:top="367" w:right="1440" w:bottom="1440" w:gutter="0" w:footer="0" w:header="0"/>
        </w:sectPr>
      </w:pPr>
    </w:p>
    <w:bookmarkStart w:id="107" w:name="page108"/>
    <w:bookmarkEnd w:id="10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jc w:val="both"/>
        <w:ind w:left="1680" w:right="819" w:firstLine="316"/>
        <w:spacing w:after="0" w:line="263" w:lineRule="auto"/>
        <w:rPr>
          <w:sz w:val="20"/>
          <w:szCs w:val="20"/>
          <w:color w:val="auto"/>
        </w:rPr>
      </w:pPr>
      <w:r>
        <w:rPr>
          <w:rFonts w:ascii="Times New Roman" w:cs="Times New Roman" w:eastAsia="Times New Roman" w:hAnsi="Times New Roman"/>
          <w:sz w:val="13"/>
          <w:szCs w:val="13"/>
          <w:color w:val="auto"/>
        </w:rPr>
        <w:t>Boards can be customized to what matters most to the user, with the ability to add custom fields, filter, and sort by task, assignee, or due date. Additionally, tasks appearing in one board can be added to other projects so that work stays connected and up to date across initiatives without team members having to re-enter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1722120</wp:posOffset>
            </wp:positionH>
            <wp:positionV relativeFrom="paragraph">
              <wp:posOffset>102235</wp:posOffset>
            </wp:positionV>
            <wp:extent cx="3724275" cy="2296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724275" cy="229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Timeline View</w:t>
      </w:r>
    </w:p>
    <w:p>
      <w:pPr>
        <w:spacing w:after="0" w:line="87" w:lineRule="exact"/>
        <w:rPr>
          <w:sz w:val="20"/>
          <w:szCs w:val="20"/>
          <w:color w:val="auto"/>
        </w:rPr>
      </w:pPr>
    </w:p>
    <w:p>
      <w:pPr>
        <w:ind w:left="1680" w:right="619" w:firstLine="316"/>
        <w:spacing w:after="0" w:line="258" w:lineRule="auto"/>
        <w:rPr>
          <w:sz w:val="20"/>
          <w:szCs w:val="20"/>
          <w:color w:val="auto"/>
        </w:rPr>
      </w:pPr>
      <w:r>
        <w:rPr>
          <w:rFonts w:ascii="Times New Roman" w:cs="Times New Roman" w:eastAsia="Times New Roman" w:hAnsi="Times New Roman"/>
          <w:sz w:val="13"/>
          <w:szCs w:val="13"/>
          <w:color w:val="auto"/>
        </w:rPr>
        <w:t>Timeline allows teams to create and visualize project plans over time so that individuals can identify bottlenecks and task dependencies and make real-time adjustments as needed. Our Timeline view is more powerful than a static Gantt chart because it is connected to the underlying work and updates dynamically as work progresses. When a deadline shifts, all subsequent deadlines can shift accordingly. Timeline helps ensure work stays on track and all team members have clear visibility over the steps involved and progress towards the end goal.</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103</w:t>
      </w:r>
    </w:p>
    <w:p>
      <w:pPr>
        <w:sectPr>
          <w:pgSz w:w="11900" w:h="16838" w:orient="portrait"/>
          <w:cols w:equalWidth="0" w:num="1">
            <w:col w:w="10159"/>
          </w:cols>
          <w:pgMar w:left="300" w:top="367" w:right="1440" w:bottom="1440" w:gutter="0" w:footer="0" w:header="0"/>
        </w:sectPr>
      </w:pPr>
    </w:p>
    <w:bookmarkStart w:id="108" w:name="page109"/>
    <w:bookmarkEnd w:id="10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839" w:firstLine="316"/>
        <w:spacing w:after="0" w:line="277" w:lineRule="auto"/>
        <w:rPr>
          <w:sz w:val="20"/>
          <w:szCs w:val="20"/>
          <w:color w:val="auto"/>
        </w:rPr>
      </w:pPr>
      <w:r>
        <w:rPr>
          <w:rFonts w:ascii="Times New Roman" w:cs="Times New Roman" w:eastAsia="Times New Roman" w:hAnsi="Times New Roman"/>
          <w:sz w:val="13"/>
          <w:szCs w:val="13"/>
          <w:color w:val="auto"/>
        </w:rPr>
        <w:t>Timeline is particularly relevant for time-bounded initiatives which have timing and sequencing dependencies. Timeline gives executives and project stakeholders an at-a-glance view of project plans and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1722120</wp:posOffset>
            </wp:positionH>
            <wp:positionV relativeFrom="paragraph">
              <wp:posOffset>96520</wp:posOffset>
            </wp:positionV>
            <wp:extent cx="3724275" cy="2296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724275" cy="229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104</w:t>
      </w:r>
    </w:p>
    <w:p>
      <w:pPr>
        <w:sectPr>
          <w:pgSz w:w="11900" w:h="16838" w:orient="portrait"/>
          <w:cols w:equalWidth="0" w:num="1">
            <w:col w:w="10159"/>
          </w:cols>
          <w:pgMar w:left="300" w:top="367" w:right="1440" w:bottom="1440" w:gutter="0" w:footer="0" w:header="0"/>
        </w:sectPr>
      </w:pPr>
    </w:p>
    <w:bookmarkStart w:id="109" w:name="page110"/>
    <w:bookmarkEnd w:id="10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Workload</w:t>
      </w:r>
    </w:p>
    <w:p>
      <w:pPr>
        <w:spacing w:after="0" w:line="87" w:lineRule="exact"/>
        <w:rPr>
          <w:sz w:val="20"/>
          <w:szCs w:val="20"/>
          <w:color w:val="auto"/>
        </w:rPr>
      </w:pPr>
    </w:p>
    <w:p>
      <w:pPr>
        <w:ind w:left="1680" w:right="559" w:firstLine="316"/>
        <w:spacing w:after="0" w:line="258" w:lineRule="auto"/>
        <w:rPr>
          <w:sz w:val="20"/>
          <w:szCs w:val="20"/>
          <w:color w:val="auto"/>
        </w:rPr>
      </w:pPr>
      <w:r>
        <w:rPr>
          <w:rFonts w:ascii="Times New Roman" w:cs="Times New Roman" w:eastAsia="Times New Roman" w:hAnsi="Times New Roman"/>
          <w:sz w:val="13"/>
          <w:szCs w:val="13"/>
          <w:color w:val="auto"/>
        </w:rPr>
        <w:t>Workload visualizes the work, capacity, and trendline of each team member so that team leads have accurate and up-to-date information into the workload of their team members. The trendline is generated by number of tasks or numerical custom field values such as estimated hours or effort. Team leads can set capacity and be notified when team members are overloaded. Individuals can reallocate work from one team member to another with a drag-and-drop interface.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1722120</wp:posOffset>
            </wp:positionH>
            <wp:positionV relativeFrom="paragraph">
              <wp:posOffset>104775</wp:posOffset>
            </wp:positionV>
            <wp:extent cx="3724275" cy="18834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724275" cy="1883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Automated Workflows</w:t>
      </w:r>
    </w:p>
    <w:p>
      <w:pPr>
        <w:spacing w:after="0" w:line="15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Processes</w:t>
      </w:r>
    </w:p>
    <w:p>
      <w:pPr>
        <w:spacing w:after="0" w:line="87" w:lineRule="exact"/>
        <w:rPr>
          <w:sz w:val="20"/>
          <w:szCs w:val="20"/>
          <w:color w:val="auto"/>
        </w:rPr>
      </w:pPr>
    </w:p>
    <w:p>
      <w:pPr>
        <w:ind w:left="1680" w:right="719" w:firstLine="316"/>
        <w:spacing w:after="0" w:line="263" w:lineRule="auto"/>
        <w:rPr>
          <w:sz w:val="20"/>
          <w:szCs w:val="20"/>
          <w:color w:val="auto"/>
        </w:rPr>
      </w:pPr>
      <w:r>
        <w:rPr>
          <w:rFonts w:ascii="Times New Roman" w:cs="Times New Roman" w:eastAsia="Times New Roman" w:hAnsi="Times New Roman"/>
          <w:sz w:val="13"/>
          <w:szCs w:val="13"/>
          <w:color w:val="auto"/>
        </w:rPr>
        <w:t>A process, or workflow, is the sequence of stages a piece of work passes through from initiation to completion. Asana provides pre-made templates for common processes around ongoing work within marketing, design, operations, sales, HR, product, engineering, and IT functions so that individuals and teams have a starting point for planning, managing, and executing their work.</w:t>
      </w:r>
    </w:p>
    <w:p>
      <w:pPr>
        <w:spacing w:after="0" w:line="129" w:lineRule="exact"/>
        <w:rPr>
          <w:sz w:val="20"/>
          <w:szCs w:val="20"/>
          <w:color w:val="auto"/>
        </w:rPr>
      </w:pPr>
    </w:p>
    <w:p>
      <w:pPr>
        <w:ind w:left="1680" w:right="699" w:firstLine="316"/>
        <w:spacing w:after="0" w:line="263" w:lineRule="auto"/>
        <w:rPr>
          <w:sz w:val="20"/>
          <w:szCs w:val="20"/>
          <w:color w:val="auto"/>
        </w:rPr>
      </w:pPr>
      <w:r>
        <w:rPr>
          <w:rFonts w:ascii="Times New Roman" w:cs="Times New Roman" w:eastAsia="Times New Roman" w:hAnsi="Times New Roman"/>
          <w:sz w:val="13"/>
          <w:szCs w:val="13"/>
          <w:color w:val="auto"/>
        </w:rPr>
        <w:t>Teams have the ability to create and save custom templates so that they can standardize and provide clarity on all the necessary steps of their unique workflows. Additionally, teams can implement rules to automate repetitive, manual tasks in a workflow, such as auto-assigning a task based on custom field status or moving a task from one column to another in Board view.</w:t>
      </w:r>
    </w:p>
    <w:p>
      <w:pPr>
        <w:spacing w:after="0" w:line="20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Rules</w:t>
      </w:r>
    </w:p>
    <w:p>
      <w:pPr>
        <w:spacing w:after="0" w:line="87" w:lineRule="exact"/>
        <w:rPr>
          <w:sz w:val="20"/>
          <w:szCs w:val="20"/>
          <w:color w:val="auto"/>
        </w:rPr>
      </w:pPr>
    </w:p>
    <w:p>
      <w:pPr>
        <w:ind w:left="1680" w:right="619" w:firstLine="316"/>
        <w:spacing w:after="0" w:line="258" w:lineRule="auto"/>
        <w:rPr>
          <w:sz w:val="20"/>
          <w:szCs w:val="20"/>
          <w:color w:val="auto"/>
        </w:rPr>
      </w:pPr>
      <w:r>
        <w:rPr>
          <w:rFonts w:ascii="Times New Roman" w:cs="Times New Roman" w:eastAsia="Times New Roman" w:hAnsi="Times New Roman"/>
          <w:sz w:val="13"/>
          <w:szCs w:val="13"/>
          <w:color w:val="auto"/>
        </w:rPr>
        <w:t>Rules help automate tedious and repetitive tasks so that teams can reduce manual work and spend more time on the work that matters. Individuals can select from suggested pre-built rules from the rules gallery or they can create a custom rule. A rule consists of one or more triggers and actions, enabling an individual to create logic and multiple actions around business scenarios. Actions in third-party applications that are integrated with Asana, such as Outlook, Gmail, and Slack, can also trigger rules, making it easy to automate manual work across applications.</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105</w:t>
      </w:r>
    </w:p>
    <w:p>
      <w:pPr>
        <w:sectPr>
          <w:pgSz w:w="11900" w:h="16838" w:orient="portrait"/>
          <w:cols w:equalWidth="0" w:num="1">
            <w:col w:w="10159"/>
          </w:cols>
          <w:pgMar w:left="300" w:top="367" w:right="1440" w:bottom="1440" w:gutter="0" w:footer="0" w:header="0"/>
        </w:sectPr>
      </w:pPr>
    </w:p>
    <w:bookmarkStart w:id="110" w:name="page111"/>
    <w:bookmarkEnd w:id="11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Reporting</w:t>
      </w:r>
    </w:p>
    <w:p>
      <w:pPr>
        <w:spacing w:after="0" w:line="87" w:lineRule="exact"/>
        <w:rPr>
          <w:sz w:val="20"/>
          <w:szCs w:val="20"/>
          <w:color w:val="auto"/>
        </w:rPr>
      </w:pPr>
    </w:p>
    <w:p>
      <w:pPr>
        <w:ind w:left="1680" w:right="599" w:firstLine="316"/>
        <w:spacing w:after="0" w:line="258" w:lineRule="auto"/>
        <w:rPr>
          <w:sz w:val="20"/>
          <w:szCs w:val="20"/>
          <w:color w:val="auto"/>
        </w:rPr>
      </w:pPr>
      <w:r>
        <w:rPr>
          <w:rFonts w:ascii="Times New Roman" w:cs="Times New Roman" w:eastAsia="Times New Roman" w:hAnsi="Times New Roman"/>
          <w:sz w:val="13"/>
          <w:szCs w:val="13"/>
          <w:color w:val="auto"/>
        </w:rPr>
        <w:t>Asana provides reporting capabilities that automate and simplify the process of creating status reports and give individuals and teams a searchable history of their work data. Advanced Search allows individuals to specify search parameters to find data and conversations quickly and easily. The work graph enables users to find work based on various attributes, including who is involved, what projects a task may belong to, and even the status of dependencies. Search criteria can be saved as reports, and results can be viewed in a list or calendar.</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Integrations</w:t>
      </w:r>
    </w:p>
    <w:p>
      <w:pPr>
        <w:spacing w:after="0" w:line="8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Asana platform integrates with over 100 third-party applications including:</w:t>
      </w:r>
    </w:p>
    <w:p>
      <w:pPr>
        <w:spacing w:after="0" w:line="93" w:lineRule="exact"/>
        <w:rPr>
          <w:sz w:val="20"/>
          <w:szCs w:val="20"/>
          <w:color w:val="auto"/>
        </w:rPr>
      </w:pPr>
    </w:p>
    <w:p>
      <w:pPr>
        <w:ind w:left="2380" w:hanging="381"/>
        <w:spacing w:after="0"/>
        <w:tabs>
          <w:tab w:leader="none" w:pos="23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Microsoft apps such as Teams, Outlook, OneDrive, SharePoint, and Power Automate;</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G-suite apps such as Gmail, Calendar, Chrome, Sheets, and Drive;</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Functional tools such as Salesforce and Adobe Creative Cloud;</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Communication apps such as Slack;</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File sharing apps such as Box and Dropbox;</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Development apps such as GitHub and Jira; and</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Reporting apps such as Tableau.</w:t>
      </w:r>
    </w:p>
    <w:p>
      <w:pPr>
        <w:spacing w:after="0" w:line="161" w:lineRule="exact"/>
        <w:rPr>
          <w:sz w:val="20"/>
          <w:szCs w:val="20"/>
          <w:color w:val="auto"/>
        </w:rPr>
      </w:pPr>
    </w:p>
    <w:p>
      <w:pPr>
        <w:ind w:left="1680" w:right="699" w:firstLine="316"/>
        <w:spacing w:after="0" w:line="277" w:lineRule="auto"/>
        <w:rPr>
          <w:sz w:val="20"/>
          <w:szCs w:val="20"/>
          <w:color w:val="auto"/>
        </w:rPr>
      </w:pPr>
      <w:r>
        <w:rPr>
          <w:rFonts w:ascii="Times New Roman" w:cs="Times New Roman" w:eastAsia="Times New Roman" w:hAnsi="Times New Roman"/>
          <w:sz w:val="13"/>
          <w:szCs w:val="13"/>
          <w:color w:val="auto"/>
        </w:rPr>
        <w:t>Integrations connect applications to Asana, which provides a central hub for managing work. Teams save time by eliminating the need to switch between various sites and tools. By providing this centralized hub, Asana ensures that work in other tools is tracked and completed.</w:t>
      </w:r>
    </w:p>
    <w:p>
      <w:pPr>
        <w:spacing w:after="0" w:line="120" w:lineRule="exact"/>
        <w:rPr>
          <w:sz w:val="20"/>
          <w:szCs w:val="20"/>
          <w:color w:val="auto"/>
        </w:rPr>
      </w:pPr>
    </w:p>
    <w:p>
      <w:pPr>
        <w:jc w:val="both"/>
        <w:ind w:left="1680" w:right="879" w:firstLine="316"/>
        <w:spacing w:after="0" w:line="263" w:lineRule="auto"/>
        <w:rPr>
          <w:sz w:val="20"/>
          <w:szCs w:val="20"/>
          <w:color w:val="auto"/>
        </w:rPr>
      </w:pPr>
      <w:r>
        <w:rPr>
          <w:rFonts w:ascii="Times New Roman" w:cs="Times New Roman" w:eastAsia="Times New Roman" w:hAnsi="Times New Roman"/>
          <w:sz w:val="13"/>
          <w:szCs w:val="13"/>
          <w:color w:val="auto"/>
        </w:rPr>
        <w:t>Integrations with third-party applications are achieved through Asana Connect without sharing any usernames or passwords. Asana Connect enables seamless integration with third-party applications and gives users the ability to manage all of their work streams through a single platform. Asana Connect uses OAuth 2.0, an industry standard for authentication.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1722120</wp:posOffset>
            </wp:positionH>
            <wp:positionV relativeFrom="paragraph">
              <wp:posOffset>102235</wp:posOffset>
            </wp:positionV>
            <wp:extent cx="3724275" cy="22282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724275" cy="2228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106</w:t>
      </w:r>
    </w:p>
    <w:p>
      <w:pPr>
        <w:sectPr>
          <w:pgSz w:w="11900" w:h="16838" w:orient="portrait"/>
          <w:cols w:equalWidth="0" w:num="1">
            <w:col w:w="10159"/>
          </w:cols>
          <w:pgMar w:left="300" w:top="367" w:right="1440" w:bottom="1440" w:gutter="0" w:footer="0" w:header="0"/>
        </w:sectPr>
      </w:pPr>
    </w:p>
    <w:bookmarkStart w:id="111" w:name="page112"/>
    <w:bookmarkEnd w:id="11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Our Technology</w:t>
      </w:r>
    </w:p>
    <w:p>
      <w:pPr>
        <w:spacing w:after="0" w:line="85" w:lineRule="exact"/>
        <w:rPr>
          <w:sz w:val="20"/>
          <w:szCs w:val="20"/>
          <w:color w:val="auto"/>
        </w:rPr>
      </w:pPr>
    </w:p>
    <w:p>
      <w:pPr>
        <w:ind w:left="1680" w:right="759" w:firstLine="316"/>
        <w:spacing w:after="0" w:line="263" w:lineRule="auto"/>
        <w:rPr>
          <w:sz w:val="20"/>
          <w:szCs w:val="20"/>
          <w:color w:val="auto"/>
        </w:rPr>
      </w:pPr>
      <w:r>
        <w:rPr>
          <w:rFonts w:ascii="Times New Roman" w:cs="Times New Roman" w:eastAsia="Times New Roman" w:hAnsi="Times New Roman"/>
          <w:sz w:val="13"/>
          <w:szCs w:val="13"/>
          <w:color w:val="auto"/>
        </w:rPr>
        <w:t>The architecture we have built to power Asana is secure and scalable, offering users a customized experience that is easy to navigate while handling complex data management behind the scenes. We designed our systems to allow flexible access to the work graph data, allowing us to build rich new functionality quickly and innovate in the work management space.</w:t>
      </w:r>
    </w:p>
    <w:p>
      <w:pPr>
        <w:spacing w:after="0" w:line="20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Extensible, Efficient Technology Platform</w:t>
      </w:r>
    </w:p>
    <w:p>
      <w:pPr>
        <w:spacing w:after="0" w:line="87" w:lineRule="exact"/>
        <w:rPr>
          <w:sz w:val="20"/>
          <w:szCs w:val="20"/>
          <w:color w:val="auto"/>
        </w:rPr>
      </w:pPr>
    </w:p>
    <w:p>
      <w:pPr>
        <w:ind w:left="1680" w:right="579" w:firstLine="316"/>
        <w:spacing w:after="0" w:line="254" w:lineRule="auto"/>
        <w:rPr>
          <w:sz w:val="20"/>
          <w:szCs w:val="20"/>
          <w:color w:val="auto"/>
        </w:rPr>
      </w:pPr>
      <w:r>
        <w:rPr>
          <w:rFonts w:ascii="Times New Roman" w:cs="Times New Roman" w:eastAsia="Times New Roman" w:hAnsi="Times New Roman"/>
          <w:sz w:val="13"/>
          <w:szCs w:val="13"/>
          <w:color w:val="auto"/>
        </w:rPr>
        <w:t>Our cloud-native platform includes proprietary software services built on top of infrastructure provided by Amazon Web Services. We shard customer data in our distributed datastore to scale horizontally and provide high performance, and redundancy across multiple third-party data centers in several locations in the United States and Europe to protect against data loss and provide high availability. The distributed datastore allows flexible indexing across single or multiple attributes of the objects stored in it, thus efficiently supporting a wide variety of queries. Our platform services keep track of connected devices and data requests, automatically sending updates to devices as data is updated. This allows our client software to surface real-time information with minimal data transfer and round-trips to the servers, and provides a fast, responsive experience to our customers.</w:t>
      </w:r>
    </w:p>
    <w:p>
      <w:pPr>
        <w:spacing w:after="0" w:line="136" w:lineRule="exact"/>
        <w:rPr>
          <w:sz w:val="20"/>
          <w:szCs w:val="20"/>
          <w:color w:val="auto"/>
        </w:rPr>
      </w:pPr>
    </w:p>
    <w:p>
      <w:pPr>
        <w:ind w:left="1680" w:right="919" w:firstLine="316"/>
        <w:spacing w:after="0" w:line="277" w:lineRule="auto"/>
        <w:rPr>
          <w:sz w:val="20"/>
          <w:szCs w:val="20"/>
          <w:color w:val="auto"/>
        </w:rPr>
      </w:pPr>
      <w:r>
        <w:rPr>
          <w:rFonts w:ascii="Times New Roman" w:cs="Times New Roman" w:eastAsia="Times New Roman" w:hAnsi="Times New Roman"/>
          <w:sz w:val="13"/>
          <w:szCs w:val="13"/>
          <w:color w:val="auto"/>
        </w:rPr>
        <w:t>We provide our software as a service to customers, so the technology we build includes deployment tools to ensure we can publish software updates rapidly and safely, as well as monitoring and automation tools.</w:t>
      </w:r>
    </w:p>
    <w:p>
      <w:pPr>
        <w:spacing w:after="0" w:line="19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Commitment to Security and Privacy</w:t>
      </w:r>
    </w:p>
    <w:p>
      <w:pPr>
        <w:spacing w:after="0" w:line="87" w:lineRule="exact"/>
        <w:rPr>
          <w:sz w:val="20"/>
          <w:szCs w:val="20"/>
          <w:color w:val="auto"/>
        </w:rPr>
      </w:pPr>
    </w:p>
    <w:p>
      <w:pPr>
        <w:ind w:left="1680" w:right="639" w:firstLine="316"/>
        <w:spacing w:after="0" w:line="254" w:lineRule="auto"/>
        <w:rPr>
          <w:sz w:val="20"/>
          <w:szCs w:val="20"/>
          <w:color w:val="auto"/>
        </w:rPr>
      </w:pPr>
      <w:r>
        <w:rPr>
          <w:rFonts w:ascii="Times New Roman" w:cs="Times New Roman" w:eastAsia="Times New Roman" w:hAnsi="Times New Roman"/>
          <w:sz w:val="13"/>
          <w:szCs w:val="13"/>
          <w:color w:val="auto"/>
        </w:rPr>
        <w:t>Upholding the trust that we have established with our customers and gaining the trust of new customers remains a priority for us and as a result, we have implemented robust safeguards to protect the security of customer data. Our security program includes conducting risk assessments of all systems and networks that process customer data; monitoring for security events; maintaining incident response, disaster recovery, and business continuity plans that explicitly address and provide guidance to our personnel in furtherance of the security, confidentiality, integrity, and availability of customer data; and having a qualified third party perform security assessments on a periodic basis to test against widely recognized security standards and practices.</w:t>
      </w:r>
    </w:p>
    <w:p>
      <w:pPr>
        <w:spacing w:after="0" w:line="136" w:lineRule="exact"/>
        <w:rPr>
          <w:sz w:val="20"/>
          <w:szCs w:val="20"/>
          <w:color w:val="auto"/>
        </w:rPr>
      </w:pPr>
    </w:p>
    <w:p>
      <w:pPr>
        <w:ind w:left="1680" w:right="559" w:firstLine="316"/>
        <w:spacing w:after="0" w:line="253" w:lineRule="auto"/>
        <w:rPr>
          <w:sz w:val="20"/>
          <w:szCs w:val="20"/>
          <w:color w:val="auto"/>
        </w:rPr>
      </w:pPr>
      <w:r>
        <w:rPr>
          <w:rFonts w:ascii="Times New Roman" w:cs="Times New Roman" w:eastAsia="Times New Roman" w:hAnsi="Times New Roman"/>
          <w:sz w:val="13"/>
          <w:szCs w:val="13"/>
          <w:color w:val="auto"/>
        </w:rPr>
        <w:t>We have achieved and actively maintain certification of compliance to the SOC 2 (Type II) information security standard for the controls relevant to security, availability, and confidentiality. Service Organization Controls, or SOC, are standards established by the American Institute of Certified Public Accountants for reporting on internal control environments implemented within an organization. This means that an independent third party has both validated our processes and practices with respect to these criteria and confirmed our ability to maintain compliance with the controls we have implemented. We have built our platform with security features that are designed to be scalable as we develop and introduce new functionality, including but not limited to supporting encryption of user data in transit and at rest within our platform, and implementing strong access controls and multi-factor authentication to prevent unauthorized access to customer data. Additionally, our platform allows customers to implement their own granular access controls by giving them the ability to restrict access on a per task, per project, and per team basis.</w:t>
      </w:r>
    </w:p>
    <w:p>
      <w:pPr>
        <w:spacing w:after="0" w:line="135" w:lineRule="exact"/>
        <w:rPr>
          <w:sz w:val="20"/>
          <w:szCs w:val="20"/>
          <w:color w:val="auto"/>
        </w:rPr>
      </w:pPr>
    </w:p>
    <w:p>
      <w:pPr>
        <w:ind w:left="1680" w:right="679" w:firstLine="316"/>
        <w:spacing w:after="0" w:line="256" w:lineRule="auto"/>
        <w:rPr>
          <w:sz w:val="20"/>
          <w:szCs w:val="20"/>
          <w:color w:val="auto"/>
        </w:rPr>
      </w:pPr>
      <w:r>
        <w:rPr>
          <w:rFonts w:ascii="Times New Roman" w:cs="Times New Roman" w:eastAsia="Times New Roman" w:hAnsi="Times New Roman"/>
          <w:sz w:val="13"/>
          <w:szCs w:val="13"/>
          <w:color w:val="auto"/>
        </w:rPr>
        <w:t>In addition to security, we are deeply committed to privacy and to protecting and honoring the privacy rights of our customers. We have established a comprehensive privacy compliance program, aligning our practices with regulations such as the General Data Protection Regulation and the California Consumer Privacy Act, including by delivering periodic training to our employees on privacy best practices, reviewing and mapping the data we collect, use, and share, and creating a customer rights program and response process to honor the requests of our customers exercising their privacy rights. Above all, we strive to be transparent about our privacy practices, independent of legal obligations.</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107</w:t>
      </w:r>
    </w:p>
    <w:p>
      <w:pPr>
        <w:sectPr>
          <w:pgSz w:w="11900" w:h="16838" w:orient="portrait"/>
          <w:cols w:equalWidth="0" w:num="1">
            <w:col w:w="10159"/>
          </w:cols>
          <w:pgMar w:left="300" w:top="367" w:right="1440" w:bottom="1440" w:gutter="0" w:footer="0" w:header="0"/>
        </w:sectPr>
      </w:pPr>
    </w:p>
    <w:bookmarkStart w:id="112" w:name="page113"/>
    <w:bookmarkEnd w:id="11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Our Customers</w:t>
      </w:r>
    </w:p>
    <w:p>
      <w:pPr>
        <w:spacing w:after="0" w:line="85" w:lineRule="exact"/>
        <w:rPr>
          <w:sz w:val="20"/>
          <w:szCs w:val="20"/>
          <w:color w:val="auto"/>
        </w:rPr>
      </w:pPr>
    </w:p>
    <w:p>
      <w:pPr>
        <w:ind w:left="1680" w:right="579" w:firstLine="316"/>
        <w:spacing w:after="0" w:line="252" w:lineRule="auto"/>
        <w:rPr>
          <w:sz w:val="20"/>
          <w:szCs w:val="20"/>
          <w:color w:val="auto"/>
        </w:rPr>
      </w:pPr>
      <w:r>
        <w:rPr>
          <w:rFonts w:ascii="Times New Roman" w:cs="Times New Roman" w:eastAsia="Times New Roman" w:hAnsi="Times New Roman"/>
          <w:sz w:val="13"/>
          <w:szCs w:val="13"/>
          <w:color w:val="auto"/>
        </w:rPr>
        <w:t>We have customers of all sizes ranging from individuals to global organizations. We define a customer as a distinct account, which could include a team, company, educational or government institution, organization, or distinct business unit of a company, that is on a paid subscription plan, a free version, or a free trial of one of our paid subscription plans. A single organization may have multiple customers. We define a paying customer as a customer on a paid subscription plan. As of January 31, 2020, we had over 75,000 paying customers globally. Of those paying customers, 207 spent $50,000 or more with us on an annualized basis, representing an increase of 148 paying customers from January 31, 2019, and an increase of 177 from January 31, 2018. As of July 31, 2020, we had over 82,000 paying customers globally, representing an increase of over 11,000 paying customers from July 31, 2019 and an increase of over 5,000 from April 30, 2020. Of those paying customers, 7,933 spent $5,000 or more with us on an annualized basis, representing an increase of 3,136 paying customers from July 31, 2019 and an increase of 588 paying customers from April 30, 2020. Additionally, 283 of those paying customers spent $50,000 or more with us on an annualized basis, representing an increase of 174 paying customers from July 31, 2019 and an increase of 31 paying customers from April 30, 2020.</w:t>
      </w:r>
    </w:p>
    <w:p>
      <w:pPr>
        <w:spacing w:after="0" w:line="136" w:lineRule="exact"/>
        <w:rPr>
          <w:sz w:val="20"/>
          <w:szCs w:val="20"/>
          <w:color w:val="auto"/>
        </w:rPr>
      </w:pPr>
    </w:p>
    <w:p>
      <w:pPr>
        <w:ind w:left="1680" w:right="579" w:firstLine="316"/>
        <w:spacing w:after="0" w:line="263" w:lineRule="auto"/>
        <w:rPr>
          <w:sz w:val="20"/>
          <w:szCs w:val="20"/>
          <w:color w:val="auto"/>
        </w:rPr>
      </w:pPr>
      <w:r>
        <w:rPr>
          <w:rFonts w:ascii="Times New Roman" w:cs="Times New Roman" w:eastAsia="Times New Roman" w:hAnsi="Times New Roman"/>
          <w:sz w:val="13"/>
          <w:szCs w:val="13"/>
          <w:color w:val="auto"/>
        </w:rPr>
        <w:t>Our current customer base spans numerous industry categories, including technology, retail, education, non-profit, government, healthcare, media, and financial services, and includes many category leaders across these diverse industries. No individual customer represented more than 1% of our revenues in the years ended January 31, 2019 and 2020, or in the six months ended July 31, 2019 and 2020.</w:t>
      </w:r>
    </w:p>
    <w:p>
      <w:pPr>
        <w:spacing w:after="0" w:line="20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Customer Case Studies</w:t>
      </w:r>
    </w:p>
    <w:p>
      <w:pPr>
        <w:spacing w:after="0" w:line="8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following are examples of how some of our customers have benefited from using Asana.</w:t>
      </w:r>
    </w:p>
    <w:p>
      <w:pPr>
        <w:spacing w:after="0" w:line="23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Autodesk</w:t>
      </w:r>
    </w:p>
    <w:p>
      <w:pPr>
        <w:spacing w:after="0" w:line="83" w:lineRule="exact"/>
        <w:rPr>
          <w:sz w:val="20"/>
          <w:szCs w:val="20"/>
          <w:color w:val="auto"/>
        </w:rPr>
      </w:pPr>
    </w:p>
    <w:p>
      <w:pPr>
        <w:ind w:left="1680" w:right="659" w:firstLine="316"/>
        <w:spacing w:after="0" w:line="259" w:lineRule="auto"/>
        <w:rPr>
          <w:sz w:val="20"/>
          <w:szCs w:val="20"/>
          <w:color w:val="auto"/>
        </w:rPr>
      </w:pPr>
      <w:r>
        <w:rPr>
          <w:rFonts w:ascii="Times New Roman" w:cs="Times New Roman" w:eastAsia="Times New Roman" w:hAnsi="Times New Roman"/>
          <w:sz w:val="13"/>
          <w:szCs w:val="13"/>
          <w:i w:val="1"/>
          <w:iCs w:val="1"/>
          <w:color w:val="auto"/>
        </w:rPr>
        <w:t>Situation</w:t>
      </w:r>
      <w:r>
        <w:rPr>
          <w:rFonts w:ascii="Times New Roman" w:cs="Times New Roman" w:eastAsia="Times New Roman" w:hAnsi="Times New Roman"/>
          <w:sz w:val="13"/>
          <w:szCs w:val="13"/>
          <w:color w:val="auto"/>
        </w:rPr>
        <w:t>: Autodesk creates software for people who make things—from skyscrapers to high-performance cars to smartphones—and has 100+</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offices in over 38 countries. Every year, they bring together a global community at Autodesk’s events including numerous industry trade shows as well as user conferences called “Autodesk University (AU)”. To execute all of these events smoothly and ensure a great attendee experience, the Global Customer Events team (“Team”) needed a central tool to manage every detail, task, and deadline.</w:t>
      </w:r>
    </w:p>
    <w:p>
      <w:pPr>
        <w:spacing w:after="0" w:line="130" w:lineRule="exact"/>
        <w:rPr>
          <w:sz w:val="20"/>
          <w:szCs w:val="20"/>
          <w:color w:val="auto"/>
        </w:rPr>
      </w:pPr>
    </w:p>
    <w:p>
      <w:pPr>
        <w:ind w:left="1680" w:right="579" w:firstLine="316"/>
        <w:spacing w:after="0" w:line="252" w:lineRule="auto"/>
        <w:rPr>
          <w:sz w:val="20"/>
          <w:szCs w:val="20"/>
          <w:color w:val="auto"/>
        </w:rPr>
      </w:pPr>
      <w:r>
        <w:rPr>
          <w:rFonts w:ascii="Times New Roman" w:cs="Times New Roman" w:eastAsia="Times New Roman" w:hAnsi="Times New Roman"/>
          <w:sz w:val="13"/>
          <w:szCs w:val="13"/>
          <w:i w:val="1"/>
          <w:iCs w:val="1"/>
          <w:color w:val="auto"/>
        </w:rPr>
        <w:t>Solution</w:t>
      </w:r>
      <w:r>
        <w:rPr>
          <w:rFonts w:ascii="Times New Roman" w:cs="Times New Roman" w:eastAsia="Times New Roman" w:hAnsi="Times New Roman"/>
          <w:sz w:val="13"/>
          <w:szCs w:val="13"/>
          <w:color w:val="auto"/>
        </w:rPr>
        <w:t>: Autodesk uses Asana for general work and project management across marketing, sales, and operations. The Team, for example, tracks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all of their event timelines and inbound requests in Asana so that everyone in the Team is working from the same information. They use templates in Asana to speed up planning and ensure that critical steps aren’t forgotten—because missing even a small detail can derail an event. Additionally, the Team has overhauled their inbound request process and automated it using Rules. Any other team at Autodesk can now fill out an Asana Form to submit a request, such as live streaming a talk, hosting a VIP event, or promoting a class on the AU website. The Rules automatically assign tasks to teammates, set custom fields, and usher the project through approvals, at which point the request gets a dedicated Asana project. As a result, the Team is now faster when acting on inbound requests, and they’ve reduced human error through this automation. Centralized requests also let the Team see patterns and themes to improve future planning. They also use Portfolios and status updates to monitor progress across projects. By managing work in Asana, the Team has cut down on coordination emails significantly and they execute projects more effectively because information, plans, and deadlines are tracked in one place.</w:t>
      </w:r>
    </w:p>
    <w:p>
      <w:pPr>
        <w:spacing w:after="0" w:line="21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Viessmann</w:t>
      </w:r>
    </w:p>
    <w:p>
      <w:pPr>
        <w:spacing w:after="0" w:line="83" w:lineRule="exact"/>
        <w:rPr>
          <w:sz w:val="20"/>
          <w:szCs w:val="20"/>
          <w:color w:val="auto"/>
        </w:rPr>
      </w:pPr>
    </w:p>
    <w:p>
      <w:pPr>
        <w:jc w:val="both"/>
        <w:ind w:left="1680" w:right="619" w:firstLine="316"/>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Situation: </w:t>
      </w:r>
      <w:r>
        <w:rPr>
          <w:rFonts w:ascii="Times New Roman" w:cs="Times New Roman" w:eastAsia="Times New Roman" w:hAnsi="Times New Roman"/>
          <w:sz w:val="13"/>
          <w:szCs w:val="13"/>
          <w:color w:val="auto"/>
        </w:rPr>
        <w:t>Viessmann is a leading manufacturer of heating and refrigeration systems with a global workforce of 12,000+ people operating in over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70 countries. As the climate solutions market shifts towards efficient, smart, and remotely accessible systems, Co-CEO Maximilian Viessmann initiated a company-wide digital transformation initiative to improve team agility.</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108</w:t>
      </w:r>
    </w:p>
    <w:p>
      <w:pPr>
        <w:sectPr>
          <w:pgSz w:w="11900" w:h="16838" w:orient="portrait"/>
          <w:cols w:equalWidth="0" w:num="1">
            <w:col w:w="10159"/>
          </w:cols>
          <w:pgMar w:left="300" w:top="367" w:right="1440" w:bottom="1440" w:gutter="0" w:footer="0" w:header="0"/>
        </w:sectPr>
      </w:pPr>
    </w:p>
    <w:bookmarkStart w:id="113" w:name="page114"/>
    <w:bookmarkEnd w:id="11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right="579" w:firstLine="316"/>
        <w:spacing w:after="0" w:line="252" w:lineRule="auto"/>
        <w:rPr>
          <w:sz w:val="20"/>
          <w:szCs w:val="20"/>
          <w:color w:val="auto"/>
        </w:rPr>
      </w:pPr>
      <w:r>
        <w:rPr>
          <w:rFonts w:ascii="Times New Roman" w:cs="Times New Roman" w:eastAsia="Times New Roman" w:hAnsi="Times New Roman"/>
          <w:sz w:val="13"/>
          <w:szCs w:val="13"/>
          <w:i w:val="1"/>
          <w:iCs w:val="1"/>
          <w:color w:val="auto"/>
        </w:rPr>
        <w:t xml:space="preserve">Solution: </w:t>
      </w:r>
      <w:r>
        <w:rPr>
          <w:rFonts w:ascii="Times New Roman" w:cs="Times New Roman" w:eastAsia="Times New Roman" w:hAnsi="Times New Roman"/>
          <w:sz w:val="13"/>
          <w:szCs w:val="13"/>
          <w:color w:val="auto"/>
        </w:rPr>
        <w:t>Viessmann introduced Asana as its foundation for team agility. By using Asana, the company improved the alignment across teams so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they are more agile and can proactively respond to changing market needs. Viessmann’s Executive Team captures the most important parts of the company strategy in an Asana project, including high-priority product and organizational changes. By centralizing company-wide announcements, the executive team can provide employees with real-time, easily accessible updates on key initiatives. Moreover, different teams and functions within Viessmann use Asana to collaborate and share information within projects that are accessible to everyone. All project updates are shared with the project followers, allowing them to proactively comment, raise questions, and engage with the work. Many teams, from Marketing to Quality Management to production-related functions, use Asana to manage their incoming requests. Employees submit requests via Asana Forms, which creates tasks in the team’s project. This ensures the team receives the information they need upfront, and all requests are centralized in one place so they can manage their workloads. Additionally, employees can track the progress of their requests, and teams use Rules to automate steps in the fulfillment process. This increased transparency between requesters and teams has improved process efficiency and productivity.</w:t>
      </w:r>
    </w:p>
    <w:p>
      <w:pPr>
        <w:spacing w:after="0" w:line="21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Whale and Dolphin Conservation</w:t>
      </w:r>
    </w:p>
    <w:p>
      <w:pPr>
        <w:spacing w:after="0" w:line="83" w:lineRule="exact"/>
        <w:rPr>
          <w:sz w:val="20"/>
          <w:szCs w:val="20"/>
          <w:color w:val="auto"/>
        </w:rPr>
      </w:pPr>
    </w:p>
    <w:p>
      <w:pPr>
        <w:ind w:left="1680" w:right="579" w:firstLine="316"/>
        <w:spacing w:after="0" w:line="259" w:lineRule="auto"/>
        <w:rPr>
          <w:sz w:val="20"/>
          <w:szCs w:val="20"/>
          <w:color w:val="auto"/>
        </w:rPr>
      </w:pPr>
      <w:r>
        <w:rPr>
          <w:rFonts w:ascii="Times New Roman" w:cs="Times New Roman" w:eastAsia="Times New Roman" w:hAnsi="Times New Roman"/>
          <w:sz w:val="13"/>
          <w:szCs w:val="13"/>
          <w:i w:val="1"/>
          <w:iCs w:val="1"/>
          <w:color w:val="auto"/>
        </w:rPr>
        <w:t xml:space="preserve">Situation: </w:t>
      </w:r>
      <w:r>
        <w:rPr>
          <w:rFonts w:ascii="Times New Roman" w:cs="Times New Roman" w:eastAsia="Times New Roman" w:hAnsi="Times New Roman"/>
          <w:sz w:val="13"/>
          <w:szCs w:val="13"/>
          <w:color w:val="auto"/>
        </w:rPr>
        <w:t>The Whale and Dolphin Conservation (WDC) is the leading international charity solely dedicated to protecting whales and dolphins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everywhere. The team needed a one-stop shop to manage projects end-to-end and a tool that could assign tasks to owners clearly and transparently. With teams across four continents and multiple time zones, it had to communicate relevant project details to anyone involved, as well as to those who joined a project later on. Finally, WDC needed software that could track and measure time to help scope out future projects.</w:t>
      </w:r>
    </w:p>
    <w:p>
      <w:pPr>
        <w:spacing w:after="0" w:line="130" w:lineRule="exact"/>
        <w:rPr>
          <w:sz w:val="20"/>
          <w:szCs w:val="20"/>
          <w:color w:val="auto"/>
        </w:rPr>
      </w:pPr>
    </w:p>
    <w:p>
      <w:pPr>
        <w:ind w:left="1680" w:right="639" w:firstLine="316"/>
        <w:spacing w:after="0" w:line="252" w:lineRule="auto"/>
        <w:rPr>
          <w:sz w:val="20"/>
          <w:szCs w:val="20"/>
          <w:color w:val="auto"/>
        </w:rPr>
      </w:pPr>
      <w:r>
        <w:rPr>
          <w:rFonts w:ascii="Times New Roman" w:cs="Times New Roman" w:eastAsia="Times New Roman" w:hAnsi="Times New Roman"/>
          <w:sz w:val="13"/>
          <w:szCs w:val="13"/>
          <w:i w:val="1"/>
          <w:iCs w:val="1"/>
          <w:color w:val="auto"/>
        </w:rPr>
        <w:t xml:space="preserve">Solution: </w:t>
      </w:r>
      <w:r>
        <w:rPr>
          <w:rFonts w:ascii="Times New Roman" w:cs="Times New Roman" w:eastAsia="Times New Roman" w:hAnsi="Times New Roman"/>
          <w:sz w:val="13"/>
          <w:szCs w:val="13"/>
          <w:color w:val="auto"/>
        </w:rPr>
        <w:t>Today, everyone at WDC manages their program work in Asana. The fundraising team tracks opportunities for collaboration with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corporate partners; the marketing team has created an activity calendar with social media posts and documentary appearances; and the communications team shares its updates and relevant media snippets to keep everyone up to speed on the latest news. After establishing new workflows with Asana, the teams noticed it took 25% less time to produce </w:t>
      </w:r>
      <w:r>
        <w:rPr>
          <w:rFonts w:ascii="Times New Roman" w:cs="Times New Roman" w:eastAsia="Times New Roman" w:hAnsi="Times New Roman"/>
          <w:sz w:val="13"/>
          <w:szCs w:val="13"/>
          <w:i w:val="1"/>
          <w:iCs w:val="1"/>
          <w:color w:val="auto"/>
        </w:rPr>
        <w:t>Whale &amp; Dolphin</w:t>
      </w:r>
      <w:r>
        <w:rPr>
          <w:rFonts w:ascii="Times New Roman" w:cs="Times New Roman" w:eastAsia="Times New Roman" w:hAnsi="Times New Roman"/>
          <w:sz w:val="13"/>
          <w:szCs w:val="13"/>
          <w:color w:val="auto"/>
        </w:rPr>
        <w:t>, their magazine for supporters. Moving meeting agendas to Asana resulted in shorter meetings that were laser-focused on decision-making because much of the agenda had been addressed before gathering in person. It was also easier to reflect on the successes and challenges of projects, paving smoother paths for the next time around. In particular, cross-departmental projects were improved significantly as colleagues were able to easily move in and out of projects, saving time on ramp-up and eliminating knowledge gaps. The organizational culture has also undergone its own transformation: teams now better understand how their work relates to WDC’s larger goals, since it is easy to divvy up tasks in Asana and see each teammate’s specific contribution. They feel strongly aligned with the organization’s mission and proud of their personal impact.</w:t>
      </w:r>
    </w:p>
    <w:p>
      <w:pPr>
        <w:spacing w:after="0" w:line="21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SiteMinder</w:t>
      </w:r>
    </w:p>
    <w:p>
      <w:pPr>
        <w:spacing w:after="0" w:line="83" w:lineRule="exact"/>
        <w:rPr>
          <w:sz w:val="20"/>
          <w:szCs w:val="20"/>
          <w:color w:val="auto"/>
        </w:rPr>
      </w:pPr>
    </w:p>
    <w:p>
      <w:pPr>
        <w:ind w:left="1680" w:right="579" w:firstLine="316"/>
        <w:spacing w:after="0" w:line="255" w:lineRule="auto"/>
        <w:rPr>
          <w:sz w:val="20"/>
          <w:szCs w:val="20"/>
          <w:color w:val="auto"/>
        </w:rPr>
      </w:pPr>
      <w:r>
        <w:rPr>
          <w:rFonts w:ascii="Times New Roman" w:cs="Times New Roman" w:eastAsia="Times New Roman" w:hAnsi="Times New Roman"/>
          <w:sz w:val="13"/>
          <w:szCs w:val="13"/>
          <w:i w:val="1"/>
          <w:iCs w:val="1"/>
          <w:color w:val="auto"/>
        </w:rPr>
        <w:t xml:space="preserve">Situation: </w:t>
      </w:r>
      <w:r>
        <w:rPr>
          <w:rFonts w:ascii="Times New Roman" w:cs="Times New Roman" w:eastAsia="Times New Roman" w:hAnsi="Times New Roman"/>
          <w:sz w:val="13"/>
          <w:szCs w:val="13"/>
          <w:color w:val="auto"/>
        </w:rPr>
        <w:t>SiteMinder provides guest booking technology to more than 35,000 hotels across 160 countries. In 2018, the company generated over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87 million reservations worth over $28 billion in revenue for hotels. The team realized there was an opportunity to increase transparency and alignment around company objectives to help scale its global business. OKRs were tracked in spreadsheets, which made them difficult to access and required manual updating. Collaboration between departments and international offices was also tricky as information was not accessible, which made delegating and tracking work difficult, especially for teams spread across time zones. Teams across SiteMinder found they were wasting time looking for the right information, updating documents, and coordinating work.</w:t>
      </w:r>
    </w:p>
    <w:p>
      <w:pPr>
        <w:spacing w:after="0" w:line="133" w:lineRule="exact"/>
        <w:rPr>
          <w:sz w:val="20"/>
          <w:szCs w:val="20"/>
          <w:color w:val="auto"/>
        </w:rPr>
      </w:pPr>
    </w:p>
    <w:p>
      <w:pPr>
        <w:ind w:left="1680" w:right="579" w:firstLine="316"/>
        <w:spacing w:after="0" w:line="259" w:lineRule="auto"/>
        <w:rPr>
          <w:sz w:val="20"/>
          <w:szCs w:val="20"/>
          <w:color w:val="auto"/>
        </w:rPr>
      </w:pPr>
      <w:r>
        <w:rPr>
          <w:rFonts w:ascii="Times New Roman" w:cs="Times New Roman" w:eastAsia="Times New Roman" w:hAnsi="Times New Roman"/>
          <w:sz w:val="13"/>
          <w:szCs w:val="13"/>
          <w:i w:val="1"/>
          <w:iCs w:val="1"/>
          <w:color w:val="auto"/>
        </w:rPr>
        <w:t xml:space="preserve">Solution: </w:t>
      </w:r>
      <w:r>
        <w:rPr>
          <w:rFonts w:ascii="Times New Roman" w:cs="Times New Roman" w:eastAsia="Times New Roman" w:hAnsi="Times New Roman"/>
          <w:sz w:val="13"/>
          <w:szCs w:val="13"/>
          <w:color w:val="auto"/>
        </w:rPr>
        <w:t>SiteMinder uses Asana to improve company alignment with transparent OKRs. Teams use projects and tasks to collaborate seamlessly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between departments and internationally. SiteMinder’s leadership is now more aligned across top priorities, and the broader team knows the key areas of focus. Because work is more transparent, it is clear who is responsible and what is at risk if that work is not completed on time. SiteMinder was also able to make its global billing and collections processes more accurate, with recurring tasks set in Asana</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109</w:t>
      </w:r>
    </w:p>
    <w:p>
      <w:pPr>
        <w:sectPr>
          <w:pgSz w:w="11900" w:h="16838" w:orient="portrait"/>
          <w:cols w:equalWidth="0" w:num="1">
            <w:col w:w="10159"/>
          </w:cols>
          <w:pgMar w:left="300" w:top="367" w:right="1440" w:bottom="1440" w:gutter="0" w:footer="0" w:header="0"/>
        </w:sectPr>
      </w:pPr>
    </w:p>
    <w:bookmarkStart w:id="114" w:name="page115"/>
    <w:bookmarkEnd w:id="11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jc w:val="both"/>
        <w:ind w:left="1680" w:right="619"/>
        <w:spacing w:after="0" w:line="263" w:lineRule="auto"/>
        <w:rPr>
          <w:sz w:val="20"/>
          <w:szCs w:val="20"/>
          <w:color w:val="auto"/>
        </w:rPr>
      </w:pPr>
      <w:r>
        <w:rPr>
          <w:rFonts w:ascii="Times New Roman" w:cs="Times New Roman" w:eastAsia="Times New Roman" w:hAnsi="Times New Roman"/>
          <w:sz w:val="13"/>
          <w:szCs w:val="13"/>
          <w:color w:val="auto"/>
        </w:rPr>
        <w:t>to ensure quality assurance and that critical steps involving invoices are not missed. This has enabled the team to distribute work more evenly and share knowledge across time zones. Large, cross-functional business projects involving more than two departments are managed in Asana. With more than 10 projects and programs running concurrently, the team has better visibility into plans, responsibilities, and deadlines.</w:t>
      </w:r>
    </w:p>
    <w:p>
      <w:pPr>
        <w:spacing w:after="0" w:line="20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G2</w:t>
      </w:r>
    </w:p>
    <w:p>
      <w:pPr>
        <w:spacing w:after="0" w:line="83" w:lineRule="exact"/>
        <w:rPr>
          <w:sz w:val="20"/>
          <w:szCs w:val="20"/>
          <w:color w:val="auto"/>
        </w:rPr>
      </w:pPr>
    </w:p>
    <w:p>
      <w:pPr>
        <w:ind w:left="1680" w:right="579" w:firstLine="316"/>
        <w:spacing w:after="0" w:line="259" w:lineRule="auto"/>
        <w:rPr>
          <w:sz w:val="20"/>
          <w:szCs w:val="20"/>
          <w:color w:val="auto"/>
        </w:rPr>
      </w:pPr>
      <w:r>
        <w:rPr>
          <w:rFonts w:ascii="Times New Roman" w:cs="Times New Roman" w:eastAsia="Times New Roman" w:hAnsi="Times New Roman"/>
          <w:sz w:val="13"/>
          <w:szCs w:val="13"/>
          <w:i w:val="1"/>
          <w:iCs w:val="1"/>
          <w:color w:val="auto"/>
        </w:rPr>
        <w:t xml:space="preserve">Situation: </w:t>
      </w:r>
      <w:r>
        <w:rPr>
          <w:rFonts w:ascii="Times New Roman" w:cs="Times New Roman" w:eastAsia="Times New Roman" w:hAnsi="Times New Roman"/>
          <w:sz w:val="13"/>
          <w:szCs w:val="13"/>
          <w:color w:val="auto"/>
        </w:rPr>
        <w:t>G2 is a B2B software and services review platform that serves millions of software buyers and vendors around the world. G2’s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marketing team faced a lack of transparency around campaign needs, responsibilities, and deadlines, causing work to fall through the cracks. Knowledge and information sharing was manual and time-consuming because data lived in siloed tools like email. Marketing leadership was forced to rely on hundreds of hours of status update meetings because there was no way to monitor work happening across the team.</w:t>
      </w:r>
    </w:p>
    <w:p>
      <w:pPr>
        <w:spacing w:after="0" w:line="130" w:lineRule="exact"/>
        <w:rPr>
          <w:sz w:val="20"/>
          <w:szCs w:val="20"/>
          <w:color w:val="auto"/>
        </w:rPr>
      </w:pPr>
    </w:p>
    <w:p>
      <w:pPr>
        <w:ind w:left="1680" w:right="579" w:firstLine="316"/>
        <w:spacing w:after="0" w:line="254" w:lineRule="auto"/>
        <w:rPr>
          <w:sz w:val="20"/>
          <w:szCs w:val="20"/>
          <w:color w:val="auto"/>
        </w:rPr>
      </w:pPr>
      <w:r>
        <w:rPr>
          <w:rFonts w:ascii="Times New Roman" w:cs="Times New Roman" w:eastAsia="Times New Roman" w:hAnsi="Times New Roman"/>
          <w:sz w:val="13"/>
          <w:szCs w:val="13"/>
          <w:i w:val="1"/>
          <w:iCs w:val="1"/>
          <w:color w:val="auto"/>
        </w:rPr>
        <w:t xml:space="preserve">Solution: </w:t>
      </w:r>
      <w:r>
        <w:rPr>
          <w:rFonts w:ascii="Times New Roman" w:cs="Times New Roman" w:eastAsia="Times New Roman" w:hAnsi="Times New Roman"/>
          <w:sz w:val="13"/>
          <w:szCs w:val="13"/>
          <w:color w:val="auto"/>
        </w:rPr>
        <w:t>G2 uses Asana as a company-wide tool to help them successfully scale and execute their programs and campaigns so they could hit their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traffic, review, and revenue goals. The marketing team organizes, tracks, and manages everything in Asana—strategic planning, program plans, and every campaign and activity, so they know how they are performing and tracking towards their top three metrics: traffic, reviews, and revenue. Now that the marketing team has clarity on responsibilities for every initiative, visibility into the status of work, and standard processes for routine campaigns and projects, they are able to 1) optimize team processes and workflows to launch campaigns two times faster, 2) quickly onboard new teammates because historical context, processes, and work are all in one place, and 3) hit their goals because critical work does not fall through the cracks and team members are not wasting time looking for the information they need.</w:t>
      </w:r>
    </w:p>
    <w:p>
      <w:pPr>
        <w:spacing w:after="0" w:line="21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Fireclay Tile</w:t>
      </w:r>
    </w:p>
    <w:p>
      <w:pPr>
        <w:spacing w:after="0" w:line="83" w:lineRule="exact"/>
        <w:rPr>
          <w:sz w:val="20"/>
          <w:szCs w:val="20"/>
          <w:color w:val="auto"/>
        </w:rPr>
      </w:pPr>
    </w:p>
    <w:p>
      <w:pPr>
        <w:ind w:left="1680" w:right="579" w:firstLine="316"/>
        <w:spacing w:after="0" w:line="256" w:lineRule="auto"/>
        <w:rPr>
          <w:sz w:val="20"/>
          <w:szCs w:val="20"/>
          <w:color w:val="auto"/>
        </w:rPr>
      </w:pPr>
      <w:r>
        <w:rPr>
          <w:rFonts w:ascii="Times New Roman" w:cs="Times New Roman" w:eastAsia="Times New Roman" w:hAnsi="Times New Roman"/>
          <w:sz w:val="13"/>
          <w:szCs w:val="13"/>
          <w:i w:val="1"/>
          <w:iCs w:val="1"/>
          <w:color w:val="auto"/>
        </w:rPr>
        <w:t xml:space="preserve">Situation: </w:t>
      </w:r>
      <w:r>
        <w:rPr>
          <w:rFonts w:ascii="Times New Roman" w:cs="Times New Roman" w:eastAsia="Times New Roman" w:hAnsi="Times New Roman"/>
          <w:sz w:val="13"/>
          <w:szCs w:val="13"/>
          <w:color w:val="auto"/>
        </w:rPr>
        <w:t>Fireclay Tile is a leading tile vendor founded in 1986. The marketing team faced siloed information in email and spreadsheets, which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made it difficult to collaborate with cross-functional teams and external partners. Marketing processes lacked standardization, which meant the team had to start every new campaign from scratch. Team members were also spending too much time answering emails or attending inefficient meetings and not enough on execution. All of these inefficiencies led to work falling through the cracks, resulting in missed deadlines and delayed campaigns. The marketing team also struggled to provide company leadership with real-time insights into campaign development.</w:t>
      </w:r>
    </w:p>
    <w:p>
      <w:pPr>
        <w:spacing w:after="0" w:line="133" w:lineRule="exact"/>
        <w:rPr>
          <w:sz w:val="20"/>
          <w:szCs w:val="20"/>
          <w:color w:val="auto"/>
        </w:rPr>
      </w:pPr>
    </w:p>
    <w:p>
      <w:pPr>
        <w:ind w:left="1680" w:right="579" w:firstLine="316"/>
        <w:spacing w:after="0" w:line="253" w:lineRule="auto"/>
        <w:rPr>
          <w:sz w:val="20"/>
          <w:szCs w:val="20"/>
          <w:color w:val="auto"/>
        </w:rPr>
      </w:pPr>
      <w:r>
        <w:rPr>
          <w:rFonts w:ascii="Times New Roman" w:cs="Times New Roman" w:eastAsia="Times New Roman" w:hAnsi="Times New Roman"/>
          <w:sz w:val="13"/>
          <w:szCs w:val="13"/>
          <w:i w:val="1"/>
          <w:iCs w:val="1"/>
          <w:color w:val="auto"/>
        </w:rPr>
        <w:t xml:space="preserve">Solution: </w:t>
      </w:r>
      <w:r>
        <w:rPr>
          <w:rFonts w:ascii="Times New Roman" w:cs="Times New Roman" w:eastAsia="Times New Roman" w:hAnsi="Times New Roman"/>
          <w:sz w:val="13"/>
          <w:szCs w:val="13"/>
          <w:color w:val="auto"/>
        </w:rPr>
        <w:t>Fireclay Tile uses Asana to centralize, standardize, and manage all of their work-from strategic planning to team meetings. Asana has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become the marketing team’s system of record, where they manage everything from strategic planning to email newsletter production. Once their strategy is set for the year, it gets translated into a master marketing calendar in Asana. Marketing initiatives such as major campaigns, product launches, and partnerships are then built out in projects using templates the team created to standardize all their processes. With Asana, the marketing team was able to increase brand awareness by four times since moving their marketing processes into Asana, execute twice as many marketing activities by planning and executing work in Asana, save an estimated 50 hours per week on emails and in meetings, and cut campaign planning time by 50%. After seeing the positive impact using Asana had on the marketing team, other departments at Fireclay Tile were eager to adapt it to their workflows as well. Now the whole company is using Asana to manage every aspect of the business to drive scale and efficiency.</w:t>
      </w:r>
    </w:p>
    <w:p>
      <w:pPr>
        <w:spacing w:after="0" w:line="21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Sales and Marketing</w:t>
      </w:r>
    </w:p>
    <w:p>
      <w:pPr>
        <w:spacing w:after="0" w:line="85" w:lineRule="exact"/>
        <w:rPr>
          <w:sz w:val="20"/>
          <w:szCs w:val="20"/>
          <w:color w:val="auto"/>
        </w:rPr>
      </w:pPr>
    </w:p>
    <w:p>
      <w:pPr>
        <w:ind w:left="1680" w:right="599" w:firstLine="316"/>
        <w:spacing w:after="0" w:line="263" w:lineRule="auto"/>
        <w:rPr>
          <w:sz w:val="20"/>
          <w:szCs w:val="20"/>
          <w:color w:val="auto"/>
        </w:rPr>
      </w:pPr>
      <w:r>
        <w:rPr>
          <w:rFonts w:ascii="Times New Roman" w:cs="Times New Roman" w:eastAsia="Times New Roman" w:hAnsi="Times New Roman"/>
          <w:sz w:val="13"/>
          <w:szCs w:val="13"/>
          <w:color w:val="auto"/>
        </w:rPr>
        <w:t>We employ a hybrid go-to-market approach, combining a self-service model with direct sales efforts. We are focused on landing teams worldwide and expanding across use cases, both within and between organizations, to ensure the success of our customers. This in turn creates positive word-of-mouth marketing, driving adoption, expansion and ultimately our business results.</w:t>
      </w:r>
    </w:p>
    <w:p>
      <w:pPr>
        <w:spacing w:after="0" w:line="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110</w:t>
      </w:r>
    </w:p>
    <w:p>
      <w:pPr>
        <w:sectPr>
          <w:pgSz w:w="11900" w:h="16838" w:orient="portrait"/>
          <w:cols w:equalWidth="0" w:num="1">
            <w:col w:w="10159"/>
          </w:cols>
          <w:pgMar w:left="300" w:top="367" w:right="1440" w:bottom="1440" w:gutter="0" w:footer="0" w:header="0"/>
        </w:sectPr>
      </w:pPr>
    </w:p>
    <w:bookmarkStart w:id="115" w:name="page116"/>
    <w:bookmarkEnd w:id="11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Self-Service Model</w:t>
      </w:r>
    </w:p>
    <w:p>
      <w:pPr>
        <w:spacing w:after="0" w:line="87" w:lineRule="exact"/>
        <w:rPr>
          <w:sz w:val="20"/>
          <w:szCs w:val="20"/>
          <w:color w:val="auto"/>
        </w:rPr>
      </w:pPr>
    </w:p>
    <w:p>
      <w:pPr>
        <w:ind w:left="1680" w:right="599" w:firstLine="316"/>
        <w:spacing w:after="0" w:line="258" w:lineRule="auto"/>
        <w:rPr>
          <w:sz w:val="20"/>
          <w:szCs w:val="20"/>
          <w:color w:val="auto"/>
        </w:rPr>
      </w:pPr>
      <w:r>
        <w:rPr>
          <w:rFonts w:ascii="Times New Roman" w:cs="Times New Roman" w:eastAsia="Times New Roman" w:hAnsi="Times New Roman"/>
          <w:sz w:val="13"/>
          <w:szCs w:val="13"/>
          <w:color w:val="auto"/>
        </w:rPr>
        <w:t>A majority of our paying customers initially adopt our platform through self-service and free trials. To demonstrate the value of our platform to potential paying customers, we provide free trials of our paid Asana Premium and Business offerings in addition to our free Basic offering for teams of up to 15 people. As individuals, teams and their guests realize the productivity benefits we provide, Asana becomes an increasingly integral part of their day-to-day work and critical to helping them achieve their objectives.</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Direct Sales</w:t>
      </w:r>
    </w:p>
    <w:p>
      <w:pPr>
        <w:spacing w:after="0" w:line="87" w:lineRule="exact"/>
        <w:rPr>
          <w:sz w:val="20"/>
          <w:szCs w:val="20"/>
          <w:color w:val="auto"/>
        </w:rPr>
      </w:pPr>
    </w:p>
    <w:p>
      <w:pPr>
        <w:ind w:left="1680" w:right="639" w:firstLine="316"/>
        <w:spacing w:after="0" w:line="258" w:lineRule="auto"/>
        <w:rPr>
          <w:sz w:val="20"/>
          <w:szCs w:val="20"/>
          <w:color w:val="auto"/>
        </w:rPr>
      </w:pPr>
      <w:r>
        <w:rPr>
          <w:rFonts w:ascii="Times New Roman" w:cs="Times New Roman" w:eastAsia="Times New Roman" w:hAnsi="Times New Roman"/>
          <w:sz w:val="13"/>
          <w:szCs w:val="13"/>
          <w:color w:val="auto"/>
        </w:rPr>
        <w:t>In conjunction with our self-service model, we have a targeted direct sales team focused on promoting new use cases and expanding our footprint within our existing customer base. Our direct sales force has a global presence, and consists primarily of solutions sales teams focused primarily on strategic accounts with expansion opportunities including department-specific and organization-wide use cases such as employee onboarding and goal setting. Our direct sales team has more than doubled in size since January 31, 2019.</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Marketing and Customer Success</w:t>
      </w:r>
    </w:p>
    <w:p>
      <w:pPr>
        <w:spacing w:after="0" w:line="87" w:lineRule="exact"/>
        <w:rPr>
          <w:sz w:val="20"/>
          <w:szCs w:val="20"/>
          <w:color w:val="auto"/>
        </w:rPr>
      </w:pPr>
    </w:p>
    <w:p>
      <w:pPr>
        <w:ind w:left="1680" w:right="559" w:firstLine="316"/>
        <w:spacing w:after="0" w:line="295" w:lineRule="auto"/>
        <w:rPr>
          <w:sz w:val="20"/>
          <w:szCs w:val="20"/>
          <w:color w:val="auto"/>
        </w:rPr>
      </w:pPr>
      <w:r>
        <w:rPr>
          <w:rFonts w:ascii="Times New Roman" w:cs="Times New Roman" w:eastAsia="Times New Roman" w:hAnsi="Times New Roman"/>
          <w:sz w:val="12"/>
          <w:szCs w:val="12"/>
          <w:color w:val="auto"/>
        </w:rPr>
        <w:t>We market our platform through owned properties, such as our website and social media channels, media coverage, paid acquisition, and word of mouth to promote discovery and adoption. Every month millions of people visit asana.com, and hundreds of thousands of people sign up for the product. Our customers also have the ability to invite external parties to collaborate on specific Asana projects, which supports viral adoption of our platform.</w:t>
      </w:r>
    </w:p>
    <w:p>
      <w:pPr>
        <w:spacing w:after="0" w:line="112" w:lineRule="exact"/>
        <w:rPr>
          <w:sz w:val="20"/>
          <w:szCs w:val="20"/>
          <w:color w:val="auto"/>
        </w:rPr>
      </w:pPr>
    </w:p>
    <w:p>
      <w:pPr>
        <w:ind w:left="1680" w:right="699" w:firstLine="316"/>
        <w:spacing w:after="0" w:line="258" w:lineRule="auto"/>
        <w:rPr>
          <w:sz w:val="20"/>
          <w:szCs w:val="20"/>
          <w:color w:val="auto"/>
        </w:rPr>
      </w:pPr>
      <w:r>
        <w:rPr>
          <w:rFonts w:ascii="Times New Roman" w:cs="Times New Roman" w:eastAsia="Times New Roman" w:hAnsi="Times New Roman"/>
          <w:sz w:val="13"/>
          <w:szCs w:val="13"/>
          <w:color w:val="auto"/>
        </w:rPr>
        <w:t>Our dedicated efforts to deliver remarkable customer and community experiences creates success stories that drive word of mouth. We offer on-demand education available in-product and online, and via live learning courses as well as robust customer support available in six languages. We also offer our customers the option to partner with a list of managed service providers, consulting firms, and system integrators to help customize their account, onboard teams and run onsite training.</w:t>
      </w:r>
    </w:p>
    <w:p>
      <w:pPr>
        <w:spacing w:after="0" w:line="133" w:lineRule="exact"/>
        <w:rPr>
          <w:sz w:val="20"/>
          <w:szCs w:val="20"/>
          <w:color w:val="auto"/>
        </w:rPr>
      </w:pPr>
    </w:p>
    <w:p>
      <w:pPr>
        <w:ind w:left="1680" w:right="699" w:firstLine="316"/>
        <w:spacing w:after="0" w:line="256" w:lineRule="auto"/>
        <w:rPr>
          <w:sz w:val="20"/>
          <w:szCs w:val="20"/>
          <w:color w:val="auto"/>
        </w:rPr>
      </w:pPr>
      <w:r>
        <w:rPr>
          <w:rFonts w:ascii="Times New Roman" w:cs="Times New Roman" w:eastAsia="Times New Roman" w:hAnsi="Times New Roman"/>
          <w:sz w:val="13"/>
          <w:szCs w:val="13"/>
          <w:color w:val="auto"/>
        </w:rPr>
        <w:t>Our global community of customers and experts, Asana Together, connects customers, both online and offline, and creates champions. Through Asana Together, customers have access to our community Forum to ask questions and connect with peers. We also certify and support Asana Ambassadors (go-to enthusiasts who assist with and promote adoption within their networks) and Certified Pros (independent third-party Asana consultants who offer their services for a discretionary fee to help teams make the most of their experience on our platform). Through Asana Together, we have hosted multiple in-person events on five different continents.</w:t>
      </w:r>
    </w:p>
    <w:p>
      <w:pPr>
        <w:spacing w:after="0" w:line="20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Research and Development</w:t>
      </w:r>
    </w:p>
    <w:p>
      <w:pPr>
        <w:spacing w:after="0" w:line="85" w:lineRule="exact"/>
        <w:rPr>
          <w:sz w:val="20"/>
          <w:szCs w:val="20"/>
          <w:color w:val="auto"/>
        </w:rPr>
      </w:pPr>
    </w:p>
    <w:p>
      <w:pPr>
        <w:ind w:left="1680" w:right="559" w:firstLine="316"/>
        <w:spacing w:after="0" w:line="253" w:lineRule="auto"/>
        <w:rPr>
          <w:sz w:val="20"/>
          <w:szCs w:val="20"/>
          <w:color w:val="auto"/>
        </w:rPr>
      </w:pPr>
      <w:r>
        <w:rPr>
          <w:rFonts w:ascii="Times New Roman" w:cs="Times New Roman" w:eastAsia="Times New Roman" w:hAnsi="Times New Roman"/>
          <w:sz w:val="13"/>
          <w:szCs w:val="13"/>
          <w:color w:val="auto"/>
        </w:rPr>
        <w:t>Key to our success is the time, attention and investment we place on continued innovation in our platform. We will continue to invest in expanding our product offerings and enhancing the features and functionality of our platform, particularly in the areas of integrations, automation, functional workflows, security, and organization-wide use cases. We leverage the breadth of our customer base, and the diverse ways in which they use our platform, to recognize their needs quickly and guide future innovation. Further, we ourselves are users—all of our employees are committed to using Asana internally, every single day—ensuring our entire organization is in touch with the platform’s capabilities and can rapidly identify or suggest improvements. Our research and development team is responsible for the design, development, testing, and delivery of solutions for our platform. Since January 31, 2019, we have grown our engineering department by over 80% to drive product innovation.</w:t>
      </w:r>
    </w:p>
    <w:p>
      <w:pPr>
        <w:spacing w:after="0" w:line="21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Our Competition</w:t>
      </w:r>
    </w:p>
    <w:p>
      <w:pPr>
        <w:spacing w:after="0" w:line="85" w:lineRule="exact"/>
        <w:rPr>
          <w:sz w:val="20"/>
          <w:szCs w:val="20"/>
          <w:color w:val="auto"/>
        </w:rPr>
      </w:pPr>
    </w:p>
    <w:p>
      <w:pPr>
        <w:ind w:left="1680" w:right="599" w:firstLine="316"/>
        <w:spacing w:after="0" w:line="277" w:lineRule="auto"/>
        <w:rPr>
          <w:sz w:val="20"/>
          <w:szCs w:val="20"/>
          <w:color w:val="auto"/>
        </w:rPr>
      </w:pPr>
      <w:r>
        <w:rPr>
          <w:rFonts w:ascii="Times New Roman" w:cs="Times New Roman" w:eastAsia="Times New Roman" w:hAnsi="Times New Roman"/>
          <w:sz w:val="13"/>
          <w:szCs w:val="13"/>
          <w:color w:val="auto"/>
        </w:rPr>
        <w:t>The market for work management platforms is increasingly competitive, fragmented and subject to rapidly changing technology, shifting user and customer needs, new market entrants, and frequent introductions of new</w:t>
      </w:r>
    </w:p>
    <w:p>
      <w:pPr>
        <w:spacing w:after="0" w:line="7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111</w:t>
      </w:r>
    </w:p>
    <w:p>
      <w:pPr>
        <w:sectPr>
          <w:pgSz w:w="11900" w:h="16838" w:orient="portrait"/>
          <w:cols w:equalWidth="0" w:num="1">
            <w:col w:w="10159"/>
          </w:cols>
          <w:pgMar w:left="300" w:top="367" w:right="1440" w:bottom="1440" w:gutter="0" w:footer="0" w:header="0"/>
        </w:sectPr>
      </w:pPr>
    </w:p>
    <w:bookmarkStart w:id="116" w:name="page117"/>
    <w:bookmarkEnd w:id="11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79"/>
        <w:spacing w:after="0" w:line="254" w:lineRule="auto"/>
        <w:rPr>
          <w:sz w:val="20"/>
          <w:szCs w:val="20"/>
          <w:color w:val="auto"/>
        </w:rPr>
      </w:pPr>
      <w:r>
        <w:rPr>
          <w:rFonts w:ascii="Times New Roman" w:cs="Times New Roman" w:eastAsia="Times New Roman" w:hAnsi="Times New Roman"/>
          <w:sz w:val="13"/>
          <w:szCs w:val="13"/>
          <w:color w:val="auto"/>
        </w:rPr>
        <w:t>products and services. We compete with companies that range in size, from large and diversified with significant spending resources to smaller companies. The work management solutions market is rapidly evolving and highly competitive, with relatively low barriers to entry, and in the future there will likely be an increasing number of similar solutions offered by additional competitors. Our competition addresses the project management and work management categories, including, but not limited to, solutions around email, messaging, and spreadsheets. Our competitors fall into the following groups: companies specifically offering work management solutions; companies offering productivity suites; and companies specializing in vertical solutions.</w:t>
      </w:r>
    </w:p>
    <w:p>
      <w:pPr>
        <w:spacing w:after="0" w:line="13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We believe we compete favorably based on the following competitive factors:</w:t>
      </w:r>
    </w:p>
    <w:p>
      <w:pPr>
        <w:spacing w:after="0" w:line="93" w:lineRule="exact"/>
        <w:rPr>
          <w:sz w:val="20"/>
          <w:szCs w:val="20"/>
          <w:color w:val="auto"/>
        </w:rPr>
      </w:pPr>
    </w:p>
    <w:p>
      <w:pPr>
        <w:ind w:left="2380" w:hanging="381"/>
        <w:spacing w:after="0"/>
        <w:tabs>
          <w:tab w:leader="none" w:pos="238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adaptability to a broad range of use cases;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features and functionality of platform capabilities;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developments and enhancements of work management solutions;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customer service and support efforts;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efficient hybrid go-to-market model;</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ease of use, performance, price, and reliability of solutions;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scalability and security;</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brand strength; and</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ability to create easy to use integrations for, and robust, effective partnerships with, other larger enterprise software solutions and tools.</w:t>
      </w:r>
    </w:p>
    <w:p>
      <w:pPr>
        <w:spacing w:after="0" w:line="23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Intellectual Property</w:t>
      </w:r>
    </w:p>
    <w:p>
      <w:pPr>
        <w:spacing w:after="0" w:line="85" w:lineRule="exact"/>
        <w:rPr>
          <w:sz w:val="20"/>
          <w:szCs w:val="20"/>
          <w:color w:val="auto"/>
        </w:rPr>
      </w:pPr>
    </w:p>
    <w:p>
      <w:pPr>
        <w:ind w:left="1680" w:right="599" w:firstLine="316"/>
        <w:spacing w:after="0" w:line="252" w:lineRule="auto"/>
        <w:rPr>
          <w:sz w:val="20"/>
          <w:szCs w:val="20"/>
          <w:color w:val="auto"/>
        </w:rPr>
      </w:pPr>
      <w:r>
        <w:rPr>
          <w:rFonts w:ascii="Times New Roman" w:cs="Times New Roman" w:eastAsia="Times New Roman" w:hAnsi="Times New Roman"/>
          <w:sz w:val="13"/>
          <w:szCs w:val="13"/>
          <w:color w:val="auto"/>
        </w:rPr>
        <w:t>Our intellectual property is an important aspect of our business. To establish and protect our proprietary rights, we rely upon a combination of patent, copyright, trade secret and trademark laws, and contractual restrictions such as confidentiality agreements, licenses, and intellectual property assignment agreements. We maintain a policy requiring our employees, contractors, consultants, and other third parties to enter into confidentiality and proprietary rights agreements to control access to our proprietary information. These laws, procedures, and restrictions provide only limited protection, and any of our intellectual property rights may be challenged, invalidated, circumvented, infringed, or misappropriated. Furthermore, the laws of certain countries do not protect proprietary rights to the same extent as the laws of the United States, and we therefore may be unable to protect our proprietary technology in certain jurisdictions. Moreover, our platform incorporates software components licensed to the general public under open source software licenses. We obtain many components from software developed and released by contributors to independent open source components of our platform. Open source licenses grant licensees broad permissions to use, copy, modify, and redistribute our platform. As a result, open source development and licensing practices can limit the value of our software copyright assets.</w:t>
      </w:r>
    </w:p>
    <w:p>
      <w:pPr>
        <w:spacing w:after="0" w:line="136" w:lineRule="exact"/>
        <w:rPr>
          <w:sz w:val="20"/>
          <w:szCs w:val="20"/>
          <w:color w:val="auto"/>
        </w:rPr>
      </w:pPr>
    </w:p>
    <w:p>
      <w:pPr>
        <w:ind w:left="1680" w:right="579" w:firstLine="316"/>
        <w:spacing w:after="0" w:line="258" w:lineRule="auto"/>
        <w:rPr>
          <w:sz w:val="20"/>
          <w:szCs w:val="20"/>
          <w:color w:val="auto"/>
        </w:rPr>
      </w:pPr>
      <w:r>
        <w:rPr>
          <w:rFonts w:ascii="Times New Roman" w:cs="Times New Roman" w:eastAsia="Times New Roman" w:hAnsi="Times New Roman"/>
          <w:sz w:val="13"/>
          <w:szCs w:val="13"/>
          <w:color w:val="auto"/>
        </w:rPr>
        <w:t>As of July 31, 2020, we had been granted 10 U.S. patents, had 23 U.S. patent applications pending, and three notices of allowance. Our issued patents expire between January 2031 and January 2039. We have not applied for patents in foreign jurisdictions. We continually review our development efforts to assess the existence and patentability of new intellectual property. We pursue the registration of our domain names, trademarks, and service marks in the United States and in certain locations outside the United States.</w:t>
      </w:r>
    </w:p>
    <w:p>
      <w:pPr>
        <w:spacing w:after="0" w:line="20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Our Facilities</w:t>
      </w:r>
    </w:p>
    <w:p>
      <w:pPr>
        <w:spacing w:after="0" w:line="85" w:lineRule="exact"/>
        <w:rPr>
          <w:sz w:val="20"/>
          <w:szCs w:val="20"/>
          <w:color w:val="auto"/>
        </w:rPr>
      </w:pPr>
    </w:p>
    <w:p>
      <w:pPr>
        <w:ind w:left="1680" w:right="579" w:firstLine="316"/>
        <w:spacing w:after="0" w:line="277" w:lineRule="auto"/>
        <w:rPr>
          <w:sz w:val="20"/>
          <w:szCs w:val="20"/>
          <w:color w:val="auto"/>
        </w:rPr>
      </w:pPr>
      <w:r>
        <w:rPr>
          <w:rFonts w:ascii="Times New Roman" w:cs="Times New Roman" w:eastAsia="Times New Roman" w:hAnsi="Times New Roman"/>
          <w:sz w:val="13"/>
          <w:szCs w:val="13"/>
          <w:color w:val="auto"/>
        </w:rPr>
        <w:t>Our current corporate headquarters, consisting of approximately 110,000 square feet of office space in San Francisco, California, is leased through October 2021. In February 2019, we entered into a new lease agreement,</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112</w:t>
      </w:r>
    </w:p>
    <w:p>
      <w:pPr>
        <w:sectPr>
          <w:pgSz w:w="11900" w:h="16838" w:orient="portrait"/>
          <w:cols w:equalWidth="0" w:num="1">
            <w:col w:w="10159"/>
          </w:cols>
          <w:pgMar w:left="300" w:top="367" w:right="1440" w:bottom="1440" w:gutter="0" w:footer="0" w:header="0"/>
        </w:sectPr>
      </w:pPr>
    </w:p>
    <w:bookmarkStart w:id="117" w:name="page118"/>
    <w:bookmarkEnd w:id="11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19"/>
        <w:spacing w:after="0" w:line="263" w:lineRule="auto"/>
        <w:rPr>
          <w:sz w:val="20"/>
          <w:szCs w:val="20"/>
          <w:color w:val="auto"/>
        </w:rPr>
      </w:pPr>
      <w:r>
        <w:rPr>
          <w:rFonts w:ascii="Times New Roman" w:cs="Times New Roman" w:eastAsia="Times New Roman" w:hAnsi="Times New Roman"/>
          <w:sz w:val="13"/>
          <w:szCs w:val="13"/>
          <w:color w:val="auto"/>
        </w:rPr>
        <w:t>pursuant to which we will lease office space located in San Francisco, California consisting of 265,890 square feet for an initial term of 148 months commencing in May 2020. This new office building will house our new corporate headquarters, which we expect to begin occupying in the first quarter of fiscal 2022.</w:t>
      </w:r>
    </w:p>
    <w:p>
      <w:pPr>
        <w:spacing w:after="0" w:line="129" w:lineRule="exact"/>
        <w:rPr>
          <w:sz w:val="20"/>
          <w:szCs w:val="20"/>
          <w:color w:val="auto"/>
        </w:rPr>
      </w:pPr>
    </w:p>
    <w:p>
      <w:pPr>
        <w:ind w:left="1680" w:right="999" w:firstLine="316"/>
        <w:spacing w:after="0" w:line="277" w:lineRule="auto"/>
        <w:rPr>
          <w:sz w:val="20"/>
          <w:szCs w:val="20"/>
          <w:color w:val="auto"/>
        </w:rPr>
      </w:pPr>
      <w:r>
        <w:rPr>
          <w:rFonts w:ascii="Times New Roman" w:cs="Times New Roman" w:eastAsia="Times New Roman" w:hAnsi="Times New Roman"/>
          <w:sz w:val="13"/>
          <w:szCs w:val="13"/>
          <w:color w:val="auto"/>
        </w:rPr>
        <w:t>We lease additional offices in multiple locations in the United States and internationally, including in Dublin, London, Munich, New York, Reykjavik, Sydney, Tokyo, and Vancouver.</w:t>
      </w:r>
    </w:p>
    <w:p>
      <w:pPr>
        <w:spacing w:after="0" w:line="120" w:lineRule="exact"/>
        <w:rPr>
          <w:sz w:val="20"/>
          <w:szCs w:val="20"/>
          <w:color w:val="auto"/>
        </w:rPr>
      </w:pPr>
    </w:p>
    <w:p>
      <w:pPr>
        <w:ind w:left="1680" w:right="719" w:firstLine="316"/>
        <w:spacing w:after="0" w:line="263" w:lineRule="auto"/>
        <w:rPr>
          <w:sz w:val="20"/>
          <w:szCs w:val="20"/>
          <w:color w:val="auto"/>
        </w:rPr>
      </w:pPr>
      <w:r>
        <w:rPr>
          <w:rFonts w:ascii="Times New Roman" w:cs="Times New Roman" w:eastAsia="Times New Roman" w:hAnsi="Times New Roman"/>
          <w:sz w:val="13"/>
          <w:szCs w:val="13"/>
          <w:color w:val="auto"/>
        </w:rPr>
        <w:t>We intend to procure additional space in the future as we continue to add employees and expand geographically. We believe our facilities are adequate and suitable for our current needs and that, should it be needed, suitable additional or alternative space will be available to accommodate our operations.</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Our Employees</w:t>
      </w:r>
    </w:p>
    <w:p>
      <w:pPr>
        <w:spacing w:after="0" w:line="85" w:lineRule="exact"/>
        <w:rPr>
          <w:sz w:val="20"/>
          <w:szCs w:val="20"/>
          <w:color w:val="auto"/>
        </w:rPr>
      </w:pPr>
    </w:p>
    <w:p>
      <w:pPr>
        <w:ind w:left="1680" w:right="739" w:firstLine="316"/>
        <w:spacing w:after="0" w:line="263" w:lineRule="auto"/>
        <w:rPr>
          <w:sz w:val="20"/>
          <w:szCs w:val="20"/>
          <w:color w:val="auto"/>
        </w:rPr>
      </w:pPr>
      <w:r>
        <w:rPr>
          <w:rFonts w:ascii="Times New Roman" w:cs="Times New Roman" w:eastAsia="Times New Roman" w:hAnsi="Times New Roman"/>
          <w:sz w:val="13"/>
          <w:szCs w:val="13"/>
          <w:color w:val="auto"/>
        </w:rPr>
        <w:t>As of July 31, 2020, we had 910 full-time employees. Of these employees, 745 were in the United States and 165 were in our international locations. None of our employees is represented by a labor union or covered by collective bargaining agreements. We have not experienced any work stoppages. We consider our relationship with our employees to be good.</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Legal Proceedings</w:t>
      </w:r>
    </w:p>
    <w:p>
      <w:pPr>
        <w:spacing w:after="0" w:line="85" w:lineRule="exact"/>
        <w:rPr>
          <w:sz w:val="20"/>
          <w:szCs w:val="20"/>
          <w:color w:val="auto"/>
        </w:rPr>
      </w:pPr>
    </w:p>
    <w:p>
      <w:pPr>
        <w:ind w:left="1680" w:right="599" w:firstLine="316"/>
        <w:spacing w:after="0" w:line="256" w:lineRule="auto"/>
        <w:rPr>
          <w:sz w:val="20"/>
          <w:szCs w:val="20"/>
          <w:color w:val="auto"/>
        </w:rPr>
      </w:pPr>
      <w:r>
        <w:rPr>
          <w:rFonts w:ascii="Times New Roman" w:cs="Times New Roman" w:eastAsia="Times New Roman" w:hAnsi="Times New Roman"/>
          <w:sz w:val="13"/>
          <w:szCs w:val="13"/>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113</w:t>
      </w:r>
    </w:p>
    <w:p>
      <w:pPr>
        <w:sectPr>
          <w:pgSz w:w="11900" w:h="16838" w:orient="portrait"/>
          <w:cols w:equalWidth="0" w:num="1">
            <w:col w:w="10159"/>
          </w:cols>
          <w:pgMar w:left="300" w:top="367" w:right="1440" w:bottom="1440" w:gutter="0" w:footer="0" w:header="0"/>
        </w:sectPr>
      </w:pPr>
    </w:p>
    <w:bookmarkStart w:id="118" w:name="page119"/>
    <w:bookmarkEnd w:id="11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3"/>
          <w:szCs w:val="13"/>
          <w:b w:val="1"/>
          <w:bCs w:val="1"/>
          <w:color w:val="auto"/>
        </w:rPr>
        <w:t>MANAGEMENT</w:t>
      </w:r>
    </w:p>
    <w:p>
      <w:pPr>
        <w:spacing w:after="0" w:line="8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Executive Officers and Directors</w:t>
      </w:r>
    </w:p>
    <w:p>
      <w:pPr>
        <w:spacing w:after="0" w:line="8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following table provides information regarding our executive officers, key employees, and directors as of July 31, 2020:</w:t>
      </w:r>
    </w:p>
    <w:p>
      <w:pPr>
        <w:spacing w:after="0" w:line="176"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1800" w:type="dxa"/>
            <w:vAlign w:val="bottom"/>
          </w:tcPr>
          <w:p>
            <w:pPr>
              <w:spacing w:after="0"/>
              <w:rPr>
                <w:sz w:val="10"/>
                <w:szCs w:val="1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Age</w:t>
            </w:r>
          </w:p>
        </w:tc>
        <w:tc>
          <w:tcPr>
            <w:tcW w:w="3160" w:type="dxa"/>
            <w:vAlign w:val="bottom"/>
            <w:gridSpan w:val="3"/>
          </w:tcPr>
          <w:p>
            <w:pPr>
              <w:ind w:left="120"/>
              <w:spacing w:after="0"/>
              <w:rPr>
                <w:sz w:val="20"/>
                <w:szCs w:val="20"/>
                <w:color w:val="auto"/>
              </w:rPr>
            </w:pPr>
            <w:r>
              <w:rPr>
                <w:rFonts w:ascii="Times New Roman" w:cs="Times New Roman" w:eastAsia="Times New Roman" w:hAnsi="Times New Roman"/>
                <w:sz w:val="10"/>
                <w:szCs w:val="10"/>
                <w:b w:val="1"/>
                <w:bCs w:val="1"/>
                <w:color w:val="auto"/>
              </w:rPr>
              <w:t>Position(s)</w:t>
            </w:r>
          </w:p>
        </w:tc>
      </w:tr>
      <w:tr>
        <w:trPr>
          <w:trHeight w:val="20"/>
        </w:trPr>
        <w:tc>
          <w:tcPr>
            <w:tcW w:w="2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61"/>
        </w:trPr>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Executive Officers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187"/>
        </w:trPr>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Dustin Moskovitz</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31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w w:val="98"/>
              </w:rPr>
              <w:t>Co-Founder, President, Chief Executive Officer, and Chair</w:t>
            </w:r>
          </w:p>
        </w:tc>
      </w:tr>
      <w:tr>
        <w:trPr>
          <w:trHeight w:val="204"/>
        </w:trPr>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Chris Farinacci</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31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Chief Operating Officer</w:t>
            </w:r>
          </w:p>
        </w:tc>
      </w:tr>
      <w:tr>
        <w:trPr>
          <w:trHeight w:val="204"/>
        </w:trPr>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Eleanor Lacey</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31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General Counsel and Corporate Secretary</w:t>
            </w:r>
          </w:p>
        </w:tc>
      </w:tr>
      <w:tr>
        <w:trPr>
          <w:trHeight w:val="204"/>
        </w:trPr>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Tim Wan</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31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Chief Financial Officer</w:t>
            </w:r>
          </w:p>
        </w:tc>
      </w:tr>
      <w:tr>
        <w:trPr>
          <w:trHeight w:val="233"/>
        </w:trPr>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Key Employees</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204"/>
        </w:trPr>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Anna Binder</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31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Head of People</w:t>
            </w:r>
          </w:p>
        </w:tc>
      </w:tr>
      <w:tr>
        <w:trPr>
          <w:trHeight w:val="204"/>
        </w:trPr>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Alex Hood</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31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Head of Product</w:t>
            </w:r>
          </w:p>
        </w:tc>
      </w:tr>
      <w:tr>
        <w:trPr>
          <w:trHeight w:val="204"/>
        </w:trPr>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Oliver Jay</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31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Head of Sales and Business Development</w:t>
            </w:r>
          </w:p>
        </w:tc>
      </w:tr>
      <w:tr>
        <w:trPr>
          <w:trHeight w:val="204"/>
        </w:trPr>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Dave King</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31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Head of Marketing</w:t>
            </w:r>
          </w:p>
        </w:tc>
      </w:tr>
      <w:tr>
        <w:trPr>
          <w:trHeight w:val="204"/>
        </w:trPr>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Prashant Pandey</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31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Head of Engineering</w:t>
            </w:r>
          </w:p>
        </w:tc>
      </w:tr>
      <w:tr>
        <w:trPr>
          <w:trHeight w:val="233"/>
        </w:trPr>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Non-Employee Directors</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204"/>
        </w:trPr>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Sydney Carey</w:t>
            </w:r>
            <w:r>
              <w:rPr>
                <w:rFonts w:ascii="Times New Roman" w:cs="Times New Roman" w:eastAsia="Times New Roman" w:hAnsi="Times New Roman"/>
                <w:sz w:val="10"/>
                <w:szCs w:val="10"/>
                <w:color w:val="auto"/>
              </w:rPr>
              <w:t>(1)(2)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31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Director</w:t>
            </w:r>
          </w:p>
        </w:tc>
      </w:tr>
      <w:tr>
        <w:trPr>
          <w:trHeight w:val="204"/>
        </w:trPr>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Matthew Cohler</w:t>
            </w:r>
            <w:r>
              <w:rPr>
                <w:rFonts w:ascii="Times New Roman" w:cs="Times New Roman" w:eastAsia="Times New Roman" w:hAnsi="Times New Roman"/>
                <w:sz w:val="10"/>
                <w:szCs w:val="10"/>
                <w:color w:val="auto"/>
              </w:rPr>
              <w:t>(1)(3)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31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Director</w:t>
            </w:r>
          </w:p>
        </w:tc>
      </w:tr>
      <w:tr>
        <w:trPr>
          <w:trHeight w:val="204"/>
        </w:trPr>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Adam D’Angelo</w:t>
            </w:r>
            <w:r>
              <w:rPr>
                <w:rFonts w:ascii="Times New Roman" w:cs="Times New Roman" w:eastAsia="Times New Roman" w:hAnsi="Times New Roman"/>
                <w:sz w:val="10"/>
                <w:szCs w:val="10"/>
                <w:color w:val="auto"/>
              </w:rPr>
              <w:t>(2)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31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Director</w:t>
            </w:r>
          </w:p>
        </w:tc>
      </w:tr>
      <w:tr>
        <w:trPr>
          <w:trHeight w:val="204"/>
        </w:trPr>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Lorrie Norrington</w:t>
            </w:r>
            <w:r>
              <w:rPr>
                <w:rFonts w:ascii="Times New Roman" w:cs="Times New Roman" w:eastAsia="Times New Roman" w:hAnsi="Times New Roman"/>
                <w:sz w:val="10"/>
                <w:szCs w:val="10"/>
                <w:color w:val="auto"/>
              </w:rPr>
              <w:t>(1)(3)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31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Director</w:t>
            </w:r>
          </w:p>
        </w:tc>
      </w:tr>
      <w:tr>
        <w:trPr>
          <w:trHeight w:val="204"/>
        </w:trPr>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Anne Raimondi</w:t>
            </w:r>
            <w:r>
              <w:rPr>
                <w:rFonts w:ascii="Times New Roman" w:cs="Times New Roman" w:eastAsia="Times New Roman" w:hAnsi="Times New Roman"/>
                <w:sz w:val="10"/>
                <w:szCs w:val="10"/>
                <w:color w:val="auto"/>
              </w:rPr>
              <w:t>(2)(3)</w:t>
            </w:r>
            <w:r>
              <w:rPr>
                <w:rFonts w:ascii="Times New Roman" w:cs="Times New Roman" w:eastAsia="Times New Roman" w:hAnsi="Times New Roman"/>
                <w:sz w:val="13"/>
                <w:szCs w:val="13"/>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31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Director</w:t>
            </w:r>
          </w:p>
        </w:tc>
      </w:tr>
      <w:tr>
        <w:trPr>
          <w:trHeight w:val="204"/>
        </w:trPr>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Justin Rosenstein</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31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Co-Founder and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62230</wp:posOffset>
            </wp:positionV>
            <wp:extent cx="548005"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48005" cy="6350"/>
                    </a:xfrm>
                    <a:prstGeom prst="rect">
                      <a:avLst/>
                    </a:prstGeom>
                    <a:noFill/>
                  </pic:spPr>
                </pic:pic>
              </a:graphicData>
            </a:graphic>
          </wp:anchor>
        </w:drawing>
      </w:r>
    </w:p>
    <w:p>
      <w:pPr>
        <w:spacing w:after="0" w:line="107" w:lineRule="exact"/>
        <w:rPr>
          <w:sz w:val="20"/>
          <w:szCs w:val="20"/>
          <w:color w:val="auto"/>
        </w:rPr>
      </w:pPr>
    </w:p>
    <w:p>
      <w:pPr>
        <w:ind w:left="2000" w:hanging="311"/>
        <w:spacing w:after="0"/>
        <w:tabs>
          <w:tab w:leader="none" w:pos="200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Member of the audit committee.</w:t>
      </w:r>
    </w:p>
    <w:p>
      <w:pPr>
        <w:spacing w:after="0" w:line="11" w:lineRule="exact"/>
        <w:rPr>
          <w:rFonts w:ascii="Times New Roman" w:cs="Times New Roman" w:eastAsia="Times New Roman" w:hAnsi="Times New Roman"/>
          <w:sz w:val="12"/>
          <w:szCs w:val="12"/>
          <w:color w:val="auto"/>
        </w:rPr>
      </w:pPr>
    </w:p>
    <w:p>
      <w:pPr>
        <w:ind w:left="2000" w:hanging="311"/>
        <w:spacing w:after="0"/>
        <w:tabs>
          <w:tab w:leader="none" w:pos="200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Member of the compensation committee.</w:t>
      </w:r>
    </w:p>
    <w:p>
      <w:pPr>
        <w:spacing w:after="0" w:line="7" w:lineRule="exact"/>
        <w:rPr>
          <w:rFonts w:ascii="Times New Roman" w:cs="Times New Roman" w:eastAsia="Times New Roman" w:hAnsi="Times New Roman"/>
          <w:sz w:val="12"/>
          <w:szCs w:val="12"/>
          <w:color w:val="auto"/>
        </w:rPr>
      </w:pPr>
    </w:p>
    <w:p>
      <w:pPr>
        <w:ind w:left="2000" w:hanging="311"/>
        <w:spacing w:after="0"/>
        <w:tabs>
          <w:tab w:leader="none" w:pos="200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Member of the nominating and corporate governance committee.</w:t>
      </w:r>
    </w:p>
    <w:p>
      <w:pPr>
        <w:spacing w:after="0" w:line="7" w:lineRule="exact"/>
        <w:rPr>
          <w:rFonts w:ascii="Times New Roman" w:cs="Times New Roman" w:eastAsia="Times New Roman" w:hAnsi="Times New Roman"/>
          <w:sz w:val="12"/>
          <w:szCs w:val="12"/>
          <w:color w:val="auto"/>
        </w:rPr>
      </w:pPr>
    </w:p>
    <w:p>
      <w:pPr>
        <w:ind w:left="16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0"/>
          <w:szCs w:val="10"/>
          <w:color w:val="auto"/>
        </w:rPr>
        <w:t>Lead independent director.</w:t>
      </w:r>
    </w:p>
    <w:p>
      <w:pPr>
        <w:spacing w:after="0" w:line="22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Executive Officers</w:t>
      </w:r>
    </w:p>
    <w:p>
      <w:pPr>
        <w:spacing w:after="0" w:line="83" w:lineRule="exact"/>
        <w:rPr>
          <w:sz w:val="20"/>
          <w:szCs w:val="20"/>
          <w:color w:val="auto"/>
        </w:rPr>
      </w:pPr>
    </w:p>
    <w:p>
      <w:pPr>
        <w:ind w:left="1680" w:right="639" w:firstLine="316"/>
        <w:spacing w:after="0" w:line="284" w:lineRule="auto"/>
        <w:rPr>
          <w:sz w:val="20"/>
          <w:szCs w:val="20"/>
          <w:color w:val="auto"/>
        </w:rPr>
      </w:pPr>
      <w:r>
        <w:rPr>
          <w:rFonts w:ascii="Times New Roman" w:cs="Times New Roman" w:eastAsia="Times New Roman" w:hAnsi="Times New Roman"/>
          <w:sz w:val="12"/>
          <w:szCs w:val="12"/>
          <w:b w:val="1"/>
          <w:bCs w:val="1"/>
          <w:i w:val="1"/>
          <w:iCs w:val="1"/>
          <w:color w:val="auto"/>
        </w:rPr>
        <w:t xml:space="preserve">Dustin Moskovitz </w:t>
      </w:r>
      <w:r>
        <w:rPr>
          <w:rFonts w:ascii="Times New Roman" w:cs="Times New Roman" w:eastAsia="Times New Roman" w:hAnsi="Times New Roman"/>
          <w:sz w:val="12"/>
          <w:szCs w:val="12"/>
          <w:color w:val="auto"/>
        </w:rPr>
        <w:t>co-founded Asana and has served as a member of our board of directors since December 2008, as our Chief Executive Officer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since October 2010, as our President since February 2019, and as our Chair since December 2019. Previously, Mr. Moskovitz served as our Chief Financial Officer from February 2009 to January 2017, and as our Secretary from February 2009 to October 2017. Prior to Asana, Mr. Moskovitz co-founded Facebook, Inc., a social media and networking company, and from February 2004 to November 2008, he served in a variety of senior roles, including Chief Technology Officer and Vice President of Engineering. Mr. Moskovitz attended Harvard University where he studied economics.</w:t>
      </w:r>
    </w:p>
    <w:p>
      <w:pPr>
        <w:spacing w:after="0" w:line="118" w:lineRule="exact"/>
        <w:rPr>
          <w:sz w:val="20"/>
          <w:szCs w:val="20"/>
          <w:color w:val="auto"/>
        </w:rPr>
      </w:pPr>
    </w:p>
    <w:p>
      <w:pPr>
        <w:ind w:left="1680" w:right="699" w:firstLine="316"/>
        <w:spacing w:after="0" w:line="277" w:lineRule="auto"/>
        <w:rPr>
          <w:sz w:val="20"/>
          <w:szCs w:val="20"/>
          <w:color w:val="auto"/>
        </w:rPr>
      </w:pPr>
      <w:r>
        <w:rPr>
          <w:rFonts w:ascii="Times New Roman" w:cs="Times New Roman" w:eastAsia="Times New Roman" w:hAnsi="Times New Roman"/>
          <w:sz w:val="13"/>
          <w:szCs w:val="13"/>
          <w:color w:val="auto"/>
        </w:rPr>
        <w:t>We believe that Mr. Moskovitz is qualified to serve as a member of our board of directors due to the perspective and experience he brings as our Chief Executive Officer and a co-founder and due to his extensive experience managing technology companies.</w:t>
      </w:r>
    </w:p>
    <w:p>
      <w:pPr>
        <w:spacing w:after="0" w:line="116" w:lineRule="exact"/>
        <w:rPr>
          <w:sz w:val="20"/>
          <w:szCs w:val="20"/>
          <w:color w:val="auto"/>
        </w:rPr>
      </w:pPr>
    </w:p>
    <w:p>
      <w:pPr>
        <w:ind w:left="1680" w:right="619" w:firstLine="316"/>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 xml:space="preserve">Chris Farinacci </w:t>
      </w:r>
      <w:r>
        <w:rPr>
          <w:rFonts w:ascii="Times New Roman" w:cs="Times New Roman" w:eastAsia="Times New Roman" w:hAnsi="Times New Roman"/>
          <w:sz w:val="13"/>
          <w:szCs w:val="13"/>
          <w:color w:val="auto"/>
        </w:rPr>
        <w:t>has served as our Chief Operating Officer since September 2015. Prior to joining Asana, Mr. Farinacci served as Senior Director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of Marketing for Google for Work and Google for Education, Alphabet</w:t>
      </w:r>
    </w:p>
    <w:p>
      <w:pPr>
        <w:spacing w:after="0" w:line="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114</w:t>
      </w:r>
    </w:p>
    <w:p>
      <w:pPr>
        <w:sectPr>
          <w:pgSz w:w="11900" w:h="16838" w:orient="portrait"/>
          <w:cols w:equalWidth="0" w:num="1">
            <w:col w:w="10159"/>
          </w:cols>
          <w:pgMar w:left="300" w:top="367" w:right="1440" w:bottom="1440" w:gutter="0" w:footer="0" w:header="0"/>
        </w:sectPr>
      </w:pPr>
    </w:p>
    <w:bookmarkStart w:id="119" w:name="page120"/>
    <w:bookmarkEnd w:id="11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799"/>
        <w:spacing w:after="0" w:line="258" w:lineRule="auto"/>
        <w:rPr>
          <w:sz w:val="20"/>
          <w:szCs w:val="20"/>
          <w:color w:val="auto"/>
        </w:rPr>
      </w:pPr>
      <w:r>
        <w:rPr>
          <w:rFonts w:ascii="Times New Roman" w:cs="Times New Roman" w:eastAsia="Times New Roman" w:hAnsi="Times New Roman"/>
          <w:sz w:val="13"/>
          <w:szCs w:val="13"/>
          <w:color w:val="auto"/>
        </w:rPr>
        <w:t>Inc.’s enterprise and education businesses, from January 2011 to September 2015. From May 2009 to December 2010, Mr. Farinacci served as Chief Marketing Officer at Hara Software, Inc., an environmental and energy management software company. Prior to that, he served as Vice President, Application Marketing at Oracle Corporation, a provider of business software, from October 2007 until April 2009. Mr. Farinacci holds a B.S. in mechanical engineering from The Ohio State University.</w:t>
      </w:r>
    </w:p>
    <w:p>
      <w:pPr>
        <w:spacing w:after="0" w:line="129" w:lineRule="exact"/>
        <w:rPr>
          <w:sz w:val="20"/>
          <w:szCs w:val="20"/>
          <w:color w:val="auto"/>
        </w:rPr>
      </w:pPr>
    </w:p>
    <w:p>
      <w:pPr>
        <w:ind w:left="1680" w:right="599" w:firstLine="316"/>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 xml:space="preserve">Eleanor Lacey </w:t>
      </w:r>
      <w:r>
        <w:rPr>
          <w:rFonts w:ascii="Times New Roman" w:cs="Times New Roman" w:eastAsia="Times New Roman" w:hAnsi="Times New Roman"/>
          <w:sz w:val="13"/>
          <w:szCs w:val="13"/>
          <w:color w:val="auto"/>
        </w:rPr>
        <w:t>has served as our General Counsel since July 2019 and as our Corporate Secretary since September 2019. Prior to joining Asana,</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from November 2016 to July 2019, Ms. Lacey was with Sophos, Inc., an affiliated entity of Sophos Group plc, a security software and hardware company, most recently serving as Executive Vice President and Chief Legal Officer, and served as Group Company Secretary at Sophos Group plc. From July 2012 to November 2016, Ms. Lacey led the legal department of SurveyMonkey, Inc., an affiliated entity of SVMK Inc., a SaaS survey company, serving as Vice President, General Counsel, and Corporate Secretary from July 2012 to August 2016, and as Senior Vice President, General Counsel, and Corporate Secretary from August 2016 to November 2016. Ms. Lacey holds a B.A. in English literature and history from the University of Massachusetts, Amherst and a J.D. from Yale Law School.</w:t>
      </w:r>
    </w:p>
    <w:p>
      <w:pPr>
        <w:spacing w:after="0" w:line="133" w:lineRule="exact"/>
        <w:rPr>
          <w:sz w:val="20"/>
          <w:szCs w:val="20"/>
          <w:color w:val="auto"/>
        </w:rPr>
      </w:pPr>
    </w:p>
    <w:p>
      <w:pPr>
        <w:ind w:left="1680" w:right="639" w:firstLine="316"/>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 xml:space="preserve">Tim Wan </w:t>
      </w:r>
      <w:r>
        <w:rPr>
          <w:rFonts w:ascii="Times New Roman" w:cs="Times New Roman" w:eastAsia="Times New Roman" w:hAnsi="Times New Roman"/>
          <w:sz w:val="13"/>
          <w:szCs w:val="13"/>
          <w:color w:val="auto"/>
        </w:rPr>
        <w:t>has served as our Chief Financial Officer since January 2017, and he previously served as our Secretary from May 2018 to September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2019. Prior to joining Asana, Mr. Wan served as the Chief Financial Officer of Apigee Corporation, an API platform technology company, from March 2015 to January 2017. From June 2000 to February 2015, Mr. Wan served in a variety of senior roles at RealNetworks, Inc., a digital media and applications company, including as Senior Vice President, Chief Financial Officer, and Treasurer from April 2012 to February 2015, Vice President, Finance from September 2009 to April 2012, and various leadership positions from June 2000 to August 2009. Additionally, Mr. Wan has served on the board of directors of RealNetworks, Inc. since December 2019. Mr. Wan holds a B.A. in economics from the University of California, Los Angeles and an M.B.A. from the University of Southern California.</w:t>
      </w:r>
    </w:p>
    <w:p>
      <w:pPr>
        <w:spacing w:after="0" w:line="21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Key Employees</w:t>
      </w:r>
    </w:p>
    <w:p>
      <w:pPr>
        <w:spacing w:after="0" w:line="83" w:lineRule="exact"/>
        <w:rPr>
          <w:sz w:val="20"/>
          <w:szCs w:val="20"/>
          <w:color w:val="auto"/>
        </w:rPr>
      </w:pPr>
    </w:p>
    <w:p>
      <w:pPr>
        <w:ind w:left="1680" w:right="579" w:firstLine="316"/>
        <w:spacing w:after="0" w:line="255" w:lineRule="auto"/>
        <w:rPr>
          <w:sz w:val="20"/>
          <w:szCs w:val="20"/>
          <w:color w:val="auto"/>
        </w:rPr>
      </w:pPr>
      <w:r>
        <w:rPr>
          <w:rFonts w:ascii="Times New Roman" w:cs="Times New Roman" w:eastAsia="Times New Roman" w:hAnsi="Times New Roman"/>
          <w:sz w:val="13"/>
          <w:szCs w:val="13"/>
          <w:b w:val="1"/>
          <w:bCs w:val="1"/>
          <w:i w:val="1"/>
          <w:iCs w:val="1"/>
          <w:color w:val="auto"/>
        </w:rPr>
        <w:t xml:space="preserve">Anna Binder </w:t>
      </w:r>
      <w:r>
        <w:rPr>
          <w:rFonts w:ascii="Times New Roman" w:cs="Times New Roman" w:eastAsia="Times New Roman" w:hAnsi="Times New Roman"/>
          <w:sz w:val="13"/>
          <w:szCs w:val="13"/>
          <w:color w:val="auto"/>
        </w:rPr>
        <w:t>has served as our Head of People since May 2016. Prior to joining Asana, Ms. Binder was the Vice President of People at MuleSoft,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Inc., a software company, from August 2014 to February 2016. From May 2010 to June 2013, Ms. Binder served as Vice President of Client Services and Human Resources at ReadyForce, Inc., an information technology and services company, and before that, as the VP, People at IronPort Systems, Inc., an email and web security products provider acquired by Cisco Systems in 2007. Ms. Binder holds a B.A. in political science from the University of Oregon and an M.B.A. from IESE Business School at the University of Navarra in Barcelona, Spain. Ms. Binder has served on the Board of Directors of The Women’s Building in San Francisco since March 2020.</w:t>
      </w:r>
    </w:p>
    <w:p>
      <w:pPr>
        <w:spacing w:after="0" w:line="133" w:lineRule="exact"/>
        <w:rPr>
          <w:sz w:val="20"/>
          <w:szCs w:val="20"/>
          <w:color w:val="auto"/>
        </w:rPr>
      </w:pPr>
    </w:p>
    <w:p>
      <w:pPr>
        <w:ind w:left="1680" w:right="679" w:firstLine="316"/>
        <w:spacing w:after="0" w:line="257" w:lineRule="auto"/>
        <w:rPr>
          <w:sz w:val="20"/>
          <w:szCs w:val="20"/>
          <w:color w:val="auto"/>
        </w:rPr>
      </w:pPr>
      <w:r>
        <w:rPr>
          <w:rFonts w:ascii="Times New Roman" w:cs="Times New Roman" w:eastAsia="Times New Roman" w:hAnsi="Times New Roman"/>
          <w:sz w:val="13"/>
          <w:szCs w:val="13"/>
          <w:b w:val="1"/>
          <w:bCs w:val="1"/>
          <w:i w:val="1"/>
          <w:iCs w:val="1"/>
          <w:color w:val="auto"/>
        </w:rPr>
        <w:t xml:space="preserve">Alex Hood </w:t>
      </w:r>
      <w:r>
        <w:rPr>
          <w:rFonts w:ascii="Times New Roman" w:cs="Times New Roman" w:eastAsia="Times New Roman" w:hAnsi="Times New Roman"/>
          <w:sz w:val="13"/>
          <w:szCs w:val="13"/>
          <w:color w:val="auto"/>
        </w:rPr>
        <w:t>has served as our Head of Product since January 2018. Prior to joining Asana, Mr. Hood served as the Vice President of Product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Management and Small Business Segment Leader at Intuit Inc., a business and financial software company, from January 2016 to October 2017. From March 2014 to December 2015, Mr. Hood served as the Vice President of Products at TubeMogul Inc., an advertising software company. Mr. Hood holds a B.A. in economics and international relations from American University and an M.B.A. from Haas School of Business at the University of California, Berkeley.</w:t>
      </w:r>
    </w:p>
    <w:p>
      <w:pPr>
        <w:spacing w:after="0" w:line="130" w:lineRule="exact"/>
        <w:rPr>
          <w:sz w:val="20"/>
          <w:szCs w:val="20"/>
          <w:color w:val="auto"/>
        </w:rPr>
      </w:pPr>
    </w:p>
    <w:p>
      <w:pPr>
        <w:ind w:left="1680" w:right="559" w:firstLine="316"/>
        <w:spacing w:after="0" w:line="257" w:lineRule="auto"/>
        <w:rPr>
          <w:sz w:val="20"/>
          <w:szCs w:val="20"/>
          <w:color w:val="auto"/>
        </w:rPr>
      </w:pPr>
      <w:r>
        <w:rPr>
          <w:rFonts w:ascii="Times New Roman" w:cs="Times New Roman" w:eastAsia="Times New Roman" w:hAnsi="Times New Roman"/>
          <w:sz w:val="13"/>
          <w:szCs w:val="13"/>
          <w:b w:val="1"/>
          <w:bCs w:val="1"/>
          <w:i w:val="1"/>
          <w:iCs w:val="1"/>
          <w:color w:val="auto"/>
        </w:rPr>
        <w:t xml:space="preserve">Oliver Jay </w:t>
      </w:r>
      <w:r>
        <w:rPr>
          <w:rFonts w:ascii="Times New Roman" w:cs="Times New Roman" w:eastAsia="Times New Roman" w:hAnsi="Times New Roman"/>
          <w:sz w:val="13"/>
          <w:szCs w:val="13"/>
          <w:color w:val="auto"/>
        </w:rPr>
        <w:t>has served as our Head of Sales and Business Development since November 2016. Prior to joining Asana, Mr. Jay was Head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APAC &amp; LATAM at Dropbox, Inc., a file hosting service company, from January 2014 to April 2016, and Head of Online Sales &amp; Inside Sales from September 2012 to January 2014. From August 2011 to September 2012, Mr. Jay served as Sales &amp; Partnerships Principal at Scientific Conservation, Inc., an analytics software company. Mr. Jay holds a B.A. in Philosophy, Politics &amp; Economics from the University of Pennsylvania and an M.B.A. from Harvard Business School.</w:t>
      </w:r>
    </w:p>
    <w:p>
      <w:pPr>
        <w:spacing w:after="0" w:line="130" w:lineRule="exact"/>
        <w:rPr>
          <w:sz w:val="20"/>
          <w:szCs w:val="20"/>
          <w:color w:val="auto"/>
        </w:rPr>
      </w:pPr>
    </w:p>
    <w:p>
      <w:pPr>
        <w:ind w:left="1680" w:right="679" w:firstLine="316"/>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 xml:space="preserve">Dave King </w:t>
      </w:r>
      <w:r>
        <w:rPr>
          <w:rFonts w:ascii="Times New Roman" w:cs="Times New Roman" w:eastAsia="Times New Roman" w:hAnsi="Times New Roman"/>
          <w:sz w:val="13"/>
          <w:szCs w:val="13"/>
          <w:color w:val="auto"/>
        </w:rPr>
        <w:t>has served as our Head of Marketing since May 2017. Prior to joining Asana, Mr. King was Vice President of Marketing at Percolate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Inc., a marketing software company, from October 2015 to January 2017.</w:t>
      </w:r>
    </w:p>
    <w:p>
      <w:pPr>
        <w:spacing w:after="0" w:line="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115</w:t>
      </w:r>
    </w:p>
    <w:p>
      <w:pPr>
        <w:sectPr>
          <w:pgSz w:w="11900" w:h="16838" w:orient="portrait"/>
          <w:cols w:equalWidth="0" w:num="1">
            <w:col w:w="10159"/>
          </w:cols>
          <w:pgMar w:left="300" w:top="367" w:right="1440" w:bottom="1440" w:gutter="0" w:footer="0" w:header="0"/>
        </w:sectPr>
      </w:pPr>
    </w:p>
    <w:bookmarkStart w:id="120" w:name="page121"/>
    <w:bookmarkEnd w:id="12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39"/>
        <w:spacing w:after="0" w:line="263" w:lineRule="auto"/>
        <w:rPr>
          <w:sz w:val="20"/>
          <w:szCs w:val="20"/>
          <w:color w:val="auto"/>
        </w:rPr>
      </w:pPr>
      <w:r>
        <w:rPr>
          <w:rFonts w:ascii="Times New Roman" w:cs="Times New Roman" w:eastAsia="Times New Roman" w:hAnsi="Times New Roman"/>
          <w:sz w:val="13"/>
          <w:szCs w:val="13"/>
          <w:color w:val="auto"/>
        </w:rPr>
        <w:t>From February 2013 to February 2015, Mr. King led marketing teams at Highfive, Inc., a video conferencing company, and Salesforce.com, a customer relationship management software company, from June 2008 to October 2012. Mr. King holds a B.S. in psychology from Duke University and an M.B.A. from Stanford Graduate School of Business.</w:t>
      </w:r>
    </w:p>
    <w:p>
      <w:pPr>
        <w:spacing w:after="0" w:line="125" w:lineRule="exact"/>
        <w:rPr>
          <w:sz w:val="20"/>
          <w:szCs w:val="20"/>
          <w:color w:val="auto"/>
        </w:rPr>
      </w:pPr>
    </w:p>
    <w:p>
      <w:pPr>
        <w:ind w:left="1680" w:right="699" w:firstLine="316"/>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 xml:space="preserve">Prashant Pandey </w:t>
      </w:r>
      <w:r>
        <w:rPr>
          <w:rFonts w:ascii="Times New Roman" w:cs="Times New Roman" w:eastAsia="Times New Roman" w:hAnsi="Times New Roman"/>
          <w:sz w:val="13"/>
          <w:szCs w:val="13"/>
          <w:color w:val="auto"/>
        </w:rPr>
        <w:t>has served as our Head of Engineering since July 2015, and previously as our Head of Infrastructure since May 2014. Prior to</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joining Asana, Mr. Pandey served as an Engineering Leader at Amazon.com, Inc., a multinational technology company, from October 2012 to May 2014. Mr. Pandey holds a Bachelor of Technology in computer science from the Birla Institute of Technology and Science, Pilani and an M.S. in computer science from the University of Illinois, Urbana Champaign.</w:t>
      </w:r>
    </w:p>
    <w:p>
      <w:pPr>
        <w:spacing w:after="0" w:line="20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Non-Employee Directors</w:t>
      </w:r>
    </w:p>
    <w:p>
      <w:pPr>
        <w:spacing w:after="0" w:line="83" w:lineRule="exact"/>
        <w:rPr>
          <w:sz w:val="20"/>
          <w:szCs w:val="20"/>
          <w:color w:val="auto"/>
        </w:rPr>
      </w:pPr>
    </w:p>
    <w:p>
      <w:pPr>
        <w:ind w:left="1680" w:right="619" w:firstLine="316"/>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 xml:space="preserve">Sydney Carey </w:t>
      </w:r>
      <w:r>
        <w:rPr>
          <w:rFonts w:ascii="Times New Roman" w:cs="Times New Roman" w:eastAsia="Times New Roman" w:hAnsi="Times New Roman"/>
          <w:sz w:val="13"/>
          <w:szCs w:val="13"/>
          <w:color w:val="auto"/>
        </w:rPr>
        <w:t>has served as a member of our board of directors since July 2019. Since November 2018, Ms. Carey has served as the Chief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Financial Officer of Sumo Logic, Inc., a data analytics company. From December 2017 to October 2018, Ms. Carey served as the Chief Financial Officer for Duo Security, Inc., a software security company. From June 2016 to December 2017, she served as the Chief Financial Officer of Apttus Corporation, a business-to-business software company. From February 2015 to June 2016, she served as the Chief Financial Officer of Zscaler, Inc., an information security company, and from April 2013 to February 2015, she served as the Chief Financial Officer of MongoDB Inc., a software company. Ms. Carey served as a member of the board of directors of Bazaarvoice, Inc. from April 2012 to September 2017, and Proofpoint, Inc. from January 2014 to March 2015. Ms. Carey holds a B.A. in economics from Stanford University.</w:t>
      </w:r>
    </w:p>
    <w:p>
      <w:pPr>
        <w:spacing w:after="0" w:line="137" w:lineRule="exact"/>
        <w:rPr>
          <w:sz w:val="20"/>
          <w:szCs w:val="20"/>
          <w:color w:val="auto"/>
        </w:rPr>
      </w:pPr>
    </w:p>
    <w:p>
      <w:pPr>
        <w:ind w:left="1680" w:right="859" w:firstLine="316"/>
        <w:spacing w:after="0" w:line="320" w:lineRule="auto"/>
        <w:rPr>
          <w:sz w:val="20"/>
          <w:szCs w:val="20"/>
          <w:color w:val="auto"/>
        </w:rPr>
      </w:pPr>
      <w:r>
        <w:rPr>
          <w:rFonts w:ascii="Times New Roman" w:cs="Times New Roman" w:eastAsia="Times New Roman" w:hAnsi="Times New Roman"/>
          <w:sz w:val="12"/>
          <w:szCs w:val="12"/>
          <w:color w:val="auto"/>
        </w:rPr>
        <w:t>We believe that Ms. Carey is qualified to serve as a member of our board of directors because of her extensive finance background, including service as a chief financial officer of several companies, her experience as a director of public companies, and her knowledge of our industry.</w:t>
      </w:r>
    </w:p>
    <w:p>
      <w:pPr>
        <w:spacing w:after="0" w:line="93" w:lineRule="exact"/>
        <w:rPr>
          <w:sz w:val="20"/>
          <w:szCs w:val="20"/>
          <w:color w:val="auto"/>
        </w:rPr>
      </w:pPr>
    </w:p>
    <w:p>
      <w:pPr>
        <w:jc w:val="both"/>
        <w:ind w:left="1680" w:right="619" w:firstLine="316"/>
        <w:spacing w:after="0" w:line="257" w:lineRule="auto"/>
        <w:rPr>
          <w:sz w:val="20"/>
          <w:szCs w:val="20"/>
          <w:color w:val="auto"/>
        </w:rPr>
      </w:pPr>
      <w:r>
        <w:rPr>
          <w:rFonts w:ascii="Times New Roman" w:cs="Times New Roman" w:eastAsia="Times New Roman" w:hAnsi="Times New Roman"/>
          <w:sz w:val="13"/>
          <w:szCs w:val="13"/>
          <w:b w:val="1"/>
          <w:bCs w:val="1"/>
          <w:i w:val="1"/>
          <w:iCs w:val="1"/>
          <w:color w:val="auto"/>
        </w:rPr>
        <w:t xml:space="preserve">Matthew Cohler </w:t>
      </w:r>
      <w:r>
        <w:rPr>
          <w:rFonts w:ascii="Times New Roman" w:cs="Times New Roman" w:eastAsia="Times New Roman" w:hAnsi="Times New Roman"/>
          <w:sz w:val="13"/>
          <w:szCs w:val="13"/>
          <w:color w:val="auto"/>
        </w:rPr>
        <w:t>has served as a member of our board of directors since November 2009. Mr. Cohler has been a Partner at Benchmark Capital, a</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venture capital firm, since June 2008. Before Benchmark Capital, Mr. Cohler served as the Vice President of Product Management at Facebook, Inc., a social media and networking company, from 2005 to June 2008, and as the Vice President of LinkedIn Corporation, an internet software company, from 2003 to 2005. Mr. Cohler previously served on the boards of directors of Domo, Inc. from July 2011 to March 2019, and Uber Technologies, Inc. from June 2017 to July 2019. Mr. Cohler holds a B.A. in music from Yale University.</w:t>
      </w:r>
    </w:p>
    <w:p>
      <w:pPr>
        <w:spacing w:after="0" w:line="134" w:lineRule="exact"/>
        <w:rPr>
          <w:sz w:val="20"/>
          <w:szCs w:val="20"/>
          <w:color w:val="auto"/>
        </w:rPr>
      </w:pPr>
    </w:p>
    <w:p>
      <w:pPr>
        <w:ind w:left="1680" w:right="819" w:firstLine="316"/>
        <w:spacing w:after="0" w:line="320" w:lineRule="auto"/>
        <w:rPr>
          <w:sz w:val="20"/>
          <w:szCs w:val="20"/>
          <w:color w:val="auto"/>
        </w:rPr>
      </w:pPr>
      <w:r>
        <w:rPr>
          <w:rFonts w:ascii="Times New Roman" w:cs="Times New Roman" w:eastAsia="Times New Roman" w:hAnsi="Times New Roman"/>
          <w:sz w:val="12"/>
          <w:szCs w:val="12"/>
          <w:color w:val="auto"/>
        </w:rPr>
        <w:t>We believe that Mr. Cohler is qualified to serve as a member of our board of directors because of his extensive experience as an executive and board member of many technology, high-growth, consumer and digital companies, his investment experience, and his knowledge of our industry.</w:t>
      </w:r>
    </w:p>
    <w:p>
      <w:pPr>
        <w:spacing w:after="0" w:line="93" w:lineRule="exact"/>
        <w:rPr>
          <w:sz w:val="20"/>
          <w:szCs w:val="20"/>
          <w:color w:val="auto"/>
        </w:rPr>
      </w:pPr>
    </w:p>
    <w:p>
      <w:pPr>
        <w:ind w:left="1680" w:right="699" w:firstLine="316"/>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 xml:space="preserve">Adam D’Angelo </w:t>
      </w:r>
      <w:r>
        <w:rPr>
          <w:rFonts w:ascii="Times New Roman" w:cs="Times New Roman" w:eastAsia="Times New Roman" w:hAnsi="Times New Roman"/>
          <w:sz w:val="13"/>
          <w:szCs w:val="13"/>
          <w:color w:val="auto"/>
        </w:rPr>
        <w:t>has served as a member of our board of directors since December 2008. Mr. D’Angelo founded Quora Inc., a</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question-and-answer website, and since June 2009, has served as its Chief Executive Officer. From June 2005 to June 2008, Mr. D’Angelo served in a variety of senior roles at Facebook, Inc., a social media and networking company, including Chief Technology Officer, from November 2006 to June 2008. Mr. D’Angelo holds a B.S. in computer science from the California Institute of Technology.</w:t>
      </w:r>
    </w:p>
    <w:p>
      <w:pPr>
        <w:spacing w:after="0" w:line="132" w:lineRule="exact"/>
        <w:rPr>
          <w:sz w:val="20"/>
          <w:szCs w:val="20"/>
          <w:color w:val="auto"/>
        </w:rPr>
      </w:pPr>
    </w:p>
    <w:p>
      <w:pPr>
        <w:ind w:left="1680" w:right="599" w:firstLine="316"/>
        <w:spacing w:after="0" w:line="277" w:lineRule="auto"/>
        <w:rPr>
          <w:sz w:val="20"/>
          <w:szCs w:val="20"/>
          <w:color w:val="auto"/>
        </w:rPr>
      </w:pPr>
      <w:r>
        <w:rPr>
          <w:rFonts w:ascii="Times New Roman" w:cs="Times New Roman" w:eastAsia="Times New Roman" w:hAnsi="Times New Roman"/>
          <w:sz w:val="13"/>
          <w:szCs w:val="13"/>
          <w:color w:val="auto"/>
        </w:rPr>
        <w:t>We believe that Mr. D’Angelo is qualified to serve as a member of our board of directors because of his significant knowledge of and history with our company, his extensive experience as an executive and board member of technology companies, and his knowledge of our industry.</w:t>
      </w:r>
    </w:p>
    <w:p>
      <w:pPr>
        <w:spacing w:after="0" w:line="116" w:lineRule="exact"/>
        <w:rPr>
          <w:sz w:val="20"/>
          <w:szCs w:val="20"/>
          <w:color w:val="auto"/>
        </w:rPr>
      </w:pPr>
    </w:p>
    <w:p>
      <w:pPr>
        <w:ind w:left="1680" w:right="639" w:firstLine="316"/>
        <w:spacing w:after="0" w:line="266" w:lineRule="auto"/>
        <w:rPr>
          <w:sz w:val="20"/>
          <w:szCs w:val="20"/>
          <w:color w:val="auto"/>
        </w:rPr>
      </w:pPr>
      <w:r>
        <w:rPr>
          <w:rFonts w:ascii="Times New Roman" w:cs="Times New Roman" w:eastAsia="Times New Roman" w:hAnsi="Times New Roman"/>
          <w:sz w:val="13"/>
          <w:szCs w:val="13"/>
          <w:b w:val="1"/>
          <w:bCs w:val="1"/>
          <w:i w:val="1"/>
          <w:iCs w:val="1"/>
          <w:color w:val="auto"/>
        </w:rPr>
        <w:t xml:space="preserve">Lorrie Norrington </w:t>
      </w:r>
      <w:r>
        <w:rPr>
          <w:rFonts w:ascii="Times New Roman" w:cs="Times New Roman" w:eastAsia="Times New Roman" w:hAnsi="Times New Roman"/>
          <w:sz w:val="13"/>
          <w:szCs w:val="13"/>
          <w:color w:val="auto"/>
        </w:rPr>
        <w:t>has served as a member of our board of directors since July 2019. Ms. Norrington has served as an operating partner of Lead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Edge Capital LLC, a growth equity investment firm, since October 2012. Ms. Norrington previously served in several senior management roles at eBay Inc., a multinational e-commerce</w:t>
      </w:r>
    </w:p>
    <w:p>
      <w:pPr>
        <w:spacing w:after="0" w:line="7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116</w:t>
      </w:r>
    </w:p>
    <w:p>
      <w:pPr>
        <w:sectPr>
          <w:pgSz w:w="11900" w:h="16838" w:orient="portrait"/>
          <w:cols w:equalWidth="0" w:num="1">
            <w:col w:w="10159"/>
          </w:cols>
          <w:pgMar w:left="300" w:top="367" w:right="1440" w:bottom="1440" w:gutter="0" w:footer="0" w:header="0"/>
        </w:sectPr>
      </w:pPr>
    </w:p>
    <w:bookmarkStart w:id="121" w:name="page122"/>
    <w:bookmarkEnd w:id="12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79"/>
        <w:spacing w:after="0" w:line="256" w:lineRule="auto"/>
        <w:rPr>
          <w:sz w:val="20"/>
          <w:szCs w:val="20"/>
          <w:color w:val="auto"/>
        </w:rPr>
      </w:pPr>
      <w:r>
        <w:rPr>
          <w:rFonts w:ascii="Times New Roman" w:cs="Times New Roman" w:eastAsia="Times New Roman" w:hAnsi="Times New Roman"/>
          <w:sz w:val="13"/>
          <w:szCs w:val="13"/>
          <w:color w:val="auto"/>
        </w:rPr>
        <w:t>publicly-traded company, from July 2006 to September 2010, including President of Global eBay Marketplaces, Chief Operating Officer of eBay Marketplaces, and President of eBay International. Ms. Norrington currently serves on the boards of directors of Autodesk, Inc., HubSpot, Inc., and Colgate-Palmolive Company, and she also previously served on the boards of directors of Eventbrite, Inc. from April 2015 to August 2020 and of DirectTV from February 2011 to August 2015. Ms. Norrington holds a B.A. in business administration from the University of Maryland, College Park and an M.B.A. from Harvard University.</w:t>
      </w:r>
    </w:p>
    <w:p>
      <w:pPr>
        <w:spacing w:after="0" w:line="133" w:lineRule="exact"/>
        <w:rPr>
          <w:sz w:val="20"/>
          <w:szCs w:val="20"/>
          <w:color w:val="auto"/>
        </w:rPr>
      </w:pPr>
    </w:p>
    <w:p>
      <w:pPr>
        <w:ind w:left="1680" w:right="699" w:firstLine="316"/>
        <w:spacing w:after="0" w:line="263" w:lineRule="auto"/>
        <w:rPr>
          <w:sz w:val="20"/>
          <w:szCs w:val="20"/>
          <w:color w:val="auto"/>
        </w:rPr>
      </w:pPr>
      <w:r>
        <w:rPr>
          <w:rFonts w:ascii="Times New Roman" w:cs="Times New Roman" w:eastAsia="Times New Roman" w:hAnsi="Times New Roman"/>
          <w:sz w:val="13"/>
          <w:szCs w:val="13"/>
          <w:color w:val="auto"/>
        </w:rPr>
        <w:t>We believe that Ms. Norrington is qualified to serve as a member of our board of directors because of her extensive experience as an executive and board member of many publicly-traded companies, including her business acumen, extensive global expertise, and her knowledge of our industry. As a member of the LGBTQ+ community, Ms. Norrington is a passionate advocate for inclusion and diversity.</w:t>
      </w:r>
    </w:p>
    <w:p>
      <w:pPr>
        <w:spacing w:after="0" w:line="125" w:lineRule="exact"/>
        <w:rPr>
          <w:sz w:val="20"/>
          <w:szCs w:val="20"/>
          <w:color w:val="auto"/>
        </w:rPr>
      </w:pPr>
    </w:p>
    <w:p>
      <w:pPr>
        <w:ind w:left="1680" w:right="559" w:firstLine="316"/>
        <w:spacing w:after="0" w:line="255" w:lineRule="auto"/>
        <w:rPr>
          <w:sz w:val="20"/>
          <w:szCs w:val="20"/>
          <w:color w:val="auto"/>
        </w:rPr>
      </w:pPr>
      <w:r>
        <w:rPr>
          <w:rFonts w:ascii="Times New Roman" w:cs="Times New Roman" w:eastAsia="Times New Roman" w:hAnsi="Times New Roman"/>
          <w:sz w:val="13"/>
          <w:szCs w:val="13"/>
          <w:b w:val="1"/>
          <w:bCs w:val="1"/>
          <w:i w:val="1"/>
          <w:iCs w:val="1"/>
          <w:color w:val="auto"/>
        </w:rPr>
        <w:t xml:space="preserve">Anne Raimondi </w:t>
      </w:r>
      <w:r>
        <w:rPr>
          <w:rFonts w:ascii="Times New Roman" w:cs="Times New Roman" w:eastAsia="Times New Roman" w:hAnsi="Times New Roman"/>
          <w:sz w:val="13"/>
          <w:szCs w:val="13"/>
          <w:color w:val="auto"/>
        </w:rPr>
        <w:t>has served as a member of our board of directors since February 2019 and as our lead independent director since December 2019.</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Ms. Raimondi has served as the Chief Customer Officer of Guru Technologies, Inc., a knowledge management solution company, since May 2019. Prior to joining Guru, from August 2013 to November 2017, Ms. Raimondi served several roles at Zendesk, Inc., a customer service platform provider, including as Senior Vice President, Strategy, Senior Vice President, Operations, and Vice President, People Operations. Ms. Raimondi has also served on the board of directors of several other companies, including SendGrid, Inc. from February 2018 to February 2019, and Bloc, Inc. from June 2017 to April 2018. Ms. Raimondi holds a B.A. in economics and sociology and an M.B.A. from Stanford University.</w:t>
      </w:r>
    </w:p>
    <w:p>
      <w:pPr>
        <w:spacing w:after="0" w:line="137" w:lineRule="exact"/>
        <w:rPr>
          <w:sz w:val="20"/>
          <w:szCs w:val="20"/>
          <w:color w:val="auto"/>
        </w:rPr>
      </w:pPr>
    </w:p>
    <w:p>
      <w:pPr>
        <w:ind w:left="1680" w:right="619" w:firstLine="316"/>
        <w:spacing w:after="0" w:line="277" w:lineRule="auto"/>
        <w:rPr>
          <w:sz w:val="20"/>
          <w:szCs w:val="20"/>
          <w:color w:val="auto"/>
        </w:rPr>
      </w:pPr>
      <w:r>
        <w:rPr>
          <w:rFonts w:ascii="Times New Roman" w:cs="Times New Roman" w:eastAsia="Times New Roman" w:hAnsi="Times New Roman"/>
          <w:sz w:val="13"/>
          <w:szCs w:val="13"/>
          <w:color w:val="auto"/>
        </w:rPr>
        <w:t>We believe that Ms. Raimondi is qualified to serve as a member of our board of directors because of her extensive experience as an executive and board member of many technology, high-growth companies and her knowledge of our industry.</w:t>
      </w:r>
    </w:p>
    <w:p>
      <w:pPr>
        <w:spacing w:after="0" w:line="116" w:lineRule="exact"/>
        <w:rPr>
          <w:sz w:val="20"/>
          <w:szCs w:val="20"/>
          <w:color w:val="auto"/>
        </w:rPr>
      </w:pPr>
    </w:p>
    <w:p>
      <w:pPr>
        <w:ind w:left="1680" w:right="639" w:firstLine="316"/>
        <w:spacing w:after="0" w:line="257" w:lineRule="auto"/>
        <w:rPr>
          <w:sz w:val="20"/>
          <w:szCs w:val="20"/>
          <w:color w:val="auto"/>
        </w:rPr>
      </w:pPr>
      <w:r>
        <w:rPr>
          <w:rFonts w:ascii="Times New Roman" w:cs="Times New Roman" w:eastAsia="Times New Roman" w:hAnsi="Times New Roman"/>
          <w:sz w:val="13"/>
          <w:szCs w:val="13"/>
          <w:b w:val="1"/>
          <w:bCs w:val="1"/>
          <w:i w:val="1"/>
          <w:iCs w:val="1"/>
          <w:color w:val="auto"/>
        </w:rPr>
        <w:t xml:space="preserve">Justin Rosenstein </w:t>
      </w:r>
      <w:r>
        <w:rPr>
          <w:rFonts w:ascii="Times New Roman" w:cs="Times New Roman" w:eastAsia="Times New Roman" w:hAnsi="Times New Roman"/>
          <w:sz w:val="13"/>
          <w:szCs w:val="13"/>
          <w:color w:val="auto"/>
        </w:rPr>
        <w:t>co-founded Asana and has served as a member of our board of directors since December 2008. Mr. Rosenstein served as our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Chief Executive Officer from February 2009 to October 2010, and as our President from October 2010 to February 2019. Previously, Mr. Rosenstein served as an Engineer and Engineering Manager at Facebook, Inc., a social media and networking company, from May 2007 to November 2008, and as a Product Manager at Google Inc., a multinational technology company, from March 2004 to April 2007. Mr. Rosenstein holds a B.S. in mathematics from Stanford University.</w:t>
      </w:r>
    </w:p>
    <w:p>
      <w:pPr>
        <w:spacing w:after="0" w:line="134" w:lineRule="exact"/>
        <w:rPr>
          <w:sz w:val="20"/>
          <w:szCs w:val="20"/>
          <w:color w:val="auto"/>
        </w:rPr>
      </w:pPr>
    </w:p>
    <w:p>
      <w:pPr>
        <w:ind w:left="1680" w:right="679" w:firstLine="316"/>
        <w:spacing w:after="0" w:line="277" w:lineRule="auto"/>
        <w:rPr>
          <w:sz w:val="20"/>
          <w:szCs w:val="20"/>
          <w:color w:val="auto"/>
        </w:rPr>
      </w:pPr>
      <w:r>
        <w:rPr>
          <w:rFonts w:ascii="Times New Roman" w:cs="Times New Roman" w:eastAsia="Times New Roman" w:hAnsi="Times New Roman"/>
          <w:sz w:val="13"/>
          <w:szCs w:val="13"/>
          <w:color w:val="auto"/>
        </w:rPr>
        <w:t>We believe that Mr. Rosenstein is qualified to serve as a member of our board of directors due to the perspective and experience he brings as our co-founder and former President.</w:t>
      </w:r>
    </w:p>
    <w:p>
      <w:pPr>
        <w:spacing w:after="0" w:line="19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Family Relationships</w:t>
      </w:r>
    </w:p>
    <w:p>
      <w:pPr>
        <w:spacing w:after="0" w:line="8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There are no family relationships among any of our executive officers or directors.</w:t>
      </w:r>
    </w:p>
    <w:p>
      <w:pPr>
        <w:spacing w:after="0" w:line="23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Composition of Our Board of Directors</w:t>
      </w:r>
    </w:p>
    <w:p>
      <w:pPr>
        <w:spacing w:after="0" w:line="85" w:lineRule="exact"/>
        <w:rPr>
          <w:sz w:val="20"/>
          <w:szCs w:val="20"/>
          <w:color w:val="auto"/>
        </w:rPr>
      </w:pPr>
    </w:p>
    <w:p>
      <w:pPr>
        <w:ind w:left="1680" w:right="619" w:firstLine="316"/>
        <w:spacing w:after="0" w:line="254" w:lineRule="auto"/>
        <w:rPr>
          <w:sz w:val="20"/>
          <w:szCs w:val="20"/>
          <w:color w:val="auto"/>
        </w:rPr>
      </w:pPr>
      <w:r>
        <w:rPr>
          <w:rFonts w:ascii="Times New Roman" w:cs="Times New Roman" w:eastAsia="Times New Roman" w:hAnsi="Times New Roman"/>
          <w:sz w:val="13"/>
          <w:szCs w:val="13"/>
          <w:color w:val="auto"/>
        </w:rPr>
        <w:t>Pursuant to a voting agreement, Messrs. Cohler, Moskovitz, Rosenstein, and D’Angelo have been designated to serve as members of our board of directors. Mr. Cohler was designated as a representative of holders of our Series A preferred stock, and Mr. Moskovitz and Mr. Rosenstein were each designated as a representative of the holders of the common stock and Series 1 preferred stock. Mr. D’Angelo was designated by unanimous consent of Mr. Moskovitz and Mr. Rosenstein. Mmes. Carey, Raimondi, and Norrington were appointed by our board of directors as independent directors. The provisions of the voting agreement by which the directors are currently elected will terminate, and there will be no contractual obligations regarding the election of our directors, upon the effectiveness of the registration statement of which this prospectus forms a part.</w:t>
      </w:r>
    </w:p>
    <w:p>
      <w:pPr>
        <w:spacing w:after="0" w:line="136" w:lineRule="exact"/>
        <w:rPr>
          <w:sz w:val="20"/>
          <w:szCs w:val="20"/>
          <w:color w:val="auto"/>
        </w:rPr>
      </w:pPr>
    </w:p>
    <w:p>
      <w:pPr>
        <w:jc w:val="both"/>
        <w:ind w:left="1680" w:right="759" w:firstLine="316"/>
        <w:spacing w:after="0" w:line="263" w:lineRule="auto"/>
        <w:rPr>
          <w:sz w:val="20"/>
          <w:szCs w:val="20"/>
          <w:color w:val="auto"/>
        </w:rPr>
      </w:pPr>
      <w:r>
        <w:rPr>
          <w:rFonts w:ascii="Times New Roman" w:cs="Times New Roman" w:eastAsia="Times New Roman" w:hAnsi="Times New Roman"/>
          <w:sz w:val="13"/>
          <w:szCs w:val="13"/>
          <w:color w:val="auto"/>
        </w:rPr>
        <w:t>After the effectiveness of the registration statement of which this prospectus forms a part, the number of directors will be fixed by our board of directors, subject to the terms of our amended and restated bylaws and amended and restated certificate of incorporation that will become effective in connection with the effectiveness of the registration statement of which this prospectus forms a part.</w:t>
      </w:r>
    </w:p>
    <w:p>
      <w:pPr>
        <w:spacing w:after="0" w:line="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117</w:t>
      </w:r>
    </w:p>
    <w:p>
      <w:pPr>
        <w:sectPr>
          <w:pgSz w:w="11900" w:h="16838" w:orient="portrait"/>
          <w:cols w:equalWidth="0" w:num="1">
            <w:col w:w="10159"/>
          </w:cols>
          <w:pgMar w:left="300" w:top="367" w:right="1440" w:bottom="1440" w:gutter="0" w:footer="0" w:header="0"/>
        </w:sectPr>
      </w:pPr>
    </w:p>
    <w:bookmarkStart w:id="122" w:name="page123"/>
    <w:bookmarkEnd w:id="12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79" w:firstLine="316"/>
        <w:spacing w:after="0" w:line="256" w:lineRule="auto"/>
        <w:rPr>
          <w:sz w:val="20"/>
          <w:szCs w:val="20"/>
          <w:color w:val="auto"/>
        </w:rPr>
      </w:pPr>
      <w:r>
        <w:rPr>
          <w:rFonts w:ascii="Times New Roman" w:cs="Times New Roman" w:eastAsia="Times New Roman" w:hAnsi="Times New Roman"/>
          <w:sz w:val="13"/>
          <w:szCs w:val="13"/>
          <w:color w:val="auto"/>
        </w:rPr>
        <w:t>Our board of directors may establish the authorized number of directors from time to time by resolution. In accordance with our amended and restated certificate of incorporation, which will be in effect upon the effectiveness of the registration statement of which this prospectus forms a part,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of stockholders following election. Our directors will be divided among the three classes as follows:</w:t>
      </w:r>
    </w:p>
    <w:p>
      <w:pPr>
        <w:spacing w:after="0" w:line="65" w:lineRule="exact"/>
        <w:rPr>
          <w:sz w:val="20"/>
          <w:szCs w:val="20"/>
          <w:color w:val="auto"/>
        </w:rPr>
      </w:pPr>
    </w:p>
    <w:p>
      <w:pPr>
        <w:ind w:left="2380" w:right="739" w:hanging="381"/>
        <w:spacing w:after="0" w:line="277" w:lineRule="auto"/>
        <w:tabs>
          <w:tab w:leader="none" w:pos="238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Class I directors will be Dustin Moskovitz, Sydney Carey, and Matt Cohler, and their terms will expire at our first annual meeting of stockholders following the effectiveness of the registration statement of which this prospectus forms a part;</w:t>
      </w:r>
    </w:p>
    <w:p>
      <w:pPr>
        <w:spacing w:after="0" w:line="52" w:lineRule="exact"/>
        <w:rPr>
          <w:rFonts w:ascii="Times New Roman" w:cs="Times New Roman" w:eastAsia="Times New Roman" w:hAnsi="Times New Roman"/>
          <w:sz w:val="13"/>
          <w:szCs w:val="13"/>
          <w:color w:val="auto"/>
        </w:rPr>
      </w:pPr>
    </w:p>
    <w:p>
      <w:pPr>
        <w:ind w:left="2380" w:right="1079" w:hanging="381"/>
        <w:spacing w:after="0" w:line="277" w:lineRule="auto"/>
        <w:tabs>
          <w:tab w:leader="none" w:pos="238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Class II directors will be Justin Rosenstein and Lorrie Norrington, and their terms will expire at our second annual meeting of stockholders following the effectiveness of the registration statement of which this prospectus forms a part; and</w:t>
      </w:r>
    </w:p>
    <w:p>
      <w:pPr>
        <w:spacing w:after="0" w:line="52" w:lineRule="exact"/>
        <w:rPr>
          <w:rFonts w:ascii="Times New Roman" w:cs="Times New Roman" w:eastAsia="Times New Roman" w:hAnsi="Times New Roman"/>
          <w:sz w:val="13"/>
          <w:szCs w:val="13"/>
          <w:color w:val="auto"/>
        </w:rPr>
      </w:pPr>
    </w:p>
    <w:p>
      <w:pPr>
        <w:ind w:left="2380" w:right="619" w:hanging="381"/>
        <w:spacing w:after="0" w:line="277" w:lineRule="auto"/>
        <w:tabs>
          <w:tab w:leader="none" w:pos="238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Class III directors will be Anne Raimondi and Adam D’Angelo, and their terms will expire at our third annual meeting of stockholders following the effectiveness of the registration statement of which this prospectus forms a part.</w:t>
      </w:r>
    </w:p>
    <w:p>
      <w:pPr>
        <w:spacing w:after="0" w:line="120" w:lineRule="exact"/>
        <w:rPr>
          <w:sz w:val="20"/>
          <w:szCs w:val="20"/>
          <w:color w:val="auto"/>
        </w:rPr>
      </w:pPr>
    </w:p>
    <w:p>
      <w:pPr>
        <w:jc w:val="both"/>
        <w:ind w:left="1680" w:right="779" w:firstLine="316"/>
        <w:spacing w:after="0" w:line="263" w:lineRule="auto"/>
        <w:rPr>
          <w:sz w:val="20"/>
          <w:szCs w:val="20"/>
          <w:color w:val="auto"/>
        </w:rPr>
      </w:pPr>
      <w:r>
        <w:rPr>
          <w:rFonts w:ascii="Times New Roman" w:cs="Times New Roman" w:eastAsia="Times New Roman" w:hAnsi="Times New Roman"/>
          <w:sz w:val="13"/>
          <w:szCs w:val="13"/>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Board Independence</w:t>
      </w:r>
    </w:p>
    <w:p>
      <w:pPr>
        <w:spacing w:after="0" w:line="85" w:lineRule="exact"/>
        <w:rPr>
          <w:sz w:val="20"/>
          <w:szCs w:val="20"/>
          <w:color w:val="auto"/>
        </w:rPr>
      </w:pPr>
    </w:p>
    <w:p>
      <w:pPr>
        <w:ind w:left="1680" w:right="579" w:firstLine="316"/>
        <w:spacing w:after="0" w:line="253" w:lineRule="auto"/>
        <w:rPr>
          <w:sz w:val="20"/>
          <w:szCs w:val="20"/>
          <w:color w:val="auto"/>
        </w:rPr>
      </w:pPr>
      <w:r>
        <w:rPr>
          <w:rFonts w:ascii="Times New Roman" w:cs="Times New Roman" w:eastAsia="Times New Roman" w:hAnsi="Times New Roman"/>
          <w:sz w:val="13"/>
          <w:szCs w:val="13"/>
          <w:color w:val="auto"/>
        </w:rPr>
        <w:t>Our board of directors has undertaken a review of the independence of each director. Based on information provided by each director concerning his or her background, employment, and affiliations, our board of directors has determined that Mmes. Carey, Norrington, and Raimondi and Messrs. Cohler and D’Angelo do not have relationships that would interfere with the exercise of independent judgment in carrying out the responsibilities of a director and that each of these directors is “independent” as that term is defined under the listing standards of the NYSE.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held by each non-employee director and the transactions described in the section titled “Certain Relationships and Related Party Transactions.”</w:t>
      </w:r>
    </w:p>
    <w:p>
      <w:pPr>
        <w:spacing w:after="0" w:line="21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Board Committees</w:t>
      </w:r>
    </w:p>
    <w:p>
      <w:pPr>
        <w:spacing w:after="0" w:line="85" w:lineRule="exact"/>
        <w:rPr>
          <w:sz w:val="20"/>
          <w:szCs w:val="20"/>
          <w:color w:val="auto"/>
        </w:rPr>
      </w:pPr>
    </w:p>
    <w:p>
      <w:pPr>
        <w:ind w:left="1680" w:right="599" w:firstLine="316"/>
        <w:spacing w:after="0" w:line="258" w:lineRule="auto"/>
        <w:rPr>
          <w:sz w:val="20"/>
          <w:szCs w:val="20"/>
          <w:color w:val="auto"/>
        </w:rPr>
      </w:pPr>
      <w:r>
        <w:rPr>
          <w:rFonts w:ascii="Times New Roman" w:cs="Times New Roman" w:eastAsia="Times New Roman" w:hAnsi="Times New Roman"/>
          <w:sz w:val="13"/>
          <w:szCs w:val="13"/>
          <w:color w:val="auto"/>
        </w:rPr>
        <w:t>Our board of directors has established an audit committee, a compensation committee, and a nominating and corporate governance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Audit Committee</w:t>
      </w:r>
    </w:p>
    <w:p>
      <w:pPr>
        <w:spacing w:after="0" w:line="87" w:lineRule="exact"/>
        <w:rPr>
          <w:sz w:val="20"/>
          <w:szCs w:val="20"/>
          <w:color w:val="auto"/>
        </w:rPr>
      </w:pPr>
    </w:p>
    <w:p>
      <w:pPr>
        <w:ind w:left="1680" w:right="619" w:firstLine="316"/>
        <w:spacing w:after="0" w:line="258" w:lineRule="auto"/>
        <w:rPr>
          <w:sz w:val="20"/>
          <w:szCs w:val="20"/>
          <w:color w:val="auto"/>
        </w:rPr>
      </w:pPr>
      <w:r>
        <w:rPr>
          <w:rFonts w:ascii="Times New Roman" w:cs="Times New Roman" w:eastAsia="Times New Roman" w:hAnsi="Times New Roman"/>
          <w:sz w:val="13"/>
          <w:szCs w:val="13"/>
          <w:color w:val="auto"/>
        </w:rPr>
        <w:t>Our audit committee consists of Sydney Carey, Matthew Cohler, and Lorrie Norrington. Our board of directors has determined that each member of the audit committee satisfies the independence requirements under the listing standards of the NYSE and Rule 10A-3(b)(1) of the Exchange Act. The chair of our audit committee is Ms. Carey. Our board of directors has determined that Mmes. Carey and Norrington are each an “audit committee financial expert” within the meaning of SEC regulations. Each member of our audit committee can</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118</w:t>
      </w:r>
    </w:p>
    <w:p>
      <w:pPr>
        <w:sectPr>
          <w:pgSz w:w="11900" w:h="16838" w:orient="portrait"/>
          <w:cols w:equalWidth="0" w:num="1">
            <w:col w:w="10159"/>
          </w:cols>
          <w:pgMar w:left="300" w:top="367" w:right="1440" w:bottom="1440" w:gutter="0" w:footer="0" w:header="0"/>
        </w:sectPr>
      </w:pPr>
    </w:p>
    <w:bookmarkStart w:id="123" w:name="page124"/>
    <w:bookmarkEnd w:id="12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879"/>
        <w:spacing w:after="0" w:line="277" w:lineRule="auto"/>
        <w:rPr>
          <w:sz w:val="20"/>
          <w:szCs w:val="20"/>
          <w:color w:val="auto"/>
        </w:rPr>
      </w:pPr>
      <w:r>
        <w:rPr>
          <w:rFonts w:ascii="Times New Roman" w:cs="Times New Roman" w:eastAsia="Times New Roman" w:hAnsi="Times New Roman"/>
          <w:sz w:val="13"/>
          <w:szCs w:val="13"/>
          <w:color w:val="auto"/>
        </w:rPr>
        <w:t>read and understand fundamental financial statements in accordance with applicable requirements. In arriving at these determinations, our board of directors has examined each audit committee member’s scope of experience or the nature of his or her employment.</w:t>
      </w:r>
    </w:p>
    <w:p>
      <w:pPr>
        <w:spacing w:after="0" w:line="120" w:lineRule="exact"/>
        <w:rPr>
          <w:sz w:val="20"/>
          <w:szCs w:val="20"/>
          <w:color w:val="auto"/>
        </w:rPr>
      </w:pPr>
    </w:p>
    <w:p>
      <w:pPr>
        <w:ind w:left="1680" w:right="679" w:firstLine="316"/>
        <w:spacing w:after="0" w:line="263" w:lineRule="auto"/>
        <w:rPr>
          <w:sz w:val="20"/>
          <w:szCs w:val="20"/>
          <w:color w:val="auto"/>
        </w:rPr>
      </w:pPr>
      <w:r>
        <w:rPr>
          <w:rFonts w:ascii="Times New Roman" w:cs="Times New Roman" w:eastAsia="Times New Roman" w:hAnsi="Times New Roman"/>
          <w:sz w:val="13"/>
          <w:szCs w:val="13"/>
          <w:color w:val="auto"/>
        </w:rPr>
        <w:t>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61" w:lineRule="exact"/>
        <w:rPr>
          <w:sz w:val="20"/>
          <w:szCs w:val="20"/>
          <w:color w:val="auto"/>
        </w:rPr>
      </w:pPr>
    </w:p>
    <w:p>
      <w:pPr>
        <w:ind w:left="2380" w:hanging="381"/>
        <w:spacing w:after="0"/>
        <w:tabs>
          <w:tab w:leader="none" w:pos="238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helping our board of directors oversee our corporate accounting and financial reporting processes;</w:t>
      </w:r>
    </w:p>
    <w:p>
      <w:pPr>
        <w:spacing w:after="0" w:line="92" w:lineRule="exact"/>
        <w:rPr>
          <w:rFonts w:ascii="Times New Roman" w:cs="Times New Roman" w:eastAsia="Times New Roman" w:hAnsi="Times New Roman"/>
          <w:sz w:val="13"/>
          <w:szCs w:val="13"/>
          <w:color w:val="auto"/>
        </w:rPr>
      </w:pPr>
    </w:p>
    <w:p>
      <w:pPr>
        <w:ind w:left="2380" w:right="999" w:hanging="381"/>
        <w:spacing w:after="0" w:line="277" w:lineRule="auto"/>
        <w:tabs>
          <w:tab w:leader="none" w:pos="238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managing the selection, engagement, qualifications, independence, and performance of a qualified firm to serve as the independent registered public accounting firm to audit our financial statements;</w:t>
      </w:r>
    </w:p>
    <w:p>
      <w:pPr>
        <w:spacing w:after="0" w:line="52" w:lineRule="exact"/>
        <w:rPr>
          <w:rFonts w:ascii="Times New Roman" w:cs="Times New Roman" w:eastAsia="Times New Roman" w:hAnsi="Times New Roman"/>
          <w:sz w:val="13"/>
          <w:szCs w:val="13"/>
          <w:color w:val="auto"/>
        </w:rPr>
      </w:pPr>
    </w:p>
    <w:p>
      <w:pPr>
        <w:ind w:left="2380" w:right="639" w:hanging="381"/>
        <w:spacing w:after="0" w:line="277" w:lineRule="auto"/>
        <w:tabs>
          <w:tab w:leader="none" w:pos="238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discussing the scope and results of the audit with the independent registered public accounting firm, and reviewing, with management and the independent accountants, our interim and year-end operating results;</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developing procedures for employees to submit concerns anonymously about questionable accounting or audit matters;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related person transactions;</w:t>
      </w:r>
    </w:p>
    <w:p>
      <w:pPr>
        <w:spacing w:after="0" w:line="92" w:lineRule="exact"/>
        <w:rPr>
          <w:rFonts w:ascii="Times New Roman" w:cs="Times New Roman" w:eastAsia="Times New Roman" w:hAnsi="Times New Roman"/>
          <w:sz w:val="13"/>
          <w:szCs w:val="13"/>
          <w:color w:val="auto"/>
        </w:rPr>
      </w:pPr>
    </w:p>
    <w:p>
      <w:pPr>
        <w:ind w:left="2380" w:right="679" w:hanging="381"/>
        <w:spacing w:after="0" w:line="320" w:lineRule="auto"/>
        <w:tabs>
          <w:tab w:leader="none" w:pos="238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obtaining and reviewing a report by the independent registered public accounting firm at least annually that describes our internal control procedures, any material issues with such procedures, and any steps taken to deal with such issues when required by applicable law; and</w:t>
      </w:r>
    </w:p>
    <w:p>
      <w:pPr>
        <w:spacing w:after="0" w:line="29" w:lineRule="exact"/>
        <w:rPr>
          <w:rFonts w:ascii="Times New Roman" w:cs="Times New Roman" w:eastAsia="Times New Roman" w:hAnsi="Times New Roman"/>
          <w:sz w:val="12"/>
          <w:szCs w:val="12"/>
          <w:color w:val="auto"/>
        </w:rPr>
      </w:pPr>
    </w:p>
    <w:p>
      <w:pPr>
        <w:ind w:left="2380" w:right="799" w:hanging="381"/>
        <w:spacing w:after="0" w:line="277" w:lineRule="auto"/>
        <w:tabs>
          <w:tab w:leader="none" w:pos="238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approving or, as required, pre-approving audit and permissible non-audit services to be performed by the independent registered public accounting firm.</w:t>
      </w:r>
    </w:p>
    <w:p>
      <w:pPr>
        <w:spacing w:after="0" w:line="120" w:lineRule="exact"/>
        <w:rPr>
          <w:sz w:val="20"/>
          <w:szCs w:val="20"/>
          <w:color w:val="auto"/>
        </w:rPr>
      </w:pPr>
    </w:p>
    <w:p>
      <w:pPr>
        <w:ind w:left="1680" w:right="939" w:firstLine="316"/>
        <w:spacing w:after="0" w:line="277" w:lineRule="auto"/>
        <w:rPr>
          <w:sz w:val="20"/>
          <w:szCs w:val="20"/>
          <w:color w:val="auto"/>
        </w:rPr>
      </w:pPr>
      <w:r>
        <w:rPr>
          <w:rFonts w:ascii="Times New Roman" w:cs="Times New Roman" w:eastAsia="Times New Roman" w:hAnsi="Times New Roman"/>
          <w:sz w:val="13"/>
          <w:szCs w:val="13"/>
          <w:color w:val="auto"/>
        </w:rPr>
        <w:t>Our audit committee will operate under a written charter, to be effective prior to the effectiveness of the registration statement of which this prospectus forms a part, that satisfies the applicable listing standards of the NYSE.</w:t>
      </w:r>
    </w:p>
    <w:p>
      <w:pPr>
        <w:spacing w:after="0" w:line="19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Compensation Committee</w:t>
      </w:r>
    </w:p>
    <w:p>
      <w:pPr>
        <w:spacing w:after="0" w:line="8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Our compensation committee consists of Sydney Carey, Adam D’Angelo, and Anne Raimondi. The chair of our compensation committee is</w:t>
      </w:r>
    </w:p>
    <w:p>
      <w:pPr>
        <w:spacing w:after="0" w:line="18" w:lineRule="exact"/>
        <w:rPr>
          <w:sz w:val="20"/>
          <w:szCs w:val="20"/>
          <w:color w:val="auto"/>
        </w:rPr>
      </w:pPr>
    </w:p>
    <w:p>
      <w:pPr>
        <w:ind w:left="1680" w:right="579"/>
        <w:spacing w:after="0" w:line="258" w:lineRule="auto"/>
        <w:rPr>
          <w:sz w:val="20"/>
          <w:szCs w:val="20"/>
          <w:color w:val="auto"/>
        </w:rPr>
      </w:pPr>
      <w:r>
        <w:rPr>
          <w:rFonts w:ascii="Times New Roman" w:cs="Times New Roman" w:eastAsia="Times New Roman" w:hAnsi="Times New Roman"/>
          <w:sz w:val="13"/>
          <w:szCs w:val="13"/>
          <w:color w:val="auto"/>
        </w:rPr>
        <w:t>Ms. Raimondi. Our board of directors has determined that each member of the compensation committee is independent under the listing standards of the NYSE, and a “non-employee director” as defined in Rule 16b-3 promulgated under the Exchange Act.</w:t>
      </w:r>
    </w:p>
    <w:p>
      <w:pPr>
        <w:spacing w:after="0" w:line="132" w:lineRule="exact"/>
        <w:rPr>
          <w:sz w:val="20"/>
          <w:szCs w:val="20"/>
          <w:color w:val="auto"/>
        </w:rPr>
      </w:pPr>
    </w:p>
    <w:p>
      <w:pPr>
        <w:ind w:left="1680" w:right="639" w:firstLine="316"/>
        <w:spacing w:after="0" w:line="263" w:lineRule="auto"/>
        <w:rPr>
          <w:sz w:val="20"/>
          <w:szCs w:val="20"/>
          <w:color w:val="auto"/>
        </w:rPr>
      </w:pPr>
      <w:r>
        <w:rPr>
          <w:rFonts w:ascii="Times New Roman" w:cs="Times New Roman" w:eastAsia="Times New Roman" w:hAnsi="Times New Roman"/>
          <w:sz w:val="13"/>
          <w:szCs w:val="13"/>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w:t>
      </w:r>
    </w:p>
    <w:p>
      <w:pPr>
        <w:spacing w:after="0" w:line="12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Specific responsibilities of our compensation committee include:</w:t>
      </w:r>
    </w:p>
    <w:p>
      <w:pPr>
        <w:spacing w:after="0" w:line="93" w:lineRule="exact"/>
        <w:rPr>
          <w:sz w:val="20"/>
          <w:szCs w:val="20"/>
          <w:color w:val="auto"/>
        </w:rPr>
      </w:pPr>
    </w:p>
    <w:p>
      <w:pPr>
        <w:ind w:left="2380" w:right="759" w:hanging="381"/>
        <w:spacing w:after="0" w:line="277" w:lineRule="auto"/>
        <w:tabs>
          <w:tab w:leader="none" w:pos="238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approving, and determining, or recommending to our board of directors, the compensation of our chief executive officer and other executive officers;</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and recommending to our board of directors the compensation of our directors;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administering our equity incentive plans and other benefit programs;</w:t>
      </w:r>
    </w:p>
    <w:p>
      <w:pPr>
        <w:spacing w:after="0" w:line="92" w:lineRule="exact"/>
        <w:rPr>
          <w:rFonts w:ascii="Times New Roman" w:cs="Times New Roman" w:eastAsia="Times New Roman" w:hAnsi="Times New Roman"/>
          <w:sz w:val="13"/>
          <w:szCs w:val="13"/>
          <w:color w:val="auto"/>
        </w:rPr>
      </w:pPr>
    </w:p>
    <w:p>
      <w:pPr>
        <w:ind w:left="2380" w:right="659" w:hanging="381"/>
        <w:spacing w:after="0" w:line="263" w:lineRule="auto"/>
        <w:tabs>
          <w:tab w:leader="none" w:pos="238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adopting, amending, and terminating, or recommending to our board of directors, incentive compensation and equity plans, severance agreements, profit sharing plans, bonus plans, change-of-control protections, and any other compensatory arrangements for our executive officers and other senior management; and</w:t>
      </w:r>
    </w:p>
    <w:p>
      <w:pPr>
        <w:spacing w:after="0" w:line="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119</w:t>
      </w:r>
    </w:p>
    <w:p>
      <w:pPr>
        <w:sectPr>
          <w:pgSz w:w="11900" w:h="16838" w:orient="portrait"/>
          <w:cols w:equalWidth="0" w:num="1">
            <w:col w:w="10159"/>
          </w:cols>
          <w:pgMar w:left="300" w:top="367" w:right="1440" w:bottom="1440" w:gutter="0" w:footer="0" w:header="0"/>
        </w:sectPr>
      </w:pPr>
    </w:p>
    <w:bookmarkStart w:id="124" w:name="page125"/>
    <w:bookmarkEnd w:id="12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2380" w:right="739" w:hanging="381"/>
        <w:spacing w:after="0" w:line="277" w:lineRule="auto"/>
        <w:tabs>
          <w:tab w:leader="none" w:pos="238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and establishing general policies relating to compensation and benefits of our employees, including our overall compensation philosophy.</w:t>
      </w:r>
    </w:p>
    <w:p>
      <w:pPr>
        <w:spacing w:after="0" w:line="120" w:lineRule="exact"/>
        <w:rPr>
          <w:sz w:val="20"/>
          <w:szCs w:val="20"/>
          <w:color w:val="auto"/>
        </w:rPr>
      </w:pPr>
    </w:p>
    <w:p>
      <w:pPr>
        <w:ind w:left="1680" w:right="699" w:firstLine="316"/>
        <w:spacing w:after="0" w:line="277" w:lineRule="auto"/>
        <w:rPr>
          <w:sz w:val="20"/>
          <w:szCs w:val="20"/>
          <w:color w:val="auto"/>
        </w:rPr>
      </w:pPr>
      <w:r>
        <w:rPr>
          <w:rFonts w:ascii="Times New Roman" w:cs="Times New Roman" w:eastAsia="Times New Roman" w:hAnsi="Times New Roman"/>
          <w:sz w:val="13"/>
          <w:szCs w:val="13"/>
          <w:color w:val="auto"/>
        </w:rPr>
        <w:t>Our compensation committee will operate under a written charter, to be effective prior to the effectiveness of the registration statement of which this prospectus forms a part, that satisfies the applicable listing standards of the NYSE.</w:t>
      </w:r>
    </w:p>
    <w:p>
      <w:pPr>
        <w:spacing w:after="0" w:line="19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Nominating and Governance Committee</w:t>
      </w:r>
    </w:p>
    <w:p>
      <w:pPr>
        <w:spacing w:after="0" w:line="87" w:lineRule="exact"/>
        <w:rPr>
          <w:sz w:val="20"/>
          <w:szCs w:val="20"/>
          <w:color w:val="auto"/>
        </w:rPr>
      </w:pPr>
    </w:p>
    <w:p>
      <w:pPr>
        <w:ind w:left="1680" w:right="819" w:firstLine="316"/>
        <w:spacing w:after="0" w:line="263" w:lineRule="auto"/>
        <w:rPr>
          <w:sz w:val="20"/>
          <w:szCs w:val="20"/>
          <w:color w:val="auto"/>
        </w:rPr>
      </w:pPr>
      <w:r>
        <w:rPr>
          <w:rFonts w:ascii="Times New Roman" w:cs="Times New Roman" w:eastAsia="Times New Roman" w:hAnsi="Times New Roman"/>
          <w:sz w:val="13"/>
          <w:szCs w:val="13"/>
          <w:color w:val="auto"/>
        </w:rPr>
        <w:t>Our nominating and corporate governance committee consists of Matthew Cohler, Lorrie Norrington, and Anne Raimondi. The chair of our nominating and governance committee is Ms. Norrington. Our board of directors has determined that each member of the nominating and corporate governance committee is independent under the listing standards of the NYSE.</w:t>
      </w:r>
    </w:p>
    <w:p>
      <w:pPr>
        <w:spacing w:after="0" w:line="12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Specific responsibilities of our nominating and corporate governance committee include:</w:t>
      </w:r>
    </w:p>
    <w:p>
      <w:pPr>
        <w:spacing w:after="0" w:line="93" w:lineRule="exact"/>
        <w:rPr>
          <w:sz w:val="20"/>
          <w:szCs w:val="20"/>
          <w:color w:val="auto"/>
        </w:rPr>
      </w:pPr>
    </w:p>
    <w:p>
      <w:pPr>
        <w:ind w:left="2380" w:right="879" w:hanging="381"/>
        <w:spacing w:after="0" w:line="277" w:lineRule="auto"/>
        <w:tabs>
          <w:tab w:leader="none" w:pos="238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identifying and evaluating candidates, including the nomination of incumbent directors for reelection and nominees recommended by stockholders, to serve on our board of directors;</w:t>
      </w:r>
    </w:p>
    <w:p>
      <w:pPr>
        <w:spacing w:after="0" w:line="52" w:lineRule="exact"/>
        <w:rPr>
          <w:rFonts w:ascii="Times New Roman" w:cs="Times New Roman" w:eastAsia="Times New Roman" w:hAnsi="Times New Roman"/>
          <w:sz w:val="13"/>
          <w:szCs w:val="13"/>
          <w:color w:val="auto"/>
        </w:rPr>
      </w:pPr>
    </w:p>
    <w:p>
      <w:pPr>
        <w:ind w:left="2380" w:right="599" w:hanging="381"/>
        <w:spacing w:after="0" w:line="277" w:lineRule="auto"/>
        <w:tabs>
          <w:tab w:leader="none" w:pos="238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considering and making recommendations to our board of directors regarding the composition and leadership of our board of directors and its committees;</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developing, and making recommendations to our board of directors regarding corporate governance guidelines and matters; and</w:t>
      </w:r>
    </w:p>
    <w:p>
      <w:pPr>
        <w:spacing w:after="0" w:line="104" w:lineRule="exact"/>
        <w:rPr>
          <w:rFonts w:ascii="Times New Roman" w:cs="Times New Roman" w:eastAsia="Times New Roman" w:hAnsi="Times New Roman"/>
          <w:sz w:val="12"/>
          <w:szCs w:val="12"/>
          <w:color w:val="auto"/>
        </w:rPr>
      </w:pPr>
    </w:p>
    <w:p>
      <w:pPr>
        <w:ind w:left="2380" w:hanging="381"/>
        <w:spacing w:after="0"/>
        <w:tabs>
          <w:tab w:leader="none" w:pos="238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overseeing periodic evaluations of the board of directors’ performance, including committees of the board of directors.</w:t>
      </w:r>
    </w:p>
    <w:p>
      <w:pPr>
        <w:spacing w:after="0" w:line="161" w:lineRule="exact"/>
        <w:rPr>
          <w:sz w:val="20"/>
          <w:szCs w:val="20"/>
          <w:color w:val="auto"/>
        </w:rPr>
      </w:pPr>
    </w:p>
    <w:p>
      <w:pPr>
        <w:ind w:left="1680" w:right="1099" w:firstLine="316"/>
        <w:spacing w:after="0" w:line="277" w:lineRule="auto"/>
        <w:rPr>
          <w:sz w:val="20"/>
          <w:szCs w:val="20"/>
          <w:color w:val="auto"/>
        </w:rPr>
      </w:pPr>
      <w:r>
        <w:rPr>
          <w:rFonts w:ascii="Times New Roman" w:cs="Times New Roman" w:eastAsia="Times New Roman" w:hAnsi="Times New Roman"/>
          <w:sz w:val="13"/>
          <w:szCs w:val="13"/>
          <w:color w:val="auto"/>
        </w:rPr>
        <w:t>Our nominating and corporate governance committee will operate under a written charter, to be effective prior to the effectiveness of the registration statement of which this prospectus forms a part, that satisfies the applicable listing standards of the NYSE.</w:t>
      </w:r>
    </w:p>
    <w:p>
      <w:pPr>
        <w:spacing w:after="0" w:line="19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Code of Business Conduct and Ethics</w:t>
      </w:r>
    </w:p>
    <w:p>
      <w:pPr>
        <w:spacing w:after="0" w:line="85" w:lineRule="exact"/>
        <w:rPr>
          <w:sz w:val="20"/>
          <w:szCs w:val="20"/>
          <w:color w:val="auto"/>
        </w:rPr>
      </w:pPr>
    </w:p>
    <w:p>
      <w:pPr>
        <w:ind w:left="1680" w:right="619" w:firstLine="316"/>
        <w:spacing w:after="0" w:line="253" w:lineRule="auto"/>
        <w:rPr>
          <w:sz w:val="20"/>
          <w:szCs w:val="20"/>
          <w:color w:val="auto"/>
        </w:rPr>
      </w:pPr>
      <w:r>
        <w:rPr>
          <w:rFonts w:ascii="Times New Roman" w:cs="Times New Roman" w:eastAsia="Times New Roman" w:hAnsi="Times New Roman"/>
          <w:sz w:val="13"/>
          <w:szCs w:val="13"/>
          <w:color w:val="auto"/>
        </w:rPr>
        <w:t>We have adopted a code of business conduct and ethics that will apply to our directors, officers, and employees, including our principal executive officer, principal financial officer, principal accounting officer or controller, or persons performing similar functions. Upon the effectiveness of the registration statement of which this prospectus forms a part, our code of business conduct and ethics will be available under the Corporate Governance section of our website at https://asana.com. In addition, we intend to post on our website all disclosures that are required by law or the listing standards of the NYSE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21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Compensation Committee Interlocks and Insider Participation</w:t>
      </w:r>
    </w:p>
    <w:p>
      <w:pPr>
        <w:spacing w:after="0" w:line="85" w:lineRule="exact"/>
        <w:rPr>
          <w:sz w:val="20"/>
          <w:szCs w:val="20"/>
          <w:color w:val="auto"/>
        </w:rPr>
      </w:pPr>
    </w:p>
    <w:p>
      <w:pPr>
        <w:jc w:val="both"/>
        <w:ind w:left="1680" w:right="599" w:firstLine="316"/>
        <w:spacing w:after="0" w:line="263" w:lineRule="auto"/>
        <w:rPr>
          <w:sz w:val="20"/>
          <w:szCs w:val="20"/>
          <w:color w:val="auto"/>
        </w:rPr>
      </w:pPr>
      <w:r>
        <w:rPr>
          <w:rFonts w:ascii="Times New Roman" w:cs="Times New Roman" w:eastAsia="Times New Roman" w:hAnsi="Times New Roman"/>
          <w:sz w:val="13"/>
          <w:szCs w:val="13"/>
          <w:color w:val="auto"/>
        </w:rPr>
        <w:t>None of the members of the compensation committee is currently or has been at any time one of our officers or employees.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Director Compensation</w:t>
      </w:r>
    </w:p>
    <w:p>
      <w:pPr>
        <w:spacing w:after="0" w:line="85" w:lineRule="exact"/>
        <w:rPr>
          <w:sz w:val="20"/>
          <w:szCs w:val="20"/>
          <w:color w:val="auto"/>
        </w:rPr>
      </w:pPr>
    </w:p>
    <w:p>
      <w:pPr>
        <w:ind w:left="1680" w:right="979" w:firstLine="316"/>
        <w:spacing w:after="0" w:line="277" w:lineRule="auto"/>
        <w:rPr>
          <w:sz w:val="20"/>
          <w:szCs w:val="20"/>
          <w:color w:val="auto"/>
        </w:rPr>
      </w:pPr>
      <w:r>
        <w:rPr>
          <w:rFonts w:ascii="Times New Roman" w:cs="Times New Roman" w:eastAsia="Times New Roman" w:hAnsi="Times New Roman"/>
          <w:sz w:val="13"/>
          <w:szCs w:val="13"/>
          <w:color w:val="auto"/>
        </w:rPr>
        <w:t>The following table sets forth information regarding the compensation earned or paid to our directors during fiscal 2020, other than Dustin Moskovitz, our Chief Executive Officer, and Justin Rosenstein, who served as our</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120</w:t>
      </w:r>
    </w:p>
    <w:p>
      <w:pPr>
        <w:sectPr>
          <w:pgSz w:w="11900" w:h="16838" w:orient="portrait"/>
          <w:cols w:equalWidth="0" w:num="1">
            <w:col w:w="10159"/>
          </w:cols>
          <w:pgMar w:left="300" w:top="367" w:right="1440" w:bottom="1440" w:gutter="0" w:footer="0" w:header="0"/>
        </w:sectPr>
      </w:pPr>
    </w:p>
    <w:bookmarkStart w:id="125" w:name="page126"/>
    <w:bookmarkEnd w:id="12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99"/>
        <w:spacing w:after="0" w:line="263" w:lineRule="auto"/>
        <w:rPr>
          <w:sz w:val="20"/>
          <w:szCs w:val="20"/>
          <w:color w:val="auto"/>
        </w:rPr>
      </w:pPr>
      <w:r>
        <w:rPr>
          <w:rFonts w:ascii="Times New Roman" w:cs="Times New Roman" w:eastAsia="Times New Roman" w:hAnsi="Times New Roman"/>
          <w:sz w:val="13"/>
          <w:szCs w:val="13"/>
          <w:color w:val="auto"/>
        </w:rPr>
        <w:t>President until February 2019. Neither Mr. Moskovitz nor Mr. Rosenstein received any additional compensation for service as a director for fiscal 2020. The compensation of Mr. Moskovitz, as a named executive officer, is set forth below under “Executive Compensation—Summary Compensation Table.”</w:t>
      </w:r>
    </w:p>
    <w:p>
      <w:pPr>
        <w:spacing w:after="0" w:line="136"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382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2740" w:type="dxa"/>
            <w:vAlign w:val="bottom"/>
          </w:tcPr>
          <w:p>
            <w:pPr>
              <w:spacing w:after="0"/>
              <w:rPr>
                <w:sz w:val="10"/>
                <w:szCs w:val="10"/>
                <w:color w:val="auto"/>
              </w:rPr>
            </w:pP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Option</w:t>
            </w:r>
          </w:p>
        </w:tc>
        <w:tc>
          <w:tcPr>
            <w:tcW w:w="280" w:type="dxa"/>
            <w:vAlign w:val="bottom"/>
          </w:tcPr>
          <w:p>
            <w:pPr>
              <w:spacing w:after="0"/>
              <w:rPr>
                <w:sz w:val="10"/>
                <w:szCs w:val="10"/>
                <w:color w:val="auto"/>
              </w:rPr>
            </w:pPr>
          </w:p>
        </w:tc>
        <w:tc>
          <w:tcPr>
            <w:tcW w:w="5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4"/>
        </w:trPr>
        <w:tc>
          <w:tcPr>
            <w:tcW w:w="3820" w:type="dxa"/>
            <w:vAlign w:val="bottom"/>
            <w:gridSpan w:val="3"/>
            <w:vMerge w:val="continue"/>
          </w:tcPr>
          <w:p>
            <w:pPr>
              <w:spacing w:after="0"/>
              <w:rPr>
                <w:sz w:val="9"/>
                <w:szCs w:val="9"/>
                <w:color w:val="auto"/>
              </w:rPr>
            </w:pPr>
          </w:p>
        </w:tc>
        <w:tc>
          <w:tcPr>
            <w:tcW w:w="2740" w:type="dxa"/>
            <w:vAlign w:val="bottom"/>
          </w:tcPr>
          <w:p>
            <w:pPr>
              <w:spacing w:after="0"/>
              <w:rPr>
                <w:sz w:val="9"/>
                <w:szCs w:val="9"/>
                <w:color w:val="auto"/>
              </w:rPr>
            </w:pPr>
          </w:p>
        </w:tc>
        <w:tc>
          <w:tcPr>
            <w:tcW w:w="52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b w:val="1"/>
                <w:bCs w:val="1"/>
                <w:color w:val="auto"/>
              </w:rPr>
              <w:t>Awards</w:t>
            </w:r>
            <w:r>
              <w:rPr>
                <w:rFonts w:ascii="Times New Roman" w:cs="Times New Roman" w:eastAsia="Times New Roman" w:hAnsi="Times New Roman"/>
                <w:sz w:val="8"/>
                <w:szCs w:val="8"/>
                <w:b w:val="1"/>
                <w:bCs w:val="1"/>
                <w:color w:val="auto"/>
              </w:rPr>
              <w:t>(1)</w:t>
            </w:r>
          </w:p>
        </w:tc>
        <w:tc>
          <w:tcPr>
            <w:tcW w:w="28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3800" w:type="dxa"/>
            <w:vAlign w:val="bottom"/>
            <w:gridSpan w:val="2"/>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Sydney Carey</w:t>
            </w:r>
            <w:r>
              <w:rPr>
                <w:rFonts w:ascii="Times New Roman" w:cs="Times New Roman" w:eastAsia="Times New Roman" w:hAnsi="Times New Roman"/>
                <w:sz w:val="10"/>
                <w:szCs w:val="10"/>
                <w:color w:val="auto"/>
              </w:rPr>
              <w:t>(2)</w:t>
            </w:r>
          </w:p>
        </w:tc>
        <w:tc>
          <w:tcPr>
            <w:tcW w:w="27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w w:val="96"/>
              </w:rPr>
              <w:t>$ 217,061</w:t>
            </w: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w w:val="96"/>
              </w:rPr>
              <w:t>$ 217,061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Matthew Cohler</w:t>
            </w:r>
          </w:p>
        </w:tc>
        <w:tc>
          <w:tcPr>
            <w:tcW w:w="27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Adam D’Angelo</w:t>
            </w:r>
          </w:p>
        </w:tc>
        <w:tc>
          <w:tcPr>
            <w:tcW w:w="27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Colin le Duc</w:t>
            </w:r>
            <w:r>
              <w:rPr>
                <w:rFonts w:ascii="Times New Roman" w:cs="Times New Roman" w:eastAsia="Times New Roman" w:hAnsi="Times New Roman"/>
                <w:sz w:val="10"/>
                <w:szCs w:val="10"/>
                <w:color w:val="auto"/>
              </w:rPr>
              <w:t>(3)</w:t>
            </w:r>
          </w:p>
        </w:tc>
        <w:tc>
          <w:tcPr>
            <w:tcW w:w="27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Anne Raimondi</w:t>
            </w:r>
            <w:r>
              <w:rPr>
                <w:rFonts w:ascii="Times New Roman" w:cs="Times New Roman" w:eastAsia="Times New Roman" w:hAnsi="Times New Roman"/>
                <w:sz w:val="10"/>
                <w:szCs w:val="10"/>
                <w:color w:val="auto"/>
              </w:rPr>
              <w:t>(4)</w:t>
            </w:r>
          </w:p>
        </w:tc>
        <w:tc>
          <w:tcPr>
            <w:tcW w:w="3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106,340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106,340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Lorrie Norrington</w:t>
            </w:r>
            <w:r>
              <w:rPr>
                <w:rFonts w:ascii="Times New Roman" w:cs="Times New Roman" w:eastAsia="Times New Roman" w:hAnsi="Times New Roman"/>
                <w:sz w:val="10"/>
                <w:szCs w:val="10"/>
                <w:color w:val="auto"/>
              </w:rPr>
              <w:t>(5)</w:t>
            </w:r>
          </w:p>
        </w:tc>
        <w:tc>
          <w:tcPr>
            <w:tcW w:w="3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217,061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217,061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53975</wp:posOffset>
            </wp:positionV>
            <wp:extent cx="548005"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48005" cy="6350"/>
                    </a:xfrm>
                    <a:prstGeom prst="rect">
                      <a:avLst/>
                    </a:prstGeom>
                    <a:noFill/>
                  </pic:spPr>
                </pic:pic>
              </a:graphicData>
            </a:graphic>
          </wp:anchor>
        </w:drawing>
      </w:r>
    </w:p>
    <w:p>
      <w:pPr>
        <w:spacing w:after="0" w:line="89" w:lineRule="exact"/>
        <w:rPr>
          <w:sz w:val="20"/>
          <w:szCs w:val="20"/>
          <w:color w:val="auto"/>
        </w:rPr>
      </w:pPr>
    </w:p>
    <w:p>
      <w:pPr>
        <w:ind w:left="2000" w:right="579" w:hanging="311"/>
        <w:spacing w:after="0" w:line="226" w:lineRule="auto"/>
        <w:tabs>
          <w:tab w:leader="none" w:pos="2000" w:val="left"/>
        </w:tabs>
        <w:numPr>
          <w:ilvl w:val="0"/>
          <w:numId w:val="5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amounts reported in these columns represent the aggregate grant-date fair value of equity awards granted under our Amended and Restated 2012 Stock Plan to our directors during fiscal 2020, as computed in accordance with FASB ASC Topic 718. The assumptions used in calculating the dollar amount recognized for financial statement reporting purposes of the equity awards reported in these columns are set forth in Note 11 to our consolidated financial statements included elsewhere in this prospectus. Note that the amounts reported in these columns reflect the accounting cost for these equity awards and do not correspond to the actual economic value that may be received by our directors from the equity awards. As of January 31, 2020, none of our non-employee directors held any equity awards other than Mmes. Carey, Raimondi, and Norrington who each held 50,000 shares of restricted stock acquired upon exercise of stock options, of which 43,750, 37,500, and 43,750 shares, respectively, were unvested as of January 31, 2020 and subject to repurchase by us.</w:t>
      </w:r>
    </w:p>
    <w:p>
      <w:pPr>
        <w:ind w:left="2000" w:hanging="311"/>
        <w:spacing w:after="0" w:line="222" w:lineRule="auto"/>
        <w:tabs>
          <w:tab w:leader="none" w:pos="2000" w:val="left"/>
        </w:tabs>
        <w:numPr>
          <w:ilvl w:val="0"/>
          <w:numId w:val="5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Ms. Carey was appointed to our board of directors in July 2019.</w:t>
      </w:r>
    </w:p>
    <w:p>
      <w:pPr>
        <w:ind w:left="2000" w:hanging="311"/>
        <w:spacing w:after="0" w:line="222" w:lineRule="auto"/>
        <w:tabs>
          <w:tab w:leader="none" w:pos="2000" w:val="left"/>
        </w:tabs>
        <w:numPr>
          <w:ilvl w:val="0"/>
          <w:numId w:val="5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Mr. le Duc resigned from our board of directors in November 2019.</w:t>
      </w:r>
    </w:p>
    <w:p>
      <w:pPr>
        <w:ind w:left="2000" w:hanging="311"/>
        <w:spacing w:after="0" w:line="222" w:lineRule="auto"/>
        <w:tabs>
          <w:tab w:leader="none" w:pos="2000" w:val="left"/>
        </w:tabs>
        <w:numPr>
          <w:ilvl w:val="0"/>
          <w:numId w:val="5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Ms. Raimondi was appointed to our board of directors in February 2019.</w:t>
      </w:r>
    </w:p>
    <w:p>
      <w:pPr>
        <w:ind w:left="2000" w:hanging="311"/>
        <w:spacing w:after="0"/>
        <w:tabs>
          <w:tab w:leader="none" w:pos="2000" w:val="left"/>
        </w:tabs>
        <w:numPr>
          <w:ilvl w:val="0"/>
          <w:numId w:val="5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Ms. Norrington was appointed to our board of directors in July 2019.</w:t>
      </w:r>
    </w:p>
    <w:p>
      <w:pPr>
        <w:spacing w:after="0" w:line="139" w:lineRule="exact"/>
        <w:rPr>
          <w:sz w:val="20"/>
          <w:szCs w:val="20"/>
          <w:color w:val="auto"/>
        </w:rPr>
      </w:pPr>
    </w:p>
    <w:p>
      <w:pPr>
        <w:ind w:left="1680" w:right="559" w:firstLine="316"/>
        <w:spacing w:after="0" w:line="254" w:lineRule="auto"/>
        <w:rPr>
          <w:sz w:val="20"/>
          <w:szCs w:val="20"/>
          <w:color w:val="auto"/>
        </w:rPr>
      </w:pPr>
      <w:r>
        <w:rPr>
          <w:rFonts w:ascii="Times New Roman" w:cs="Times New Roman" w:eastAsia="Times New Roman" w:hAnsi="Times New Roman"/>
          <w:sz w:val="13"/>
          <w:szCs w:val="13"/>
          <w:color w:val="auto"/>
        </w:rPr>
        <w:t>Prior to the effectiveness of the registration statement of which this prospectus forms a part, we did not have a formal policy with respect to compensation payable to our non-employee directors for service as directors. From time to time, we have granted equity awards to certain non-employee directors for their service on our board of directors. In connection with the appointment of each of Ms. Carey, Ms. Norrington, and Ms. Raimondi to our board of directors, we granted the director an early-exercisable option to purchase 50,000 shares of our common stock with an exercise price per share equal to $4.02, $4.02, and $3.70, respectively. Each option vests and becomes exercisable in equal monthly installments over four years from the date the director was appointed to our board, subject to continued service on our board of directors.</w:t>
      </w:r>
    </w:p>
    <w:p>
      <w:pPr>
        <w:spacing w:after="0" w:line="136" w:lineRule="exact"/>
        <w:rPr>
          <w:sz w:val="20"/>
          <w:szCs w:val="20"/>
          <w:color w:val="auto"/>
        </w:rPr>
      </w:pPr>
    </w:p>
    <w:p>
      <w:pPr>
        <w:ind w:left="1680" w:right="699" w:firstLine="316"/>
        <w:spacing w:after="0" w:line="277" w:lineRule="auto"/>
        <w:rPr>
          <w:sz w:val="20"/>
          <w:szCs w:val="20"/>
          <w:color w:val="auto"/>
        </w:rPr>
      </w:pPr>
      <w:r>
        <w:rPr>
          <w:rFonts w:ascii="Times New Roman" w:cs="Times New Roman" w:eastAsia="Times New Roman" w:hAnsi="Times New Roman"/>
          <w:sz w:val="13"/>
          <w:szCs w:val="13"/>
          <w:color w:val="auto"/>
        </w:rPr>
        <w:t>We also have reimbursed our directors for expenses associated with attending meetings of our board of directors and committees of our board of directors.</w:t>
      </w:r>
    </w:p>
    <w:p>
      <w:pPr>
        <w:spacing w:after="0" w:line="120" w:lineRule="exact"/>
        <w:rPr>
          <w:sz w:val="20"/>
          <w:szCs w:val="20"/>
          <w:color w:val="auto"/>
        </w:rPr>
      </w:pPr>
    </w:p>
    <w:p>
      <w:pPr>
        <w:ind w:left="1680" w:right="759" w:firstLine="316"/>
        <w:spacing w:after="0" w:line="263" w:lineRule="auto"/>
        <w:rPr>
          <w:sz w:val="20"/>
          <w:szCs w:val="20"/>
          <w:color w:val="auto"/>
        </w:rPr>
      </w:pPr>
      <w:r>
        <w:rPr>
          <w:rFonts w:ascii="Times New Roman" w:cs="Times New Roman" w:eastAsia="Times New Roman" w:hAnsi="Times New Roman"/>
          <w:sz w:val="13"/>
          <w:szCs w:val="13"/>
          <w:color w:val="auto"/>
        </w:rPr>
        <w:t>In August 2020, our board of directors adopted a non-employee director compensation policy that will become effective upon the listing of our Class A common stock on the NYSE and will be applicable to all of our non-employee directors. This compensation policy provides that each such non-employee director will receive the compensation described below for service on our board of directors.</w:t>
      </w:r>
    </w:p>
    <w:p>
      <w:pPr>
        <w:spacing w:after="0" w:line="129" w:lineRule="exact"/>
        <w:rPr>
          <w:sz w:val="20"/>
          <w:szCs w:val="20"/>
          <w:color w:val="auto"/>
        </w:rPr>
      </w:pPr>
    </w:p>
    <w:p>
      <w:pPr>
        <w:ind w:left="1680" w:right="579" w:firstLine="316"/>
        <w:spacing w:after="0" w:line="277" w:lineRule="auto"/>
        <w:rPr>
          <w:sz w:val="20"/>
          <w:szCs w:val="20"/>
          <w:color w:val="auto"/>
        </w:rPr>
      </w:pPr>
      <w:r>
        <w:rPr>
          <w:rFonts w:ascii="Times New Roman" w:cs="Times New Roman" w:eastAsia="Times New Roman" w:hAnsi="Times New Roman"/>
          <w:sz w:val="13"/>
          <w:szCs w:val="13"/>
          <w:color w:val="auto"/>
        </w:rPr>
        <w:t>Under this policy, we will pay each of our non-employee directors cash retainers for service on our board of directors and committees of our board of directors as follows:</w:t>
      </w:r>
    </w:p>
    <w:p>
      <w:pPr>
        <w:spacing w:after="0" w:line="127"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1920" w:type="dxa"/>
            <w:vAlign w:val="bottom"/>
            <w:gridSpan w:val="3"/>
          </w:tcPr>
          <w:p>
            <w:pPr>
              <w:jc w:val="center"/>
              <w:ind w:left="1197"/>
              <w:spacing w:after="0"/>
              <w:rPr>
                <w:sz w:val="20"/>
                <w:szCs w:val="20"/>
                <w:color w:val="auto"/>
              </w:rPr>
            </w:pPr>
            <w:r>
              <w:rPr>
                <w:rFonts w:ascii="Times New Roman" w:cs="Times New Roman" w:eastAsia="Times New Roman" w:hAnsi="Times New Roman"/>
                <w:sz w:val="10"/>
                <w:szCs w:val="10"/>
                <w:b w:val="1"/>
                <w:bCs w:val="1"/>
                <w:color w:val="auto"/>
              </w:rPr>
              <w:t>Annual Cash</w:t>
            </w:r>
          </w:p>
        </w:tc>
      </w:tr>
      <w:tr>
        <w:trPr>
          <w:trHeight w:val="123"/>
        </w:trPr>
        <w:tc>
          <w:tcPr>
            <w:tcW w:w="2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Retainer</w:t>
            </w:r>
          </w:p>
        </w:tc>
      </w:tr>
      <w:tr>
        <w:trPr>
          <w:trHeight w:val="145"/>
        </w:trPr>
        <w:tc>
          <w:tcPr>
            <w:tcW w:w="20" w:type="dxa"/>
            <w:vAlign w:val="bottom"/>
          </w:tcPr>
          <w:p>
            <w:pPr>
              <w:spacing w:after="0"/>
              <w:rPr>
                <w:sz w:val="12"/>
                <w:szCs w:val="12"/>
                <w:color w:val="auto"/>
              </w:rPr>
            </w:pPr>
          </w:p>
        </w:tc>
        <w:tc>
          <w:tcPr>
            <w:tcW w:w="598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Annual retainer</w:t>
            </w:r>
          </w:p>
        </w:tc>
        <w:tc>
          <w:tcPr>
            <w:tcW w:w="13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   30,000</w:t>
            </w:r>
          </w:p>
        </w:tc>
        <w:tc>
          <w:tcPr>
            <w:tcW w:w="40" w:type="dxa"/>
            <w:vAlign w:val="bottom"/>
            <w:tcBorders>
              <w:top w:val="single" w:sz="8" w:color="CCEEFF"/>
            </w:tcBorders>
            <w:shd w:val="clear" w:color="auto" w:fill="CCEEFF"/>
          </w:tcPr>
          <w:p>
            <w:pPr>
              <w:spacing w:after="0"/>
              <w:rPr>
                <w:sz w:val="12"/>
                <w:szCs w:val="12"/>
                <w:color w:val="auto"/>
              </w:rPr>
            </w:pPr>
          </w:p>
        </w:tc>
      </w:tr>
      <w:tr>
        <w:trPr>
          <w:trHeight w:val="155"/>
        </w:trPr>
        <w:tc>
          <w:tcPr>
            <w:tcW w:w="20" w:type="dxa"/>
            <w:vAlign w:val="bottom"/>
          </w:tcPr>
          <w:p>
            <w:pPr>
              <w:spacing w:after="0"/>
              <w:rPr>
                <w:sz w:val="13"/>
                <w:szCs w:val="13"/>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3"/>
                <w:szCs w:val="13"/>
                <w:color w:val="auto"/>
              </w:rPr>
              <w:t>Additional retainer for independent chair</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Additional retainer for audit committee chair</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20,000</w:t>
            </w:r>
          </w:p>
        </w:tc>
        <w:tc>
          <w:tcPr>
            <w:tcW w:w="4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3"/>
                <w:szCs w:val="13"/>
                <w:color w:val="auto"/>
              </w:rPr>
              <w:t>Additional retainer for audit committee non-chair member</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Additional retainer for compensation committee chair</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12,000</w:t>
            </w:r>
          </w:p>
        </w:tc>
        <w:tc>
          <w:tcPr>
            <w:tcW w:w="4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3"/>
                <w:szCs w:val="13"/>
                <w:color w:val="auto"/>
              </w:rPr>
              <w:t>Additional retainer for compensation committee non-chair member</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6,000</w:t>
            </w:r>
          </w:p>
        </w:tc>
        <w:tc>
          <w:tcPr>
            <w:tcW w:w="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Additional retainer for nominating and corporate governance committee chair</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w:t>
            </w:r>
          </w:p>
        </w:tc>
        <w:tc>
          <w:tcPr>
            <w:tcW w:w="40" w:type="dxa"/>
            <w:vAlign w:val="bottom"/>
            <w:shd w:val="clear" w:color="auto" w:fill="CCEEFF"/>
          </w:tcPr>
          <w:p>
            <w:pPr>
              <w:spacing w:after="0"/>
              <w:rPr>
                <w:sz w:val="13"/>
                <w:szCs w:val="13"/>
                <w:color w:val="auto"/>
              </w:rPr>
            </w:pPr>
          </w:p>
        </w:tc>
      </w:tr>
      <w:tr>
        <w:trPr>
          <w:trHeight w:val="167"/>
        </w:trPr>
        <w:tc>
          <w:tcPr>
            <w:tcW w:w="20" w:type="dxa"/>
            <w:vAlign w:val="bottom"/>
          </w:tcPr>
          <w:p>
            <w:pPr>
              <w:spacing w:after="0"/>
              <w:rPr>
                <w:sz w:val="14"/>
                <w:szCs w:val="14"/>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3"/>
                <w:szCs w:val="13"/>
                <w:color w:val="auto"/>
              </w:rPr>
              <w:t>Additional retainer for nominating and corporate governance committee non-chair member</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3,750</w:t>
            </w:r>
          </w:p>
        </w:tc>
        <w:tc>
          <w:tcPr>
            <w:tcW w:w="40" w:type="dxa"/>
            <w:vAlign w:val="bottom"/>
          </w:tcPr>
          <w:p>
            <w:pPr>
              <w:spacing w:after="0"/>
              <w:rPr>
                <w:sz w:val="14"/>
                <w:szCs w:val="14"/>
                <w:color w:val="auto"/>
              </w:rPr>
            </w:pPr>
          </w:p>
        </w:tc>
      </w:tr>
      <w:tr>
        <w:trPr>
          <w:trHeight w:val="249"/>
        </w:trPr>
        <w:tc>
          <w:tcPr>
            <w:tcW w:w="6000" w:type="dxa"/>
            <w:vAlign w:val="bottom"/>
            <w:gridSpan w:val="2"/>
          </w:tcPr>
          <w:p>
            <w:pPr>
              <w:jc w:val="right"/>
              <w:ind w:right="1875"/>
              <w:spacing w:after="0"/>
              <w:rPr>
                <w:sz w:val="20"/>
                <w:szCs w:val="20"/>
                <w:color w:val="auto"/>
              </w:rPr>
            </w:pPr>
            <w:r>
              <w:rPr>
                <w:rFonts w:ascii="Times New Roman" w:cs="Times New Roman" w:eastAsia="Times New Roman" w:hAnsi="Times New Roman"/>
                <w:sz w:val="13"/>
                <w:szCs w:val="13"/>
                <w:color w:val="auto"/>
              </w:rPr>
              <w:t>121</w:t>
            </w:r>
          </w:p>
        </w:tc>
        <w:tc>
          <w:tcPr>
            <w:tcW w:w="1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67" w:right="1440" w:bottom="1440" w:gutter="0" w:footer="0" w:header="0"/>
        </w:sectPr>
      </w:pPr>
    </w:p>
    <w:bookmarkStart w:id="126" w:name="page127"/>
    <w:bookmarkEnd w:id="12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99" w:firstLine="316"/>
        <w:spacing w:after="0" w:line="254" w:lineRule="auto"/>
        <w:rPr>
          <w:sz w:val="20"/>
          <w:szCs w:val="20"/>
          <w:color w:val="auto"/>
        </w:rPr>
      </w:pPr>
      <w:r>
        <w:rPr>
          <w:rFonts w:ascii="Times New Roman" w:cs="Times New Roman" w:eastAsia="Times New Roman" w:hAnsi="Times New Roman"/>
          <w:sz w:val="13"/>
          <w:szCs w:val="13"/>
          <w:color w:val="auto"/>
        </w:rPr>
        <w:t>In addition to cash compensation, each non-employee director will be eligible to receive restricted stock unit awards granted under our 2020 Equity Incentive Plan, which provides, among other things, that the aggregate value of all compensation granted or paid, as applicable, to any individual for service as a non-employee director with respect to any calendar year, including awards granted and cash fees paid by us to such non-employee director, will not exceed (1) $750,000 in total value or (2) in the event such non-employee director is first appointed or elected to our board of directors during such calendar year, $1,000,000 in total value, in each case, calculating the value of any equity awards based on the grant date fair value of such equity awards for financial reporting purposes.</w:t>
      </w:r>
    </w:p>
    <w:p>
      <w:pPr>
        <w:spacing w:after="0" w:line="67" w:lineRule="exact"/>
        <w:rPr>
          <w:sz w:val="20"/>
          <w:szCs w:val="20"/>
          <w:color w:val="auto"/>
        </w:rPr>
      </w:pPr>
    </w:p>
    <w:p>
      <w:pPr>
        <w:ind w:left="2380" w:right="559" w:hanging="381"/>
        <w:spacing w:after="0" w:line="259" w:lineRule="auto"/>
        <w:tabs>
          <w:tab w:leader="none" w:pos="238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Initial Award. </w:t>
      </w:r>
      <w:r>
        <w:rPr>
          <w:rFonts w:ascii="Times New Roman" w:cs="Times New Roman" w:eastAsia="Times New Roman" w:hAnsi="Times New Roman"/>
          <w:sz w:val="13"/>
          <w:szCs w:val="13"/>
          <w:color w:val="auto"/>
        </w:rPr>
        <w:t>Each new non-employee director elected or appointed to our board of directors after the effective date of the policy will be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granted an initial, one-time restricted stock unit award with a grant date fair value of $350,000, which will vest in equal annual installments such that the initial award will be fully vested on the third anniversary of the grant date, subject to the non-employee director’s continuous service through each vesting date.</w:t>
      </w:r>
    </w:p>
    <w:p>
      <w:pPr>
        <w:spacing w:after="0" w:line="62" w:lineRule="exact"/>
        <w:rPr>
          <w:rFonts w:ascii="Times New Roman" w:cs="Times New Roman" w:eastAsia="Times New Roman" w:hAnsi="Times New Roman"/>
          <w:sz w:val="13"/>
          <w:szCs w:val="13"/>
          <w:color w:val="auto"/>
        </w:rPr>
      </w:pPr>
    </w:p>
    <w:p>
      <w:pPr>
        <w:ind w:left="2380" w:right="599" w:hanging="381"/>
        <w:spacing w:after="0" w:line="256" w:lineRule="auto"/>
        <w:tabs>
          <w:tab w:leader="none" w:pos="238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Annual Awards. </w:t>
      </w:r>
      <w:r>
        <w:rPr>
          <w:rFonts w:ascii="Times New Roman" w:cs="Times New Roman" w:eastAsia="Times New Roman" w:hAnsi="Times New Roman"/>
          <w:sz w:val="13"/>
          <w:szCs w:val="13"/>
          <w:color w:val="auto"/>
        </w:rPr>
        <w:t>On the date of each annual meeting of stockholders of our company after the effective date of the policy, each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non-employee director who has served as a non-employee director for more than six months as of such date and who continues to serve on our board of directors will be granted a restricted stock unit award with a grant date fair value of $175,000, which will vest on the first anniversary of the grant date, provided that the annual award will, in any case, become fully vested on the date of our next annual stockholder meeting, subject to the non-employee director’s continuous service through such vesting date.</w:t>
      </w:r>
    </w:p>
    <w:p>
      <w:pPr>
        <w:spacing w:after="0" w:line="65" w:lineRule="exact"/>
        <w:rPr>
          <w:rFonts w:ascii="Times New Roman" w:cs="Times New Roman" w:eastAsia="Times New Roman" w:hAnsi="Times New Roman"/>
          <w:sz w:val="13"/>
          <w:szCs w:val="13"/>
          <w:color w:val="auto"/>
        </w:rPr>
      </w:pPr>
    </w:p>
    <w:p>
      <w:pPr>
        <w:ind w:left="2380" w:right="579" w:hanging="381"/>
        <w:spacing w:after="0" w:line="280" w:lineRule="auto"/>
        <w:tabs>
          <w:tab w:leader="none" w:pos="238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Change in Control</w:t>
      </w:r>
      <w:r>
        <w:rPr>
          <w:rFonts w:ascii="Times New Roman" w:cs="Times New Roman" w:eastAsia="Times New Roman" w:hAnsi="Times New Roman"/>
          <w:sz w:val="13"/>
          <w:szCs w:val="13"/>
          <w:color w:val="auto"/>
        </w:rPr>
        <w:t>. Initial awards and annual awards granted under the policy will vest in full upon a “change in control,” as defined in our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2020 Equity Incentive Plan.</w:t>
      </w:r>
    </w:p>
    <w:p>
      <w:pPr>
        <w:spacing w:after="0" w:line="48" w:lineRule="exact"/>
        <w:rPr>
          <w:rFonts w:ascii="Times New Roman" w:cs="Times New Roman" w:eastAsia="Times New Roman" w:hAnsi="Times New Roman"/>
          <w:sz w:val="13"/>
          <w:szCs w:val="13"/>
          <w:color w:val="auto"/>
        </w:rPr>
      </w:pPr>
    </w:p>
    <w:p>
      <w:pPr>
        <w:ind w:left="2380" w:right="819" w:hanging="381"/>
        <w:spacing w:after="0" w:line="259" w:lineRule="auto"/>
        <w:tabs>
          <w:tab w:leader="none" w:pos="238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Holding Period</w:t>
      </w:r>
      <w:r>
        <w:rPr>
          <w:rFonts w:ascii="Times New Roman" w:cs="Times New Roman" w:eastAsia="Times New Roman" w:hAnsi="Times New Roman"/>
          <w:sz w:val="13"/>
          <w:szCs w:val="13"/>
          <w:color w:val="auto"/>
        </w:rPr>
        <w:t>. Initial awards and annual awards granted under the policy will be subject to a holding period and the shares subject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such awards shall not be issued or delivered to non-employee directors until the earlier to occur of (1) the first anniversary of the applicable vesting date in the case of initial awards or the second anniversary of the vesting date in the case of annual awards and (2) a “change in control event” within the meaning of Section 409A of the Internal Revenue Code of 1986, as amended.</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122</w:t>
      </w:r>
    </w:p>
    <w:p>
      <w:pPr>
        <w:sectPr>
          <w:pgSz w:w="11900" w:h="16838" w:orient="portrait"/>
          <w:cols w:equalWidth="0" w:num="1">
            <w:col w:w="10159"/>
          </w:cols>
          <w:pgMar w:left="300" w:top="367" w:right="1440" w:bottom="1440" w:gutter="0" w:footer="0" w:header="0"/>
        </w:sectPr>
      </w:pPr>
    </w:p>
    <w:bookmarkStart w:id="127" w:name="page128"/>
    <w:bookmarkEnd w:id="12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3"/>
          <w:szCs w:val="13"/>
          <w:b w:val="1"/>
          <w:bCs w:val="1"/>
          <w:color w:val="auto"/>
        </w:rPr>
        <w:t>EXECUTIVE COMPENSATION</w:t>
      </w:r>
    </w:p>
    <w:p>
      <w:pPr>
        <w:spacing w:after="0" w:line="8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Summary Compensation Table</w:t>
      </w:r>
    </w:p>
    <w:p>
      <w:pPr>
        <w:spacing w:after="0" w:line="85" w:lineRule="exact"/>
        <w:rPr>
          <w:sz w:val="20"/>
          <w:szCs w:val="20"/>
          <w:color w:val="auto"/>
        </w:rPr>
      </w:pPr>
    </w:p>
    <w:p>
      <w:pPr>
        <w:jc w:val="both"/>
        <w:ind w:left="1680" w:right="739" w:firstLine="316"/>
        <w:spacing w:after="0" w:line="320" w:lineRule="auto"/>
        <w:rPr>
          <w:sz w:val="20"/>
          <w:szCs w:val="20"/>
          <w:color w:val="auto"/>
        </w:rPr>
      </w:pPr>
      <w:r>
        <w:rPr>
          <w:rFonts w:ascii="Times New Roman" w:cs="Times New Roman" w:eastAsia="Times New Roman" w:hAnsi="Times New Roman"/>
          <w:sz w:val="12"/>
          <w:szCs w:val="12"/>
          <w:color w:val="auto"/>
        </w:rPr>
        <w:t>The following table provides information concerning all plan and non-plan compensation awarded to, earned by, or paid to our Chief Executive Officer and each of our two other most highly compensated officers, whom we collectively refer to as “named executive officers,” during fiscal 2020.</w:t>
      </w:r>
    </w:p>
    <w:p>
      <w:pPr>
        <w:spacing w:after="0" w:line="104"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vMerge w:val="restart"/>
          </w:tcPr>
          <w:p>
            <w:pPr>
              <w:jc w:val="right"/>
              <w:ind w:right="82"/>
              <w:spacing w:after="0"/>
              <w:rPr>
                <w:sz w:val="20"/>
                <w:szCs w:val="20"/>
                <w:color w:val="auto"/>
              </w:rPr>
            </w:pPr>
            <w:r>
              <w:rPr>
                <w:rFonts w:ascii="Times New Roman" w:cs="Times New Roman" w:eastAsia="Times New Roman" w:hAnsi="Times New Roman"/>
                <w:sz w:val="10"/>
                <w:szCs w:val="10"/>
                <w:b w:val="1"/>
                <w:bCs w:val="1"/>
                <w:color w:val="auto"/>
              </w:rPr>
              <w:t>Option</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Non-Equity</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46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 and Principal Position</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Fiscal Year</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vMerge w:val="restart"/>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Salary</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b w:val="1"/>
                <w:bCs w:val="1"/>
                <w:color w:val="auto"/>
              </w:rPr>
              <w:t>Incentive Plan</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34"/>
        </w:trPr>
        <w:tc>
          <w:tcPr>
            <w:tcW w:w="3460" w:type="dxa"/>
            <w:vAlign w:val="bottom"/>
            <w:gridSpan w:val="3"/>
            <w:vMerge w:val="continue"/>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ind w:right="22"/>
              <w:spacing w:after="0" w:line="114" w:lineRule="exact"/>
              <w:rPr>
                <w:sz w:val="20"/>
                <w:szCs w:val="20"/>
                <w:color w:val="auto"/>
              </w:rPr>
            </w:pPr>
            <w:r>
              <w:rPr>
                <w:rFonts w:ascii="Times New Roman" w:cs="Times New Roman" w:eastAsia="Times New Roman" w:hAnsi="Times New Roman"/>
                <w:sz w:val="10"/>
                <w:szCs w:val="10"/>
                <w:b w:val="1"/>
                <w:bCs w:val="1"/>
                <w:color w:val="auto"/>
                <w:w w:val="98"/>
              </w:rPr>
              <w:t>Awards</w:t>
            </w:r>
            <w:r>
              <w:rPr>
                <w:rFonts w:ascii="Times New Roman" w:cs="Times New Roman" w:eastAsia="Times New Roman" w:hAnsi="Times New Roman"/>
                <w:sz w:val="8"/>
                <w:szCs w:val="8"/>
                <w:b w:val="1"/>
                <w:bCs w:val="1"/>
                <w:color w:val="auto"/>
                <w:w w:val="98"/>
              </w:rPr>
              <w:t>(1)</w:t>
            </w:r>
          </w:p>
        </w:tc>
        <w:tc>
          <w:tcPr>
            <w:tcW w:w="860" w:type="dxa"/>
            <w:vAlign w:val="bottom"/>
            <w:gridSpan w:val="3"/>
          </w:tcPr>
          <w:p>
            <w:pPr>
              <w:ind w:left="120"/>
              <w:spacing w:after="0" w:line="114" w:lineRule="exact"/>
              <w:rPr>
                <w:sz w:val="20"/>
                <w:szCs w:val="20"/>
                <w:color w:val="auto"/>
              </w:rPr>
            </w:pPr>
            <w:r>
              <w:rPr>
                <w:rFonts w:ascii="Times New Roman" w:cs="Times New Roman" w:eastAsia="Times New Roman" w:hAnsi="Times New Roman"/>
                <w:sz w:val="10"/>
                <w:szCs w:val="10"/>
                <w:b w:val="1"/>
                <w:bCs w:val="1"/>
                <w:color w:val="auto"/>
              </w:rPr>
              <w:t>Compensation</w:t>
            </w:r>
            <w:r>
              <w:rPr>
                <w:rFonts w:ascii="Times New Roman" w:cs="Times New Roman" w:eastAsia="Times New Roman" w:hAnsi="Times New Roman"/>
                <w:sz w:val="8"/>
                <w:szCs w:val="8"/>
                <w:b w:val="1"/>
                <w:bCs w:val="1"/>
                <w:color w:val="auto"/>
              </w:rPr>
              <w:t>(2)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60" w:type="dxa"/>
            <w:vAlign w:val="bottom"/>
            <w:tcBorders>
              <w:top w:val="single" w:sz="8" w:color="auto"/>
            </w:tcBorders>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Dustin Moskovitz</w:t>
            </w:r>
          </w:p>
        </w:tc>
        <w:tc>
          <w:tcPr>
            <w:tcW w:w="218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2020</w:t>
            </w: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1</w:t>
            </w: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1</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i w:val="1"/>
                <w:iCs w:val="1"/>
                <w:color w:val="auto"/>
              </w:rPr>
              <w:t>President, Chief Executive Officer, and Chair</w:t>
            </w:r>
          </w:p>
        </w:tc>
        <w:tc>
          <w:tcPr>
            <w:tcW w:w="9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4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Eleanor Lacey</w:t>
            </w:r>
            <w:r>
              <w:rPr>
                <w:rFonts w:ascii="Times New Roman" w:cs="Times New Roman" w:eastAsia="Times New Roman" w:hAnsi="Times New Roman"/>
                <w:sz w:val="10"/>
                <w:szCs w:val="10"/>
                <w:color w:val="auto"/>
              </w:rPr>
              <w:t>(3)</w:t>
            </w: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440" w:type="dxa"/>
            <w:vAlign w:val="bottom"/>
            <w:gridSpan w:val="2"/>
          </w:tcPr>
          <w:p>
            <w:pPr>
              <w:ind w:left="120"/>
              <w:spacing w:after="0"/>
              <w:rPr>
                <w:sz w:val="20"/>
                <w:szCs w:val="20"/>
                <w:color w:val="auto"/>
              </w:rPr>
            </w:pPr>
            <w:r>
              <w:rPr>
                <w:rFonts w:ascii="Times New Roman" w:cs="Times New Roman" w:eastAsia="Times New Roman" w:hAnsi="Times New Roman"/>
                <w:sz w:val="13"/>
                <w:szCs w:val="13"/>
                <w:i w:val="1"/>
                <w:iCs w:val="1"/>
                <w:color w:val="auto"/>
              </w:rPr>
              <w:t>General Counsel and Corporate Secretary</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185,769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1,736,491</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62,754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1,985,014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vMerge w:val="restart"/>
          </w:tcPr>
          <w:p>
            <w:pPr>
              <w:spacing w:after="0"/>
              <w:rPr>
                <w:sz w:val="6"/>
                <w:szCs w:val="6"/>
                <w:color w:val="auto"/>
              </w:rPr>
            </w:pPr>
          </w:p>
        </w:tc>
        <w:tc>
          <w:tcPr>
            <w:tcW w:w="1260" w:type="dxa"/>
            <w:vAlign w:val="bottom"/>
          </w:tcPr>
          <w:p>
            <w:pPr>
              <w:spacing w:after="0"/>
              <w:rPr>
                <w:sz w:val="6"/>
                <w:szCs w:val="6"/>
                <w:color w:val="auto"/>
              </w:rPr>
            </w:pPr>
          </w:p>
        </w:tc>
        <w:tc>
          <w:tcPr>
            <w:tcW w:w="2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440" w:type="dxa"/>
            <w:vAlign w:val="bottom"/>
            <w:gridSpan w:val="2"/>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Tim Wan</w:t>
            </w:r>
          </w:p>
        </w:tc>
        <w:tc>
          <w:tcPr>
            <w:tcW w:w="9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i w:val="1"/>
                <w:iCs w:val="1"/>
                <w:color w:val="auto"/>
              </w:rPr>
              <w:t>Chief Financial Officer</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333,333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414,424</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180,600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928,357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61595</wp:posOffset>
            </wp:positionV>
            <wp:extent cx="548005"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48005" cy="6350"/>
                    </a:xfrm>
                    <a:prstGeom prst="rect">
                      <a:avLst/>
                    </a:prstGeom>
                    <a:noFill/>
                  </pic:spPr>
                </pic:pic>
              </a:graphicData>
            </a:graphic>
          </wp:anchor>
        </w:drawing>
      </w:r>
    </w:p>
    <w:p>
      <w:pPr>
        <w:spacing w:after="0" w:line="101" w:lineRule="exact"/>
        <w:rPr>
          <w:sz w:val="20"/>
          <w:szCs w:val="20"/>
          <w:color w:val="auto"/>
        </w:rPr>
      </w:pPr>
    </w:p>
    <w:p>
      <w:pPr>
        <w:ind w:left="2000" w:right="739" w:hanging="311"/>
        <w:spacing w:after="0" w:line="226" w:lineRule="auto"/>
        <w:tabs>
          <w:tab w:leader="none" w:pos="2000" w:val="left"/>
        </w:tabs>
        <w:numPr>
          <w:ilvl w:val="0"/>
          <w:numId w:val="6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amounts reported in this column represent the aggregate grant date fair value of the stock options granted under our Amended and Restated 2012 Stock Plan to our named executive officers in fiscal 2020 as computed in accordance with FASB ASC Topic 718. The assumptions used in calculating the dollar amount recognized for financial statement reporting purposes of the equity awards reported in this column are set forth in Note 11 to our consolidated financial statements included elsewhere in this prospectus. Note that the amounts reported in this column reflect the accounting value for these equity awards and may not correspond to the actual economic value that may be received by our named executive officers from the equity awards.</w:t>
      </w:r>
    </w:p>
    <w:p>
      <w:pPr>
        <w:spacing w:after="0" w:line="1" w:lineRule="exact"/>
        <w:rPr>
          <w:rFonts w:ascii="Times New Roman" w:cs="Times New Roman" w:eastAsia="Times New Roman" w:hAnsi="Times New Roman"/>
          <w:sz w:val="10"/>
          <w:szCs w:val="10"/>
          <w:color w:val="auto"/>
        </w:rPr>
      </w:pPr>
    </w:p>
    <w:p>
      <w:pPr>
        <w:ind w:left="2000" w:right="779" w:hanging="311"/>
        <w:spacing w:after="0" w:line="222" w:lineRule="auto"/>
        <w:tabs>
          <w:tab w:leader="none" w:pos="2000" w:val="left"/>
        </w:tabs>
        <w:numPr>
          <w:ilvl w:val="0"/>
          <w:numId w:val="6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amount disclosed represents the executive officer’s total bonuses earned for fiscal 2020, as described below under “—Non-Equity Incentive Plan Compensation—Fiscal 2020 Executive Incentive Plan.”</w:t>
      </w:r>
    </w:p>
    <w:p>
      <w:pPr>
        <w:ind w:left="2000" w:hanging="311"/>
        <w:spacing w:after="0"/>
        <w:tabs>
          <w:tab w:leader="none" w:pos="2000" w:val="left"/>
        </w:tabs>
        <w:numPr>
          <w:ilvl w:val="0"/>
          <w:numId w:val="6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Ms. Lacey commenced employment with us in July 2019.</w:t>
      </w:r>
    </w:p>
    <w:p>
      <w:pPr>
        <w:spacing w:after="0" w:line="21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Outstanding Equity Awards at Year-End Table</w:t>
      </w:r>
    </w:p>
    <w:p>
      <w:pPr>
        <w:spacing w:after="0" w:line="8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following table provides information regarding the outstanding stock option awards held by our named executive officers as of January 31,</w:t>
      </w:r>
    </w:p>
    <w:p>
      <w:pPr>
        <w:spacing w:after="0" w:line="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2020.</w:t>
      </w:r>
    </w:p>
    <w:p>
      <w:pPr>
        <w:spacing w:after="0" w:line="164"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5"/>
          </w:tcPr>
          <w:p>
            <w:pPr>
              <w:ind w:left="260"/>
              <w:spacing w:after="0"/>
              <w:rPr>
                <w:sz w:val="20"/>
                <w:szCs w:val="20"/>
                <w:color w:val="auto"/>
              </w:rPr>
            </w:pPr>
            <w:r>
              <w:rPr>
                <w:rFonts w:ascii="Times New Roman" w:cs="Times New Roman" w:eastAsia="Times New Roman" w:hAnsi="Times New Roman"/>
                <w:sz w:val="10"/>
                <w:szCs w:val="10"/>
                <w:b w:val="1"/>
                <w:bCs w:val="1"/>
                <w:color w:val="auto"/>
              </w:rPr>
              <w:t>Option Awards</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5"/>
          </w:tcPr>
          <w:p>
            <w:pPr>
              <w:ind w:left="300"/>
              <w:spacing w:after="0"/>
              <w:rPr>
                <w:sz w:val="20"/>
                <w:szCs w:val="20"/>
                <w:color w:val="auto"/>
              </w:rPr>
            </w:pPr>
            <w:r>
              <w:rPr>
                <w:rFonts w:ascii="Times New Roman" w:cs="Times New Roman" w:eastAsia="Times New Roman" w:hAnsi="Times New Roman"/>
                <w:sz w:val="10"/>
                <w:szCs w:val="10"/>
                <w:b w:val="1"/>
                <w:bCs w:val="1"/>
                <w:color w:val="auto"/>
              </w:rPr>
              <w:t>Stock Awards</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80" w:type="dxa"/>
            <w:vAlign w:val="bottom"/>
            <w:tcBorders>
              <w:top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Number of Securities</w:t>
            </w:r>
          </w:p>
        </w:tc>
        <w:tc>
          <w:tcPr>
            <w:tcW w:w="2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jc w:val="center"/>
              <w:ind w:right="21"/>
              <w:spacing w:after="0" w:line="80" w:lineRule="exact"/>
              <w:rPr>
                <w:sz w:val="20"/>
                <w:szCs w:val="20"/>
                <w:color w:val="auto"/>
              </w:rPr>
            </w:pPr>
            <w:r>
              <w:rPr>
                <w:rFonts w:ascii="Times New Roman" w:cs="Times New Roman" w:eastAsia="Times New Roman" w:hAnsi="Times New Roman"/>
                <w:sz w:val="9"/>
                <w:szCs w:val="9"/>
                <w:b w:val="1"/>
                <w:bCs w:val="1"/>
                <w:color w:val="auto"/>
              </w:rPr>
              <w:t>Market</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restart"/>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Number of</w:t>
            </w: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gridSpan w:val="2"/>
            <w:vMerge w:val="restart"/>
          </w:tcPr>
          <w:p>
            <w:pPr>
              <w:jc w:val="center"/>
              <w:ind w:right="100"/>
              <w:spacing w:after="0" w:line="107" w:lineRule="exact"/>
              <w:rPr>
                <w:sz w:val="20"/>
                <w:szCs w:val="20"/>
                <w:color w:val="auto"/>
              </w:rPr>
            </w:pPr>
            <w:r>
              <w:rPr>
                <w:rFonts w:ascii="Times New Roman" w:cs="Times New Roman" w:eastAsia="Times New Roman" w:hAnsi="Times New Roman"/>
                <w:sz w:val="10"/>
                <w:szCs w:val="10"/>
                <w:b w:val="1"/>
                <w:bCs w:val="1"/>
                <w:color w:val="auto"/>
              </w:rPr>
              <w:t>Value of</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80" w:type="dxa"/>
            <w:vAlign w:val="bottom"/>
            <w:gridSpan w:val="3"/>
            <w:vMerge w:val="restart"/>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Underlying Unexercised</w:t>
            </w: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8"/>
        </w:trPr>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restart"/>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Shares that</w:t>
            </w:r>
          </w:p>
        </w:tc>
        <w:tc>
          <w:tcPr>
            <w:tcW w:w="200" w:type="dxa"/>
            <w:vAlign w:val="bottom"/>
          </w:tcPr>
          <w:p>
            <w:pPr>
              <w:spacing w:after="0"/>
              <w:rPr>
                <w:sz w:val="5"/>
                <w:szCs w:val="5"/>
                <w:color w:val="auto"/>
              </w:rPr>
            </w:pPr>
          </w:p>
        </w:tc>
        <w:tc>
          <w:tcPr>
            <w:tcW w:w="560" w:type="dxa"/>
            <w:vAlign w:val="bottom"/>
            <w:gridSpan w:val="3"/>
            <w:vMerge w:val="restart"/>
          </w:tcPr>
          <w:p>
            <w:pPr>
              <w:spacing w:after="0" w:line="107" w:lineRule="exact"/>
              <w:rPr>
                <w:sz w:val="20"/>
                <w:szCs w:val="20"/>
                <w:color w:val="auto"/>
              </w:rPr>
            </w:pPr>
            <w:r>
              <w:rPr>
                <w:rFonts w:ascii="Times New Roman" w:cs="Times New Roman" w:eastAsia="Times New Roman" w:hAnsi="Times New Roman"/>
                <w:sz w:val="10"/>
                <w:szCs w:val="10"/>
                <w:b w:val="1"/>
                <w:bCs w:val="1"/>
                <w:color w:val="auto"/>
              </w:rPr>
              <w:t>Shares that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80" w:type="dxa"/>
            <w:vAlign w:val="bottom"/>
            <w:gridSpan w:val="3"/>
            <w:vMerge w:val="restart"/>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rPr>
              <w:t>Options</w:t>
            </w: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2"/>
        </w:trPr>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580" w:type="dxa"/>
            <w:vAlign w:val="bottom"/>
          </w:tcPr>
          <w:p>
            <w:pPr>
              <w:spacing w:after="0"/>
              <w:rPr>
                <w:sz w:val="7"/>
                <w:szCs w:val="7"/>
                <w:color w:val="auto"/>
              </w:rPr>
            </w:pPr>
          </w:p>
        </w:tc>
        <w:tc>
          <w:tcPr>
            <w:tcW w:w="880" w:type="dxa"/>
            <w:vAlign w:val="bottom"/>
            <w:gridSpan w:val="2"/>
          </w:tcPr>
          <w:p>
            <w:pPr>
              <w:jc w:val="right"/>
              <w:ind w:right="460"/>
              <w:spacing w:after="0" w:line="87" w:lineRule="exact"/>
              <w:rPr>
                <w:sz w:val="20"/>
                <w:szCs w:val="20"/>
                <w:color w:val="auto"/>
              </w:rPr>
            </w:pPr>
            <w:r>
              <w:rPr>
                <w:rFonts w:ascii="Times New Roman" w:cs="Times New Roman" w:eastAsia="Times New Roman" w:hAnsi="Times New Roman"/>
                <w:sz w:val="10"/>
                <w:szCs w:val="10"/>
                <w:b w:val="1"/>
                <w:bCs w:val="1"/>
                <w:color w:val="auto"/>
              </w:rPr>
              <w:t>Grant</w:t>
            </w:r>
          </w:p>
        </w:tc>
        <w:tc>
          <w:tcPr>
            <w:tcW w:w="1380" w:type="dxa"/>
            <w:vAlign w:val="bottom"/>
            <w:tcBorders>
              <w:bottom w:val="single" w:sz="8" w:color="auto"/>
            </w:tcBorders>
            <w:gridSpan w:val="3"/>
            <w:vMerge w:val="continue"/>
          </w:tcPr>
          <w:p>
            <w:pPr>
              <w:spacing w:after="0"/>
              <w:rPr>
                <w:sz w:val="7"/>
                <w:szCs w:val="7"/>
                <w:color w:val="auto"/>
              </w:rPr>
            </w:pPr>
          </w:p>
        </w:tc>
        <w:tc>
          <w:tcPr>
            <w:tcW w:w="760" w:type="dxa"/>
            <w:vAlign w:val="bottom"/>
            <w:gridSpan w:val="4"/>
          </w:tcPr>
          <w:p>
            <w:pPr>
              <w:jc w:val="center"/>
              <w:spacing w:after="0" w:line="87" w:lineRule="exact"/>
              <w:rPr>
                <w:sz w:val="20"/>
                <w:szCs w:val="20"/>
                <w:color w:val="auto"/>
              </w:rPr>
            </w:pPr>
            <w:r>
              <w:rPr>
                <w:rFonts w:ascii="Times New Roman" w:cs="Times New Roman" w:eastAsia="Times New Roman" w:hAnsi="Times New Roman"/>
                <w:sz w:val="10"/>
                <w:szCs w:val="10"/>
                <w:b w:val="1"/>
                <w:bCs w:val="1"/>
                <w:color w:val="auto"/>
                <w:w w:val="99"/>
              </w:rPr>
              <w:t>Exercise</w:t>
            </w:r>
          </w:p>
        </w:tc>
        <w:tc>
          <w:tcPr>
            <w:tcW w:w="780" w:type="dxa"/>
            <w:vAlign w:val="bottom"/>
            <w:gridSpan w:val="2"/>
          </w:tcPr>
          <w:p>
            <w:pPr>
              <w:jc w:val="center"/>
              <w:ind w:right="200"/>
              <w:spacing w:after="0" w:line="87" w:lineRule="exact"/>
              <w:rPr>
                <w:sz w:val="20"/>
                <w:szCs w:val="20"/>
                <w:color w:val="auto"/>
              </w:rPr>
            </w:pPr>
            <w:r>
              <w:rPr>
                <w:rFonts w:ascii="Times New Roman" w:cs="Times New Roman" w:eastAsia="Times New Roman" w:hAnsi="Times New Roman"/>
                <w:sz w:val="10"/>
                <w:szCs w:val="10"/>
                <w:b w:val="1"/>
                <w:bCs w:val="1"/>
                <w:color w:val="auto"/>
                <w:w w:val="99"/>
              </w:rPr>
              <w:t>Expiration</w:t>
            </w:r>
          </w:p>
        </w:tc>
        <w:tc>
          <w:tcPr>
            <w:tcW w:w="500" w:type="dxa"/>
            <w:vAlign w:val="bottom"/>
          </w:tcPr>
          <w:p>
            <w:pPr>
              <w:jc w:val="center"/>
              <w:spacing w:after="0" w:line="87" w:lineRule="exact"/>
              <w:rPr>
                <w:sz w:val="20"/>
                <w:szCs w:val="20"/>
                <w:color w:val="auto"/>
              </w:rPr>
            </w:pPr>
            <w:r>
              <w:rPr>
                <w:rFonts w:ascii="Times New Roman" w:cs="Times New Roman" w:eastAsia="Times New Roman" w:hAnsi="Times New Roman"/>
                <w:sz w:val="10"/>
                <w:szCs w:val="10"/>
                <w:b w:val="1"/>
                <w:bCs w:val="1"/>
                <w:color w:val="auto"/>
              </w:rPr>
              <w:t>Have Not</w:t>
            </w:r>
          </w:p>
        </w:tc>
        <w:tc>
          <w:tcPr>
            <w:tcW w:w="200" w:type="dxa"/>
            <w:vAlign w:val="bottom"/>
          </w:tcPr>
          <w:p>
            <w:pPr>
              <w:spacing w:after="0"/>
              <w:rPr>
                <w:sz w:val="7"/>
                <w:szCs w:val="7"/>
                <w:color w:val="auto"/>
              </w:rPr>
            </w:pPr>
          </w:p>
        </w:tc>
        <w:tc>
          <w:tcPr>
            <w:tcW w:w="560" w:type="dxa"/>
            <w:vAlign w:val="bottom"/>
            <w:gridSpan w:val="3"/>
          </w:tcPr>
          <w:p>
            <w:pPr>
              <w:jc w:val="center"/>
              <w:ind w:right="40"/>
              <w:spacing w:after="0" w:line="87" w:lineRule="exact"/>
              <w:rPr>
                <w:sz w:val="20"/>
                <w:szCs w:val="20"/>
                <w:color w:val="auto"/>
              </w:rPr>
            </w:pPr>
            <w:r>
              <w:rPr>
                <w:rFonts w:ascii="Times New Roman" w:cs="Times New Roman" w:eastAsia="Times New Roman" w:hAnsi="Times New Roman"/>
                <w:sz w:val="10"/>
                <w:szCs w:val="10"/>
                <w:b w:val="1"/>
                <w:bCs w:val="1"/>
                <w:color w:val="auto"/>
              </w:rPr>
              <w:t>Have Not</w:t>
            </w:r>
          </w:p>
        </w:tc>
        <w:tc>
          <w:tcPr>
            <w:tcW w:w="0" w:type="dxa"/>
            <w:vAlign w:val="bottom"/>
          </w:tcPr>
          <w:p>
            <w:pPr>
              <w:spacing w:after="0"/>
              <w:rPr>
                <w:sz w:val="1"/>
                <w:szCs w:val="1"/>
                <w:color w:val="auto"/>
              </w:rPr>
            </w:pPr>
          </w:p>
        </w:tc>
      </w:tr>
      <w:tr>
        <w:trPr>
          <w:trHeight w:val="114"/>
        </w:trPr>
        <w:tc>
          <w:tcPr>
            <w:tcW w:w="2860" w:type="dxa"/>
            <w:vAlign w:val="bottom"/>
            <w:gridSpan w:val="3"/>
          </w:tcPr>
          <w:p>
            <w:pPr>
              <w:spacing w:after="0" w:line="114" w:lineRule="exact"/>
              <w:rPr>
                <w:sz w:val="20"/>
                <w:szCs w:val="20"/>
                <w:color w:val="auto"/>
              </w:rPr>
            </w:pPr>
            <w:r>
              <w:rPr>
                <w:rFonts w:ascii="Times New Roman" w:cs="Times New Roman" w:eastAsia="Times New Roman" w:hAnsi="Times New Roman"/>
                <w:sz w:val="10"/>
                <w:szCs w:val="10"/>
                <w:b w:val="1"/>
                <w:bCs w:val="1"/>
                <w:color w:val="auto"/>
              </w:rPr>
              <w:t>Name</w:t>
            </w:r>
          </w:p>
        </w:tc>
        <w:tc>
          <w:tcPr>
            <w:tcW w:w="880" w:type="dxa"/>
            <w:vAlign w:val="bottom"/>
            <w:gridSpan w:val="2"/>
          </w:tcPr>
          <w:p>
            <w:pPr>
              <w:jc w:val="right"/>
              <w:ind w:right="460"/>
              <w:spacing w:after="0" w:line="114" w:lineRule="exact"/>
              <w:rPr>
                <w:sz w:val="20"/>
                <w:szCs w:val="20"/>
                <w:color w:val="auto"/>
              </w:rPr>
            </w:pPr>
            <w:r>
              <w:rPr>
                <w:rFonts w:ascii="Times New Roman" w:cs="Times New Roman" w:eastAsia="Times New Roman" w:hAnsi="Times New Roman"/>
                <w:sz w:val="10"/>
                <w:szCs w:val="10"/>
                <w:b w:val="1"/>
                <w:bCs w:val="1"/>
                <w:color w:val="auto"/>
              </w:rPr>
              <w:t>Date</w:t>
            </w:r>
            <w:r>
              <w:rPr>
                <w:rFonts w:ascii="Times New Roman" w:cs="Times New Roman" w:eastAsia="Times New Roman" w:hAnsi="Times New Roman"/>
                <w:sz w:val="8"/>
                <w:szCs w:val="8"/>
                <w:b w:val="1"/>
                <w:bCs w:val="1"/>
                <w:color w:val="auto"/>
              </w:rPr>
              <w:t>(1)</w:t>
            </w:r>
          </w:p>
        </w:tc>
        <w:tc>
          <w:tcPr>
            <w:tcW w:w="56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b w:val="1"/>
                <w:bCs w:val="1"/>
                <w:color w:val="auto"/>
              </w:rPr>
              <w:t>Exercisable</w:t>
            </w:r>
          </w:p>
        </w:tc>
        <w:tc>
          <w:tcPr>
            <w:tcW w:w="82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0"/>
                <w:szCs w:val="10"/>
                <w:b w:val="1"/>
                <w:bCs w:val="1"/>
                <w:color w:val="auto"/>
              </w:rPr>
              <w:t>Unexercisable</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260"/>
              <w:spacing w:after="0" w:line="114" w:lineRule="exact"/>
              <w:rPr>
                <w:sz w:val="20"/>
                <w:szCs w:val="20"/>
                <w:color w:val="auto"/>
              </w:rPr>
            </w:pPr>
            <w:r>
              <w:rPr>
                <w:rFonts w:ascii="Times New Roman" w:cs="Times New Roman" w:eastAsia="Times New Roman" w:hAnsi="Times New Roman"/>
                <w:sz w:val="10"/>
                <w:szCs w:val="10"/>
                <w:b w:val="1"/>
                <w:bCs w:val="1"/>
                <w:color w:val="auto"/>
              </w:rPr>
              <w:t>Price</w:t>
            </w:r>
          </w:p>
        </w:tc>
        <w:tc>
          <w:tcPr>
            <w:tcW w:w="78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10"/>
                <w:szCs w:val="10"/>
                <w:b w:val="1"/>
                <w:bCs w:val="1"/>
                <w:color w:val="auto"/>
              </w:rPr>
              <w:t>Date</w:t>
            </w:r>
          </w:p>
        </w:tc>
        <w:tc>
          <w:tcPr>
            <w:tcW w:w="50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b w:val="1"/>
                <w:bCs w:val="1"/>
                <w:color w:val="auto"/>
              </w:rPr>
              <w:t>Vested</w:t>
            </w:r>
          </w:p>
        </w:tc>
        <w:tc>
          <w:tcPr>
            <w:tcW w:w="200" w:type="dxa"/>
            <w:vAlign w:val="bottom"/>
          </w:tcPr>
          <w:p>
            <w:pPr>
              <w:spacing w:after="0"/>
              <w:rPr>
                <w:sz w:val="9"/>
                <w:szCs w:val="9"/>
                <w:color w:val="auto"/>
              </w:rPr>
            </w:pPr>
          </w:p>
        </w:tc>
        <w:tc>
          <w:tcPr>
            <w:tcW w:w="560" w:type="dxa"/>
            <w:vAlign w:val="bottom"/>
            <w:gridSpan w:val="3"/>
          </w:tcPr>
          <w:p>
            <w:pPr>
              <w:jc w:val="center"/>
              <w:ind w:right="60"/>
              <w:spacing w:after="0" w:line="114" w:lineRule="exact"/>
              <w:rPr>
                <w:sz w:val="20"/>
                <w:szCs w:val="20"/>
                <w:color w:val="auto"/>
              </w:rPr>
            </w:pPr>
            <w:r>
              <w:rPr>
                <w:rFonts w:ascii="Times New Roman" w:cs="Times New Roman" w:eastAsia="Times New Roman" w:hAnsi="Times New Roman"/>
                <w:sz w:val="10"/>
                <w:szCs w:val="10"/>
                <w:b w:val="1"/>
                <w:bCs w:val="1"/>
                <w:color w:val="auto"/>
                <w:w w:val="99"/>
              </w:rPr>
              <w:t>Vested</w:t>
            </w:r>
            <w:r>
              <w:rPr>
                <w:rFonts w:ascii="Times New Roman" w:cs="Times New Roman" w:eastAsia="Times New Roman" w:hAnsi="Times New Roman"/>
                <w:sz w:val="8"/>
                <w:szCs w:val="8"/>
                <w:b w:val="1"/>
                <w:bCs w:val="1"/>
                <w:color w:val="auto"/>
                <w:w w:val="99"/>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840" w:type="dxa"/>
            <w:vAlign w:val="bottom"/>
            <w:gridSpan w:val="2"/>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Dustin Moskovitz</w:t>
            </w:r>
          </w:p>
        </w:tc>
        <w:tc>
          <w:tcPr>
            <w:tcW w:w="5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Eleanor Lacey</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7/30/2019</w:t>
            </w:r>
            <w:r>
              <w:rPr>
                <w:rFonts w:ascii="Times New Roman" w:cs="Times New Roman" w:eastAsia="Times New Roman" w:hAnsi="Times New Roman"/>
                <w:sz w:val="10"/>
                <w:szCs w:val="10"/>
                <w:color w:val="auto"/>
              </w:rPr>
              <w:t>(3)</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375,000</w:t>
            </w: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7/29/2029</w:t>
            </w:r>
          </w:p>
        </w:tc>
        <w:tc>
          <w:tcPr>
            <w:tcW w:w="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2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Tim Wan</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5/3/2017</w:t>
            </w:r>
            <w:r>
              <w:rPr>
                <w:rFonts w:ascii="Times New Roman" w:cs="Times New Roman" w:eastAsia="Times New Roman" w:hAnsi="Times New Roman"/>
                <w:sz w:val="10"/>
                <w:szCs w:val="10"/>
                <w:color w:val="auto"/>
              </w:rPr>
              <w:t>(4)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1,145,899</w:t>
            </w: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5/02/2027</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4/29/2019</w:t>
            </w:r>
            <w:r>
              <w:rPr>
                <w:rFonts w:ascii="Times New Roman" w:cs="Times New Roman" w:eastAsia="Times New Roman" w:hAnsi="Times New Roman"/>
                <w:sz w:val="10"/>
                <w:szCs w:val="10"/>
                <w:color w:val="auto"/>
              </w:rPr>
              <w:t>(5)</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189,660</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4/28/2029</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53975</wp:posOffset>
            </wp:positionV>
            <wp:extent cx="548005"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48005" cy="6350"/>
                    </a:xfrm>
                    <a:prstGeom prst="rect">
                      <a:avLst/>
                    </a:prstGeom>
                    <a:noFill/>
                  </pic:spPr>
                </pic:pic>
              </a:graphicData>
            </a:graphic>
          </wp:anchor>
        </w:drawing>
      </w:r>
    </w:p>
    <w:p>
      <w:pPr>
        <w:spacing w:after="0" w:line="89" w:lineRule="exact"/>
        <w:rPr>
          <w:sz w:val="20"/>
          <w:szCs w:val="20"/>
          <w:color w:val="auto"/>
        </w:rPr>
      </w:pPr>
    </w:p>
    <w:p>
      <w:pPr>
        <w:ind w:left="2000" w:right="639" w:hanging="311"/>
        <w:spacing w:after="0" w:line="229" w:lineRule="auto"/>
        <w:tabs>
          <w:tab w:leader="none" w:pos="2000" w:val="left"/>
        </w:tabs>
        <w:numPr>
          <w:ilvl w:val="0"/>
          <w:numId w:val="6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All of the outstanding equity awards were granted under our Amended and Restated 2012 Stock Plan and are subject to acceleration of vesting as described in “—Employment, Severance, and Change of Control Arrangements” below. All of the outstanding stock options were immediately exercisable as of the date of grant, with any unvested shares acquired on exercise subject to a right of repurchase in favor of us at the original exercise price that lapses in accordance with the vesting schedule of the related option.</w:t>
      </w:r>
    </w:p>
    <w:p>
      <w:pPr>
        <w:ind w:left="2000" w:right="559" w:hanging="311"/>
        <w:spacing w:after="0" w:line="222" w:lineRule="auto"/>
        <w:tabs>
          <w:tab w:leader="none" w:pos="2000" w:val="left"/>
        </w:tabs>
        <w:numPr>
          <w:ilvl w:val="0"/>
          <w:numId w:val="6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amounts represent the number of unvested shares acquired on exercise of an option subject to a right of repurchase by us multiplied by the value of a share of our Class A common stock on January 31, 2020, as determined by our board of directors, which was $13.04.</w:t>
      </w:r>
    </w:p>
    <w:p>
      <w:pPr>
        <w:ind w:left="2000" w:right="659" w:hanging="311"/>
        <w:spacing w:after="0" w:line="222" w:lineRule="auto"/>
        <w:tabs>
          <w:tab w:leader="none" w:pos="2000" w:val="left"/>
        </w:tabs>
        <w:numPr>
          <w:ilvl w:val="0"/>
          <w:numId w:val="6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1/4th of the shares initially subject to the option will vest on July 22, 2020 and an additional 1/48th of the initial shares will vest monthly thereafter, subject to continued service to us as of each vesting date.</w:t>
      </w:r>
    </w:p>
    <w:p>
      <w:pPr>
        <w:ind w:left="2000" w:right="639" w:hanging="311"/>
        <w:spacing w:after="0"/>
        <w:tabs>
          <w:tab w:leader="none" w:pos="2000" w:val="left"/>
        </w:tabs>
        <w:numPr>
          <w:ilvl w:val="0"/>
          <w:numId w:val="6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1/4th of the shares subject to the option vested on January 17, 2018 and an additional 1/48th of the shares vest monthly thereafter, subject to continued service to us as of each vesting date.</w:t>
      </w:r>
    </w:p>
    <w:p>
      <w:pPr>
        <w:spacing w:after="0" w:line="98" w:lineRule="exact"/>
        <w:rPr>
          <w:rFonts w:ascii="Times New Roman" w:cs="Times New Roman" w:eastAsia="Times New Roman" w:hAnsi="Times New Roman"/>
          <w:sz w:val="10"/>
          <w:szCs w:val="10"/>
          <w:color w:val="auto"/>
        </w:rPr>
      </w:pPr>
    </w:p>
    <w:p>
      <w:pPr>
        <w:ind w:left="2000" w:right="599" w:hanging="311"/>
        <w:spacing w:after="0"/>
        <w:tabs>
          <w:tab w:leader="none" w:pos="2000" w:val="left"/>
        </w:tabs>
        <w:numPr>
          <w:ilvl w:val="0"/>
          <w:numId w:val="6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1/24th of the shares subject to the option will vest on March 1, 2021 and an additional 1/24th of the shares vest monthly thereafter, subject to continued service to us as of each vesting date.</w:t>
      </w:r>
    </w:p>
    <w:p>
      <w:pPr>
        <w:spacing w:after="0" w:line="1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123</w:t>
      </w:r>
    </w:p>
    <w:p>
      <w:pPr>
        <w:sectPr>
          <w:pgSz w:w="11900" w:h="16838" w:orient="portrait"/>
          <w:cols w:equalWidth="0" w:num="1">
            <w:col w:w="10159"/>
          </w:cols>
          <w:pgMar w:left="300" w:top="367" w:right="1440" w:bottom="1440" w:gutter="0" w:footer="0" w:header="0"/>
        </w:sectPr>
      </w:pPr>
    </w:p>
    <w:bookmarkStart w:id="128" w:name="page129"/>
    <w:bookmarkEnd w:id="12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Employment, Severance, and Change of Control Arrangements</w:t>
      </w:r>
    </w:p>
    <w:p>
      <w:pPr>
        <w:spacing w:after="0" w:line="15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Offer Letters and Employment Agreements</w:t>
      </w:r>
    </w:p>
    <w:p>
      <w:pPr>
        <w:spacing w:after="0" w:line="87" w:lineRule="exact"/>
        <w:rPr>
          <w:sz w:val="20"/>
          <w:szCs w:val="20"/>
          <w:color w:val="auto"/>
        </w:rPr>
      </w:pPr>
    </w:p>
    <w:p>
      <w:pPr>
        <w:ind w:left="1680" w:right="639" w:firstLine="316"/>
        <w:spacing w:after="0" w:line="263" w:lineRule="auto"/>
        <w:rPr>
          <w:sz w:val="20"/>
          <w:szCs w:val="20"/>
          <w:color w:val="auto"/>
        </w:rPr>
      </w:pPr>
      <w:r>
        <w:rPr>
          <w:rFonts w:ascii="Times New Roman" w:cs="Times New Roman" w:eastAsia="Times New Roman" w:hAnsi="Times New Roman"/>
          <w:sz w:val="13"/>
          <w:szCs w:val="13"/>
          <w:color w:val="auto"/>
        </w:rPr>
        <w:t>We have entered into confirmatory offer letters with Mr. Moskovitz, Ms. Lacey, and Mr. Wan. Each of these arrangements provides for at-will employment and generally includes the named executive officer’s initial base salary. In addition, each of our named executive officers has executed our standard confidential information and invention assignment agreement.</w:t>
      </w:r>
    </w:p>
    <w:p>
      <w:pPr>
        <w:spacing w:after="0" w:line="1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Executive Severance Plan</w:t>
      </w:r>
    </w:p>
    <w:p>
      <w:pPr>
        <w:spacing w:after="0" w:line="87" w:lineRule="exact"/>
        <w:rPr>
          <w:sz w:val="20"/>
          <w:szCs w:val="20"/>
          <w:color w:val="auto"/>
        </w:rPr>
      </w:pPr>
    </w:p>
    <w:p>
      <w:pPr>
        <w:ind w:left="1680" w:right="619" w:firstLine="316"/>
        <w:spacing w:after="0" w:line="252" w:lineRule="auto"/>
        <w:rPr>
          <w:sz w:val="20"/>
          <w:szCs w:val="20"/>
          <w:color w:val="auto"/>
        </w:rPr>
      </w:pPr>
      <w:r>
        <w:rPr>
          <w:rFonts w:ascii="Times New Roman" w:cs="Times New Roman" w:eastAsia="Times New Roman" w:hAnsi="Times New Roman"/>
          <w:sz w:val="13"/>
          <w:szCs w:val="13"/>
          <w:color w:val="auto"/>
        </w:rPr>
        <w:t>In connection with the effectiveness of the registration statement of which this prospectus forms a part, we adopted an Executive Severance and Change in Control Benefit Plan, or the executive severance plan, in which our named executive officers, and certain other executives and key employees, will participate. Our executive severance plan provides that upon (i) a termination of an eligible participant’s employment with us that is effected by us without “cause,” as defined in the executive severance plan or (ii) a resignation by an eligible participant for “good reason,” as defined in the executive severance plan, in each case outside of the change in control period (i.e., the period beginning three months prior to the date on which a “change in control,” as defined in the executive severance plan, becomes effective and ending eighteen months following the effective date of such change in control), an eligible participant will be entitled to receive, subject to, among other things, the execution and delivery of an effective release of claims in our favor, (i) a lump sum cash payment equal to one-third of the sum of the eligible participant’s (a) annual base salary and (b) target annual bonus (if applicable) for the year in which the termination date occurs, (ii) a lump sum cash payment equal to four months of our contribution towards health insurance, and (iii) accelerated vesting of certain outstanding and unvested time-based vesting equity awards held by such participant.</w:t>
      </w:r>
    </w:p>
    <w:p>
      <w:pPr>
        <w:spacing w:after="0" w:line="136" w:lineRule="exact"/>
        <w:rPr>
          <w:sz w:val="20"/>
          <w:szCs w:val="20"/>
          <w:color w:val="auto"/>
        </w:rPr>
      </w:pPr>
    </w:p>
    <w:p>
      <w:pPr>
        <w:ind w:left="1680" w:right="579" w:firstLine="316"/>
        <w:spacing w:after="0" w:line="253" w:lineRule="auto"/>
        <w:rPr>
          <w:sz w:val="20"/>
          <w:szCs w:val="20"/>
          <w:color w:val="auto"/>
        </w:rPr>
      </w:pPr>
      <w:r>
        <w:rPr>
          <w:rFonts w:ascii="Times New Roman" w:cs="Times New Roman" w:eastAsia="Times New Roman" w:hAnsi="Times New Roman"/>
          <w:sz w:val="13"/>
          <w:szCs w:val="13"/>
          <w:color w:val="auto"/>
        </w:rPr>
        <w:t>The executive severance plan also provides that upon (i) a termination of an eligible participant’s employment with us that is effected by us without cause, or (ii) a resignation by an eligible participant for good reason, in each case within the change in control period, the eligible participant will be entitled to receive, in lieu of the payments and benefits above and subject to, among other things, the execution and delivery of an effective release of claims in our favor, (i) a lump sum cash payment equal to 12 months of base salary plus target annual bonus (if applicable), (ii) a lump sum cash payment equal to the eligible participant’s prorated target annual bonus (if applicable), (iii) a lump sum cash payment equal to 12 months of our contribution towards health insurance, and (iv) accelerated vesting of certain outstanding and unvested equity awards held by such participant; provided, that any unvested and outstanding equity awards subject to performance conditions will be deemed satisfied at target levels specified in the applicable award agreements.</w:t>
      </w:r>
    </w:p>
    <w:p>
      <w:pPr>
        <w:spacing w:after="0" w:line="135" w:lineRule="exact"/>
        <w:rPr>
          <w:sz w:val="20"/>
          <w:szCs w:val="20"/>
          <w:color w:val="auto"/>
        </w:rPr>
      </w:pPr>
    </w:p>
    <w:p>
      <w:pPr>
        <w:ind w:left="1680" w:right="719" w:firstLine="316"/>
        <w:spacing w:after="0" w:line="256" w:lineRule="auto"/>
        <w:rPr>
          <w:sz w:val="20"/>
          <w:szCs w:val="20"/>
          <w:color w:val="auto"/>
        </w:rPr>
      </w:pPr>
      <w:r>
        <w:rPr>
          <w:rFonts w:ascii="Times New Roman" w:cs="Times New Roman" w:eastAsia="Times New Roman" w:hAnsi="Times New Roman"/>
          <w:sz w:val="13"/>
          <w:szCs w:val="13"/>
          <w:color w:val="auto"/>
        </w:rPr>
        <w:t>The payments and benefits provided under the executive severance plan in connection with a change in control may not be eligible for a federal income tax deduction by us pursuant to Section 280G of the Code. These payments and benefits may also subject an eligible participant, including the named executive officers, to an excise tax under Section 4999 of the Code. If the payments or benefits payable in connection with a change in control would be subject to the excise tax imposed under Section 4999 of the Code, then those payments or benefits will be reduced if such reduction would result in a higher net after-tax benefit to the recipient.</w:t>
      </w:r>
    </w:p>
    <w:p>
      <w:pPr>
        <w:spacing w:after="0" w:line="20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Non-Equity Incentive Plan Compensation</w:t>
      </w:r>
    </w:p>
    <w:p>
      <w:pPr>
        <w:spacing w:after="0" w:line="15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Fiscal 2020 Executive Incentive Plan</w:t>
      </w:r>
    </w:p>
    <w:p>
      <w:pPr>
        <w:spacing w:after="0" w:line="87" w:lineRule="exact"/>
        <w:rPr>
          <w:sz w:val="20"/>
          <w:szCs w:val="20"/>
          <w:color w:val="auto"/>
        </w:rPr>
      </w:pPr>
    </w:p>
    <w:p>
      <w:pPr>
        <w:ind w:left="1680" w:right="659" w:firstLine="316"/>
        <w:spacing w:after="0" w:line="258" w:lineRule="auto"/>
        <w:rPr>
          <w:sz w:val="20"/>
          <w:szCs w:val="20"/>
          <w:color w:val="auto"/>
        </w:rPr>
      </w:pPr>
      <w:r>
        <w:rPr>
          <w:rFonts w:ascii="Times New Roman" w:cs="Times New Roman" w:eastAsia="Times New Roman" w:hAnsi="Times New Roman"/>
          <w:sz w:val="13"/>
          <w:szCs w:val="13"/>
          <w:color w:val="auto"/>
        </w:rPr>
        <w:t>We approved an executive incentive plan for our executive leadership team for fiscal 2020, or the FY2020 Bonus Plan. Each participant in the FY2020 Bonus Plan was eligible to receive cash bonuses based on the achievement of certain financial and strategic goals. In addition, to be eligible to earn a bonus under the FY2020 Bonus Plan, a participant had to remain continually employed by, and in good standing with, us through the applicable bonus payment date. Ms. Lacey, our General Counsel and Corporate Secretary, and Mr. Wan, our</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124</w:t>
      </w:r>
    </w:p>
    <w:p>
      <w:pPr>
        <w:sectPr>
          <w:pgSz w:w="11900" w:h="16838" w:orient="portrait"/>
          <w:cols w:equalWidth="0" w:num="1">
            <w:col w:w="10159"/>
          </w:cols>
          <w:pgMar w:left="300" w:top="367" w:right="1440" w:bottom="1440" w:gutter="0" w:footer="0" w:header="0"/>
        </w:sectPr>
      </w:pPr>
    </w:p>
    <w:bookmarkStart w:id="129" w:name="page130"/>
    <w:bookmarkEnd w:id="12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Chief Financial Officer, participated in our FY2020 Bonus Plan and earned cash bonuses totaling $62,754 and $180,600, respectively, thereunder.</w:t>
      </w:r>
    </w:p>
    <w:p>
      <w:pPr>
        <w:spacing w:after="0" w:line="23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Employee Benefit Plans</w:t>
      </w:r>
    </w:p>
    <w:p>
      <w:pPr>
        <w:spacing w:after="0" w:line="85" w:lineRule="exact"/>
        <w:rPr>
          <w:sz w:val="20"/>
          <w:szCs w:val="20"/>
          <w:color w:val="auto"/>
        </w:rPr>
      </w:pPr>
    </w:p>
    <w:p>
      <w:pPr>
        <w:jc w:val="both"/>
        <w:ind w:left="1680" w:right="639" w:firstLine="316"/>
        <w:spacing w:after="0" w:line="277" w:lineRule="auto"/>
        <w:rPr>
          <w:sz w:val="20"/>
          <w:szCs w:val="20"/>
          <w:color w:val="auto"/>
        </w:rPr>
      </w:pPr>
      <w:r>
        <w:rPr>
          <w:rFonts w:ascii="Times New Roman" w:cs="Times New Roman" w:eastAsia="Times New Roman" w:hAnsi="Times New Roman"/>
          <w:sz w:val="13"/>
          <w:szCs w:val="13"/>
          <w:color w:val="auto"/>
        </w:rPr>
        <w:t>The principal features of our equity plans are summarized below. These summaries are qualified in their entirety by reference to the actual text of the plans, which are filed as exhibits to the registration statement of which this prospectus is a part.</w:t>
      </w:r>
    </w:p>
    <w:p>
      <w:pPr>
        <w:spacing w:after="0" w:line="19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2020 Equity Incentive Plan</w:t>
      </w:r>
    </w:p>
    <w:p>
      <w:pPr>
        <w:spacing w:after="0" w:line="87" w:lineRule="exact"/>
        <w:rPr>
          <w:sz w:val="20"/>
          <w:szCs w:val="20"/>
          <w:color w:val="auto"/>
        </w:rPr>
      </w:pPr>
    </w:p>
    <w:p>
      <w:pPr>
        <w:jc w:val="both"/>
        <w:ind w:left="1680" w:right="659" w:firstLine="316"/>
        <w:spacing w:after="0" w:line="263" w:lineRule="auto"/>
        <w:rPr>
          <w:sz w:val="20"/>
          <w:szCs w:val="20"/>
          <w:color w:val="auto"/>
        </w:rPr>
      </w:pPr>
      <w:r>
        <w:rPr>
          <w:rFonts w:ascii="Times New Roman" w:cs="Times New Roman" w:eastAsia="Times New Roman" w:hAnsi="Times New Roman"/>
          <w:sz w:val="13"/>
          <w:szCs w:val="13"/>
          <w:color w:val="auto"/>
        </w:rPr>
        <w:t>Our board of directors adopted and our stockholders approved our 2020 Equity Incentive Plan, or 2020 Plan, in August 2020. The 2020 Plan will become effective, and no stock awards may be granted under the 2020 Plan until immediately prior to the effectiveness of the registration statement of which this prospectus forms a part.</w:t>
      </w:r>
    </w:p>
    <w:p>
      <w:pPr>
        <w:spacing w:after="0" w:line="127" w:lineRule="exact"/>
        <w:rPr>
          <w:sz w:val="20"/>
          <w:szCs w:val="20"/>
          <w:color w:val="auto"/>
        </w:rPr>
      </w:pPr>
    </w:p>
    <w:p>
      <w:pPr>
        <w:ind w:left="1680" w:right="599" w:firstLine="316"/>
        <w:spacing w:after="0" w:line="256" w:lineRule="auto"/>
        <w:rPr>
          <w:sz w:val="20"/>
          <w:szCs w:val="20"/>
          <w:color w:val="auto"/>
        </w:rPr>
      </w:pPr>
      <w:r>
        <w:rPr>
          <w:rFonts w:ascii="Times New Roman" w:cs="Times New Roman" w:eastAsia="Times New Roman" w:hAnsi="Times New Roman"/>
          <w:sz w:val="13"/>
          <w:szCs w:val="13"/>
          <w:i w:val="1"/>
          <w:iCs w:val="1"/>
          <w:color w:val="auto"/>
        </w:rPr>
        <w:t xml:space="preserve">Stock Awards. </w:t>
      </w:r>
      <w:r>
        <w:rPr>
          <w:rFonts w:ascii="Times New Roman" w:cs="Times New Roman" w:eastAsia="Times New Roman" w:hAnsi="Times New Roman"/>
          <w:sz w:val="13"/>
          <w:szCs w:val="13"/>
          <w:color w:val="auto"/>
        </w:rPr>
        <w:t>The 2020 Plan provides for the grant of incentive stock options, within the meaning of Section 422 of the Code, or ISOs,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nonstatutory stock options, or NSOs, stock appreciation rights, restricted stock awards, RSU awards, performance-based stock awards, and other forms of equity compensation, which are collectively referred to as stock awards. Additionally, the 2020 Plan provides for the grant of performance cash awards. ISOs may be granted only to our employees and to any of our parent or subsidiary corporation’s employees. All other awards may be granted to employees, including officers, and to non-employee directors and consultants of ours and any of our affiliates.</w:t>
      </w:r>
    </w:p>
    <w:p>
      <w:pPr>
        <w:spacing w:after="0" w:line="133" w:lineRule="exact"/>
        <w:rPr>
          <w:sz w:val="20"/>
          <w:szCs w:val="20"/>
          <w:color w:val="auto"/>
        </w:rPr>
      </w:pPr>
    </w:p>
    <w:p>
      <w:pPr>
        <w:ind w:left="1680" w:right="619" w:firstLine="316"/>
        <w:spacing w:after="0" w:line="252" w:lineRule="auto"/>
        <w:rPr>
          <w:sz w:val="20"/>
          <w:szCs w:val="20"/>
          <w:color w:val="auto"/>
        </w:rPr>
      </w:pPr>
      <w:r>
        <w:rPr>
          <w:rFonts w:ascii="Times New Roman" w:cs="Times New Roman" w:eastAsia="Times New Roman" w:hAnsi="Times New Roman"/>
          <w:sz w:val="13"/>
          <w:szCs w:val="13"/>
          <w:i w:val="1"/>
          <w:iCs w:val="1"/>
          <w:color w:val="auto"/>
        </w:rPr>
        <w:t xml:space="preserve">Share Reserve. </w:t>
      </w:r>
      <w:r>
        <w:rPr>
          <w:rFonts w:ascii="Times New Roman" w:cs="Times New Roman" w:eastAsia="Times New Roman" w:hAnsi="Times New Roman"/>
          <w:sz w:val="13"/>
          <w:szCs w:val="13"/>
          <w:color w:val="auto"/>
        </w:rPr>
        <w:t>Subject to specified capitalization adjustments, the aggregate number of shares of our Class A common stock that may be issued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pursuant to stock awards under the 2020 Plan will not exceed the sum of (1) 18,000,000 new shares; (2) the number of shares remaining available for issuance under our prior stock plans as of the effective date of the 2020 Plan; and (3) the shares subject to awards outstanding under our prior stock plans that are not issued because such stock awards expire or otherwise terminate without all shares covered by such stock awards having been issued, such stock awards are settled in cash, the shares subject to such stock awards are forfeited back to or repurchased by us prior to vesting, the shares subject to such stock awards are withheld or reacquired to satisfy the exercise, strike or purchase price or the shares subject to such awards are withheld or reacquired to satisfy a tax withholding obligation. Additionally, the number of shares of our Class A common stock reserved for issuance under the 2020 Plan will automatically increase on the first day of each fiscal year for 10 years, starting February 1, 2021 (assuming the 2020 Plan becomes effective in fiscal 2021) and ending on and including February 1, 2030, in an amount equal to the least of (1) 5% of the total number of shares of our capital stock outstanding on the last day of the prior fiscal year or (2) a number of shares approved by our board of directors.</w:t>
      </w:r>
    </w:p>
    <w:p>
      <w:pPr>
        <w:spacing w:after="0" w:line="138" w:lineRule="exact"/>
        <w:rPr>
          <w:sz w:val="20"/>
          <w:szCs w:val="20"/>
          <w:color w:val="auto"/>
        </w:rPr>
      </w:pPr>
    </w:p>
    <w:p>
      <w:pPr>
        <w:ind w:left="1680" w:right="599" w:firstLine="316"/>
        <w:spacing w:after="0" w:line="254" w:lineRule="auto"/>
        <w:rPr>
          <w:sz w:val="20"/>
          <w:szCs w:val="20"/>
          <w:color w:val="auto"/>
        </w:rPr>
      </w:pPr>
      <w:r>
        <w:rPr>
          <w:rFonts w:ascii="Times New Roman" w:cs="Times New Roman" w:eastAsia="Times New Roman" w:hAnsi="Times New Roman"/>
          <w:sz w:val="13"/>
          <w:szCs w:val="13"/>
          <w:color w:val="auto"/>
        </w:rPr>
        <w:t>If a stock award granted under the 2020 Plan expires or otherwise terminates without being exercised in full, or is settled in cash, the shares of our Class A common stock not acquired pursuant to the stock award again will become available for subsequent issuance under the 2020 Plan. In addition, the following types of shares under the 2020 Plan may become available for the grant of new stock awards under the 2020 Plan: (1) shares that are forfeited to or repurchased by us prior to becoming fully vested; (2) shares withheld to satisfy income or employment withholding taxes; or (3) shares used to pay the exercise or purchase price of a stock award. Shares issued under the 2020 Plan may be previously unissued shares or reacquired shares bought by us on the open market.</w:t>
      </w:r>
    </w:p>
    <w:p>
      <w:pPr>
        <w:spacing w:after="0" w:line="136" w:lineRule="exact"/>
        <w:rPr>
          <w:sz w:val="20"/>
          <w:szCs w:val="20"/>
          <w:color w:val="auto"/>
        </w:rPr>
      </w:pPr>
    </w:p>
    <w:p>
      <w:pPr>
        <w:ind w:left="1680" w:right="719" w:firstLine="316"/>
        <w:spacing w:after="0" w:line="258" w:lineRule="auto"/>
        <w:rPr>
          <w:sz w:val="20"/>
          <w:szCs w:val="20"/>
          <w:color w:val="auto"/>
        </w:rPr>
      </w:pPr>
      <w:r>
        <w:rPr>
          <w:rFonts w:ascii="Times New Roman" w:cs="Times New Roman" w:eastAsia="Times New Roman" w:hAnsi="Times New Roman"/>
          <w:sz w:val="13"/>
          <w:szCs w:val="13"/>
          <w:color w:val="auto"/>
        </w:rPr>
        <w:t>The maximum number of shares of Class A common stock subject to stock awards granted under the 2020 Plan or otherwise during any one calendar year to any non-employee director, taken together with any cash fees paid by us to such non-employee director during such calendar year for service on the board of directors, will not exceed $750,000 in total value (calculating the value of any such stock awards based on the grant date fair value</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125</w:t>
      </w:r>
    </w:p>
    <w:p>
      <w:pPr>
        <w:sectPr>
          <w:pgSz w:w="11900" w:h="16838" w:orient="portrait"/>
          <w:cols w:equalWidth="0" w:num="1">
            <w:col w:w="10159"/>
          </w:cols>
          <w:pgMar w:left="300" w:top="367" w:right="1440" w:bottom="1440" w:gutter="0" w:footer="0" w:header="0"/>
        </w:sectPr>
      </w:pPr>
    </w:p>
    <w:bookmarkStart w:id="130" w:name="page131"/>
    <w:bookmarkEnd w:id="13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59"/>
        <w:spacing w:after="0" w:line="277" w:lineRule="auto"/>
        <w:rPr>
          <w:sz w:val="20"/>
          <w:szCs w:val="20"/>
          <w:color w:val="auto"/>
        </w:rPr>
      </w:pPr>
      <w:r>
        <w:rPr>
          <w:rFonts w:ascii="Times New Roman" w:cs="Times New Roman" w:eastAsia="Times New Roman" w:hAnsi="Times New Roman"/>
          <w:sz w:val="13"/>
          <w:szCs w:val="13"/>
          <w:color w:val="auto"/>
        </w:rPr>
        <w:t>of such stock awards for financial reporting purposes), or, with respect to the calendar year in which a non-employee director is first appointed or elected to our board of directors, $1,000,000.</w:t>
      </w:r>
    </w:p>
    <w:p>
      <w:pPr>
        <w:spacing w:after="0" w:line="118" w:lineRule="exact"/>
        <w:rPr>
          <w:sz w:val="20"/>
          <w:szCs w:val="20"/>
          <w:color w:val="auto"/>
        </w:rPr>
      </w:pPr>
    </w:p>
    <w:p>
      <w:pPr>
        <w:ind w:left="1680" w:right="579" w:firstLine="316"/>
        <w:spacing w:after="0" w:line="253" w:lineRule="auto"/>
        <w:rPr>
          <w:sz w:val="20"/>
          <w:szCs w:val="20"/>
          <w:color w:val="auto"/>
        </w:rPr>
      </w:pPr>
      <w:r>
        <w:rPr>
          <w:rFonts w:ascii="Times New Roman" w:cs="Times New Roman" w:eastAsia="Times New Roman" w:hAnsi="Times New Roman"/>
          <w:sz w:val="13"/>
          <w:szCs w:val="13"/>
          <w:i w:val="1"/>
          <w:iCs w:val="1"/>
          <w:color w:val="auto"/>
        </w:rPr>
        <w:t xml:space="preserve">Administration. </w:t>
      </w:r>
      <w:r>
        <w:rPr>
          <w:rFonts w:ascii="Times New Roman" w:cs="Times New Roman" w:eastAsia="Times New Roman" w:hAnsi="Times New Roman"/>
          <w:sz w:val="13"/>
          <w:szCs w:val="13"/>
          <w:color w:val="auto"/>
        </w:rPr>
        <w:t>Our board of directors, or a duly authorized committee thereof, has the authority to administer the 2020 Plan. Our board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directors may also delegate to one or more of our officers the authority to (1) designate employees (other than other officers) to be recipients of certain stock awards, (2) determine the number of shares of Class A common stock to be subject to such stock awards, and (3) specify the other terms and conditions, including the strike price or purchase price and vesting schedule, applicable to such awards. Subject to the terms of the 2020 Plan, our board of directors or the authorized committee, referred to as the plan administrator, determines recipients, dates of grant, the numbers and types of stock awards to be granted, and the terms and conditions of the stock awards, including the period of their exercisability and the vesting schedule applicable to a stock award. Subject to the limitations set forth below, the plan administrator will also determine the exercise price, strike price, or purchase price of stock awards granted, and the types of consideration to be paid for the stock award.</w:t>
      </w:r>
    </w:p>
    <w:p>
      <w:pPr>
        <w:spacing w:after="0" w:line="137" w:lineRule="exact"/>
        <w:rPr>
          <w:sz w:val="20"/>
          <w:szCs w:val="20"/>
          <w:color w:val="auto"/>
        </w:rPr>
      </w:pPr>
    </w:p>
    <w:p>
      <w:pPr>
        <w:ind w:left="1680" w:right="559" w:firstLine="316"/>
        <w:spacing w:after="0" w:line="258" w:lineRule="auto"/>
        <w:rPr>
          <w:sz w:val="20"/>
          <w:szCs w:val="20"/>
          <w:color w:val="auto"/>
        </w:rPr>
      </w:pPr>
      <w:r>
        <w:rPr>
          <w:rFonts w:ascii="Times New Roman" w:cs="Times New Roman" w:eastAsia="Times New Roman" w:hAnsi="Times New Roman"/>
          <w:sz w:val="13"/>
          <w:szCs w:val="13"/>
          <w:color w:val="auto"/>
        </w:rPr>
        <w:t>The plan administrator has the authority to modify outstanding stock awards under our 2020 Plan. Subject to the terms of our 2020 Plan, the plan administrator has the authority, without stockholder approval, to reduce the exercise, purchase, or strike price of any outstanding stock award, cancel any outstanding stock award in exchange for new stock awards, cash, or other consideration, or take any other action that is treated as a repricing under generally accepted accounting principles, with the consent of any adversely affected participant.</w:t>
      </w:r>
    </w:p>
    <w:p>
      <w:pPr>
        <w:spacing w:after="0" w:line="131" w:lineRule="exact"/>
        <w:rPr>
          <w:sz w:val="20"/>
          <w:szCs w:val="20"/>
          <w:color w:val="auto"/>
        </w:rPr>
      </w:pPr>
    </w:p>
    <w:p>
      <w:pPr>
        <w:jc w:val="both"/>
        <w:ind w:left="1680" w:right="559" w:firstLine="316"/>
        <w:spacing w:after="0" w:line="259" w:lineRule="auto"/>
        <w:rPr>
          <w:sz w:val="20"/>
          <w:szCs w:val="20"/>
          <w:color w:val="auto"/>
        </w:rPr>
      </w:pPr>
      <w:r>
        <w:rPr>
          <w:rFonts w:ascii="Times New Roman" w:cs="Times New Roman" w:eastAsia="Times New Roman" w:hAnsi="Times New Roman"/>
          <w:sz w:val="13"/>
          <w:szCs w:val="13"/>
          <w:i w:val="1"/>
          <w:iCs w:val="1"/>
          <w:color w:val="auto"/>
        </w:rPr>
        <w:t xml:space="preserve">Stock Options. </w:t>
      </w:r>
      <w:r>
        <w:rPr>
          <w:rFonts w:ascii="Times New Roman" w:cs="Times New Roman" w:eastAsia="Times New Roman" w:hAnsi="Times New Roman"/>
          <w:sz w:val="13"/>
          <w:szCs w:val="13"/>
          <w:color w:val="auto"/>
        </w:rPr>
        <w:t>ISOs and NSOs are evidenced by stock option agreements adopted by the plan administrator. The plan administrator determines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exercise price for a stock option, within the terms and conditions of the 2020 Plan, provided that the exercise price of a stock option generally cannot be less than 100% of the fair market value of our Class A common stock on the date of grant. Options granted under the 2020 Plan vest at the rate specified by the plan administrator.</w:t>
      </w:r>
    </w:p>
    <w:p>
      <w:pPr>
        <w:spacing w:after="0" w:line="132" w:lineRule="exact"/>
        <w:rPr>
          <w:sz w:val="20"/>
          <w:szCs w:val="20"/>
          <w:color w:val="auto"/>
        </w:rPr>
      </w:pPr>
    </w:p>
    <w:p>
      <w:pPr>
        <w:ind w:left="1680" w:right="639" w:firstLine="316"/>
        <w:spacing w:after="0" w:line="256" w:lineRule="auto"/>
        <w:rPr>
          <w:sz w:val="20"/>
          <w:szCs w:val="20"/>
          <w:color w:val="auto"/>
        </w:rPr>
      </w:pPr>
      <w:r>
        <w:rPr>
          <w:rFonts w:ascii="Times New Roman" w:cs="Times New Roman" w:eastAsia="Times New Roman" w:hAnsi="Times New Roman"/>
          <w:sz w:val="13"/>
          <w:szCs w:val="13"/>
          <w:color w:val="auto"/>
        </w:rPr>
        <w:t>The plan administrator determines the term of stock options granted under the 2020 Plan, up to a maximum of 10 years. Unless the terms of an option holder’s stock option agreement provide otherwise, if an option holder’s service relationship with us, or any of our affiliates, ceases for any reason other than cause, the option holder may exercise any vested options at any time prior to the expiration of the applicable option’s maximum term. In the event of a termination for cause, options generally terminate immediately. In no event may an option be exercised beyond the expiration of its term.</w:t>
      </w:r>
    </w:p>
    <w:p>
      <w:pPr>
        <w:spacing w:after="0" w:line="133" w:lineRule="exact"/>
        <w:rPr>
          <w:sz w:val="20"/>
          <w:szCs w:val="20"/>
          <w:color w:val="auto"/>
        </w:rPr>
      </w:pPr>
    </w:p>
    <w:p>
      <w:pPr>
        <w:ind w:left="1680" w:right="579" w:firstLine="316"/>
        <w:spacing w:after="0" w:line="258" w:lineRule="auto"/>
        <w:rPr>
          <w:sz w:val="20"/>
          <w:szCs w:val="20"/>
          <w:color w:val="auto"/>
        </w:rPr>
      </w:pPr>
      <w:r>
        <w:rPr>
          <w:rFonts w:ascii="Times New Roman" w:cs="Times New Roman" w:eastAsia="Times New Roman" w:hAnsi="Times New Roman"/>
          <w:sz w:val="13"/>
          <w:szCs w:val="13"/>
          <w:color w:val="auto"/>
        </w:rPr>
        <w:t>Acceptable consideration for the purchase of our Class A common stock issued upon the exercise of a stock option will be determined by the plan administrator and may include (1) cash, check, bank draft, or money order, (2) a broker-assisted cashless exercise, (3) the tender of shares of our Class A common stock previously owned by the option holder, (4) a net exercise of the option if it is an NSO, and (5) other legal consideration approved by the plan administrator.</w:t>
      </w:r>
    </w:p>
    <w:p>
      <w:pPr>
        <w:spacing w:after="0" w:line="133" w:lineRule="exact"/>
        <w:rPr>
          <w:sz w:val="20"/>
          <w:szCs w:val="20"/>
          <w:color w:val="auto"/>
        </w:rPr>
      </w:pPr>
    </w:p>
    <w:p>
      <w:pPr>
        <w:ind w:left="1680" w:right="799" w:firstLine="316"/>
        <w:spacing w:after="0" w:line="263" w:lineRule="auto"/>
        <w:rPr>
          <w:sz w:val="20"/>
          <w:szCs w:val="20"/>
          <w:color w:val="auto"/>
        </w:rPr>
      </w:pPr>
      <w:r>
        <w:rPr>
          <w:rFonts w:ascii="Times New Roman" w:cs="Times New Roman" w:eastAsia="Times New Roman" w:hAnsi="Times New Roman"/>
          <w:sz w:val="13"/>
          <w:szCs w:val="13"/>
          <w:color w:val="auto"/>
        </w:rPr>
        <w:t>Unless the plan administrator provides otherwise, options generally are not transferable except by will, the laws of descent and distribution, or pursuant to a domestic relations order. An option holder may designate a beneficiary, however, who may exercise the option following the option holder’s death.</w:t>
      </w:r>
    </w:p>
    <w:p>
      <w:pPr>
        <w:spacing w:after="0" w:line="127" w:lineRule="exact"/>
        <w:rPr>
          <w:sz w:val="20"/>
          <w:szCs w:val="20"/>
          <w:color w:val="auto"/>
        </w:rPr>
      </w:pPr>
    </w:p>
    <w:p>
      <w:pPr>
        <w:ind w:left="1680" w:right="579" w:firstLine="316"/>
        <w:spacing w:after="0" w:line="255" w:lineRule="auto"/>
        <w:rPr>
          <w:sz w:val="20"/>
          <w:szCs w:val="20"/>
          <w:color w:val="auto"/>
        </w:rPr>
      </w:pPr>
      <w:r>
        <w:rPr>
          <w:rFonts w:ascii="Times New Roman" w:cs="Times New Roman" w:eastAsia="Times New Roman" w:hAnsi="Times New Roman"/>
          <w:sz w:val="13"/>
          <w:szCs w:val="13"/>
          <w:i w:val="1"/>
          <w:iCs w:val="1"/>
          <w:color w:val="auto"/>
        </w:rPr>
        <w:t xml:space="preserve">Tax Limitations on ISOs. </w:t>
      </w:r>
      <w:r>
        <w:rPr>
          <w:rFonts w:ascii="Times New Roman" w:cs="Times New Roman" w:eastAsia="Times New Roman" w:hAnsi="Times New Roman"/>
          <w:sz w:val="13"/>
          <w:szCs w:val="13"/>
          <w:color w:val="auto"/>
        </w:rPr>
        <w:t>The aggregate fair market value, determined at the time of grant, of our Class A common stock with respect to ISOs that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are exercisable for the first time by an option holder during any calendar year under all of our stock plans may not exceed $100,000. Options or portions thereof that exceed such limit will be treated as NSOs. No ISOs may be granted to any person who, at the time of the grant, owns or is deemed to own stock possessing more than 10% of our total combined voting power or that of any of our parent or subsidiary corporations unless (1) the option exercise price is at least 110% of the fair market value of the stock subject to the option on the date of grant and (2) the term of the ISO does not exceed five years from the date of grant.</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126</w:t>
      </w:r>
    </w:p>
    <w:p>
      <w:pPr>
        <w:sectPr>
          <w:pgSz w:w="11900" w:h="16838" w:orient="portrait"/>
          <w:cols w:equalWidth="0" w:num="1">
            <w:col w:w="10159"/>
          </w:cols>
          <w:pgMar w:left="300" w:top="367" w:right="1440" w:bottom="1440" w:gutter="0" w:footer="0" w:header="0"/>
        </w:sectPr>
      </w:pPr>
    </w:p>
    <w:bookmarkStart w:id="131" w:name="page132"/>
    <w:bookmarkEnd w:id="13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right="559" w:firstLine="316"/>
        <w:spacing w:after="0" w:line="255" w:lineRule="auto"/>
        <w:rPr>
          <w:sz w:val="20"/>
          <w:szCs w:val="20"/>
          <w:color w:val="auto"/>
        </w:rPr>
      </w:pPr>
      <w:r>
        <w:rPr>
          <w:rFonts w:ascii="Times New Roman" w:cs="Times New Roman" w:eastAsia="Times New Roman" w:hAnsi="Times New Roman"/>
          <w:sz w:val="13"/>
          <w:szCs w:val="13"/>
          <w:i w:val="1"/>
          <w:iCs w:val="1"/>
          <w:color w:val="auto"/>
        </w:rPr>
        <w:t xml:space="preserve">Restricted Stock Awards. </w:t>
      </w:r>
      <w:r>
        <w:rPr>
          <w:rFonts w:ascii="Times New Roman" w:cs="Times New Roman" w:eastAsia="Times New Roman" w:hAnsi="Times New Roman"/>
          <w:sz w:val="13"/>
          <w:szCs w:val="13"/>
          <w:color w:val="auto"/>
        </w:rPr>
        <w:t>Restricted stock awards are evidenced by restricted stock award agreements adopted by the plan administrator. Restricted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stock awards may be granted in consideration for (1) cash, check, bank draft, or money order, (2) services rendered to us or our affiliates, or (3) any other form of legal consideration. Class A common stock acquired under a restricted stock award may, but need not, be subject to a share repurchase option in our favor in accordance with a vesting schedule as determined by the plan administrator. Rights to acquire shares under a restricted stock award may be transferred only upon such terms and conditions as set by the plan administrator. Except as otherwise provided in the applicable award agreement, restricted stock awards that have not vested will be forfeited upon the participant’s cessation of continuous service for any reason.</w:t>
      </w:r>
    </w:p>
    <w:p>
      <w:pPr>
        <w:spacing w:after="0" w:line="133" w:lineRule="exact"/>
        <w:rPr>
          <w:sz w:val="20"/>
          <w:szCs w:val="20"/>
          <w:color w:val="auto"/>
        </w:rPr>
      </w:pPr>
    </w:p>
    <w:p>
      <w:pPr>
        <w:ind w:left="1680" w:right="879" w:firstLine="316"/>
        <w:spacing w:after="0" w:line="254" w:lineRule="auto"/>
        <w:rPr>
          <w:sz w:val="20"/>
          <w:szCs w:val="20"/>
          <w:color w:val="auto"/>
        </w:rPr>
      </w:pPr>
      <w:r>
        <w:rPr>
          <w:rFonts w:ascii="Times New Roman" w:cs="Times New Roman" w:eastAsia="Times New Roman" w:hAnsi="Times New Roman"/>
          <w:sz w:val="13"/>
          <w:szCs w:val="13"/>
          <w:i w:val="1"/>
          <w:iCs w:val="1"/>
          <w:color w:val="auto"/>
        </w:rPr>
        <w:t xml:space="preserve">Restricted Stock Unit Awards. </w:t>
      </w:r>
      <w:r>
        <w:rPr>
          <w:rFonts w:ascii="Times New Roman" w:cs="Times New Roman" w:eastAsia="Times New Roman" w:hAnsi="Times New Roman"/>
          <w:sz w:val="13"/>
          <w:szCs w:val="13"/>
          <w:color w:val="auto"/>
        </w:rPr>
        <w:t>RSU awards are evidenced by RSU award agreements adopted by the plan administrator. RSU awards may be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granted in consideration for any form of legal consideration or for no consideration. An RSU award may be settled by cash, delivery of stock, a combination of cash and stock as deemed appropriate by the plan administrator, or in any other form of consideration set forth in the RSU award agreement. Additionally, dividend equivalents may be credited in respect of shares covered by an RSU award. Rights under an RSU award may be transferred only upon such terms and conditions as set by the plan administrator. RSU awards may be subject to vesting as determined by the plan administrator. Except as otherwise provided in the applicable award agreement, RSUs that have not vested will be forfeited upon the participant’s cessation of continuous service for any reason.</w:t>
      </w:r>
    </w:p>
    <w:p>
      <w:pPr>
        <w:spacing w:after="0" w:line="133" w:lineRule="exact"/>
        <w:rPr>
          <w:sz w:val="20"/>
          <w:szCs w:val="20"/>
          <w:color w:val="auto"/>
        </w:rPr>
      </w:pPr>
    </w:p>
    <w:p>
      <w:pPr>
        <w:ind w:left="1680" w:right="599" w:firstLine="316"/>
        <w:spacing w:after="0" w:line="255" w:lineRule="auto"/>
        <w:rPr>
          <w:sz w:val="20"/>
          <w:szCs w:val="20"/>
          <w:color w:val="auto"/>
        </w:rPr>
      </w:pPr>
      <w:r>
        <w:rPr>
          <w:rFonts w:ascii="Times New Roman" w:cs="Times New Roman" w:eastAsia="Times New Roman" w:hAnsi="Times New Roman"/>
          <w:sz w:val="13"/>
          <w:szCs w:val="13"/>
          <w:i w:val="1"/>
          <w:iCs w:val="1"/>
          <w:color w:val="auto"/>
        </w:rPr>
        <w:t xml:space="preserve">Stock Appreciation Rights. </w:t>
      </w:r>
      <w:r>
        <w:rPr>
          <w:rFonts w:ascii="Times New Roman" w:cs="Times New Roman" w:eastAsia="Times New Roman" w:hAnsi="Times New Roman"/>
          <w:sz w:val="13"/>
          <w:szCs w:val="13"/>
          <w:color w:val="auto"/>
        </w:rPr>
        <w:t>Stock appreciation rights are evidenced by stock appreciation grant agreements adopted by the plan administrator.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plan administrator determines the strike price for a stock appreciation right, which generally cannot be less than 100% of the fair market value of our Class A common stock on the date of grant. Upon the exercise of a stock appreciation right, we will pay the participant an amount in cash or stock equal to (1) the excess of the per share fair market value of our Class A common stock on the date of exercise over the strike price, multiplied by (2) the number of shares of Class A common stock with respect to which the stock appreciation right is exercised. A stock appreciation right granted under the 2020 Plan vests at the rate specified in the stock appreciation right agreement as determined by the plan administrator.</w:t>
      </w:r>
    </w:p>
    <w:p>
      <w:pPr>
        <w:spacing w:after="0" w:line="135" w:lineRule="exact"/>
        <w:rPr>
          <w:sz w:val="20"/>
          <w:szCs w:val="20"/>
          <w:color w:val="auto"/>
        </w:rPr>
      </w:pPr>
    </w:p>
    <w:p>
      <w:pPr>
        <w:ind w:left="1680" w:right="619" w:firstLine="316"/>
        <w:spacing w:after="0" w:line="252" w:lineRule="auto"/>
        <w:rPr>
          <w:sz w:val="20"/>
          <w:szCs w:val="20"/>
          <w:color w:val="auto"/>
        </w:rPr>
      </w:pPr>
      <w:r>
        <w:rPr>
          <w:rFonts w:ascii="Times New Roman" w:cs="Times New Roman" w:eastAsia="Times New Roman" w:hAnsi="Times New Roman"/>
          <w:sz w:val="13"/>
          <w:szCs w:val="13"/>
          <w:color w:val="auto"/>
        </w:rPr>
        <w:t>The plan administrator determines the term of stock appreciation rights granted under the 2020 Plan, up to a maximum of 10 years. Unless the terms of a participant’s stock appreciation right agreement provides otherwise, if a participant’s service relationship with us or any of our affiliates ceases for any reason other than cause, disability, or death, the participant may generally exercise any vested stock appreciation right for a period of three months following the cessation of service. The stock appreciation right term will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38" w:lineRule="exact"/>
        <w:rPr>
          <w:sz w:val="20"/>
          <w:szCs w:val="20"/>
          <w:color w:val="auto"/>
        </w:rPr>
      </w:pPr>
    </w:p>
    <w:p>
      <w:pPr>
        <w:ind w:left="1680" w:right="719" w:firstLine="316"/>
        <w:spacing w:after="0" w:line="263" w:lineRule="auto"/>
        <w:rPr>
          <w:sz w:val="20"/>
          <w:szCs w:val="20"/>
          <w:color w:val="auto"/>
        </w:rPr>
      </w:pPr>
      <w:r>
        <w:rPr>
          <w:rFonts w:ascii="Times New Roman" w:cs="Times New Roman" w:eastAsia="Times New Roman" w:hAnsi="Times New Roman"/>
          <w:sz w:val="13"/>
          <w:szCs w:val="13"/>
          <w:color w:val="auto"/>
        </w:rPr>
        <w:t>Unless the plan administrator provides otherwise, stock appreciation rights generally are not transferable except by will, the laws of descent and distribution, or pursuant to a domestic relations order. A stock appreciation right holder may designate a beneficiary, however, who may exercise the stock appreciation right following the holder’s death.</w:t>
      </w:r>
    </w:p>
    <w:p>
      <w:pPr>
        <w:spacing w:after="0" w:line="127" w:lineRule="exact"/>
        <w:rPr>
          <w:sz w:val="20"/>
          <w:szCs w:val="20"/>
          <w:color w:val="auto"/>
        </w:rPr>
      </w:pPr>
    </w:p>
    <w:p>
      <w:pPr>
        <w:ind w:left="1680" w:right="639" w:firstLine="316"/>
        <w:spacing w:after="0" w:line="280" w:lineRule="auto"/>
        <w:rPr>
          <w:sz w:val="20"/>
          <w:szCs w:val="20"/>
          <w:color w:val="auto"/>
        </w:rPr>
      </w:pPr>
      <w:r>
        <w:rPr>
          <w:rFonts w:ascii="Times New Roman" w:cs="Times New Roman" w:eastAsia="Times New Roman" w:hAnsi="Times New Roman"/>
          <w:sz w:val="13"/>
          <w:szCs w:val="13"/>
          <w:i w:val="1"/>
          <w:iCs w:val="1"/>
          <w:color w:val="auto"/>
        </w:rPr>
        <w:t xml:space="preserve">Performance Awards. </w:t>
      </w:r>
      <w:r>
        <w:rPr>
          <w:rFonts w:ascii="Times New Roman" w:cs="Times New Roman" w:eastAsia="Times New Roman" w:hAnsi="Times New Roman"/>
          <w:sz w:val="13"/>
          <w:szCs w:val="13"/>
          <w:color w:val="auto"/>
        </w:rPr>
        <w:t>Our 2020 Plan permits the grant of performance-based stock and cash awards. The performance goals may be any measure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performance selected by our board of directors or a committee thereof for the performance period.</w:t>
      </w:r>
    </w:p>
    <w:p>
      <w:pPr>
        <w:spacing w:after="0" w:line="118" w:lineRule="exact"/>
        <w:rPr>
          <w:sz w:val="20"/>
          <w:szCs w:val="20"/>
          <w:color w:val="auto"/>
        </w:rPr>
      </w:pPr>
    </w:p>
    <w:p>
      <w:pPr>
        <w:ind w:left="1680" w:right="979" w:firstLine="316"/>
        <w:spacing w:after="0" w:line="277" w:lineRule="auto"/>
        <w:rPr>
          <w:sz w:val="20"/>
          <w:szCs w:val="20"/>
          <w:color w:val="auto"/>
        </w:rPr>
      </w:pPr>
      <w:r>
        <w:rPr>
          <w:rFonts w:ascii="Times New Roman" w:cs="Times New Roman" w:eastAsia="Times New Roman" w:hAnsi="Times New Roman"/>
          <w:sz w:val="13"/>
          <w:szCs w:val="13"/>
          <w:color w:val="auto"/>
        </w:rPr>
        <w:t>The performance goals may be based on company-wide performance or performance of one or more business units, divisions, affiliates, or business segments, and may be either absolute or relative to the</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127</w:t>
      </w:r>
    </w:p>
    <w:p>
      <w:pPr>
        <w:sectPr>
          <w:pgSz w:w="11900" w:h="16838" w:orient="portrait"/>
          <w:cols w:equalWidth="0" w:num="1">
            <w:col w:w="10159"/>
          </w:cols>
          <w:pgMar w:left="300" w:top="367" w:right="1440" w:bottom="1440" w:gutter="0" w:footer="0" w:header="0"/>
        </w:sectPr>
      </w:pPr>
    </w:p>
    <w:bookmarkStart w:id="132" w:name="page133"/>
    <w:bookmarkEnd w:id="13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79"/>
        <w:spacing w:after="0" w:line="251" w:lineRule="auto"/>
        <w:rPr>
          <w:sz w:val="20"/>
          <w:szCs w:val="20"/>
          <w:color w:val="auto"/>
        </w:rPr>
      </w:pPr>
      <w:r>
        <w:rPr>
          <w:rFonts w:ascii="Times New Roman" w:cs="Times New Roman" w:eastAsia="Times New Roman" w:hAnsi="Times New Roman"/>
          <w:sz w:val="13"/>
          <w:szCs w:val="13"/>
          <w:color w:val="auto"/>
        </w:rPr>
        <w:t>performance of one or more comparable companies or the performance of one or more relevant indices. Unless specified otherwise in the award agreement at the time the award is granted or in such other document setting forth the performance goals at the time the goals are established, we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any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our Class A common stock by reason of any stock dividend or split, stock repurchase, reorganization, recapitalization, merger, consolidation, spin-off, combination, or exchange of shares or other similar corporate change, or any distributions to Class A common stockholders other than regular cash dividends; (9) to exclude the effects of stock-based compensation and the award of bonuses under our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we retain the discretion to adjust or eliminate the compensation or economic benefit due upon attainment of the goals. The performance goals may differ from participant to participant and from award to award.</w:t>
      </w:r>
    </w:p>
    <w:p>
      <w:pPr>
        <w:spacing w:after="0" w:line="136" w:lineRule="exact"/>
        <w:rPr>
          <w:sz w:val="20"/>
          <w:szCs w:val="20"/>
          <w:color w:val="auto"/>
        </w:rPr>
      </w:pPr>
    </w:p>
    <w:p>
      <w:pPr>
        <w:ind w:left="1680" w:right="579" w:firstLine="316"/>
        <w:spacing w:after="0" w:line="280" w:lineRule="auto"/>
        <w:rPr>
          <w:sz w:val="20"/>
          <w:szCs w:val="20"/>
          <w:color w:val="auto"/>
        </w:rPr>
      </w:pPr>
      <w:r>
        <w:rPr>
          <w:rFonts w:ascii="Times New Roman" w:cs="Times New Roman" w:eastAsia="Times New Roman" w:hAnsi="Times New Roman"/>
          <w:sz w:val="13"/>
          <w:szCs w:val="13"/>
          <w:i w:val="1"/>
          <w:iCs w:val="1"/>
          <w:color w:val="auto"/>
        </w:rPr>
        <w:t xml:space="preserve">Other Stock Awards. </w:t>
      </w:r>
      <w:r>
        <w:rPr>
          <w:rFonts w:ascii="Times New Roman" w:cs="Times New Roman" w:eastAsia="Times New Roman" w:hAnsi="Times New Roman"/>
          <w:sz w:val="13"/>
          <w:szCs w:val="13"/>
          <w:color w:val="auto"/>
        </w:rPr>
        <w:t>The plan administrator may grant other awards based in whole or in part by reference to our Class A common stock. The plan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administrator will set the number of shares under the stock award and all other terms and conditions of such awards.</w:t>
      </w:r>
    </w:p>
    <w:p>
      <w:pPr>
        <w:spacing w:after="0" w:line="116" w:lineRule="exact"/>
        <w:rPr>
          <w:sz w:val="20"/>
          <w:szCs w:val="20"/>
          <w:color w:val="auto"/>
        </w:rPr>
      </w:pPr>
    </w:p>
    <w:p>
      <w:pPr>
        <w:ind w:left="1680" w:right="659" w:firstLine="316"/>
        <w:spacing w:after="0" w:line="256" w:lineRule="auto"/>
        <w:rPr>
          <w:sz w:val="20"/>
          <w:szCs w:val="20"/>
          <w:color w:val="auto"/>
        </w:rPr>
      </w:pPr>
      <w:r>
        <w:rPr>
          <w:rFonts w:ascii="Times New Roman" w:cs="Times New Roman" w:eastAsia="Times New Roman" w:hAnsi="Times New Roman"/>
          <w:sz w:val="13"/>
          <w:szCs w:val="13"/>
          <w:i w:val="1"/>
          <w:iCs w:val="1"/>
          <w:color w:val="auto"/>
        </w:rPr>
        <w:t xml:space="preserve">Changes to Capital Structure. </w:t>
      </w:r>
      <w:r>
        <w:rPr>
          <w:rFonts w:ascii="Times New Roman" w:cs="Times New Roman" w:eastAsia="Times New Roman" w:hAnsi="Times New Roman"/>
          <w:sz w:val="13"/>
          <w:szCs w:val="13"/>
          <w:color w:val="auto"/>
        </w:rPr>
        <w:t>In the event that there is a specified type of change in our capital structure, such as a stock split or recapitalization,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appropriate adjustments will be made to (1) the class and maximum number of shares reserved for issuance under the 2020 Plan, (2) the class and maximum number of shares by which the share reserve may increase automatically each year, (3) the class and number of shares that may be issued upon the exercise of ISOs, and (4) the class and number of shares and exercise price, strike price, or purchase price, if applicable, of all outstanding stock awards.</w:t>
      </w:r>
    </w:p>
    <w:p>
      <w:pPr>
        <w:spacing w:after="0" w:line="133" w:lineRule="exact"/>
        <w:rPr>
          <w:sz w:val="20"/>
          <w:szCs w:val="20"/>
          <w:color w:val="auto"/>
        </w:rPr>
      </w:pPr>
    </w:p>
    <w:p>
      <w:pPr>
        <w:ind w:left="1680" w:right="599" w:firstLine="316"/>
        <w:spacing w:after="0" w:line="253" w:lineRule="auto"/>
        <w:rPr>
          <w:sz w:val="20"/>
          <w:szCs w:val="20"/>
          <w:color w:val="auto"/>
        </w:rPr>
      </w:pPr>
      <w:r>
        <w:rPr>
          <w:rFonts w:ascii="Times New Roman" w:cs="Times New Roman" w:eastAsia="Times New Roman" w:hAnsi="Times New Roman"/>
          <w:sz w:val="13"/>
          <w:szCs w:val="13"/>
          <w:i w:val="1"/>
          <w:iCs w:val="1"/>
          <w:color w:val="auto"/>
        </w:rPr>
        <w:t>Corporate Transactions</w:t>
      </w:r>
      <w:r>
        <w:rPr>
          <w:rFonts w:ascii="Times New Roman" w:cs="Times New Roman" w:eastAsia="Times New Roman" w:hAnsi="Times New Roman"/>
          <w:sz w:val="13"/>
          <w:szCs w:val="13"/>
          <w:color w:val="auto"/>
        </w:rPr>
        <w:t>. In the event of certain specified significant corporate transactions, any surviving corporation or acquiring corporation (or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its parent company) may assume or continue any or all awards outstanding under the 2020 Plan or may substitute similar awards for awards outstanding under the 2020 Plan. For the purposes of the 2020 Plan, an award will be considered assumed, continued or substituted if, following the corporate transaction, the award confers the right to purchase or receive, for each share subject to the award immediately prior to the corporate transaction, the consideration (whether stock, cash or other property) received in the corporate transaction by holders of shares for each share of Class A common stock held on the effective time of such transaction (and if holders were offered a choice of consideration, the type of consideration chosen by the holders of a majority of the outstanding shares of Class A common stock). The terms of any assumption, continuation, or substitution will otherwise be set by our board of directors.</w:t>
      </w:r>
    </w:p>
    <w:p>
      <w:pPr>
        <w:spacing w:after="0" w:line="137" w:lineRule="exact"/>
        <w:rPr>
          <w:sz w:val="20"/>
          <w:szCs w:val="20"/>
          <w:color w:val="auto"/>
        </w:rPr>
      </w:pPr>
    </w:p>
    <w:p>
      <w:pPr>
        <w:ind w:left="1680" w:right="639" w:firstLine="316"/>
        <w:spacing w:after="0" w:line="253" w:lineRule="auto"/>
        <w:rPr>
          <w:sz w:val="20"/>
          <w:szCs w:val="20"/>
          <w:color w:val="auto"/>
        </w:rPr>
      </w:pPr>
      <w:r>
        <w:rPr>
          <w:rFonts w:ascii="Times New Roman" w:cs="Times New Roman" w:eastAsia="Times New Roman" w:hAnsi="Times New Roman"/>
          <w:sz w:val="13"/>
          <w:szCs w:val="13"/>
          <w:color w:val="auto"/>
        </w:rPr>
        <w:t>In the event of a corporate transaction in which the surviving corporation or acquiring corporation (or its parent company) does not assume or continue outstanding awards or substitute similar awards for awards outstanding under the 2020 Plan, then with respect to awards that have not been assumed, continued, or substituted and that are held by holders whose service has not terminated prior to the effective time of the corporate transaction,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our board of directors determines (or, if the board of directors does not determine such a date, to the date that is five days prior to the effective time of the corporate transaction) and such awards, plus any outstanding awards held by holders who are not current service providers, will (1) terminate if not exercised (if applicable) prior to the effective time of</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128</w:t>
      </w:r>
    </w:p>
    <w:p>
      <w:pPr>
        <w:sectPr>
          <w:pgSz w:w="11900" w:h="16838" w:orient="portrait"/>
          <w:cols w:equalWidth="0" w:num="1">
            <w:col w:w="10159"/>
          </w:cols>
          <w:pgMar w:left="300" w:top="367" w:right="1440" w:bottom="1440" w:gutter="0" w:footer="0" w:header="0"/>
        </w:sectPr>
      </w:pPr>
    </w:p>
    <w:bookmarkStart w:id="133" w:name="page134"/>
    <w:bookmarkEnd w:id="13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99"/>
        <w:spacing w:after="0" w:line="256" w:lineRule="auto"/>
        <w:rPr>
          <w:sz w:val="20"/>
          <w:szCs w:val="20"/>
          <w:color w:val="auto"/>
        </w:rPr>
      </w:pPr>
      <w:r>
        <w:rPr>
          <w:rFonts w:ascii="Times New Roman" w:cs="Times New Roman" w:eastAsia="Times New Roman" w:hAnsi="Times New Roman"/>
          <w:sz w:val="13"/>
          <w:szCs w:val="13"/>
          <w:color w:val="auto"/>
        </w:rPr>
        <w:t>the corporate transaction and (2) holders will have the right to receive a payment, in such form as may be determined by our board of directors, equal in value, at the effective time, to the excess, if any, of (a) the value of the property the holder would have received upon exercise of the award, over (b) any exercise price payable by the holder in connection with such exercise. With respect to the vesting of performance awards that will accelerate upon the occurrence of a corporate transaction and that have multiple vesting levels depending on the level of performance, unless otherwise provided in the award agreement, the vesting of such performance awards will accelerate at 100% of the target level upon the occurrence of the corporate transaction.</w:t>
      </w:r>
    </w:p>
    <w:p>
      <w:pPr>
        <w:spacing w:after="0" w:line="133" w:lineRule="exact"/>
        <w:rPr>
          <w:sz w:val="20"/>
          <w:szCs w:val="20"/>
          <w:color w:val="auto"/>
        </w:rPr>
      </w:pPr>
    </w:p>
    <w:p>
      <w:pPr>
        <w:ind w:left="1680" w:right="639" w:firstLine="316"/>
        <w:spacing w:after="0" w:line="256" w:lineRule="auto"/>
        <w:rPr>
          <w:sz w:val="20"/>
          <w:szCs w:val="20"/>
          <w:color w:val="auto"/>
        </w:rPr>
      </w:pPr>
      <w:r>
        <w:rPr>
          <w:rFonts w:ascii="Times New Roman" w:cs="Times New Roman" w:eastAsia="Times New Roman" w:hAnsi="Times New Roman"/>
          <w:sz w:val="13"/>
          <w:szCs w:val="13"/>
          <w:color w:val="auto"/>
        </w:rPr>
        <w:t>Under the 2020 Plan, a significant corporate transaction is generally the consummation of (1) a sale or other disposition of all or substantially all of our consolidated assets, (2) 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our Class A common stock outstanding immediately prior to such transaction are converted or exchanged into other property by virtue of the transaction.</w:t>
      </w:r>
    </w:p>
    <w:p>
      <w:pPr>
        <w:spacing w:after="0" w:line="131" w:lineRule="exact"/>
        <w:rPr>
          <w:sz w:val="20"/>
          <w:szCs w:val="20"/>
          <w:color w:val="auto"/>
        </w:rPr>
      </w:pPr>
    </w:p>
    <w:p>
      <w:pPr>
        <w:ind w:left="1680" w:right="579" w:firstLine="316"/>
        <w:spacing w:after="0" w:line="255" w:lineRule="auto"/>
        <w:rPr>
          <w:sz w:val="20"/>
          <w:szCs w:val="20"/>
          <w:color w:val="auto"/>
        </w:rPr>
      </w:pPr>
      <w:r>
        <w:rPr>
          <w:rFonts w:ascii="Times New Roman" w:cs="Times New Roman" w:eastAsia="Times New Roman" w:hAnsi="Times New Roman"/>
          <w:sz w:val="13"/>
          <w:szCs w:val="13"/>
          <w:i w:val="1"/>
          <w:iCs w:val="1"/>
          <w:color w:val="auto"/>
        </w:rPr>
        <w:t xml:space="preserve">Change in Control. </w:t>
      </w:r>
      <w:r>
        <w:rPr>
          <w:rFonts w:ascii="Times New Roman" w:cs="Times New Roman" w:eastAsia="Times New Roman" w:hAnsi="Times New Roman"/>
          <w:sz w:val="13"/>
          <w:szCs w:val="13"/>
          <w:color w:val="auto"/>
        </w:rPr>
        <w:t>The plan administrator may provide, in an individual award agreement or in any other written agreement between a participant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us, that the stock award will be subject to additional acceleration of vesting and exercisability or settlement in the event of a change in control. Under the 2020 Plan, a change in control is generally (1) the acquisition by a person or entity of more than 50% of our combined voting power other than by merger, consolidation, or similar transaction, (2) a consummated merger, consolidation, or similar transaction immediately after which our stockholders cease to own more than 50% of the combined voting power of the surviving entity, (3) a consummated sale, lease, or exclusive license or other disposition of all or substantially all of our consolidated assets, and (4) certain dissolutions, liquidations, and changes in the board of directors.</w:t>
      </w:r>
    </w:p>
    <w:p>
      <w:pPr>
        <w:spacing w:after="0" w:line="133" w:lineRule="exact"/>
        <w:rPr>
          <w:sz w:val="20"/>
          <w:szCs w:val="20"/>
          <w:color w:val="auto"/>
        </w:rPr>
      </w:pPr>
    </w:p>
    <w:p>
      <w:pPr>
        <w:ind w:left="1680" w:right="659" w:firstLine="316"/>
        <w:spacing w:after="0" w:line="259" w:lineRule="auto"/>
        <w:rPr>
          <w:sz w:val="20"/>
          <w:szCs w:val="20"/>
          <w:color w:val="auto"/>
        </w:rPr>
      </w:pPr>
      <w:r>
        <w:rPr>
          <w:rFonts w:ascii="Times New Roman" w:cs="Times New Roman" w:eastAsia="Times New Roman" w:hAnsi="Times New Roman"/>
          <w:sz w:val="13"/>
          <w:szCs w:val="13"/>
          <w:i w:val="1"/>
          <w:iCs w:val="1"/>
          <w:color w:val="auto"/>
        </w:rPr>
        <w:t xml:space="preserve">Amendment and Termination. </w:t>
      </w:r>
      <w:r>
        <w:rPr>
          <w:rFonts w:ascii="Times New Roman" w:cs="Times New Roman" w:eastAsia="Times New Roman" w:hAnsi="Times New Roman"/>
          <w:sz w:val="13"/>
          <w:szCs w:val="13"/>
          <w:color w:val="auto"/>
        </w:rPr>
        <w:t>Our board of directors has the authority to amend, suspend, or terminate our 2020 Plan, provided that such action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does not materially impair the existing rights of any participant without such participant’s written consent and provided further that certain types of amendments will require the approval of our stockholders. No ISOs may be granted after the tenth anniversary of the date our board of directors adopts our 2020 Plan.</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2020 Employee Stock Purchase Plan</w:t>
      </w:r>
    </w:p>
    <w:p>
      <w:pPr>
        <w:spacing w:after="0" w:line="87" w:lineRule="exact"/>
        <w:rPr>
          <w:sz w:val="20"/>
          <w:szCs w:val="20"/>
          <w:color w:val="auto"/>
        </w:rPr>
      </w:pPr>
    </w:p>
    <w:p>
      <w:pPr>
        <w:ind w:left="1680" w:right="619" w:firstLine="316"/>
        <w:spacing w:after="0" w:line="256" w:lineRule="auto"/>
        <w:rPr>
          <w:sz w:val="20"/>
          <w:szCs w:val="20"/>
          <w:color w:val="auto"/>
        </w:rPr>
      </w:pPr>
      <w:r>
        <w:rPr>
          <w:rFonts w:ascii="Times New Roman" w:cs="Times New Roman" w:eastAsia="Times New Roman" w:hAnsi="Times New Roman"/>
          <w:sz w:val="13"/>
          <w:szCs w:val="13"/>
          <w:color w:val="auto"/>
        </w:rPr>
        <w:t>Our board of directors adopted and our stockholders approved our 2020 Employee Stock Purchase Plan, or ESPP, in August 2020. The ESPP will become effective immediately prior to and contingent upon the effectiveness of the registration statement of which this prospectus forms a part. The purpose of the ESPP is to secure the services of new employees, to retain the services of existing employees and to provide incentives for such individuals to exert maximum efforts toward our success and that of our affiliates. The ESPP is intended to qualify as an “employee stock purchase plan” within the meaning of Section 423 of the Code.</w:t>
      </w:r>
    </w:p>
    <w:p>
      <w:pPr>
        <w:spacing w:after="0" w:line="131" w:lineRule="exact"/>
        <w:rPr>
          <w:sz w:val="20"/>
          <w:szCs w:val="20"/>
          <w:color w:val="auto"/>
        </w:rPr>
      </w:pPr>
    </w:p>
    <w:p>
      <w:pPr>
        <w:ind w:left="1680" w:right="579" w:firstLine="316"/>
        <w:spacing w:after="0" w:line="255" w:lineRule="auto"/>
        <w:rPr>
          <w:sz w:val="20"/>
          <w:szCs w:val="20"/>
          <w:color w:val="auto"/>
        </w:rPr>
      </w:pPr>
      <w:r>
        <w:rPr>
          <w:rFonts w:ascii="Times New Roman" w:cs="Times New Roman" w:eastAsia="Times New Roman" w:hAnsi="Times New Roman"/>
          <w:sz w:val="13"/>
          <w:szCs w:val="13"/>
          <w:i w:val="1"/>
          <w:iCs w:val="1"/>
          <w:color w:val="auto"/>
        </w:rPr>
        <w:t>Share Reserve</w:t>
      </w:r>
      <w:r>
        <w:rPr>
          <w:rFonts w:ascii="Times New Roman" w:cs="Times New Roman" w:eastAsia="Times New Roman" w:hAnsi="Times New Roman"/>
          <w:sz w:val="13"/>
          <w:szCs w:val="13"/>
          <w:color w:val="auto"/>
        </w:rPr>
        <w:t>. The ESPP will authorize the issuance of 2,000,000 shares of our Class A common stock pursuant to purchase rights granted to our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employees or to employees of any of our designated affiliates. The number of shares of our Class A common stock reserved for issuance will automatically increase on the first day of each fiscal year, beginning on February 1, 2021 (assuming the ESPP becomes effective in fiscal year 2021) and ending on and including January 31, 2030, by the lesser of (1) 1% of the total number of shares of our capital stock outstanding on the last day of the calendar month before the date of the automatic increase, and (2) 3,000,000 shares; unless our board of directors or compensation committee determines prior to the date of the increase that there will be a lesser increase, or no increase.</w:t>
      </w:r>
    </w:p>
    <w:p>
      <w:pPr>
        <w:spacing w:after="0" w:line="133" w:lineRule="exact"/>
        <w:rPr>
          <w:sz w:val="20"/>
          <w:szCs w:val="20"/>
          <w:color w:val="auto"/>
        </w:rPr>
      </w:pPr>
    </w:p>
    <w:p>
      <w:pPr>
        <w:ind w:left="1680" w:right="599" w:firstLine="316"/>
        <w:spacing w:after="0" w:line="280" w:lineRule="auto"/>
        <w:rPr>
          <w:sz w:val="20"/>
          <w:szCs w:val="20"/>
          <w:color w:val="auto"/>
        </w:rPr>
      </w:pPr>
      <w:r>
        <w:rPr>
          <w:rFonts w:ascii="Times New Roman" w:cs="Times New Roman" w:eastAsia="Times New Roman" w:hAnsi="Times New Roman"/>
          <w:sz w:val="13"/>
          <w:szCs w:val="13"/>
          <w:i w:val="1"/>
          <w:iCs w:val="1"/>
          <w:color w:val="auto"/>
        </w:rPr>
        <w:t>Administration</w:t>
      </w:r>
      <w:r>
        <w:rPr>
          <w:rFonts w:ascii="Times New Roman" w:cs="Times New Roman" w:eastAsia="Times New Roman" w:hAnsi="Times New Roman"/>
          <w:sz w:val="13"/>
          <w:szCs w:val="13"/>
          <w:color w:val="auto"/>
        </w:rPr>
        <w:t>. Our board of directors intends to delegate concurrent authority to administer the ESPP to our compensation committee. The ESPP</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is implemented through a series of offerings under which eligible</w:t>
      </w:r>
    </w:p>
    <w:p>
      <w:pPr>
        <w:spacing w:after="0" w:line="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129</w:t>
      </w:r>
    </w:p>
    <w:p>
      <w:pPr>
        <w:sectPr>
          <w:pgSz w:w="11900" w:h="16838" w:orient="portrait"/>
          <w:cols w:equalWidth="0" w:num="1">
            <w:col w:w="10159"/>
          </w:cols>
          <w:pgMar w:left="300" w:top="367" w:right="1440" w:bottom="1440" w:gutter="0" w:footer="0" w:header="0"/>
        </w:sectPr>
      </w:pPr>
    </w:p>
    <w:bookmarkStart w:id="134" w:name="page135"/>
    <w:bookmarkEnd w:id="13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739"/>
        <w:spacing w:after="0" w:line="258" w:lineRule="auto"/>
        <w:rPr>
          <w:sz w:val="20"/>
          <w:szCs w:val="20"/>
          <w:color w:val="auto"/>
        </w:rPr>
      </w:pPr>
      <w:r>
        <w:rPr>
          <w:rFonts w:ascii="Times New Roman" w:cs="Times New Roman" w:eastAsia="Times New Roman" w:hAnsi="Times New Roman"/>
          <w:sz w:val="13"/>
          <w:szCs w:val="13"/>
          <w:color w:val="auto"/>
        </w:rPr>
        <w:t>employees are granted purchase rights to purchase shares of our Class A common stock on specified dates during such offerings. Under the ESPP, we may specify offerings with durations of not more than 27 months, and may specify shorter purchase periods within each offering. Each offering will have one or more purchase dates on which shares of our Class A common stock will be purchased for employees participating in the offering. An offering under the ESPP may be terminated under certain circumstances.</w:t>
      </w:r>
    </w:p>
    <w:p>
      <w:pPr>
        <w:spacing w:after="0" w:line="131" w:lineRule="exact"/>
        <w:rPr>
          <w:sz w:val="20"/>
          <w:szCs w:val="20"/>
          <w:color w:val="auto"/>
        </w:rPr>
      </w:pPr>
    </w:p>
    <w:p>
      <w:pPr>
        <w:ind w:left="1680" w:right="659" w:firstLine="316"/>
        <w:spacing w:after="0" w:line="255" w:lineRule="auto"/>
        <w:rPr>
          <w:sz w:val="20"/>
          <w:szCs w:val="20"/>
          <w:color w:val="auto"/>
        </w:rPr>
      </w:pPr>
      <w:r>
        <w:rPr>
          <w:rFonts w:ascii="Times New Roman" w:cs="Times New Roman" w:eastAsia="Times New Roman" w:hAnsi="Times New Roman"/>
          <w:sz w:val="13"/>
          <w:szCs w:val="13"/>
          <w:i w:val="1"/>
          <w:iCs w:val="1"/>
          <w:color w:val="auto"/>
        </w:rPr>
        <w:t>Payroll Deductions</w:t>
      </w:r>
      <w:r>
        <w:rPr>
          <w:rFonts w:ascii="Times New Roman" w:cs="Times New Roman" w:eastAsia="Times New Roman" w:hAnsi="Times New Roman"/>
          <w:sz w:val="13"/>
          <w:szCs w:val="13"/>
          <w:color w:val="auto"/>
        </w:rPr>
        <w:t>. Generally, all regular employees, including executive officers, employed by us or by any of our designated affiliates, may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participate in the ESPP and may contribute, normally through payroll deductions, up to 15% of their earnings (as defined in the ESPP) for the purchase of our Class A common stock under the ESPP. Unless otherwise determined by our board of directors, Class A common stock will be purchased for the accounts of employees participating in the ESPP at a price per share equal to the lower of (a) 85% of the fair market value of a share of our Class A common stock on the first trading date of an offering or (b) 85% of the fair market value of a share of our Class A common stock on the date of purchase.</w:t>
      </w:r>
    </w:p>
    <w:p>
      <w:pPr>
        <w:spacing w:after="0" w:line="133" w:lineRule="exact"/>
        <w:rPr>
          <w:sz w:val="20"/>
          <w:szCs w:val="20"/>
          <w:color w:val="auto"/>
        </w:rPr>
      </w:pPr>
    </w:p>
    <w:p>
      <w:pPr>
        <w:ind w:left="1680" w:right="639" w:firstLine="316"/>
        <w:spacing w:after="0" w:line="254" w:lineRule="auto"/>
        <w:rPr>
          <w:sz w:val="20"/>
          <w:szCs w:val="20"/>
          <w:color w:val="auto"/>
        </w:rPr>
      </w:pPr>
      <w:r>
        <w:rPr>
          <w:rFonts w:ascii="Times New Roman" w:cs="Times New Roman" w:eastAsia="Times New Roman" w:hAnsi="Times New Roman"/>
          <w:sz w:val="13"/>
          <w:szCs w:val="13"/>
          <w:i w:val="1"/>
          <w:iCs w:val="1"/>
          <w:color w:val="auto"/>
        </w:rPr>
        <w:t>Limitations</w:t>
      </w:r>
      <w:r>
        <w:rPr>
          <w:rFonts w:ascii="Times New Roman" w:cs="Times New Roman" w:eastAsia="Times New Roman" w:hAnsi="Times New Roman"/>
          <w:sz w:val="13"/>
          <w:szCs w:val="13"/>
          <w:color w:val="auto"/>
        </w:rPr>
        <w:t>. Employees may have to satisfy one or more of the following service requirements before participating in the ESPP, as determined by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our board of directors, including: (1) being customarily employed for more than 20 hours per week; (2) being customarily employed for more than five months per calendar year; or (3) continuous employment with us or one of our affiliates for a period of time (not to exceed two years). No employee may purchase shares under the ESPP at a rate in excess of $25,000 worth of our Class A common stock based on the fair market value per share of our Class A common stock at the beginning of an offering for each year such a purchase right is outstanding. Finally, no employee will be eligible for the grant of any purchase rights under the ESPP if immediately after such rights are granted, such employee has voting power over 5% or more of our outstanding capital stock measured by vote or value pursuant to Section 424(d) of the Code.</w:t>
      </w:r>
    </w:p>
    <w:p>
      <w:pPr>
        <w:spacing w:after="0" w:line="133" w:lineRule="exact"/>
        <w:rPr>
          <w:sz w:val="20"/>
          <w:szCs w:val="20"/>
          <w:color w:val="auto"/>
        </w:rPr>
      </w:pPr>
    </w:p>
    <w:p>
      <w:pPr>
        <w:ind w:left="1680" w:right="639" w:firstLine="316"/>
        <w:spacing w:after="0" w:line="255" w:lineRule="auto"/>
        <w:rPr>
          <w:sz w:val="20"/>
          <w:szCs w:val="20"/>
          <w:color w:val="auto"/>
        </w:rPr>
      </w:pPr>
      <w:r>
        <w:rPr>
          <w:rFonts w:ascii="Times New Roman" w:cs="Times New Roman" w:eastAsia="Times New Roman" w:hAnsi="Times New Roman"/>
          <w:sz w:val="13"/>
          <w:szCs w:val="13"/>
          <w:i w:val="1"/>
          <w:iCs w:val="1"/>
          <w:color w:val="auto"/>
        </w:rPr>
        <w:t>Changes to Capital Structure</w:t>
      </w:r>
      <w:r>
        <w:rPr>
          <w:rFonts w:ascii="Times New Roman" w:cs="Times New Roman" w:eastAsia="Times New Roman" w:hAnsi="Times New Roman"/>
          <w:sz w:val="13"/>
          <w:szCs w:val="13"/>
          <w:color w:val="auto"/>
        </w:rPr>
        <w:t>. In the event that there occurs a change in our capital structure through such actions as a stock split, merger,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(1) the class and number of shares reserved under the ESPP, (2) the class and number of shares by which the share reserve is to increase automatically each year, (3) the class and number of shares and purchase price of all outstanding purchase rights and ongoing offerings and (4) the class and number of shares that are subject to purchase limits under ongoing offerings.</w:t>
      </w:r>
    </w:p>
    <w:p>
      <w:pPr>
        <w:spacing w:after="0" w:line="133" w:lineRule="exact"/>
        <w:rPr>
          <w:sz w:val="20"/>
          <w:szCs w:val="20"/>
          <w:color w:val="auto"/>
        </w:rPr>
      </w:pPr>
    </w:p>
    <w:p>
      <w:pPr>
        <w:ind w:left="1680" w:right="659" w:firstLine="316"/>
        <w:spacing w:after="0" w:line="253" w:lineRule="auto"/>
        <w:rPr>
          <w:sz w:val="20"/>
          <w:szCs w:val="20"/>
          <w:color w:val="auto"/>
        </w:rPr>
      </w:pPr>
      <w:r>
        <w:rPr>
          <w:rFonts w:ascii="Times New Roman" w:cs="Times New Roman" w:eastAsia="Times New Roman" w:hAnsi="Times New Roman"/>
          <w:sz w:val="13"/>
          <w:szCs w:val="13"/>
          <w:i w:val="1"/>
          <w:iCs w:val="1"/>
          <w:color w:val="auto"/>
        </w:rPr>
        <w:t>Corporate Transactions</w:t>
      </w:r>
      <w:r>
        <w:rPr>
          <w:rFonts w:ascii="Times New Roman" w:cs="Times New Roman" w:eastAsia="Times New Roman" w:hAnsi="Times New Roman"/>
          <w:sz w:val="13"/>
          <w:szCs w:val="13"/>
          <w:color w:val="auto"/>
        </w:rPr>
        <w:t>. In the event of certain significant corporate transactions, including (1) a sale of all or substantially all of our assets, (2)</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sale or disposition of more than 50% of our outstanding securities, (3) the consummation of a merger or consolidation where we do not survive the transaction and (4) the consummation of a merger or consolidation where we do survive the transaction but the shares of our Class A common stock outstanding immediately prior to such transaction are converted or exchanged into other property by virtue of the transaction, any then-outstanding rights to purchase our stock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Class A common stock within 10 business days prior to such corporate transaction, and such purchase rights will terminate immediately.</w:t>
      </w:r>
    </w:p>
    <w:p>
      <w:pPr>
        <w:spacing w:after="0" w:line="135" w:lineRule="exact"/>
        <w:rPr>
          <w:sz w:val="20"/>
          <w:szCs w:val="20"/>
          <w:color w:val="auto"/>
        </w:rPr>
      </w:pPr>
    </w:p>
    <w:p>
      <w:pPr>
        <w:ind w:left="1680" w:right="699" w:firstLine="316"/>
        <w:spacing w:after="0" w:line="264" w:lineRule="auto"/>
        <w:rPr>
          <w:sz w:val="20"/>
          <w:szCs w:val="20"/>
          <w:color w:val="auto"/>
        </w:rPr>
      </w:pPr>
      <w:r>
        <w:rPr>
          <w:rFonts w:ascii="Times New Roman" w:cs="Times New Roman" w:eastAsia="Times New Roman" w:hAnsi="Times New Roman"/>
          <w:sz w:val="13"/>
          <w:szCs w:val="13"/>
          <w:i w:val="1"/>
          <w:iCs w:val="1"/>
          <w:color w:val="auto"/>
        </w:rPr>
        <w:t>ESPP Amendments, Termination</w:t>
      </w:r>
      <w:r>
        <w:rPr>
          <w:rFonts w:ascii="Times New Roman" w:cs="Times New Roman" w:eastAsia="Times New Roman" w:hAnsi="Times New Roman"/>
          <w:sz w:val="13"/>
          <w:szCs w:val="13"/>
          <w:color w:val="auto"/>
        </w:rPr>
        <w:t>. Our board of directors has the authority to amend or terminate our ESPP, provided that except in certain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circumstances such amendment or termination may not materially impair any outstanding purchase rights without the holder’s consent. We will obtain stockholder approval of any amendment to our ESPP, as required by applicable law or listing requirements.</w:t>
      </w:r>
    </w:p>
    <w:p>
      <w:pPr>
        <w:spacing w:after="0" w:line="20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2009 Stock Plan</w:t>
      </w:r>
    </w:p>
    <w:p>
      <w:pPr>
        <w:spacing w:after="0" w:line="87" w:lineRule="exact"/>
        <w:rPr>
          <w:sz w:val="20"/>
          <w:szCs w:val="20"/>
          <w:color w:val="auto"/>
        </w:rPr>
      </w:pPr>
    </w:p>
    <w:p>
      <w:pPr>
        <w:ind w:left="1680" w:right="639" w:firstLine="316"/>
        <w:spacing w:after="0" w:line="277" w:lineRule="auto"/>
        <w:rPr>
          <w:sz w:val="20"/>
          <w:szCs w:val="20"/>
          <w:color w:val="auto"/>
        </w:rPr>
      </w:pPr>
      <w:r>
        <w:rPr>
          <w:rFonts w:ascii="Times New Roman" w:cs="Times New Roman" w:eastAsia="Times New Roman" w:hAnsi="Times New Roman"/>
          <w:sz w:val="13"/>
          <w:szCs w:val="13"/>
          <w:color w:val="auto"/>
        </w:rPr>
        <w:t>Our board of directors adopted our 2009 Stock Plan on February 4, 2009, which our stockholders approved on the same date, and which has been amended from time to time thereafter. Our 2009 Stock Plan provides for</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130</w:t>
      </w:r>
    </w:p>
    <w:p>
      <w:pPr>
        <w:sectPr>
          <w:pgSz w:w="11900" w:h="16838" w:orient="portrait"/>
          <w:cols w:equalWidth="0" w:num="1">
            <w:col w:w="10159"/>
          </w:cols>
          <w:pgMar w:left="300" w:top="367" w:right="1440" w:bottom="1440" w:gutter="0" w:footer="0" w:header="0"/>
        </w:sectPr>
      </w:pPr>
    </w:p>
    <w:bookmarkStart w:id="135" w:name="page136"/>
    <w:bookmarkEnd w:id="13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19"/>
        <w:spacing w:after="0" w:line="254" w:lineRule="auto"/>
        <w:rPr>
          <w:sz w:val="20"/>
          <w:szCs w:val="20"/>
          <w:color w:val="auto"/>
        </w:rPr>
      </w:pPr>
      <w:r>
        <w:rPr>
          <w:rFonts w:ascii="Times New Roman" w:cs="Times New Roman" w:eastAsia="Times New Roman" w:hAnsi="Times New Roman"/>
          <w:sz w:val="13"/>
          <w:szCs w:val="13"/>
          <w:color w:val="auto"/>
        </w:rPr>
        <w:t>the grant of incentive stock options under Section 422 of the Code to our employees (and those of our subsidiaries) and for the grant of nonstatutory stock options and restricted stock to our employees, directors, and consultants (and those of our subsidiaries). We primarily granted stock options under our 2009 Stock Plan, though we have granted restricted stock under our 2009 Stock Plan as well. We ceased issuing awards under our 2009 Stock Plan upon the implementation of the 2012 Plan, which is described below. However, any outstanding awards granted under our 2009 Stock Plan remain outstanding, subject to the terms of our 2009 Stock Plan and applicable award agreements, until they are exercised or terminated, or until they expire by their terms.</w:t>
      </w:r>
    </w:p>
    <w:p>
      <w:pPr>
        <w:spacing w:after="0" w:line="21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Amended and Restated 2012 Stock Plan</w:t>
      </w:r>
    </w:p>
    <w:p>
      <w:pPr>
        <w:spacing w:after="0" w:line="85" w:lineRule="exact"/>
        <w:rPr>
          <w:sz w:val="20"/>
          <w:szCs w:val="20"/>
          <w:color w:val="auto"/>
        </w:rPr>
      </w:pPr>
    </w:p>
    <w:p>
      <w:pPr>
        <w:ind w:left="1680" w:right="599" w:firstLine="316"/>
        <w:spacing w:after="0" w:line="259" w:lineRule="auto"/>
        <w:rPr>
          <w:sz w:val="20"/>
          <w:szCs w:val="20"/>
          <w:color w:val="auto"/>
        </w:rPr>
      </w:pPr>
      <w:r>
        <w:rPr>
          <w:rFonts w:ascii="Times New Roman" w:cs="Times New Roman" w:eastAsia="Times New Roman" w:hAnsi="Times New Roman"/>
          <w:sz w:val="13"/>
          <w:szCs w:val="13"/>
          <w:i w:val="1"/>
          <w:iCs w:val="1"/>
          <w:color w:val="auto"/>
        </w:rPr>
        <w:t>General</w:t>
      </w:r>
      <w:r>
        <w:rPr>
          <w:rFonts w:ascii="Times New Roman" w:cs="Times New Roman" w:eastAsia="Times New Roman" w:hAnsi="Times New Roman"/>
          <w:sz w:val="13"/>
          <w:szCs w:val="13"/>
          <w:color w:val="auto"/>
        </w:rPr>
        <w:t>. Our board of directors adopted, and our stockholders approved, the 2012 Plan in July 2012. The 2012 Plan has been periodically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amended and was most recently amended and restated in May 2020. The 2012 Plan will be terminated in connection with, and contingent upon, the effectiveness of the registration statement of which this prospectus forms a part. All outstanding awards granted under the 2012 Plan will remain subject to the terms of the 2012 Plan.</w:t>
      </w:r>
    </w:p>
    <w:p>
      <w:pPr>
        <w:spacing w:after="0" w:line="130" w:lineRule="exact"/>
        <w:rPr>
          <w:sz w:val="20"/>
          <w:szCs w:val="20"/>
          <w:color w:val="auto"/>
        </w:rPr>
      </w:pPr>
    </w:p>
    <w:p>
      <w:pPr>
        <w:ind w:left="1680" w:right="619" w:firstLine="316"/>
        <w:spacing w:after="0" w:line="256" w:lineRule="auto"/>
        <w:rPr>
          <w:sz w:val="20"/>
          <w:szCs w:val="20"/>
          <w:color w:val="auto"/>
        </w:rPr>
      </w:pPr>
      <w:r>
        <w:rPr>
          <w:rFonts w:ascii="Times New Roman" w:cs="Times New Roman" w:eastAsia="Times New Roman" w:hAnsi="Times New Roman"/>
          <w:sz w:val="13"/>
          <w:szCs w:val="13"/>
          <w:i w:val="1"/>
          <w:iCs w:val="1"/>
          <w:color w:val="auto"/>
        </w:rPr>
        <w:t>Share Reserve</w:t>
      </w:r>
      <w:r>
        <w:rPr>
          <w:rFonts w:ascii="Times New Roman" w:cs="Times New Roman" w:eastAsia="Times New Roman" w:hAnsi="Times New Roman"/>
          <w:sz w:val="13"/>
          <w:szCs w:val="13"/>
          <w:color w:val="auto"/>
        </w:rPr>
        <w:t>. As of July 31, 2020, there were 6,220,354 shares remaining available for the future grant of stock awards under our 2012 Plan. As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July 31, 2020, stock options covering 33,024,339 shares of our common stock and RSUs covering 3,500,031 shares of our common stock were outstanding under our 2012 Plan. In general, if an award granted under our 2012 Plan is canceled or terminated or otherwise forfeited by a participant, then the number of shares underlying such award will again become available for awards under the 2012 Plan. Following the effectiveness of our 2020 Plan, such shares will again become available for awards under our 2020 Plan.</w:t>
      </w:r>
    </w:p>
    <w:p>
      <w:pPr>
        <w:spacing w:after="0" w:line="133" w:lineRule="exact"/>
        <w:rPr>
          <w:sz w:val="20"/>
          <w:szCs w:val="20"/>
          <w:color w:val="auto"/>
        </w:rPr>
      </w:pPr>
    </w:p>
    <w:p>
      <w:pPr>
        <w:ind w:left="1680" w:right="779" w:firstLine="316"/>
        <w:spacing w:after="0" w:line="259" w:lineRule="auto"/>
        <w:rPr>
          <w:sz w:val="20"/>
          <w:szCs w:val="20"/>
          <w:color w:val="auto"/>
        </w:rPr>
      </w:pPr>
      <w:r>
        <w:rPr>
          <w:rFonts w:ascii="Times New Roman" w:cs="Times New Roman" w:eastAsia="Times New Roman" w:hAnsi="Times New Roman"/>
          <w:sz w:val="13"/>
          <w:szCs w:val="13"/>
          <w:i w:val="1"/>
          <w:iCs w:val="1"/>
          <w:color w:val="auto"/>
        </w:rPr>
        <w:t xml:space="preserve">Type of Awards. </w:t>
      </w:r>
      <w:r>
        <w:rPr>
          <w:rFonts w:ascii="Times New Roman" w:cs="Times New Roman" w:eastAsia="Times New Roman" w:hAnsi="Times New Roman"/>
          <w:sz w:val="13"/>
          <w:szCs w:val="13"/>
          <w:color w:val="auto"/>
        </w:rPr>
        <w:t>The 2012 Plan provides for the grant of incentive stock options, nonstatutory stock options, restricted shares, and RSUs to our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employees and employees of any parent or our subsidiary or affiliate companies, our directors, and to consultants engaged by us, any parent, or our subsidiary or affiliate companies; provided that incentive stock options may only be granted to our employees and employees of any parent or our subsidiary companies.</w:t>
      </w:r>
    </w:p>
    <w:p>
      <w:pPr>
        <w:spacing w:after="0" w:line="130" w:lineRule="exact"/>
        <w:rPr>
          <w:sz w:val="20"/>
          <w:szCs w:val="20"/>
          <w:color w:val="auto"/>
        </w:rPr>
      </w:pPr>
    </w:p>
    <w:p>
      <w:pPr>
        <w:ind w:left="1680" w:right="579" w:firstLine="316"/>
        <w:spacing w:after="0" w:line="252" w:lineRule="auto"/>
        <w:rPr>
          <w:sz w:val="20"/>
          <w:szCs w:val="20"/>
          <w:color w:val="auto"/>
        </w:rPr>
      </w:pPr>
      <w:r>
        <w:rPr>
          <w:rFonts w:ascii="Times New Roman" w:cs="Times New Roman" w:eastAsia="Times New Roman" w:hAnsi="Times New Roman"/>
          <w:sz w:val="13"/>
          <w:szCs w:val="13"/>
          <w:i w:val="1"/>
          <w:iCs w:val="1"/>
          <w:color w:val="auto"/>
        </w:rPr>
        <w:t>Stock Options</w:t>
      </w:r>
      <w:r>
        <w:rPr>
          <w:rFonts w:ascii="Times New Roman" w:cs="Times New Roman" w:eastAsia="Times New Roman" w:hAnsi="Times New Roman"/>
          <w:sz w:val="13"/>
          <w:szCs w:val="13"/>
          <w:color w:val="auto"/>
        </w:rPr>
        <w:t>. The plan administrator may grant incentive and/or nonstatutory stock options under our 2012 Plan, provided that incentive stock</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options are only granted to employees. The exercise price of such options must generally be equal to at least the fair market value of our Class A common stock on the date of grant. The term of an option must not exceed 10 years; provided, however, that an incentive stock option held by a participant who owns more than 10% of the total combined voting power of all classes of our stock, or of certain of our subsidiary corporations, must not have a term in excess of five years and must have an exercise price of at least 110% of the fair market value of our Class A common stock on the grant date. The plan administrator determines the methods of payment of the exercise price of an option. In addition, the plan administrator determines the vesting schedule applicable to options, together with any vesting acceleration, and the terms of the option agreements for use under our 2012 Plan. After the termination of service of an employee, director, or consultant, the participant may exercise his or her option, to the extent vested, for the period of time stated in his or her option agreement. Generally, if termination is due to death or disability, the option will remain exercisable for 12 months. Options generally terminate immediately upon the termination of the participant for cause. In all other cases, the option will generally remain exercisable for three months following the termination of service. However, in no event may an option be exercised later than the expiration of its term.</w:t>
      </w:r>
    </w:p>
    <w:p>
      <w:pPr>
        <w:spacing w:after="0" w:line="135" w:lineRule="exact"/>
        <w:rPr>
          <w:sz w:val="20"/>
          <w:szCs w:val="20"/>
          <w:color w:val="auto"/>
        </w:rPr>
      </w:pPr>
    </w:p>
    <w:p>
      <w:pPr>
        <w:ind w:left="1680" w:right="579" w:firstLine="316"/>
        <w:spacing w:after="0" w:line="256" w:lineRule="auto"/>
        <w:rPr>
          <w:sz w:val="20"/>
          <w:szCs w:val="20"/>
          <w:color w:val="auto"/>
        </w:rPr>
      </w:pPr>
      <w:r>
        <w:rPr>
          <w:rFonts w:ascii="Times New Roman" w:cs="Times New Roman" w:eastAsia="Times New Roman" w:hAnsi="Times New Roman"/>
          <w:sz w:val="13"/>
          <w:szCs w:val="13"/>
          <w:i w:val="1"/>
          <w:iCs w:val="1"/>
          <w:color w:val="auto"/>
        </w:rPr>
        <w:t>Restricted Stock</w:t>
      </w:r>
      <w:r>
        <w:rPr>
          <w:rFonts w:ascii="Times New Roman" w:cs="Times New Roman" w:eastAsia="Times New Roman" w:hAnsi="Times New Roman"/>
          <w:sz w:val="13"/>
          <w:szCs w:val="13"/>
          <w:color w:val="auto"/>
        </w:rPr>
        <w:t>. Restricted stock may be granted under our 2012 Plan. Restricted stock awards are grants of shares of our Class A common stock</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that are subject to various restrictions, including restrictions on transferability and forfeiture provisions. Shares of restricted stock will vest and the restrictions on such shares will lapse in accordance with terms and conditions established by the plan administrator. The plan administrator, in its sole discretion, may accelerate the time at which any restrictions will lapse or be removed. Recipients of restricted stock awards generally will have the same rights as other stockholders with respect to such shares upon</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131</w:t>
      </w:r>
    </w:p>
    <w:p>
      <w:pPr>
        <w:sectPr>
          <w:pgSz w:w="11900" w:h="16838" w:orient="portrait"/>
          <w:cols w:equalWidth="0" w:num="1">
            <w:col w:w="10159"/>
          </w:cols>
          <w:pgMar w:left="300" w:top="367" w:right="1440" w:bottom="1440" w:gutter="0" w:footer="0" w:header="0"/>
        </w:sectPr>
      </w:pPr>
    </w:p>
    <w:bookmarkStart w:id="136" w:name="page137"/>
    <w:bookmarkEnd w:id="13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819"/>
        <w:spacing w:after="0" w:line="277" w:lineRule="auto"/>
        <w:rPr>
          <w:sz w:val="20"/>
          <w:szCs w:val="20"/>
          <w:color w:val="auto"/>
        </w:rPr>
      </w:pPr>
      <w:r>
        <w:rPr>
          <w:rFonts w:ascii="Times New Roman" w:cs="Times New Roman" w:eastAsia="Times New Roman" w:hAnsi="Times New Roman"/>
          <w:sz w:val="13"/>
          <w:szCs w:val="13"/>
          <w:color w:val="auto"/>
        </w:rPr>
        <w:t>grant without regard to vesting, subject to any applicable agreements. Shares of restricted stock that do not vest for any reason will be subject to our right of repurchase or forfeited by the recipient and will revert to us. The specific terms will be set forth in an award agreement.</w:t>
      </w:r>
    </w:p>
    <w:p>
      <w:pPr>
        <w:spacing w:after="0" w:line="118" w:lineRule="exact"/>
        <w:rPr>
          <w:sz w:val="20"/>
          <w:szCs w:val="20"/>
          <w:color w:val="auto"/>
        </w:rPr>
      </w:pPr>
    </w:p>
    <w:p>
      <w:pPr>
        <w:ind w:left="1680" w:right="619" w:firstLine="316"/>
        <w:spacing w:after="0" w:line="256" w:lineRule="auto"/>
        <w:rPr>
          <w:sz w:val="20"/>
          <w:szCs w:val="20"/>
          <w:color w:val="auto"/>
        </w:rPr>
      </w:pPr>
      <w:r>
        <w:rPr>
          <w:rFonts w:ascii="Times New Roman" w:cs="Times New Roman" w:eastAsia="Times New Roman" w:hAnsi="Times New Roman"/>
          <w:sz w:val="13"/>
          <w:szCs w:val="13"/>
          <w:i w:val="1"/>
          <w:iCs w:val="1"/>
          <w:color w:val="auto"/>
        </w:rPr>
        <w:t>Restricted Stock Units</w:t>
      </w:r>
      <w:r>
        <w:rPr>
          <w:rFonts w:ascii="Times New Roman" w:cs="Times New Roman" w:eastAsia="Times New Roman" w:hAnsi="Times New Roman"/>
          <w:sz w:val="13"/>
          <w:szCs w:val="13"/>
          <w:color w:val="auto"/>
        </w:rPr>
        <w:t>. RSUs may be granted under our 2012 Plan. Each RSU granted is a bookkeeping entry representing an amount equal to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fair market value of one share of our Class A common stock. The administrator determines the terms and conditions of RSUs, including the vesting criteria, which may include achievement of specified performance criteria and/or continued service, and the form and timing of payment. The administrator, in its sole discretion, may accelerate the time at which any restrictions will lapse or be removed. The administrator determines, in its sole discretion, whether an award will be settled in stock, cash, or a combination of both. The specific terms will be set forth in an award agreement.</w:t>
      </w:r>
    </w:p>
    <w:p>
      <w:pPr>
        <w:spacing w:after="0" w:line="133" w:lineRule="exact"/>
        <w:rPr>
          <w:sz w:val="20"/>
          <w:szCs w:val="20"/>
          <w:color w:val="auto"/>
        </w:rPr>
      </w:pPr>
    </w:p>
    <w:p>
      <w:pPr>
        <w:ind w:left="1680" w:right="599" w:firstLine="316"/>
        <w:spacing w:after="0" w:line="256" w:lineRule="auto"/>
        <w:rPr>
          <w:sz w:val="20"/>
          <w:szCs w:val="20"/>
          <w:color w:val="auto"/>
        </w:rPr>
      </w:pPr>
      <w:r>
        <w:rPr>
          <w:rFonts w:ascii="Times New Roman" w:cs="Times New Roman" w:eastAsia="Times New Roman" w:hAnsi="Times New Roman"/>
          <w:sz w:val="13"/>
          <w:szCs w:val="13"/>
          <w:i w:val="1"/>
          <w:iCs w:val="1"/>
          <w:color w:val="auto"/>
        </w:rPr>
        <w:t xml:space="preserve">Plan Administration. </w:t>
      </w:r>
      <w:r>
        <w:rPr>
          <w:rFonts w:ascii="Times New Roman" w:cs="Times New Roman" w:eastAsia="Times New Roman" w:hAnsi="Times New Roman"/>
          <w:sz w:val="13"/>
          <w:szCs w:val="13"/>
          <w:color w:val="auto"/>
        </w:rPr>
        <w:t>Our board of directors, or a committee appointed by our board of directors (referred to as the plan administrator for purposes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the 2012 Plan), administers and interprets the provisions of the 2012 Plan. Under the 2012 Plan, the plan administrator has the authority to, among other things, accelerate the vesting of awards and institute and determine the terms of an option exchange program under which outstanding stock options are exchanged for stock options with a lower exercise price or restricted stock or are amended to decrease the exercise price as a result of a decline in the fair market value of our Class A common stock.</w:t>
      </w:r>
    </w:p>
    <w:p>
      <w:pPr>
        <w:spacing w:after="0" w:line="133" w:lineRule="exact"/>
        <w:rPr>
          <w:sz w:val="20"/>
          <w:szCs w:val="20"/>
          <w:color w:val="auto"/>
        </w:rPr>
      </w:pPr>
    </w:p>
    <w:p>
      <w:pPr>
        <w:ind w:left="1680" w:right="759" w:firstLine="316"/>
        <w:spacing w:after="0" w:line="264" w:lineRule="auto"/>
        <w:rPr>
          <w:sz w:val="20"/>
          <w:szCs w:val="20"/>
          <w:color w:val="auto"/>
        </w:rPr>
      </w:pPr>
      <w:r>
        <w:rPr>
          <w:rFonts w:ascii="Times New Roman" w:cs="Times New Roman" w:eastAsia="Times New Roman" w:hAnsi="Times New Roman"/>
          <w:sz w:val="13"/>
          <w:szCs w:val="13"/>
          <w:i w:val="1"/>
          <w:iCs w:val="1"/>
          <w:color w:val="auto"/>
        </w:rPr>
        <w:t>Changes to Capital Structure</w:t>
      </w:r>
      <w:r>
        <w:rPr>
          <w:rFonts w:ascii="Times New Roman" w:cs="Times New Roman" w:eastAsia="Times New Roman" w:hAnsi="Times New Roman"/>
          <w:sz w:val="13"/>
          <w:szCs w:val="13"/>
          <w:color w:val="auto"/>
        </w:rPr>
        <w:t>. In the event of certain corporate events or changes in our capitalization, the plan administrator will make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adjustments to one or more of the number and class of shares that may be delivered under the 2012 Plan and/or the number, class, and price of shares covered by each outstanding award.</w:t>
      </w:r>
    </w:p>
    <w:p>
      <w:pPr>
        <w:spacing w:after="0" w:line="127" w:lineRule="exact"/>
        <w:rPr>
          <w:sz w:val="20"/>
          <w:szCs w:val="20"/>
          <w:color w:val="auto"/>
        </w:rPr>
      </w:pPr>
    </w:p>
    <w:p>
      <w:pPr>
        <w:ind w:left="1680" w:right="579" w:firstLine="316"/>
        <w:spacing w:after="0" w:line="280" w:lineRule="auto"/>
        <w:rPr>
          <w:sz w:val="20"/>
          <w:szCs w:val="20"/>
          <w:color w:val="auto"/>
        </w:rPr>
      </w:pPr>
      <w:r>
        <w:rPr>
          <w:rFonts w:ascii="Times New Roman" w:cs="Times New Roman" w:eastAsia="Times New Roman" w:hAnsi="Times New Roman"/>
          <w:sz w:val="13"/>
          <w:szCs w:val="13"/>
          <w:i w:val="1"/>
          <w:iCs w:val="1"/>
          <w:color w:val="auto"/>
        </w:rPr>
        <w:t>Dissolution or liquidation</w:t>
      </w:r>
      <w:r>
        <w:rPr>
          <w:rFonts w:ascii="Times New Roman" w:cs="Times New Roman" w:eastAsia="Times New Roman" w:hAnsi="Times New Roman"/>
          <w:sz w:val="13"/>
          <w:szCs w:val="13"/>
          <w:color w:val="auto"/>
        </w:rPr>
        <w:t>. In the event of our dissolution or liquidation, each award will terminate immediately prior to the consummation of such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action, unless otherwise determined by the plan administrator.</w:t>
      </w:r>
    </w:p>
    <w:p>
      <w:pPr>
        <w:spacing w:after="0" w:line="116" w:lineRule="exact"/>
        <w:rPr>
          <w:sz w:val="20"/>
          <w:szCs w:val="20"/>
          <w:color w:val="auto"/>
        </w:rPr>
      </w:pPr>
    </w:p>
    <w:p>
      <w:pPr>
        <w:ind w:left="1680" w:right="739" w:firstLine="316"/>
        <w:spacing w:after="0" w:line="275" w:lineRule="auto"/>
        <w:rPr>
          <w:sz w:val="20"/>
          <w:szCs w:val="20"/>
          <w:color w:val="auto"/>
        </w:rPr>
      </w:pPr>
      <w:r>
        <w:rPr>
          <w:rFonts w:ascii="Times New Roman" w:cs="Times New Roman" w:eastAsia="Times New Roman" w:hAnsi="Times New Roman"/>
          <w:sz w:val="12"/>
          <w:szCs w:val="12"/>
          <w:i w:val="1"/>
          <w:iCs w:val="1"/>
          <w:color w:val="auto"/>
        </w:rPr>
        <w:t xml:space="preserve">Corporate Transactions. </w:t>
      </w:r>
      <w:r>
        <w:rPr>
          <w:rFonts w:ascii="Times New Roman" w:cs="Times New Roman" w:eastAsia="Times New Roman" w:hAnsi="Times New Roman"/>
          <w:sz w:val="12"/>
          <w:szCs w:val="12"/>
          <w:color w:val="auto"/>
        </w:rPr>
        <w:t>In the event of (1) a transfer of all or substantially all of our assets, (2) a merger, consolidation, or other capital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reorganization or business combination of us with or into another corporation, entity, or person, or (3) the consummation of a transaction, or series of related transactions, in which any person becomes the beneficial owner, directly or indirectly, of more than 50% of our then outstanding capital stock, each outstanding award shall be treated as the plan administrator determines. Such determination may provide that such outstanding awards will be</w:t>
      </w:r>
    </w:p>
    <w:p>
      <w:pPr>
        <w:spacing w:after="0" w:line="2" w:lineRule="exact"/>
        <w:rPr>
          <w:sz w:val="20"/>
          <w:szCs w:val="20"/>
          <w:color w:val="auto"/>
        </w:rPr>
      </w:pPr>
    </w:p>
    <w:p>
      <w:pPr>
        <w:jc w:val="both"/>
        <w:ind w:left="1680" w:right="659" w:firstLine="9"/>
        <w:spacing w:after="0" w:line="252" w:lineRule="auto"/>
        <w:tabs>
          <w:tab w:leader="none" w:pos="1863"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continued if we are the surviving corporation, (2) assumed by the surviving corporation or its parent, (3) substituted by the surviving corporation or its parent for a new award, (4) canceled in exchange for a payment equal to the excess of the fair market value of our shares subject to such award over the exercise price or purchase price paid for such shares, if any, or if such award is “underwater,” canceled for no consideration, or (5) canceled for no consideration.</w:t>
      </w:r>
    </w:p>
    <w:p>
      <w:pPr>
        <w:spacing w:after="0" w:line="134" w:lineRule="exact"/>
        <w:rPr>
          <w:sz w:val="20"/>
          <w:szCs w:val="20"/>
          <w:color w:val="auto"/>
        </w:rPr>
      </w:pPr>
    </w:p>
    <w:p>
      <w:pPr>
        <w:ind w:left="1680" w:right="719" w:firstLine="316"/>
        <w:spacing w:after="0" w:line="280" w:lineRule="auto"/>
        <w:rPr>
          <w:sz w:val="20"/>
          <w:szCs w:val="20"/>
          <w:color w:val="auto"/>
        </w:rPr>
      </w:pPr>
      <w:r>
        <w:rPr>
          <w:rFonts w:ascii="Times New Roman" w:cs="Times New Roman" w:eastAsia="Times New Roman" w:hAnsi="Times New Roman"/>
          <w:sz w:val="13"/>
          <w:szCs w:val="13"/>
          <w:i w:val="1"/>
          <w:iCs w:val="1"/>
          <w:color w:val="auto"/>
        </w:rPr>
        <w:t>Amendment or Termination</w:t>
      </w:r>
      <w:r>
        <w:rPr>
          <w:rFonts w:ascii="Times New Roman" w:cs="Times New Roman" w:eastAsia="Times New Roman" w:hAnsi="Times New Roman"/>
          <w:sz w:val="13"/>
          <w:szCs w:val="13"/>
          <w:color w:val="auto"/>
        </w:rPr>
        <w:t>. Our board of directors may at any time amend or terminate the 2012 Plan, provided such action does not materially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adversely affect the rights of any participant without his or her consent.</w:t>
      </w:r>
    </w:p>
    <w:p>
      <w:pPr>
        <w:spacing w:after="0" w:line="19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401(k) Plan</w:t>
      </w:r>
    </w:p>
    <w:p>
      <w:pPr>
        <w:spacing w:after="0" w:line="87" w:lineRule="exact"/>
        <w:rPr>
          <w:sz w:val="20"/>
          <w:szCs w:val="20"/>
          <w:color w:val="auto"/>
        </w:rPr>
      </w:pPr>
    </w:p>
    <w:p>
      <w:pPr>
        <w:ind w:left="1680" w:right="639" w:firstLine="316"/>
        <w:spacing w:after="0" w:line="254" w:lineRule="auto"/>
        <w:rPr>
          <w:sz w:val="20"/>
          <w:szCs w:val="20"/>
          <w:color w:val="auto"/>
        </w:rPr>
      </w:pPr>
      <w:r>
        <w:rPr>
          <w:rFonts w:ascii="Times New Roman" w:cs="Times New Roman" w:eastAsia="Times New Roman" w:hAnsi="Times New Roman"/>
          <w:sz w:val="13"/>
          <w:szCs w:val="13"/>
          <w:color w:val="auto"/>
        </w:rPr>
        <w:t>We maintain a 401(k) plan that provides eligible U.S. employees with an opportunity to save for retirement on a tax advantaged basis. Eligible employees are able to defer compensation up to certain limits imposed by the Code. We have the ability to make matching and discretionary contributions to the 401(k) plan. Currently, we do not make matching contributions or discretionary contributions to the 401(k) plan. The 401(k) plan is intended to be qualified under Section 401(a) of the Code, with the related trust intended to be tax exempt under Section 501(a) of the Code. As a tax-qualified retirement plan, and contributions and earnings on those amounts are generally not taxable to a participating employee until withdrawn or distributed from the 401(k) plan.</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132</w:t>
      </w:r>
    </w:p>
    <w:p>
      <w:pPr>
        <w:sectPr>
          <w:pgSz w:w="11900" w:h="16838" w:orient="portrait"/>
          <w:cols w:equalWidth="0" w:num="1">
            <w:col w:w="10159"/>
          </w:cols>
          <w:pgMar w:left="300" w:top="367" w:right="1440" w:bottom="1440" w:gutter="0" w:footer="0" w:header="0"/>
        </w:sectPr>
      </w:pPr>
    </w:p>
    <w:bookmarkStart w:id="137" w:name="page138"/>
    <w:bookmarkEnd w:id="13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Limitations of Liability and Indemnification Matters</w:t>
      </w:r>
    </w:p>
    <w:p>
      <w:pPr>
        <w:spacing w:after="0" w:line="87" w:lineRule="exact"/>
        <w:rPr>
          <w:sz w:val="20"/>
          <w:szCs w:val="20"/>
          <w:color w:val="auto"/>
        </w:rPr>
      </w:pPr>
    </w:p>
    <w:p>
      <w:pPr>
        <w:ind w:left="1680" w:right="699" w:firstLine="316"/>
        <w:spacing w:after="0" w:line="258" w:lineRule="auto"/>
        <w:rPr>
          <w:sz w:val="20"/>
          <w:szCs w:val="20"/>
          <w:color w:val="auto"/>
        </w:rPr>
      </w:pPr>
      <w:r>
        <w:rPr>
          <w:rFonts w:ascii="Times New Roman" w:cs="Times New Roman" w:eastAsia="Times New Roman" w:hAnsi="Times New Roman"/>
          <w:sz w:val="13"/>
          <w:szCs w:val="13"/>
          <w:color w:val="auto"/>
        </w:rPr>
        <w:t>Following the effectiveness of the registration statement of which this prospectus forms a part,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65" w:lineRule="exact"/>
        <w:rPr>
          <w:sz w:val="20"/>
          <w:szCs w:val="20"/>
          <w:color w:val="auto"/>
        </w:rPr>
      </w:pPr>
    </w:p>
    <w:p>
      <w:pPr>
        <w:ind w:left="2380" w:hanging="381"/>
        <w:spacing w:after="0"/>
        <w:tabs>
          <w:tab w:leader="none" w:pos="23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breach of the director’s duty of loyalty to the corporation or its stockholders;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act or omission not in good faith or that involves intentional misconduct or a knowing violation of law;</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unlawful payments of dividends or unlawful stock repurchases or redemptions; or</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transaction from which the director derived an improper personal benefit.</w:t>
      </w:r>
    </w:p>
    <w:p>
      <w:pPr>
        <w:spacing w:after="0" w:line="161" w:lineRule="exact"/>
        <w:rPr>
          <w:sz w:val="20"/>
          <w:szCs w:val="20"/>
          <w:color w:val="auto"/>
        </w:rPr>
      </w:pPr>
    </w:p>
    <w:p>
      <w:pPr>
        <w:ind w:left="1680" w:right="999" w:firstLine="316"/>
        <w:spacing w:after="0" w:line="277" w:lineRule="auto"/>
        <w:rPr>
          <w:sz w:val="20"/>
          <w:szCs w:val="20"/>
          <w:color w:val="auto"/>
        </w:rPr>
      </w:pPr>
      <w:r>
        <w:rPr>
          <w:rFonts w:ascii="Times New Roman" w:cs="Times New Roman" w:eastAsia="Times New Roman" w:hAnsi="Times New Roman"/>
          <w:sz w:val="13"/>
          <w:szCs w:val="13"/>
          <w:color w:val="auto"/>
        </w:rPr>
        <w:t>Such limitation of liability does not apply to liabilities arising under federal securities laws and does not affect the availability of equitable remedies such as injunctive relief or rescission.</w:t>
      </w:r>
    </w:p>
    <w:p>
      <w:pPr>
        <w:spacing w:after="0" w:line="120" w:lineRule="exact"/>
        <w:rPr>
          <w:sz w:val="20"/>
          <w:szCs w:val="20"/>
          <w:color w:val="auto"/>
        </w:rPr>
      </w:pPr>
    </w:p>
    <w:p>
      <w:pPr>
        <w:ind w:left="1680" w:right="639" w:firstLine="316"/>
        <w:spacing w:after="0" w:line="251" w:lineRule="auto"/>
        <w:rPr>
          <w:sz w:val="20"/>
          <w:szCs w:val="20"/>
          <w:color w:val="auto"/>
        </w:rPr>
      </w:pPr>
      <w:r>
        <w:rPr>
          <w:rFonts w:ascii="Times New Roman" w:cs="Times New Roman" w:eastAsia="Times New Roman" w:hAnsi="Times New Roman"/>
          <w:sz w:val="13"/>
          <w:szCs w:val="13"/>
          <w:color w:val="auto"/>
        </w:rPr>
        <w:t>Our amended and restated certificate of incorporation that will be in effect following the effectiveness of the registration statement of which this prospectus forms a part will authorize us to indemnify our directors, officers, employees, and other agents to the fullest extent permitted by Delaware law. Our amended and restated bylaws that will be in effect following the effectiveness of the registration statement of which this prospectus forms a part will provide that we are required to indemnify our directors and officers to the fullest extent permitted by Delaware law and may indemnify our other employees and agents. Our amended and restated bylaws that will be in effect following the effectiveness of the registration statement of which this prospectus forms a part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39" w:lineRule="exact"/>
        <w:rPr>
          <w:sz w:val="20"/>
          <w:szCs w:val="20"/>
          <w:color w:val="auto"/>
        </w:rPr>
      </w:pPr>
    </w:p>
    <w:p>
      <w:pPr>
        <w:ind w:left="1680" w:right="559" w:firstLine="316"/>
        <w:spacing w:after="0" w:line="256" w:lineRule="auto"/>
        <w:rPr>
          <w:sz w:val="20"/>
          <w:szCs w:val="20"/>
          <w:color w:val="auto"/>
        </w:rPr>
      </w:pPr>
      <w:r>
        <w:rPr>
          <w:rFonts w:ascii="Times New Roman" w:cs="Times New Roman" w:eastAsia="Times New Roman" w:hAnsi="Times New Roman"/>
          <w:sz w:val="13"/>
          <w:szCs w:val="13"/>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33" w:lineRule="exact"/>
        <w:rPr>
          <w:sz w:val="20"/>
          <w:szCs w:val="20"/>
          <w:color w:val="auto"/>
        </w:rPr>
      </w:pPr>
    </w:p>
    <w:p>
      <w:pPr>
        <w:ind w:left="1680" w:right="659" w:firstLine="316"/>
        <w:spacing w:after="0" w:line="263" w:lineRule="auto"/>
        <w:rPr>
          <w:sz w:val="20"/>
          <w:szCs w:val="20"/>
          <w:color w:val="auto"/>
        </w:rPr>
      </w:pPr>
      <w:r>
        <w:rPr>
          <w:rFonts w:ascii="Times New Roman" w:cs="Times New Roman" w:eastAsia="Times New Roman" w:hAnsi="Times New Roman"/>
          <w:sz w:val="13"/>
          <w:szCs w:val="13"/>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133</w:t>
      </w:r>
    </w:p>
    <w:p>
      <w:pPr>
        <w:sectPr>
          <w:pgSz w:w="11900" w:h="16838" w:orient="portrait"/>
          <w:cols w:equalWidth="0" w:num="1">
            <w:col w:w="10159"/>
          </w:cols>
          <w:pgMar w:left="300" w:top="367" w:right="1440" w:bottom="1440" w:gutter="0" w:footer="0" w:header="0"/>
        </w:sectPr>
      </w:pPr>
    </w:p>
    <w:bookmarkStart w:id="138" w:name="page139"/>
    <w:bookmarkEnd w:id="13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3"/>
          <w:szCs w:val="13"/>
          <w:b w:val="1"/>
          <w:bCs w:val="1"/>
          <w:color w:val="auto"/>
        </w:rPr>
        <w:t>CERTAIN RELATIONSHIPS AND RELATED PARTY TRANSACTIONS</w:t>
      </w:r>
    </w:p>
    <w:p>
      <w:pPr>
        <w:spacing w:after="0" w:line="163" w:lineRule="exact"/>
        <w:rPr>
          <w:sz w:val="20"/>
          <w:szCs w:val="20"/>
          <w:color w:val="auto"/>
        </w:rPr>
      </w:pPr>
    </w:p>
    <w:p>
      <w:pPr>
        <w:ind w:left="1680" w:right="779" w:firstLine="316"/>
        <w:spacing w:after="0" w:line="263" w:lineRule="auto"/>
        <w:rPr>
          <w:sz w:val="20"/>
          <w:szCs w:val="20"/>
          <w:color w:val="auto"/>
        </w:rPr>
      </w:pPr>
      <w:r>
        <w:rPr>
          <w:rFonts w:ascii="Times New Roman" w:cs="Times New Roman" w:eastAsia="Times New Roman" w:hAnsi="Times New Roman"/>
          <w:sz w:val="13"/>
          <w:szCs w:val="13"/>
          <w:color w:val="auto"/>
        </w:rPr>
        <w:t>In addition to the compensation arrangements, including employment and termination of employment arrangements and indemnification agreements described in “Executive Compensation” and the registration rights described in “Description of Capital Stock—Registration Rights,” the following is a description of each transaction since February 1, 2017 and each currently proposed transaction in which:</w:t>
      </w:r>
    </w:p>
    <w:p>
      <w:pPr>
        <w:spacing w:after="0" w:line="61" w:lineRule="exact"/>
        <w:rPr>
          <w:sz w:val="20"/>
          <w:szCs w:val="20"/>
          <w:color w:val="auto"/>
        </w:rPr>
      </w:pPr>
    </w:p>
    <w:p>
      <w:pPr>
        <w:ind w:left="2380" w:hanging="381"/>
        <w:spacing w:after="0"/>
        <w:tabs>
          <w:tab w:leader="none" w:pos="238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been or are to be a participant;</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involved exceeds $120,000; and</w:t>
      </w:r>
    </w:p>
    <w:p>
      <w:pPr>
        <w:spacing w:after="0" w:line="92" w:lineRule="exact"/>
        <w:rPr>
          <w:rFonts w:ascii="Times New Roman" w:cs="Times New Roman" w:eastAsia="Times New Roman" w:hAnsi="Times New Roman"/>
          <w:sz w:val="13"/>
          <w:szCs w:val="13"/>
          <w:color w:val="auto"/>
        </w:rPr>
      </w:pPr>
    </w:p>
    <w:p>
      <w:pPr>
        <w:ind w:left="2380" w:right="659" w:hanging="381"/>
        <w:spacing w:after="0" w:line="277" w:lineRule="auto"/>
        <w:tabs>
          <w:tab w:leader="none" w:pos="238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of our directors, executive officers, or beneficial owners of more than 5% of our capital stock, or any immediate family member of or person sharing the household with any of these individuals, had or will have a direct or indirect material interest.</w:t>
      </w:r>
    </w:p>
    <w:p>
      <w:pPr>
        <w:spacing w:after="0" w:line="19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2017 Convertible Note Financing</w:t>
      </w:r>
    </w:p>
    <w:p>
      <w:pPr>
        <w:spacing w:after="0" w:line="85" w:lineRule="exact"/>
        <w:rPr>
          <w:sz w:val="20"/>
          <w:szCs w:val="20"/>
          <w:color w:val="auto"/>
        </w:rPr>
      </w:pPr>
    </w:p>
    <w:p>
      <w:pPr>
        <w:ind w:left="1680" w:right="639" w:firstLine="316"/>
        <w:spacing w:after="0" w:line="253" w:lineRule="auto"/>
        <w:rPr>
          <w:sz w:val="20"/>
          <w:szCs w:val="20"/>
          <w:color w:val="auto"/>
        </w:rPr>
      </w:pPr>
      <w:r>
        <w:rPr>
          <w:rFonts w:ascii="Times New Roman" w:cs="Times New Roman" w:eastAsia="Times New Roman" w:hAnsi="Times New Roman"/>
          <w:sz w:val="13"/>
          <w:szCs w:val="13"/>
          <w:color w:val="auto"/>
        </w:rPr>
        <w:t>In May 2017, we entered into a convertible note purchase agreement with Dustin A. Moskovitz TTEE Dustin A. Moskovitz Trust DTD 12/27/05, or the Dustin Moskovitz Trust. The Dustin Moskovitz Trust is an affiliated trust of Dustin Moskovitz, our President, Chief Executive Officer, and Chair of our board of directors. Pursuant to the convertible note purchase agreement, we agreed to issue and sell convertible notes having an aggregate principal amount of up to $25.0 million to the Dustin Moskovitz Trust. In August 2017, we issued and sold to the Dustin Moskovitz Trust a convertible promissory note in the principal amount of $15.0 million, or the 2017 Note. The 2017 Note accrued interest at 4.25%, compounded annually. The aggregate principal amount and accrued interest on the 2017 Note converted into 2,923,425 shares of our Series D preferred stock at a conversion price of $5.23 per share upon the closing of our Series D preferred stock financing in January 2018.</w:t>
      </w:r>
    </w:p>
    <w:p>
      <w:pPr>
        <w:spacing w:after="0" w:line="21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Series D Preferred Stock Financing</w:t>
      </w:r>
    </w:p>
    <w:p>
      <w:pPr>
        <w:spacing w:after="0" w:line="85" w:lineRule="exact"/>
        <w:rPr>
          <w:sz w:val="20"/>
          <w:szCs w:val="20"/>
          <w:color w:val="auto"/>
        </w:rPr>
      </w:pPr>
    </w:p>
    <w:p>
      <w:pPr>
        <w:ind w:left="1680" w:right="659" w:firstLine="316"/>
        <w:spacing w:after="0" w:line="263" w:lineRule="auto"/>
        <w:rPr>
          <w:sz w:val="20"/>
          <w:szCs w:val="20"/>
          <w:color w:val="auto"/>
        </w:rPr>
      </w:pPr>
      <w:r>
        <w:rPr>
          <w:rFonts w:ascii="Times New Roman" w:cs="Times New Roman" w:eastAsia="Times New Roman" w:hAnsi="Times New Roman"/>
          <w:sz w:val="13"/>
          <w:szCs w:val="13"/>
          <w:color w:val="auto"/>
        </w:rPr>
        <w:t>In two closings in January 2018, we sold an aggregate of 11,429,642 shares of our Series D preferred stock at a purchase price of $5.23 per share for an aggregate purchase price of approximately $59.7 million. The purchasers of our Series D preferred stock are entitled to specified registration rights. For additional information, see “Description of Capital Stock—Registration Rights.”</w:t>
      </w:r>
    </w:p>
    <w:p>
      <w:pPr>
        <w:spacing w:after="0" w:line="129" w:lineRule="exact"/>
        <w:rPr>
          <w:sz w:val="20"/>
          <w:szCs w:val="20"/>
          <w:color w:val="auto"/>
        </w:rPr>
      </w:pPr>
    </w:p>
    <w:p>
      <w:pPr>
        <w:ind w:left="1680" w:right="739" w:firstLine="316"/>
        <w:spacing w:after="0" w:line="277" w:lineRule="auto"/>
        <w:rPr>
          <w:sz w:val="20"/>
          <w:szCs w:val="20"/>
          <w:color w:val="auto"/>
        </w:rPr>
      </w:pPr>
      <w:r>
        <w:rPr>
          <w:rFonts w:ascii="Times New Roman" w:cs="Times New Roman" w:eastAsia="Times New Roman" w:hAnsi="Times New Roman"/>
          <w:sz w:val="13"/>
          <w:szCs w:val="13"/>
          <w:color w:val="auto"/>
        </w:rPr>
        <w:t>The following table summarizes the Series D preferred stock purchased by our directors, executive officers, and beneficial owners of more than 5% of our capital stock. The terms of these purchases were the same for all purchasers of our Series D preferred stock.</w:t>
      </w:r>
    </w:p>
    <w:p>
      <w:pPr>
        <w:spacing w:after="0" w:line="127"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430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 of stockholder</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Shares of Series D</w:t>
            </w:r>
          </w:p>
        </w:tc>
        <w:tc>
          <w:tcPr>
            <w:tcW w:w="1040" w:type="dxa"/>
            <w:vAlign w:val="bottom"/>
            <w:gridSpan w:val="4"/>
          </w:tcPr>
          <w:p>
            <w:pPr>
              <w:ind w:left="340"/>
              <w:spacing w:after="0"/>
              <w:rPr>
                <w:sz w:val="20"/>
                <w:szCs w:val="20"/>
                <w:color w:val="auto"/>
              </w:rPr>
            </w:pPr>
            <w:r>
              <w:rPr>
                <w:rFonts w:ascii="Times New Roman" w:cs="Times New Roman" w:eastAsia="Times New Roman" w:hAnsi="Times New Roman"/>
                <w:sz w:val="10"/>
                <w:szCs w:val="10"/>
                <w:b w:val="1"/>
                <w:bCs w:val="1"/>
                <w:color w:val="auto"/>
              </w:rPr>
              <w:t>Total Purchase</w:t>
            </w:r>
          </w:p>
        </w:tc>
        <w:tc>
          <w:tcPr>
            <w:tcW w:w="0" w:type="dxa"/>
            <w:vAlign w:val="bottom"/>
          </w:tcPr>
          <w:p>
            <w:pPr>
              <w:spacing w:after="0"/>
              <w:rPr>
                <w:sz w:val="1"/>
                <w:szCs w:val="1"/>
                <w:color w:val="auto"/>
              </w:rPr>
            </w:pPr>
          </w:p>
        </w:tc>
      </w:tr>
      <w:tr>
        <w:trPr>
          <w:trHeight w:val="114"/>
        </w:trPr>
        <w:tc>
          <w:tcPr>
            <w:tcW w:w="4300" w:type="dxa"/>
            <w:vAlign w:val="bottom"/>
            <w:gridSpan w:val="3"/>
            <w:vMerge w:val="continue"/>
          </w:tcPr>
          <w:p>
            <w:pPr>
              <w:spacing w:after="0"/>
              <w:rPr>
                <w:sz w:val="9"/>
                <w:szCs w:val="9"/>
                <w:color w:val="auto"/>
              </w:rPr>
            </w:pPr>
          </w:p>
        </w:tc>
        <w:tc>
          <w:tcPr>
            <w:tcW w:w="1780" w:type="dxa"/>
            <w:vAlign w:val="bottom"/>
          </w:tcPr>
          <w:p>
            <w:pPr>
              <w:spacing w:after="0"/>
              <w:rPr>
                <w:sz w:val="9"/>
                <w:szCs w:val="9"/>
                <w:color w:val="auto"/>
              </w:rPr>
            </w:pPr>
          </w:p>
        </w:tc>
        <w:tc>
          <w:tcPr>
            <w:tcW w:w="800" w:type="dxa"/>
            <w:vAlign w:val="bottom"/>
          </w:tcPr>
          <w:p>
            <w:pPr>
              <w:jc w:val="right"/>
              <w:ind w:right="2"/>
              <w:spacing w:after="0" w:line="114" w:lineRule="exact"/>
              <w:rPr>
                <w:sz w:val="20"/>
                <w:szCs w:val="20"/>
                <w:color w:val="auto"/>
              </w:rPr>
            </w:pPr>
            <w:r>
              <w:rPr>
                <w:rFonts w:ascii="Times New Roman" w:cs="Times New Roman" w:eastAsia="Times New Roman" w:hAnsi="Times New Roman"/>
                <w:sz w:val="10"/>
                <w:szCs w:val="10"/>
                <w:b w:val="1"/>
                <w:bCs w:val="1"/>
                <w:color w:val="auto"/>
              </w:rPr>
              <w:t>Preferred Stock</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ind w:left="140"/>
              <w:spacing w:after="0" w:line="114" w:lineRule="exact"/>
              <w:rPr>
                <w:sz w:val="20"/>
                <w:szCs w:val="20"/>
                <w:color w:val="auto"/>
              </w:rPr>
            </w:pPr>
            <w:r>
              <w:rPr>
                <w:rFonts w:ascii="Times New Roman" w:cs="Times New Roman" w:eastAsia="Times New Roman" w:hAnsi="Times New Roman"/>
                <w:sz w:val="10"/>
                <w:szCs w:val="10"/>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bottom w:val="single" w:sz="8" w:color="CCEEFF"/>
            </w:tcBorders>
            <w:shd w:val="clear" w:color="auto" w:fill="000000"/>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4280" w:type="dxa"/>
            <w:vAlign w:val="bottom"/>
            <w:gridSpan w:val="2"/>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Entities affiliated with Dustin A. Moskovitz</w:t>
            </w:r>
            <w:r>
              <w:rPr>
                <w:rFonts w:ascii="Times New Roman" w:cs="Times New Roman" w:eastAsia="Times New Roman" w:hAnsi="Times New Roman"/>
                <w:sz w:val="10"/>
                <w:szCs w:val="10"/>
                <w:color w:val="auto"/>
              </w:rPr>
              <w:t>(1)</w:t>
            </w:r>
          </w:p>
        </w:tc>
        <w:tc>
          <w:tcPr>
            <w:tcW w:w="17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7,109,553</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w w:val="95"/>
              </w:rPr>
              <w:t>37,149,995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Generation IM Climate Solutions Fund II, L.P.</w:t>
            </w:r>
            <w:r>
              <w:rPr>
                <w:rFonts w:ascii="Times New Roman" w:cs="Times New Roman" w:eastAsia="Times New Roman" w:hAnsi="Times New Roman"/>
                <w:sz w:val="10"/>
                <w:szCs w:val="10"/>
                <w:color w:val="auto"/>
              </w:rPr>
              <w:t>(2)</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6,698,099</w:t>
            </w:r>
          </w:p>
        </w:tc>
        <w:tc>
          <w:tcPr>
            <w:tcW w:w="4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34,999,999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Entities affiliated with The Founders Fund</w:t>
            </w:r>
            <w:r>
              <w:rPr>
                <w:rFonts w:ascii="Times New Roman" w:cs="Times New Roman" w:eastAsia="Times New Roman" w:hAnsi="Times New Roman"/>
                <w:sz w:val="10"/>
                <w:szCs w:val="10"/>
                <w:color w:val="auto"/>
              </w:rPr>
              <w:t>(3)</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47,843</w:t>
            </w:r>
          </w:p>
        </w:tc>
        <w:tc>
          <w:tcPr>
            <w:tcW w:w="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249,997</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61595</wp:posOffset>
            </wp:positionV>
            <wp:extent cx="548005"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48005" cy="6350"/>
                    </a:xfrm>
                    <a:prstGeom prst="rect">
                      <a:avLst/>
                    </a:prstGeom>
                    <a:noFill/>
                  </pic:spPr>
                </pic:pic>
              </a:graphicData>
            </a:graphic>
          </wp:anchor>
        </w:drawing>
      </w:r>
    </w:p>
    <w:p>
      <w:pPr>
        <w:spacing w:after="0" w:line="101" w:lineRule="exact"/>
        <w:rPr>
          <w:sz w:val="20"/>
          <w:szCs w:val="20"/>
          <w:color w:val="auto"/>
        </w:rPr>
      </w:pPr>
    </w:p>
    <w:p>
      <w:pPr>
        <w:ind w:left="2000" w:hanging="311"/>
        <w:spacing w:after="0"/>
        <w:tabs>
          <w:tab w:leader="none" w:pos="2000" w:val="left"/>
        </w:tabs>
        <w:numPr>
          <w:ilvl w:val="0"/>
          <w:numId w:val="6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the Dustin Moskovitz Trust, the Dustin A Moskovitz 2008 Annuity Trust DTD 3/10/08, and Moskovitz Investment Holdings, LLC, each of which are affiliated with</w:t>
      </w:r>
    </w:p>
    <w:p>
      <w:pPr>
        <w:spacing w:after="0" w:line="1" w:lineRule="exact"/>
        <w:rPr>
          <w:rFonts w:ascii="Times New Roman" w:cs="Times New Roman" w:eastAsia="Times New Roman" w:hAnsi="Times New Roman"/>
          <w:sz w:val="10"/>
          <w:szCs w:val="10"/>
          <w:color w:val="auto"/>
        </w:rPr>
      </w:pPr>
    </w:p>
    <w:p>
      <w:pPr>
        <w:ind w:left="2000" w:right="579"/>
        <w:spacing w:after="0" w:line="222"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Mr. Moskovitz. In addition, as noted above, the accrued interest and principal amount of the 2017 Note converted into an additional 2,923,425 shares of our Series D preferred stock in connection with the closing of the Series D preferred stock financing.</w:t>
      </w:r>
    </w:p>
    <w:p>
      <w:pPr>
        <w:ind w:left="2000" w:right="739" w:hanging="311"/>
        <w:spacing w:after="0" w:line="222" w:lineRule="auto"/>
        <w:tabs>
          <w:tab w:leader="none" w:pos="2000" w:val="left"/>
        </w:tabs>
        <w:numPr>
          <w:ilvl w:val="0"/>
          <w:numId w:val="6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Generation IM Climate Solutions Fund II, L.P. is a greater than 5% stockholder, and Colin le Duc, a former member of our board of directors, is a partner of Generation Investment Management LLP, an affiliate of Generation IM Climate Solutions Fund II, L.P.</w:t>
      </w:r>
    </w:p>
    <w:p>
      <w:pPr>
        <w:ind w:left="2000" w:hanging="311"/>
        <w:spacing w:after="0"/>
        <w:tabs>
          <w:tab w:leader="none" w:pos="2000" w:val="left"/>
        </w:tabs>
        <w:numPr>
          <w:ilvl w:val="0"/>
          <w:numId w:val="6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The Founders Fund IV, LP and The Founders Fund IV Principals Fund, LP.</w:t>
      </w:r>
    </w:p>
    <w:p>
      <w:pPr>
        <w:spacing w:after="0" w:line="21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2018 Convertible Note Purchase Agreement</w:t>
      </w:r>
    </w:p>
    <w:p>
      <w:pPr>
        <w:spacing w:after="0" w:line="85" w:lineRule="exact"/>
        <w:rPr>
          <w:sz w:val="20"/>
          <w:szCs w:val="20"/>
          <w:color w:val="auto"/>
        </w:rPr>
      </w:pPr>
    </w:p>
    <w:p>
      <w:pPr>
        <w:ind w:left="1680" w:right="559" w:firstLine="316"/>
        <w:spacing w:after="0" w:line="277" w:lineRule="auto"/>
        <w:rPr>
          <w:sz w:val="20"/>
          <w:szCs w:val="20"/>
          <w:color w:val="auto"/>
        </w:rPr>
      </w:pPr>
      <w:r>
        <w:rPr>
          <w:rFonts w:ascii="Times New Roman" w:cs="Times New Roman" w:eastAsia="Times New Roman" w:hAnsi="Times New Roman"/>
          <w:sz w:val="13"/>
          <w:szCs w:val="13"/>
          <w:color w:val="auto"/>
        </w:rPr>
        <w:t>In January 2018, we entered into a convertible note purchase agreement with the Dustin Moskovitz Trust pursuant to which we agreed to issue and sell convertible notes up to an aggregate principal amount of</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134</w:t>
      </w:r>
    </w:p>
    <w:p>
      <w:pPr>
        <w:sectPr>
          <w:pgSz w:w="11900" w:h="16838" w:orient="portrait"/>
          <w:cols w:equalWidth="0" w:num="1">
            <w:col w:w="10159"/>
          </w:cols>
          <w:pgMar w:left="300" w:top="367" w:right="1440" w:bottom="1440" w:gutter="0" w:footer="0" w:header="0"/>
        </w:sectPr>
      </w:pPr>
    </w:p>
    <w:bookmarkStart w:id="139" w:name="page140"/>
    <w:bookmarkEnd w:id="13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39"/>
        <w:spacing w:after="0" w:line="263" w:lineRule="auto"/>
        <w:rPr>
          <w:sz w:val="20"/>
          <w:szCs w:val="20"/>
          <w:color w:val="auto"/>
        </w:rPr>
      </w:pPr>
      <w:r>
        <w:rPr>
          <w:rFonts w:ascii="Times New Roman" w:cs="Times New Roman" w:eastAsia="Times New Roman" w:hAnsi="Times New Roman"/>
          <w:sz w:val="13"/>
          <w:szCs w:val="13"/>
          <w:color w:val="auto"/>
        </w:rPr>
        <w:t>$75.0 million to the Dustin Moskovitz Trust. The parties amended the agreement in June 2019 to increase the borrowing capacity thereunder from $75.0 million to $125.0 million and terminated the agreement upon the issuance of the 2020 Note as defined and described below. No convertible notes were issued or sold pursuant to the convertible note purchase agreement prior to its termination.</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Series E Preferred Stock Financing</w:t>
      </w:r>
    </w:p>
    <w:p>
      <w:pPr>
        <w:spacing w:after="0" w:line="85" w:lineRule="exact"/>
        <w:rPr>
          <w:sz w:val="20"/>
          <w:szCs w:val="20"/>
          <w:color w:val="auto"/>
        </w:rPr>
      </w:pPr>
    </w:p>
    <w:p>
      <w:pPr>
        <w:ind w:left="1680" w:right="639" w:firstLine="316"/>
        <w:spacing w:after="0" w:line="263" w:lineRule="auto"/>
        <w:rPr>
          <w:sz w:val="20"/>
          <w:szCs w:val="20"/>
          <w:color w:val="auto"/>
        </w:rPr>
      </w:pPr>
      <w:r>
        <w:rPr>
          <w:rFonts w:ascii="Times New Roman" w:cs="Times New Roman" w:eastAsia="Times New Roman" w:hAnsi="Times New Roman"/>
          <w:sz w:val="13"/>
          <w:szCs w:val="13"/>
          <w:color w:val="auto"/>
        </w:rPr>
        <w:t>In November 2018, we sold an aggregate of 6,229,843 shares of our Series E preferred stock at a purchase price of $8.19 per share for an aggregate purchase price of approximately $51.0 million. The purchasers of our Series E preferred stock are entitled to specified registration rights. For additional information, see “Description of Capital Stock—Registration Rights.”</w:t>
      </w:r>
    </w:p>
    <w:p>
      <w:pPr>
        <w:spacing w:after="0" w:line="129" w:lineRule="exact"/>
        <w:rPr>
          <w:sz w:val="20"/>
          <w:szCs w:val="20"/>
          <w:color w:val="auto"/>
        </w:rPr>
      </w:pPr>
    </w:p>
    <w:p>
      <w:pPr>
        <w:ind w:left="1680" w:right="739" w:firstLine="316"/>
        <w:spacing w:after="0" w:line="277" w:lineRule="auto"/>
        <w:rPr>
          <w:sz w:val="20"/>
          <w:szCs w:val="20"/>
          <w:color w:val="auto"/>
        </w:rPr>
      </w:pPr>
      <w:r>
        <w:rPr>
          <w:rFonts w:ascii="Times New Roman" w:cs="Times New Roman" w:eastAsia="Times New Roman" w:hAnsi="Times New Roman"/>
          <w:sz w:val="13"/>
          <w:szCs w:val="13"/>
          <w:color w:val="auto"/>
        </w:rPr>
        <w:t>The following table summarizes the Series E preferred stock purchased by our directors, executive officers, and beneficial owners of more than 5% of our capital stock. The terms of these purchases were the same for all purchasers of our Series E preferred stock.</w:t>
      </w:r>
    </w:p>
    <w:p>
      <w:pPr>
        <w:spacing w:after="0" w:line="127"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520" w:type="dxa"/>
            <w:vAlign w:val="bottom"/>
            <w:gridSpan w:val="2"/>
          </w:tcPr>
          <w:p>
            <w:pPr>
              <w:jc w:val="center"/>
              <w:ind w:left="1679"/>
              <w:spacing w:after="0"/>
              <w:rPr>
                <w:sz w:val="20"/>
                <w:szCs w:val="20"/>
                <w:color w:val="auto"/>
              </w:rPr>
            </w:pPr>
            <w:r>
              <w:rPr>
                <w:rFonts w:ascii="Times New Roman" w:cs="Times New Roman" w:eastAsia="Times New Roman" w:hAnsi="Times New Roman"/>
                <w:sz w:val="10"/>
                <w:szCs w:val="10"/>
                <w:b w:val="1"/>
                <w:bCs w:val="1"/>
                <w:color w:val="auto"/>
              </w:rPr>
              <w:t>Shares of Series E</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107"/>
        </w:trPr>
        <w:tc>
          <w:tcPr>
            <w:tcW w:w="428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 of Stockholder</w:t>
            </w:r>
          </w:p>
        </w:tc>
        <w:tc>
          <w:tcPr>
            <w:tcW w:w="1740" w:type="dxa"/>
            <w:vAlign w:val="bottom"/>
          </w:tcPr>
          <w:p>
            <w:pPr>
              <w:spacing w:after="0"/>
              <w:rPr>
                <w:sz w:val="9"/>
                <w:szCs w:val="9"/>
                <w:color w:val="auto"/>
              </w:rPr>
            </w:pPr>
          </w:p>
        </w:tc>
        <w:tc>
          <w:tcPr>
            <w:tcW w:w="78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Preferred</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center"/>
              <w:ind w:right="100"/>
              <w:spacing w:after="0" w:line="107" w:lineRule="exact"/>
              <w:rPr>
                <w:sz w:val="20"/>
                <w:szCs w:val="20"/>
                <w:color w:val="auto"/>
              </w:rPr>
            </w:pPr>
            <w:r>
              <w:rPr>
                <w:rFonts w:ascii="Times New Roman" w:cs="Times New Roman" w:eastAsia="Times New Roman" w:hAnsi="Times New Roman"/>
                <w:sz w:val="10"/>
                <w:szCs w:val="10"/>
                <w:b w:val="1"/>
                <w:bCs w:val="1"/>
                <w:color w:val="auto"/>
              </w:rPr>
              <w:t>Purchase</w:t>
            </w:r>
          </w:p>
        </w:tc>
        <w:tc>
          <w:tcPr>
            <w:tcW w:w="0" w:type="dxa"/>
            <w:vAlign w:val="bottom"/>
          </w:tcPr>
          <w:p>
            <w:pPr>
              <w:spacing w:after="0"/>
              <w:rPr>
                <w:sz w:val="1"/>
                <w:szCs w:val="1"/>
                <w:color w:val="auto"/>
              </w:rPr>
            </w:pPr>
          </w:p>
        </w:tc>
      </w:tr>
      <w:tr>
        <w:trPr>
          <w:trHeight w:val="114"/>
        </w:trPr>
        <w:tc>
          <w:tcPr>
            <w:tcW w:w="4280" w:type="dxa"/>
            <w:vAlign w:val="bottom"/>
            <w:gridSpan w:val="3"/>
            <w:vMerge w:val="continue"/>
          </w:tcPr>
          <w:p>
            <w:pPr>
              <w:spacing w:after="0"/>
              <w:rPr>
                <w:sz w:val="9"/>
                <w:szCs w:val="9"/>
                <w:color w:val="auto"/>
              </w:rPr>
            </w:pPr>
          </w:p>
        </w:tc>
        <w:tc>
          <w:tcPr>
            <w:tcW w:w="1740" w:type="dxa"/>
            <w:vAlign w:val="bottom"/>
          </w:tcPr>
          <w:p>
            <w:pPr>
              <w:spacing w:after="0"/>
              <w:rPr>
                <w:sz w:val="9"/>
                <w:szCs w:val="9"/>
                <w:color w:val="auto"/>
              </w:rPr>
            </w:pPr>
          </w:p>
        </w:tc>
        <w:tc>
          <w:tcPr>
            <w:tcW w:w="78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b w:val="1"/>
                <w:bCs w:val="1"/>
                <w:color w:val="auto"/>
              </w:rPr>
              <w:t>Stock</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center"/>
              <w:ind w:right="100"/>
              <w:spacing w:after="0" w:line="114" w:lineRule="exact"/>
              <w:rPr>
                <w:sz w:val="20"/>
                <w:szCs w:val="20"/>
                <w:color w:val="auto"/>
              </w:rPr>
            </w:pPr>
            <w:r>
              <w:rPr>
                <w:rFonts w:ascii="Times New Roman" w:cs="Times New Roman" w:eastAsia="Times New Roman" w:hAnsi="Times New Roman"/>
                <w:sz w:val="10"/>
                <w:szCs w:val="10"/>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bottom w:val="single" w:sz="8" w:color="CCEEFF"/>
            </w:tcBorders>
            <w:shd w:val="clear" w:color="auto" w:fill="000000"/>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4260" w:type="dxa"/>
            <w:vAlign w:val="bottom"/>
            <w:gridSpan w:val="2"/>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The Dustin Moskovitz Trust</w:t>
            </w:r>
            <w:r>
              <w:rPr>
                <w:rFonts w:ascii="Times New Roman" w:cs="Times New Roman" w:eastAsia="Times New Roman" w:hAnsi="Times New Roman"/>
                <w:sz w:val="10"/>
                <w:szCs w:val="10"/>
                <w:color w:val="auto"/>
              </w:rPr>
              <w:t>(1)</w:t>
            </w:r>
          </w:p>
        </w:tc>
        <w:tc>
          <w:tcPr>
            <w:tcW w:w="17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855,076</w:t>
            </w: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6,999,995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Generation IM Climate Solutions Fund II, L.P.</w:t>
            </w:r>
            <w:r>
              <w:rPr>
                <w:rFonts w:ascii="Times New Roman" w:cs="Times New Roman" w:eastAsia="Times New Roman" w:hAnsi="Times New Roman"/>
                <w:sz w:val="10"/>
                <w:szCs w:val="10"/>
                <w:color w:val="auto"/>
              </w:rPr>
              <w:t>(2)</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3,053,845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25,000,000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Benchmark Capital Partners VI, L.P.</w:t>
            </w:r>
            <w:r>
              <w:rPr>
                <w:rFonts w:ascii="Times New Roman" w:cs="Times New Roman" w:eastAsia="Times New Roman" w:hAnsi="Times New Roman"/>
                <w:sz w:val="10"/>
                <w:szCs w:val="10"/>
                <w:color w:val="auto"/>
              </w:rPr>
              <w:t>(3)</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366,461</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2,999,997</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Entities affiliated with The Founders Fund</w:t>
            </w:r>
            <w:r>
              <w:rPr>
                <w:rFonts w:ascii="Times New Roman" w:cs="Times New Roman" w:eastAsia="Times New Roman" w:hAnsi="Times New Roman"/>
                <w:sz w:val="10"/>
                <w:szCs w:val="10"/>
                <w:color w:val="auto"/>
              </w:rPr>
              <w:t>(4)</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122,153</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999,993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53975</wp:posOffset>
            </wp:positionV>
            <wp:extent cx="548005"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48005" cy="6350"/>
                    </a:xfrm>
                    <a:prstGeom prst="rect">
                      <a:avLst/>
                    </a:prstGeom>
                    <a:noFill/>
                  </pic:spPr>
                </pic:pic>
              </a:graphicData>
            </a:graphic>
          </wp:anchor>
        </w:drawing>
      </w:r>
    </w:p>
    <w:p>
      <w:pPr>
        <w:spacing w:after="0" w:line="89" w:lineRule="exact"/>
        <w:rPr>
          <w:sz w:val="20"/>
          <w:szCs w:val="20"/>
          <w:color w:val="auto"/>
        </w:rPr>
      </w:pPr>
    </w:p>
    <w:p>
      <w:pPr>
        <w:ind w:left="2000" w:hanging="311"/>
        <w:spacing w:after="0"/>
        <w:tabs>
          <w:tab w:leader="none" w:pos="2000" w:val="left"/>
        </w:tabs>
        <w:numPr>
          <w:ilvl w:val="0"/>
          <w:numId w:val="6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Dustin Moskovitz Trust is affiliated with Mr. Moskovitz.</w:t>
      </w:r>
    </w:p>
    <w:p>
      <w:pPr>
        <w:spacing w:after="0" w:line="1" w:lineRule="exact"/>
        <w:rPr>
          <w:rFonts w:ascii="Times New Roman" w:cs="Times New Roman" w:eastAsia="Times New Roman" w:hAnsi="Times New Roman"/>
          <w:sz w:val="10"/>
          <w:szCs w:val="10"/>
          <w:color w:val="auto"/>
        </w:rPr>
      </w:pPr>
    </w:p>
    <w:p>
      <w:pPr>
        <w:ind w:left="2000" w:right="739" w:hanging="311"/>
        <w:spacing w:after="0" w:line="222" w:lineRule="auto"/>
        <w:tabs>
          <w:tab w:leader="none" w:pos="2000" w:val="left"/>
        </w:tabs>
        <w:numPr>
          <w:ilvl w:val="0"/>
          <w:numId w:val="6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Generation IM Climate Solutions Fund II, L.P. is a greater than 5% stockholder, and Colin le Duc, a former member of our board of directors, is a partner of Generation Investment Management LLP, an affiliate of Generation IM Climate Solutions Fund II, L.P.</w:t>
      </w:r>
    </w:p>
    <w:p>
      <w:pPr>
        <w:ind w:left="2000" w:right="979" w:hanging="311"/>
        <w:spacing w:after="0" w:line="222" w:lineRule="auto"/>
        <w:tabs>
          <w:tab w:leader="none" w:pos="2000" w:val="left"/>
        </w:tabs>
        <w:numPr>
          <w:ilvl w:val="0"/>
          <w:numId w:val="6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Benchmark Capital Partners VI, L.P. is a greater than 5% stockholder, and Matthew Cohler, a member of our board of directors, is a managing member of Benchmark Capital Management Co. VI, L.L.C., the general partner of Benchmark Capital Partners VI, L.P.</w:t>
      </w:r>
    </w:p>
    <w:p>
      <w:pPr>
        <w:ind w:left="2000" w:hanging="311"/>
        <w:spacing w:after="0"/>
        <w:tabs>
          <w:tab w:leader="none" w:pos="2000" w:val="left"/>
        </w:tabs>
        <w:numPr>
          <w:ilvl w:val="0"/>
          <w:numId w:val="6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The Founders Fund IV, LP and The Founders Fund IV Principals Fund, LP., which together beneficially hold greater than 5% of our capital stock.</w:t>
      </w:r>
    </w:p>
    <w:p>
      <w:pPr>
        <w:spacing w:after="0" w:line="21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Senior Mandatory Convertible Promissory Note Financings</w:t>
      </w:r>
    </w:p>
    <w:p>
      <w:pPr>
        <w:spacing w:after="0" w:line="85" w:lineRule="exact"/>
        <w:rPr>
          <w:sz w:val="20"/>
          <w:szCs w:val="20"/>
          <w:color w:val="auto"/>
        </w:rPr>
      </w:pPr>
    </w:p>
    <w:p>
      <w:pPr>
        <w:ind w:left="1680" w:right="579" w:firstLine="316"/>
        <w:spacing w:after="0" w:line="251" w:lineRule="auto"/>
        <w:rPr>
          <w:sz w:val="20"/>
          <w:szCs w:val="20"/>
          <w:color w:val="auto"/>
        </w:rPr>
      </w:pPr>
      <w:r>
        <w:rPr>
          <w:rFonts w:ascii="Times New Roman" w:cs="Times New Roman" w:eastAsia="Times New Roman" w:hAnsi="Times New Roman"/>
          <w:sz w:val="13"/>
          <w:szCs w:val="13"/>
          <w:color w:val="auto"/>
        </w:rPr>
        <w:t>In January and June 2020, in each case, after an evaluation by the Board and an independent committee of the Board regarding market terms and other financing options, we issued and sold to the Dustin Moskovitz Trust two unsecured senior mandatory convertible promissory notes for an aggregate principal amount of $450.0 million, or the 2020 Notes. The Dustin Moskovitz Trust is a trust affiliated with Mr. Moskovitz. The 2020 Notes consist of a note that matures on January 30, 2025, or the January Note, and a note that matures on June 26, 2025, or the June Note. Other than principal amount, maturity date, and conversion price and rate, the January Note and June Note are identical. The 2020 Notes accrue interest at a rate of 3.5% per annum, which will compound annually and (other than in connection with our bankruptcy, insolvency, or other similar events) will mandatorily convert into shares of our Class B common stock. On the applicable maturity date, depending on the trading price of our Class A common stock, we will issue a number of shares of our Class B common stock upon mandatory conversion of the applicable 2020 Note within the range set forth in the table below, subject to customary anti-dilution and other adjustments. However, we may convert the applicable 2020 Note in advance of its maturity date, at our option, into a number of shares of our Class B common stock set forth in the table below, subject to customary anti-dilution and other adjustments, if the trading price of our Class A common stock exceeds the applicable initial conversion price per share set forth in the table below (subject to customary anti-dilution and other adjustments in connection with certain extraordinary transactions) for at least 20 trading days in the 30 consecutive trading day period ending on the last trading day of the immediately preceding calendar quarter.</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135</w:t>
      </w:r>
    </w:p>
    <w:p>
      <w:pPr>
        <w:sectPr>
          <w:pgSz w:w="11900" w:h="16838" w:orient="portrait"/>
          <w:cols w:equalWidth="0" w:num="1">
            <w:col w:w="10159"/>
          </w:cols>
          <w:pgMar w:left="300" w:top="367" w:right="1440" w:bottom="1440" w:gutter="0" w:footer="0" w:header="0"/>
        </w:sectPr>
      </w:pPr>
    </w:p>
    <w:bookmarkStart w:id="140" w:name="page141"/>
    <w:bookmarkEnd w:id="14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59" w:firstLine="316"/>
        <w:spacing w:after="0" w:line="277" w:lineRule="auto"/>
        <w:rPr>
          <w:sz w:val="20"/>
          <w:szCs w:val="20"/>
          <w:color w:val="auto"/>
        </w:rPr>
      </w:pPr>
      <w:r>
        <w:rPr>
          <w:rFonts w:ascii="Times New Roman" w:cs="Times New Roman" w:eastAsia="Times New Roman" w:hAnsi="Times New Roman"/>
          <w:sz w:val="13"/>
          <w:szCs w:val="13"/>
          <w:color w:val="auto"/>
        </w:rPr>
        <w:t>The principal amounts, maturity dates, range of shares potentially issuable at maturity, initial conversion price and shares issuable at maturity for each of the 2020 Notes are presented below:</w:t>
      </w:r>
    </w:p>
    <w:p>
      <w:pPr>
        <w:spacing w:after="0" w:line="127"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Aggregate</w:t>
            </w:r>
          </w:p>
        </w:tc>
        <w:tc>
          <w:tcPr>
            <w:tcW w:w="280" w:type="dxa"/>
            <w:vAlign w:val="bottom"/>
          </w:tcPr>
          <w:p>
            <w:pPr>
              <w:spacing w:after="0"/>
              <w:rPr>
                <w:sz w:val="10"/>
                <w:szCs w:val="10"/>
                <w:color w:val="auto"/>
              </w:rPr>
            </w:pPr>
          </w:p>
        </w:tc>
        <w:tc>
          <w:tcPr>
            <w:tcW w:w="9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Range of Shares</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9"/>
              </w:rPr>
              <w:t>Initial</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Shares Potentially</w:t>
            </w:r>
          </w:p>
        </w:tc>
        <w:tc>
          <w:tcPr>
            <w:tcW w:w="0" w:type="dxa"/>
            <w:vAlign w:val="bottom"/>
          </w:tcPr>
          <w:p>
            <w:pPr>
              <w:spacing w:after="0"/>
              <w:rPr>
                <w:sz w:val="1"/>
                <w:szCs w:val="1"/>
                <w:color w:val="auto"/>
              </w:rPr>
            </w:pPr>
          </w:p>
        </w:tc>
      </w:tr>
      <w:tr>
        <w:trPr>
          <w:trHeight w:val="107"/>
        </w:trPr>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 of Security</w:t>
            </w:r>
          </w:p>
        </w:tc>
        <w:tc>
          <w:tcPr>
            <w:tcW w:w="1760" w:type="dxa"/>
            <w:vAlign w:val="bottom"/>
          </w:tcPr>
          <w:p>
            <w:pPr>
              <w:spacing w:after="0"/>
              <w:rPr>
                <w:sz w:val="9"/>
                <w:szCs w:val="9"/>
                <w:color w:val="auto"/>
              </w:rPr>
            </w:pPr>
          </w:p>
        </w:tc>
        <w:tc>
          <w:tcPr>
            <w:tcW w:w="76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Principal</w:t>
            </w:r>
          </w:p>
        </w:tc>
        <w:tc>
          <w:tcPr>
            <w:tcW w:w="2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36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Potentially Issuable at</w:t>
            </w:r>
          </w:p>
        </w:tc>
        <w:tc>
          <w:tcPr>
            <w:tcW w:w="260" w:type="dxa"/>
            <w:vAlign w:val="bottom"/>
          </w:tcPr>
          <w:p>
            <w:pPr>
              <w:spacing w:after="0"/>
              <w:rPr>
                <w:sz w:val="9"/>
                <w:szCs w:val="9"/>
                <w:color w:val="auto"/>
              </w:rPr>
            </w:pPr>
          </w:p>
        </w:tc>
        <w:tc>
          <w:tcPr>
            <w:tcW w:w="840" w:type="dxa"/>
            <w:vAlign w:val="bottom"/>
            <w:gridSpan w:val="3"/>
          </w:tcPr>
          <w:p>
            <w:pPr>
              <w:jc w:val="center"/>
              <w:ind w:right="260"/>
              <w:spacing w:after="0" w:line="107" w:lineRule="exact"/>
              <w:rPr>
                <w:sz w:val="20"/>
                <w:szCs w:val="20"/>
                <w:color w:val="auto"/>
              </w:rPr>
            </w:pPr>
            <w:r>
              <w:rPr>
                <w:rFonts w:ascii="Times New Roman" w:cs="Times New Roman" w:eastAsia="Times New Roman" w:hAnsi="Times New Roman"/>
                <w:sz w:val="10"/>
                <w:szCs w:val="10"/>
                <w:b w:val="1"/>
                <w:bCs w:val="1"/>
                <w:color w:val="auto"/>
              </w:rPr>
              <w:t>Conversion</w:t>
            </w:r>
          </w:p>
        </w:tc>
        <w:tc>
          <w:tcPr>
            <w:tcW w:w="940" w:type="dxa"/>
            <w:vAlign w:val="bottom"/>
            <w:gridSpan w:val="2"/>
          </w:tcPr>
          <w:p>
            <w:pPr>
              <w:jc w:val="center"/>
              <w:ind w:right="40"/>
              <w:spacing w:after="0" w:line="107" w:lineRule="exact"/>
              <w:rPr>
                <w:sz w:val="20"/>
                <w:szCs w:val="20"/>
                <w:color w:val="auto"/>
              </w:rPr>
            </w:pPr>
            <w:r>
              <w:rPr>
                <w:rFonts w:ascii="Times New Roman" w:cs="Times New Roman" w:eastAsia="Times New Roman" w:hAnsi="Times New Roman"/>
                <w:sz w:val="10"/>
                <w:szCs w:val="10"/>
                <w:b w:val="1"/>
                <w:bCs w:val="1"/>
                <w:color w:val="auto"/>
              </w:rPr>
              <w:t>Issuable Prior to</w:t>
            </w:r>
          </w:p>
        </w:tc>
        <w:tc>
          <w:tcPr>
            <w:tcW w:w="0" w:type="dxa"/>
            <w:vAlign w:val="bottom"/>
          </w:tcPr>
          <w:p>
            <w:pPr>
              <w:spacing w:after="0"/>
              <w:rPr>
                <w:sz w:val="1"/>
                <w:szCs w:val="1"/>
                <w:color w:val="auto"/>
              </w:rPr>
            </w:pPr>
          </w:p>
        </w:tc>
      </w:tr>
      <w:tr>
        <w:trPr>
          <w:trHeight w:val="134"/>
        </w:trPr>
        <w:tc>
          <w:tcPr>
            <w:tcW w:w="780" w:type="dxa"/>
            <w:vAlign w:val="bottom"/>
            <w:gridSpan w:val="2"/>
            <w:vMerge w:val="continue"/>
          </w:tcPr>
          <w:p>
            <w:pPr>
              <w:spacing w:after="0"/>
              <w:rPr>
                <w:sz w:val="11"/>
                <w:szCs w:val="11"/>
                <w:color w:val="auto"/>
              </w:rPr>
            </w:pPr>
          </w:p>
        </w:tc>
        <w:tc>
          <w:tcPr>
            <w:tcW w:w="1760" w:type="dxa"/>
            <w:vAlign w:val="bottom"/>
          </w:tcPr>
          <w:p>
            <w:pPr>
              <w:spacing w:after="0"/>
              <w:rPr>
                <w:sz w:val="11"/>
                <w:szCs w:val="11"/>
                <w:color w:val="auto"/>
              </w:rPr>
            </w:pPr>
          </w:p>
        </w:tc>
        <w:tc>
          <w:tcPr>
            <w:tcW w:w="76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b w:val="1"/>
                <w:bCs w:val="1"/>
                <w:color w:val="auto"/>
              </w:rPr>
              <w:t>Amount</w:t>
            </w:r>
          </w:p>
        </w:tc>
        <w:tc>
          <w:tcPr>
            <w:tcW w:w="280" w:type="dxa"/>
            <w:vAlign w:val="bottom"/>
          </w:tcPr>
          <w:p>
            <w:pPr>
              <w:spacing w:after="0"/>
              <w:rPr>
                <w:sz w:val="11"/>
                <w:szCs w:val="11"/>
                <w:color w:val="auto"/>
              </w:rPr>
            </w:pPr>
          </w:p>
        </w:tc>
        <w:tc>
          <w:tcPr>
            <w:tcW w:w="940" w:type="dxa"/>
            <w:vAlign w:val="bottom"/>
            <w:gridSpan w:val="2"/>
          </w:tcPr>
          <w:p>
            <w:pPr>
              <w:jc w:val="center"/>
              <w:ind w:right="300"/>
              <w:spacing w:after="0" w:line="114" w:lineRule="exact"/>
              <w:rPr>
                <w:sz w:val="20"/>
                <w:szCs w:val="20"/>
                <w:color w:val="auto"/>
              </w:rPr>
            </w:pPr>
            <w:r>
              <w:rPr>
                <w:rFonts w:ascii="Times New Roman" w:cs="Times New Roman" w:eastAsia="Times New Roman" w:hAnsi="Times New Roman"/>
                <w:sz w:val="10"/>
                <w:szCs w:val="10"/>
                <w:b w:val="1"/>
                <w:bCs w:val="1"/>
                <w:color w:val="auto"/>
                <w:w w:val="99"/>
              </w:rPr>
              <w:t>Date</w:t>
            </w:r>
          </w:p>
        </w:tc>
        <w:tc>
          <w:tcPr>
            <w:tcW w:w="136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b w:val="1"/>
                <w:bCs w:val="1"/>
                <w:color w:val="auto"/>
              </w:rPr>
              <w:t>Maturity</w:t>
            </w:r>
            <w:r>
              <w:rPr>
                <w:rFonts w:ascii="Times New Roman" w:cs="Times New Roman" w:eastAsia="Times New Roman" w:hAnsi="Times New Roman"/>
                <w:sz w:val="8"/>
                <w:szCs w:val="8"/>
                <w:b w:val="1"/>
                <w:bCs w:val="1"/>
                <w:color w:val="auto"/>
              </w:rPr>
              <w:t>(1)</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360"/>
              <w:spacing w:after="0" w:line="114" w:lineRule="exact"/>
              <w:rPr>
                <w:sz w:val="20"/>
                <w:szCs w:val="20"/>
                <w:color w:val="auto"/>
              </w:rPr>
            </w:pPr>
            <w:r>
              <w:rPr>
                <w:rFonts w:ascii="Times New Roman" w:cs="Times New Roman" w:eastAsia="Times New Roman" w:hAnsi="Times New Roman"/>
                <w:sz w:val="10"/>
                <w:szCs w:val="10"/>
                <w:b w:val="1"/>
                <w:bCs w:val="1"/>
                <w:color w:val="auto"/>
              </w:rPr>
              <w:t>Price</w:t>
            </w:r>
            <w:r>
              <w:rPr>
                <w:rFonts w:ascii="Times New Roman" w:cs="Times New Roman" w:eastAsia="Times New Roman" w:hAnsi="Times New Roman"/>
                <w:sz w:val="8"/>
                <w:szCs w:val="8"/>
                <w:b w:val="1"/>
                <w:bCs w:val="1"/>
                <w:color w:val="auto"/>
              </w:rPr>
              <w:t>(1)</w:t>
            </w:r>
          </w:p>
        </w:tc>
        <w:tc>
          <w:tcPr>
            <w:tcW w:w="940" w:type="dxa"/>
            <w:vAlign w:val="bottom"/>
            <w:gridSpan w:val="2"/>
          </w:tcPr>
          <w:p>
            <w:pPr>
              <w:jc w:val="center"/>
              <w:ind w:right="40"/>
              <w:spacing w:after="0" w:line="114" w:lineRule="exact"/>
              <w:rPr>
                <w:sz w:val="20"/>
                <w:szCs w:val="20"/>
                <w:color w:val="auto"/>
              </w:rPr>
            </w:pPr>
            <w:r>
              <w:rPr>
                <w:rFonts w:ascii="Times New Roman" w:cs="Times New Roman" w:eastAsia="Times New Roman" w:hAnsi="Times New Roman"/>
                <w:sz w:val="10"/>
                <w:szCs w:val="10"/>
                <w:b w:val="1"/>
                <w:bCs w:val="1"/>
                <w:color w:val="auto"/>
              </w:rPr>
              <w:t>Maturity</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Borders>
              <w:top w:val="single" w:sz="8" w:color="auto"/>
            </w:tcBorders>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January Note</w:t>
            </w:r>
          </w:p>
        </w:tc>
        <w:tc>
          <w:tcPr>
            <w:tcW w:w="17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w w:val="98"/>
              </w:rPr>
              <w:t>$ 300,000,000</w:t>
            </w:r>
          </w:p>
        </w:tc>
        <w:tc>
          <w:tcPr>
            <w:tcW w:w="2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01/30/2025</w:t>
            </w:r>
          </w:p>
        </w:tc>
        <w:tc>
          <w:tcPr>
            <w:tcW w:w="28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11,282,390-18,051,810</w:t>
            </w: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31.58</w:t>
            </w:r>
          </w:p>
        </w:tc>
        <w:tc>
          <w:tcPr>
            <w:tcW w:w="26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11,282,390</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June Note</w:t>
            </w:r>
          </w:p>
        </w:tc>
        <w:tc>
          <w:tcPr>
            <w:tcW w:w="176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150,000,000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06/26/2025</w:t>
            </w:r>
          </w:p>
        </w:tc>
        <w:tc>
          <w:tcPr>
            <w:tcW w:w="280" w:type="dxa"/>
            <w:vAlign w:val="bottom"/>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5,730,432-9,168,694</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31.09</w:t>
            </w:r>
          </w:p>
        </w:tc>
        <w:tc>
          <w:tcPr>
            <w:tcW w:w="26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5,730,432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$ 450,000,000</w:t>
            </w: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17,012,822-27,220,504</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17,012,822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67945</wp:posOffset>
            </wp:positionV>
            <wp:extent cx="548005"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48005" cy="6350"/>
                    </a:xfrm>
                    <a:prstGeom prst="rect">
                      <a:avLst/>
                    </a:prstGeom>
                    <a:noFill/>
                  </pic:spPr>
                </pic:pic>
              </a:graphicData>
            </a:graphic>
          </wp:anchor>
        </w:drawing>
      </w:r>
    </w:p>
    <w:p>
      <w:pPr>
        <w:spacing w:after="0" w:line="111" w:lineRule="exact"/>
        <w:rPr>
          <w:sz w:val="20"/>
          <w:szCs w:val="20"/>
          <w:color w:val="auto"/>
        </w:rPr>
      </w:pPr>
    </w:p>
    <w:p>
      <w:pPr>
        <w:ind w:left="2000" w:hanging="311"/>
        <w:spacing w:after="0"/>
        <w:tabs>
          <w:tab w:leader="none" w:pos="2000" w:val="left"/>
        </w:tabs>
        <w:numPr>
          <w:ilvl w:val="0"/>
          <w:numId w:val="6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Subject to customary anti-dilution and other adjustments.</w:t>
      </w:r>
    </w:p>
    <w:p>
      <w:pPr>
        <w:spacing w:after="0" w:line="14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2020 Notes are not transferable except to affiliates, contain no financial or restrictive covenants, and</w:t>
      </w:r>
    </w:p>
    <w:p>
      <w:pPr>
        <w:spacing w:after="0" w:line="18" w:lineRule="exact"/>
        <w:rPr>
          <w:sz w:val="20"/>
          <w:szCs w:val="20"/>
          <w:color w:val="auto"/>
        </w:rPr>
      </w:pPr>
    </w:p>
    <w:p>
      <w:pPr>
        <w:ind w:left="1680" w:right="619"/>
        <w:spacing w:after="0" w:line="251" w:lineRule="auto"/>
        <w:rPr>
          <w:sz w:val="20"/>
          <w:szCs w:val="20"/>
          <w:color w:val="auto"/>
        </w:rPr>
      </w:pPr>
      <w:r>
        <w:rPr>
          <w:rFonts w:ascii="Times New Roman" w:cs="Times New Roman" w:eastAsia="Times New Roman" w:hAnsi="Times New Roman"/>
          <w:sz w:val="13"/>
          <w:szCs w:val="13"/>
          <w:color w:val="auto"/>
        </w:rPr>
        <w:t>are expressly subordinated in right of payment to any of our existing or future secured indebtedness. Consistent with the terms of the 2020 Notes, in April and June 2020, the Dustin Moskovitz Trust entered into subordination agreements with Silicon Valley Bank to confirm the parties’ agreement that the 2020 Notes are subordinated to the five-year $40.0 million secured term loan facility. For additional information about the 2020 Notes, please refer to the section titled “Description of Capital Stock” or to the 2020 Notes, which are included as exhibits to the registration statement of which this prospectus forms a part.</w:t>
      </w:r>
    </w:p>
    <w:p>
      <w:pPr>
        <w:spacing w:after="0" w:line="21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Stock Transfers</w:t>
      </w:r>
    </w:p>
    <w:p>
      <w:pPr>
        <w:spacing w:after="0" w:line="85" w:lineRule="exact"/>
        <w:rPr>
          <w:sz w:val="20"/>
          <w:szCs w:val="20"/>
          <w:color w:val="auto"/>
        </w:rPr>
      </w:pPr>
    </w:p>
    <w:p>
      <w:pPr>
        <w:ind w:left="1680" w:right="599" w:firstLine="316"/>
        <w:spacing w:after="0" w:line="277" w:lineRule="auto"/>
        <w:rPr>
          <w:sz w:val="20"/>
          <w:szCs w:val="20"/>
          <w:color w:val="auto"/>
        </w:rPr>
      </w:pPr>
      <w:r>
        <w:rPr>
          <w:rFonts w:ascii="Times New Roman" w:cs="Times New Roman" w:eastAsia="Times New Roman" w:hAnsi="Times New Roman"/>
          <w:sz w:val="13"/>
          <w:szCs w:val="13"/>
          <w:color w:val="auto"/>
        </w:rPr>
        <w:t>On July 23, 2018, entities affiliated with Mr. Moskovitz purchased an aggregate of 58,602 shares of our outstanding Series C preferred stock from a stockholder, at a purchase price of $5.23 per share, for an aggregate purchase price of approximately $0.3 million.</w:t>
      </w:r>
    </w:p>
    <w:p>
      <w:pPr>
        <w:spacing w:after="0" w:line="120" w:lineRule="exact"/>
        <w:rPr>
          <w:sz w:val="20"/>
          <w:szCs w:val="20"/>
          <w:color w:val="auto"/>
        </w:rPr>
      </w:pPr>
    </w:p>
    <w:p>
      <w:pPr>
        <w:ind w:left="1680" w:right="579" w:firstLine="316"/>
        <w:spacing w:after="0" w:line="263" w:lineRule="auto"/>
        <w:rPr>
          <w:sz w:val="20"/>
          <w:szCs w:val="20"/>
          <w:color w:val="auto"/>
        </w:rPr>
      </w:pPr>
      <w:r>
        <w:rPr>
          <w:rFonts w:ascii="Times New Roman" w:cs="Times New Roman" w:eastAsia="Times New Roman" w:hAnsi="Times New Roman"/>
          <w:sz w:val="13"/>
          <w:szCs w:val="13"/>
          <w:color w:val="auto"/>
        </w:rPr>
        <w:t>On September 11, 2019, entities affiliated with Mr. Moskovitz purchased an aggregate of 2,344,093 shares of our outstanding Series C preferred stock and 1,777,388 shares of our outstanding Series D preferred stock from other entities affiliated with Mr. Moskovitz, for an aggregate purchase price of approximately $24.7 million.</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Tender Offers</w:t>
      </w:r>
    </w:p>
    <w:p>
      <w:pPr>
        <w:spacing w:after="0" w:line="85" w:lineRule="exact"/>
        <w:rPr>
          <w:sz w:val="20"/>
          <w:szCs w:val="20"/>
          <w:color w:val="auto"/>
        </w:rPr>
      </w:pPr>
    </w:p>
    <w:p>
      <w:pPr>
        <w:ind w:left="1680" w:right="599" w:firstLine="316"/>
        <w:spacing w:after="0" w:line="279" w:lineRule="auto"/>
        <w:rPr>
          <w:sz w:val="20"/>
          <w:szCs w:val="20"/>
          <w:color w:val="auto"/>
        </w:rPr>
      </w:pPr>
      <w:r>
        <w:rPr>
          <w:rFonts w:ascii="Times New Roman" w:cs="Times New Roman" w:eastAsia="Times New Roman" w:hAnsi="Times New Roman"/>
          <w:sz w:val="12"/>
          <w:szCs w:val="12"/>
          <w:color w:val="auto"/>
        </w:rPr>
        <w:t>In April 2018, we entered into a participation agreement with the Dustin Moskovitz Trust, pursuant to which we agreed to waive certain transfer restrictions in connection with a tender offer that the Dustin Moskovitz Trust proposed to commence. In June 2018, the Dustin Moskovitz Trust conducted a tender offer for shares of our outstanding Class A common stock and Class B common stock from our stockholders and purchased an aggregate of approximately 1.5 million shares of our outstanding Class A common stock and Class B common stock from our stockholders, at a purchase price of $4.70 per share, for an aggregate purchase price of approximately $7.1 million. Chris Farinacci, our Chief Operating Officer, sold an aggregate of 212,766 shares of our outstanding Class B common stock for an aggregate purchase price of approximately $1.0 million in the tender offer.</w:t>
      </w:r>
    </w:p>
    <w:p>
      <w:pPr>
        <w:spacing w:after="0" w:line="123" w:lineRule="exact"/>
        <w:rPr>
          <w:sz w:val="20"/>
          <w:szCs w:val="20"/>
          <w:color w:val="auto"/>
        </w:rPr>
      </w:pPr>
    </w:p>
    <w:p>
      <w:pPr>
        <w:ind w:left="1680" w:right="579" w:firstLine="316"/>
        <w:spacing w:after="0" w:line="276" w:lineRule="auto"/>
        <w:rPr>
          <w:sz w:val="20"/>
          <w:szCs w:val="20"/>
          <w:color w:val="auto"/>
        </w:rPr>
      </w:pPr>
      <w:r>
        <w:rPr>
          <w:rFonts w:ascii="Times New Roman" w:cs="Times New Roman" w:eastAsia="Times New Roman" w:hAnsi="Times New Roman"/>
          <w:sz w:val="12"/>
          <w:szCs w:val="12"/>
          <w:color w:val="auto"/>
        </w:rPr>
        <w:t>In September 2019, we entered into a participation agreement with an entity affiliated with Lead Edge Capital, LEC Asana Holdings, LLC; 8VC Co-Invest Fund I, L.P.; WiL Fund I, L.P.; and Tiger Global Private Investment Partners XI, L.P. and an affiliate thereof, pursuant to which we agreed to waive certain transfer restrictions in connection with a tender offer that such parties proposed to commence. In October 2019, these parties conducted a tender offer for shares of our outstanding Class B common stock and Class A common stock from our stockholders and purchased an aggregate of approximately 4.6 million shares of our outstanding Class A common stock and Class B common stock, at a purchase price of $15.82 per share, for an aggregate purchase price of approximately $73.5 million. While Lorrie Norrington, a member of our board of directors, is an operating partner of Lead Edge Capital, she is not an affiliate of Lead Edge Capital. Chris Farinacci and Tim Wan, our Chief Financial Officer, sold 357,969 and 200,000 shares of our outstanding Class B common stock, respectively, for an aggregate purchase price of approximately $8.8 million in the tender offer.</w:t>
      </w:r>
    </w:p>
    <w:p>
      <w:pPr>
        <w:spacing w:after="0" w:line="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136</w:t>
      </w:r>
    </w:p>
    <w:p>
      <w:pPr>
        <w:sectPr>
          <w:pgSz w:w="11900" w:h="16838" w:orient="portrait"/>
          <w:cols w:equalWidth="0" w:num="1">
            <w:col w:w="10159"/>
          </w:cols>
          <w:pgMar w:left="300" w:top="367" w:right="1440" w:bottom="1440" w:gutter="0" w:footer="0" w:header="0"/>
        </w:sectPr>
      </w:pPr>
    </w:p>
    <w:bookmarkStart w:id="141" w:name="page142"/>
    <w:bookmarkEnd w:id="14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Investors’ Rights, Voting, and Right of First Refusal Agreements</w:t>
      </w:r>
    </w:p>
    <w:p>
      <w:pPr>
        <w:spacing w:after="0" w:line="85" w:lineRule="exact"/>
        <w:rPr>
          <w:sz w:val="20"/>
          <w:szCs w:val="20"/>
          <w:color w:val="auto"/>
        </w:rPr>
      </w:pPr>
    </w:p>
    <w:p>
      <w:pPr>
        <w:ind w:left="1680" w:right="599" w:firstLine="316"/>
        <w:spacing w:after="0" w:line="252" w:lineRule="auto"/>
        <w:rPr>
          <w:sz w:val="20"/>
          <w:szCs w:val="20"/>
          <w:color w:val="auto"/>
        </w:rPr>
      </w:pPr>
      <w:r>
        <w:rPr>
          <w:rFonts w:ascii="Times New Roman" w:cs="Times New Roman" w:eastAsia="Times New Roman" w:hAnsi="Times New Roman"/>
          <w:sz w:val="13"/>
          <w:szCs w:val="13"/>
          <w:color w:val="auto"/>
        </w:rPr>
        <w:t>In connection with our preferred stock financings, we entered into investors’ rights, voting, and right of first refusal and co-sale agreements containing registration rights, voting rights, and rights of first refusal, among other things, with certain holders of our preferred stock and certain holders of our common stock. The parties to these agreements include entities affiliated with Generation IM Climate Solutions Fund II, L.P., Benchmark Capital Partners VI, L.P., and The Founders Fund, each of which owns more than 5% of our outstanding capital stock, entities affiliated with Mr. Moskovitz and our directors, Adam D’Angelo and Justin Rosenstein. These stockholder agreements will terminate upon the effectiveness of the registration statement of which this prospectus forms a part, except for the registration rights granted under our investors’ rights agreement, as more fully described in “Description of Capital Stock—Registration Rights.” Since February 1, 2017, we have waived our right of first refusal in connection with the sale of certain shares of our capital stock. See the section titled “Principal and Registered Stockholders” for additional information regarding beneficial ownership of our capital stock.</w:t>
      </w:r>
    </w:p>
    <w:p>
      <w:pPr>
        <w:spacing w:after="0" w:line="21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Guaranty of Office Lease</w:t>
      </w:r>
    </w:p>
    <w:p>
      <w:pPr>
        <w:spacing w:after="0" w:line="85" w:lineRule="exact"/>
        <w:rPr>
          <w:sz w:val="20"/>
          <w:szCs w:val="20"/>
          <w:color w:val="auto"/>
        </w:rPr>
      </w:pPr>
    </w:p>
    <w:p>
      <w:pPr>
        <w:ind w:left="1680" w:right="579" w:firstLine="316"/>
        <w:spacing w:after="0" w:line="255" w:lineRule="auto"/>
        <w:rPr>
          <w:sz w:val="20"/>
          <w:szCs w:val="20"/>
          <w:color w:val="auto"/>
        </w:rPr>
      </w:pPr>
      <w:r>
        <w:rPr>
          <w:rFonts w:ascii="Times New Roman" w:cs="Times New Roman" w:eastAsia="Times New Roman" w:hAnsi="Times New Roman"/>
          <w:sz w:val="13"/>
          <w:szCs w:val="13"/>
          <w:color w:val="auto"/>
        </w:rPr>
        <w:t>In February 2019, Mr. Moskovitz entered into a personal guaranty in favor of the landlord under the office lease for our office space located at 633 Folsom Street, San Francisco, California, in which he has agreed to guarantee unconditionally the full and prompt payment and performance of our obligations to the landlord under the initial 148-month term of the office lease. In addition, we entered into a reimbursement agreement with</w:t>
      </w:r>
    </w:p>
    <w:p>
      <w:pPr>
        <w:spacing w:after="0" w:line="1" w:lineRule="exact"/>
        <w:rPr>
          <w:sz w:val="20"/>
          <w:szCs w:val="20"/>
          <w:color w:val="auto"/>
        </w:rPr>
      </w:pPr>
    </w:p>
    <w:p>
      <w:pPr>
        <w:ind w:left="1680" w:right="839"/>
        <w:spacing w:after="0" w:line="249" w:lineRule="auto"/>
        <w:rPr>
          <w:sz w:val="20"/>
          <w:szCs w:val="20"/>
          <w:color w:val="auto"/>
        </w:rPr>
      </w:pPr>
      <w:r>
        <w:rPr>
          <w:rFonts w:ascii="Times New Roman" w:cs="Times New Roman" w:eastAsia="Times New Roman" w:hAnsi="Times New Roman"/>
          <w:sz w:val="13"/>
          <w:szCs w:val="13"/>
          <w:color w:val="auto"/>
        </w:rPr>
        <w:t>Mr. Moskovitz which provides, among other things, that we will agree to (i) assign the office lease to Mr. Moskovitz in the event that we fail to reimburse Mr. Moskovitz for certain amounts owed under the reimbursement agreement within 60 days of Mr. Moskovitz’s request therefor, (ii) not amend the office lease in any way that could increase Mr. Moskovitz’s potential obligations thereunder without the prior written consent of</w:t>
      </w:r>
    </w:p>
    <w:p>
      <w:pPr>
        <w:ind w:left="1680" w:right="1059"/>
        <w:spacing w:after="0" w:line="258" w:lineRule="auto"/>
        <w:rPr>
          <w:sz w:val="20"/>
          <w:szCs w:val="20"/>
          <w:color w:val="auto"/>
        </w:rPr>
      </w:pPr>
      <w:r>
        <w:rPr>
          <w:rFonts w:ascii="Times New Roman" w:cs="Times New Roman" w:eastAsia="Times New Roman" w:hAnsi="Times New Roman"/>
          <w:sz w:val="13"/>
          <w:szCs w:val="13"/>
          <w:color w:val="auto"/>
        </w:rPr>
        <w:t>Mr. Moskovitz, and (iii) endeavor to find a replacement guarantor in the event that Mr. Moskovitz no longer controls at least 20% of our voting securities, in each case, subject to the terms and conditions therein.</w:t>
      </w:r>
    </w:p>
    <w:p>
      <w:pPr>
        <w:spacing w:after="0" w:line="2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Marketing Expenses</w:t>
      </w:r>
    </w:p>
    <w:p>
      <w:pPr>
        <w:spacing w:after="0" w:line="85" w:lineRule="exact"/>
        <w:rPr>
          <w:sz w:val="20"/>
          <w:szCs w:val="20"/>
          <w:color w:val="auto"/>
        </w:rPr>
      </w:pPr>
    </w:p>
    <w:p>
      <w:pPr>
        <w:ind w:left="1680" w:right="579" w:firstLine="316"/>
        <w:spacing w:after="0" w:line="263" w:lineRule="auto"/>
        <w:rPr>
          <w:sz w:val="20"/>
          <w:szCs w:val="20"/>
          <w:color w:val="auto"/>
        </w:rPr>
      </w:pPr>
      <w:r>
        <w:rPr>
          <w:rFonts w:ascii="Times New Roman" w:cs="Times New Roman" w:eastAsia="Times New Roman" w:hAnsi="Times New Roman"/>
          <w:sz w:val="13"/>
          <w:szCs w:val="13"/>
          <w:color w:val="auto"/>
        </w:rPr>
        <w:t>As part of our marketing and digital user acquisition strategies, we routinely deploy advertisements on Quora.com, a question and answer website, via a self serve platform. During the six months ended July 31, 2020, we incurred approximately $150,000 in expenses. Adam D’Angelo, a member of our board of directors, is the Chief Executive Officer of Quora.</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Review, Approval, or Ratification of Transactions with Related Parties</w:t>
      </w:r>
    </w:p>
    <w:p>
      <w:pPr>
        <w:spacing w:after="0" w:line="85" w:lineRule="exact"/>
        <w:rPr>
          <w:sz w:val="20"/>
          <w:szCs w:val="20"/>
          <w:color w:val="auto"/>
        </w:rPr>
      </w:pPr>
    </w:p>
    <w:p>
      <w:pPr>
        <w:ind w:left="1680" w:right="579" w:firstLine="316"/>
        <w:spacing w:after="0" w:line="251" w:lineRule="auto"/>
        <w:rPr>
          <w:sz w:val="20"/>
          <w:szCs w:val="20"/>
          <w:color w:val="auto"/>
        </w:rPr>
      </w:pPr>
      <w:r>
        <w:rPr>
          <w:rFonts w:ascii="Times New Roman" w:cs="Times New Roman" w:eastAsia="Times New Roman" w:hAnsi="Times New Roman"/>
          <w:sz w:val="13"/>
          <w:szCs w:val="13"/>
          <w:color w:val="auto"/>
        </w:rPr>
        <w:t>We intend to adopt a written related party transactions policy stating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party transaction with us without the review and approval or ratification, as applicable, of our audit committee or the disinterested members of our audit committee in the event it is inappropriate for any member of our audit committee to review such transaction due to a conflict of interest. We expect the policy to provide that any request for us to enter into a transaction with an executive officer, director, nominee for election as a director, beneficial owner of more than 5% of our common stock, or with any of their immediate family members or affiliates in which the amount involved exceeds $120,000 must be presented to our audit committee or the disinterested members of our audit committee in the event it is inappropriate for any member of our audit committee to review such transaction due to a conflict of interest, for review, consideration, and approval or ratification, as applicable. In approving or rejecting any such proposal, we expect that our audit committee or the disinterested members of our audit committee in the event it is inappropriate for any member of our audit committee to review such transaction due to a conflict of interest, will consider the relevant facts and circumstances available and deemed relevant to the committee, including, but not limited to, whether the transaction is on terms no less favorable than terms generally available to an unaffiliated third party under the same or similar circumstances and the extent of the related party’s interest in the transaction.</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137</w:t>
      </w:r>
    </w:p>
    <w:p>
      <w:pPr>
        <w:sectPr>
          <w:pgSz w:w="11900" w:h="16838" w:orient="portrait"/>
          <w:cols w:equalWidth="0" w:num="1">
            <w:col w:w="10159"/>
          </w:cols>
          <w:pgMar w:left="300" w:top="367" w:right="1440" w:bottom="1440" w:gutter="0" w:footer="0" w:header="0"/>
        </w:sectPr>
      </w:pPr>
    </w:p>
    <w:bookmarkStart w:id="142" w:name="page143"/>
    <w:bookmarkEnd w:id="14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779" w:firstLine="316"/>
        <w:spacing w:after="0" w:line="256" w:lineRule="auto"/>
        <w:rPr>
          <w:sz w:val="20"/>
          <w:szCs w:val="20"/>
          <w:color w:val="auto"/>
        </w:rPr>
      </w:pPr>
      <w:r>
        <w:rPr>
          <w:rFonts w:ascii="Times New Roman" w:cs="Times New Roman" w:eastAsia="Times New Roman" w:hAnsi="Times New Roman"/>
          <w:sz w:val="13"/>
          <w:szCs w:val="13"/>
          <w:color w:val="auto"/>
        </w:rPr>
        <w:t>Although we have not had a written policy for the review and approval of transactions with related parties to date, our board of directors has historically reviewed and approved any transaction where a director or executive officer had a financial interest, including all of the transactions described above. Prior to approving such a transaction, the material facts as to a director’s or executive officer’s relationship or interest as to the agreement or transaction were disclosed to our board of directors. Our board of directors has taken this information into account when evaluating the transaction and in determining whether such transaction was fair to our company and in the best interest of all of our stockholders.</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138</w:t>
      </w:r>
    </w:p>
    <w:p>
      <w:pPr>
        <w:sectPr>
          <w:pgSz w:w="11900" w:h="16838" w:orient="portrait"/>
          <w:cols w:equalWidth="0" w:num="1">
            <w:col w:w="10159"/>
          </w:cols>
          <w:pgMar w:left="300" w:top="367" w:right="1440" w:bottom="1440" w:gutter="0" w:footer="0" w:header="0"/>
        </w:sectPr>
      </w:pPr>
    </w:p>
    <w:bookmarkStart w:id="143" w:name="page144"/>
    <w:bookmarkEnd w:id="14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3"/>
          <w:szCs w:val="13"/>
          <w:b w:val="1"/>
          <w:bCs w:val="1"/>
          <w:color w:val="auto"/>
        </w:rPr>
        <w:t>PRINCIPAL AND REGISTERED STOCKHOLDERS</w:t>
      </w:r>
    </w:p>
    <w:p>
      <w:pPr>
        <w:spacing w:after="0" w:line="16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following table sets forth:</w:t>
      </w:r>
    </w:p>
    <w:p>
      <w:pPr>
        <w:spacing w:after="0" w:line="93" w:lineRule="exact"/>
        <w:rPr>
          <w:sz w:val="20"/>
          <w:szCs w:val="20"/>
          <w:color w:val="auto"/>
        </w:rPr>
      </w:pPr>
    </w:p>
    <w:p>
      <w:pPr>
        <w:ind w:left="2380" w:right="619" w:hanging="381"/>
        <w:spacing w:after="0" w:line="263" w:lineRule="auto"/>
        <w:tabs>
          <w:tab w:leader="none" w:pos="238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information with respect to the beneficial ownership of our common stock as of July 31, 2020, for: (i) each of our named executive officers; (ii) each of our directors; (iii) all of our directors and executive officers as a group; and (iv) each person known by us to be the beneficial owner of more than five percent of any class of our voting securities; and</w:t>
      </w:r>
    </w:p>
    <w:p>
      <w:pPr>
        <w:spacing w:after="0" w:line="61"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shares of common stock held by and registered for resale by means of this prospectus for the Registered Stockholders.</w:t>
      </w:r>
    </w:p>
    <w:p>
      <w:pPr>
        <w:spacing w:after="0" w:line="161" w:lineRule="exact"/>
        <w:rPr>
          <w:sz w:val="20"/>
          <w:szCs w:val="20"/>
          <w:color w:val="auto"/>
        </w:rPr>
      </w:pPr>
    </w:p>
    <w:p>
      <w:pPr>
        <w:ind w:left="1680" w:right="619" w:firstLine="316"/>
        <w:spacing w:after="0" w:line="252" w:lineRule="auto"/>
        <w:rPr>
          <w:sz w:val="20"/>
          <w:szCs w:val="20"/>
          <w:color w:val="auto"/>
        </w:rPr>
      </w:pPr>
      <w:r>
        <w:rPr>
          <w:rFonts w:ascii="Times New Roman" w:cs="Times New Roman" w:eastAsia="Times New Roman" w:hAnsi="Times New Roman"/>
          <w:sz w:val="13"/>
          <w:szCs w:val="13"/>
          <w:color w:val="auto"/>
        </w:rPr>
        <w:t>The Registered Stockholders include (i) our affiliates and certain other stockholders with “restricted securities” (as defined in Rule 144 under the Securities Act) who, because of their status as affiliates pursuant to Rule 144 or because they acquired their shares of common stock from an affiliate or from us within the prior 12 months, would be unable to sell their securities pursuant to Rule 144 until we have been subject to the reporting requirements of Section 13 or Section 15(d) of the Exchange Act for a period of at least 90 days, and (ii) our non-executive officer service providers who acquired shares from us within the prior 12 months under Rule 701 and hold “restricted securities” (as defined in Rule 144 under the Securities Act). The Registered Stockholders may, or may not, elect to sell their shares of Class A common stock covered by this prospectus, as and to the extent they may determine. Such sales, if any, will be made through brokerage transactions on the NYSE at prevailing market prices. As such, we will have no input if and when any Registered Stockholder may, or may not, elect to sell their shares of common stock or the prices at which any such sales may occur. Prior to any sales of shares of Class A common stock, Registered Stockholders who hold Class B common stock must convert their shares of Class B common stock into shares of Class A common stock. See the section titled “Plan of Distribution.”</w:t>
      </w:r>
    </w:p>
    <w:p>
      <w:pPr>
        <w:spacing w:after="0" w:line="136" w:lineRule="exact"/>
        <w:rPr>
          <w:sz w:val="20"/>
          <w:szCs w:val="20"/>
          <w:color w:val="auto"/>
        </w:rPr>
      </w:pPr>
    </w:p>
    <w:p>
      <w:pPr>
        <w:ind w:left="1680" w:right="619" w:firstLine="316"/>
        <w:spacing w:after="0" w:line="251" w:lineRule="auto"/>
        <w:rPr>
          <w:sz w:val="20"/>
          <w:szCs w:val="20"/>
          <w:color w:val="auto"/>
        </w:rPr>
      </w:pPr>
      <w:r>
        <w:rPr>
          <w:rFonts w:ascii="Times New Roman" w:cs="Times New Roman" w:eastAsia="Times New Roman" w:hAnsi="Times New Roman"/>
          <w:sz w:val="13"/>
          <w:szCs w:val="13"/>
          <w:color w:val="auto"/>
        </w:rPr>
        <w:t>Information concerning the Registered Stockholders may change from time to time and any changed information will be set forth in supplements to this prospectus, if and when necessary. Because the Registered Stockholders who hold Class B common stock may convert their shares of Class B common stock into Class A common stock at any time and the Registered Stockholders may sell all, some, or none of the shares of Class A common stock covered by this prospectus, we cannot determine the number of such shares of Class A common stock that will be sold by the Registered Stockholders, or the amount or percentage of shares of common stock that will be held by the Registered Stockholders, either as Class A common stock or Class B common stock, upon consummation of any particular sale. In addition, the Registered Stockholders listed in the table below may have sold, transferred, or otherwise disposed of, or may sell, transfer, or otherwise dispose of, at any time and from time to time, shares of common stock in transactions exempt from the registration requirements of the Securities Act, after the date on which they provided the information set forth in the table below. The Registered Stockholders have not, nor have they within the past three years had, any position, office, or other material relationship with us, other than as disclosed in this prospectus. See the sections titled “Management” and “Certain Relationships and Related Party Transactions” for further information regarding the Registered Stockholders.</w:t>
      </w:r>
    </w:p>
    <w:p>
      <w:pPr>
        <w:spacing w:after="0" w:line="141" w:lineRule="exact"/>
        <w:rPr>
          <w:sz w:val="20"/>
          <w:szCs w:val="20"/>
          <w:color w:val="auto"/>
        </w:rPr>
      </w:pPr>
    </w:p>
    <w:p>
      <w:pPr>
        <w:ind w:left="1680" w:right="659" w:firstLine="316"/>
        <w:spacing w:after="0" w:line="263" w:lineRule="auto"/>
        <w:rPr>
          <w:sz w:val="20"/>
          <w:szCs w:val="20"/>
          <w:color w:val="auto"/>
        </w:rPr>
      </w:pPr>
      <w:r>
        <w:rPr>
          <w:rFonts w:ascii="Times New Roman" w:cs="Times New Roman" w:eastAsia="Times New Roman" w:hAnsi="Times New Roman"/>
          <w:sz w:val="13"/>
          <w:szCs w:val="13"/>
          <w:color w:val="auto"/>
        </w:rPr>
        <w:t>After the listing of our Class A common stock on the NYSE, certain of the Registered Stockholders are entitled to registration rights with respect to their shares of Class B common stock, as described in the section titled “Description of Capital Stock—Registration Rights” at any time beginning 180 days after the date that the registration statement of which this prospectus forms a part is declared effective by the SEC.</w:t>
      </w:r>
    </w:p>
    <w:p>
      <w:pPr>
        <w:spacing w:after="0" w:line="129" w:lineRule="exact"/>
        <w:rPr>
          <w:sz w:val="20"/>
          <w:szCs w:val="20"/>
          <w:color w:val="auto"/>
        </w:rPr>
      </w:pPr>
    </w:p>
    <w:p>
      <w:pPr>
        <w:ind w:left="1680" w:right="639" w:firstLine="316"/>
        <w:spacing w:after="0" w:line="258" w:lineRule="auto"/>
        <w:rPr>
          <w:sz w:val="20"/>
          <w:szCs w:val="20"/>
          <w:color w:val="auto"/>
        </w:rPr>
      </w:pPr>
      <w:r>
        <w:rPr>
          <w:rFonts w:ascii="Times New Roman" w:cs="Times New Roman" w:eastAsia="Times New Roman" w:hAnsi="Times New Roman"/>
          <w:sz w:val="13"/>
          <w:szCs w:val="13"/>
          <w:color w:val="auto"/>
        </w:rPr>
        <w:t>We currently intend to use our reasonable efforts to keep the Registration Statement effective for a period of 90 days after the effectiveness of the Registration Statement. As a result, we have registered shares of Class A common stock and Class B common stock currently held by Registered Stockholders, as well as shares of Class A common stock of our affiliates that can vest and settle while the registration statement of which this prospectus forms a part is effective.</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139</w:t>
      </w:r>
    </w:p>
    <w:p>
      <w:pPr>
        <w:sectPr>
          <w:pgSz w:w="11900" w:h="16838" w:orient="portrait"/>
          <w:cols w:equalWidth="0" w:num="1">
            <w:col w:w="10159"/>
          </w:cols>
          <w:pgMar w:left="300" w:top="367" w:right="1440" w:bottom="1440" w:gutter="0" w:footer="0" w:header="0"/>
        </w:sectPr>
      </w:pPr>
    </w:p>
    <w:bookmarkStart w:id="144" w:name="page145"/>
    <w:bookmarkEnd w:id="14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39" w:firstLine="316"/>
        <w:spacing w:after="0" w:line="295" w:lineRule="auto"/>
        <w:rPr>
          <w:sz w:val="20"/>
          <w:szCs w:val="20"/>
          <w:color w:val="auto"/>
        </w:rPr>
      </w:pPr>
      <w:r>
        <w:rPr>
          <w:rFonts w:ascii="Times New Roman" w:cs="Times New Roman" w:eastAsia="Times New Roman" w:hAnsi="Times New Roman"/>
          <w:sz w:val="12"/>
          <w:szCs w:val="12"/>
          <w:color w:val="auto"/>
        </w:rPr>
        <w:t>We are not party to any arrangement with any Registered Stockholder or any broker-dealer with respect to sales of the shares of Class A common stock by the Registered Stockholders. However, we have engaged Morgan Stanley, J.P. Morgan, Credit Suisse, and Jefferies as our financial advisors with respect to certain other matters relating to the listing of our Class A common stock on the NYSE. See the section titled “Plan of Distribution.”</w:t>
      </w:r>
    </w:p>
    <w:p>
      <w:pPr>
        <w:spacing w:after="0" w:line="112" w:lineRule="exact"/>
        <w:rPr>
          <w:sz w:val="20"/>
          <w:szCs w:val="20"/>
          <w:color w:val="auto"/>
        </w:rPr>
      </w:pPr>
    </w:p>
    <w:p>
      <w:pPr>
        <w:ind w:left="1680" w:right="639" w:firstLine="316"/>
        <w:spacing w:after="0" w:line="253" w:lineRule="auto"/>
        <w:rPr>
          <w:sz w:val="20"/>
          <w:szCs w:val="20"/>
          <w:color w:val="auto"/>
        </w:rPr>
      </w:pPr>
      <w:r>
        <w:rPr>
          <w:rFonts w:ascii="Times New Roman" w:cs="Times New Roman" w:eastAsia="Times New Roman" w:hAnsi="Times New Roman"/>
          <w:sz w:val="13"/>
          <w:szCs w:val="13"/>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We have deemed shares of our common stock subject to options that are currently exercisable or exercisable within 60 days of July 31, 2020 to be outstanding and to be beneficially owned by the person holding the option for the purpose of computing the percentage ownership of that person. We have deemed shares of our common stock issuable pursuant to RSUs that will vest within 60 days of July 31, 2020 to be outstanding and to be beneficially owned by the person holding the RSUs for the purpose of computing the percentage ownership of that person. However, we did not deem these shares subject to stock options or RSUs outstanding for the purpose of computing the percentage ownership of any other person.</w:t>
      </w:r>
    </w:p>
    <w:p>
      <w:pPr>
        <w:spacing w:after="0" w:line="135" w:lineRule="exact"/>
        <w:rPr>
          <w:sz w:val="20"/>
          <w:szCs w:val="20"/>
          <w:color w:val="auto"/>
        </w:rPr>
      </w:pPr>
    </w:p>
    <w:p>
      <w:pPr>
        <w:ind w:left="1680" w:right="559" w:firstLine="316"/>
        <w:spacing w:after="0" w:line="256" w:lineRule="auto"/>
        <w:rPr>
          <w:sz w:val="20"/>
          <w:szCs w:val="20"/>
          <w:color w:val="auto"/>
        </w:rPr>
      </w:pPr>
      <w:r>
        <w:rPr>
          <w:rFonts w:ascii="Times New Roman" w:cs="Times New Roman" w:eastAsia="Times New Roman" w:hAnsi="Times New Roman"/>
          <w:sz w:val="13"/>
          <w:szCs w:val="13"/>
          <w:color w:val="auto"/>
        </w:rPr>
        <w:t>We have based percentage ownership of our common stock on 16,863,570 shares of our Class A common stock and 134,452,092 shares of our Class B common stock outstanding as of July 31, 2020, which includes 73,577,455 shares of Class B common stock resulting from the automatic conversion of all outstanding shares of our preferred stock upon the effectiveness of the registration statement of which this prospectus forms a part, as if this conversion had occurred as of July 31, 2020. Unless otherwise indicated, the address of each of the individuals and entities named below is c/o Asana, Inc., 1550 Bryant Street, Suite 200, San Francisco, California 94103.</w:t>
      </w:r>
    </w:p>
    <w:p>
      <w:pPr>
        <w:spacing w:after="0" w:line="140"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40" w:type="dxa"/>
            <w:vAlign w:val="bottom"/>
            <w:gridSpan w:val="6"/>
            <w:vMerge w:val="restart"/>
          </w:tcPr>
          <w:p>
            <w:pPr>
              <w:spacing w:after="0"/>
              <w:rPr>
                <w:sz w:val="20"/>
                <w:szCs w:val="20"/>
                <w:color w:val="auto"/>
              </w:rPr>
            </w:pPr>
            <w:r>
              <w:rPr>
                <w:rFonts w:ascii="Times New Roman" w:cs="Times New Roman" w:eastAsia="Times New Roman" w:hAnsi="Times New Roman"/>
                <w:sz w:val="10"/>
                <w:szCs w:val="10"/>
                <w:b w:val="1"/>
                <w:bCs w:val="1"/>
                <w:color w:val="auto"/>
              </w:rPr>
              <w:t>Shares Beneficially Owned</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Shares of</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46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gridSpan w:val="6"/>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gridSpan w:val="2"/>
          </w:tcPr>
          <w:p>
            <w:pPr>
              <w:jc w:val="center"/>
              <w:ind w:right="200"/>
              <w:spacing w:after="0" w:line="87" w:lineRule="exact"/>
              <w:rPr>
                <w:sz w:val="20"/>
                <w:szCs w:val="20"/>
                <w:color w:val="auto"/>
              </w:rPr>
            </w:pPr>
            <w:r>
              <w:rPr>
                <w:rFonts w:ascii="Times New Roman" w:cs="Times New Roman" w:eastAsia="Times New Roman" w:hAnsi="Times New Roman"/>
                <w:sz w:val="10"/>
                <w:szCs w:val="10"/>
                <w:b w:val="1"/>
                <w:bCs w:val="1"/>
                <w:color w:val="auto"/>
              </w:rPr>
              <w:t>Percentage</w:t>
            </w:r>
          </w:p>
        </w:tc>
        <w:tc>
          <w:tcPr>
            <w:tcW w:w="720" w:type="dxa"/>
            <w:vAlign w:val="bottom"/>
            <w:gridSpan w:val="2"/>
          </w:tcPr>
          <w:p>
            <w:pPr>
              <w:jc w:val="center"/>
              <w:ind w:right="60"/>
              <w:spacing w:after="0" w:line="87" w:lineRule="exact"/>
              <w:rPr>
                <w:sz w:val="20"/>
                <w:szCs w:val="20"/>
                <w:color w:val="auto"/>
              </w:rPr>
            </w:pPr>
            <w:r>
              <w:rPr>
                <w:rFonts w:ascii="Times New Roman" w:cs="Times New Roman" w:eastAsia="Times New Roman" w:hAnsi="Times New Roman"/>
                <w:sz w:val="10"/>
                <w:szCs w:val="10"/>
                <w:b w:val="1"/>
                <w:bCs w:val="1"/>
                <w:color w:val="auto"/>
              </w:rPr>
              <w:t>Class 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2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0"/>
                <w:szCs w:val="10"/>
                <w:b w:val="1"/>
                <w:bCs w:val="1"/>
                <w:color w:val="auto"/>
              </w:rPr>
              <w:t>Class A</w:t>
            </w:r>
          </w:p>
        </w:tc>
        <w:tc>
          <w:tcPr>
            <w:tcW w:w="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0"/>
                <w:szCs w:val="10"/>
                <w:b w:val="1"/>
                <w:bCs w:val="1"/>
                <w:color w:val="auto"/>
              </w:rPr>
              <w:t>Class B</w:t>
            </w:r>
          </w:p>
        </w:tc>
        <w:tc>
          <w:tcPr>
            <w:tcW w:w="2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of Total</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Common</w:t>
            </w:r>
          </w:p>
        </w:tc>
        <w:tc>
          <w:tcPr>
            <w:tcW w:w="0" w:type="dxa"/>
            <w:vAlign w:val="bottom"/>
          </w:tcPr>
          <w:p>
            <w:pPr>
              <w:spacing w:after="0"/>
              <w:rPr>
                <w:sz w:val="1"/>
                <w:szCs w:val="1"/>
                <w:color w:val="auto"/>
              </w:rPr>
            </w:pPr>
          </w:p>
        </w:tc>
      </w:tr>
      <w:tr>
        <w:trPr>
          <w:trHeight w:val="51"/>
        </w:trPr>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 of Beneficial Owner</w:t>
            </w:r>
          </w:p>
        </w:tc>
        <w:tc>
          <w:tcPr>
            <w:tcW w:w="7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340" w:type="dxa"/>
            <w:vAlign w:val="bottom"/>
            <w:gridSpan w:val="2"/>
            <w:vMerge w:val="restart"/>
          </w:tcPr>
          <w:p>
            <w:pPr>
              <w:jc w:val="right"/>
              <w:ind w:right="35"/>
              <w:spacing w:after="0"/>
              <w:rPr>
                <w:sz w:val="20"/>
                <w:szCs w:val="20"/>
                <w:color w:val="auto"/>
              </w:rPr>
            </w:pPr>
            <w:r>
              <w:rPr>
                <w:rFonts w:ascii="Times New Roman" w:cs="Times New Roman" w:eastAsia="Times New Roman" w:hAnsi="Times New Roman"/>
                <w:sz w:val="10"/>
                <w:szCs w:val="10"/>
                <w:b w:val="1"/>
                <w:bCs w:val="1"/>
                <w:color w:val="auto"/>
              </w:rPr>
              <w:t>%</w:t>
            </w:r>
          </w:p>
        </w:tc>
        <w:tc>
          <w:tcPr>
            <w:tcW w:w="30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280" w:type="dxa"/>
            <w:vAlign w:val="bottom"/>
            <w:vMerge w:val="restart"/>
          </w:tcPr>
          <w:p>
            <w:pPr>
              <w:jc w:val="right"/>
              <w:ind w:right="36"/>
              <w:spacing w:after="0"/>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Pr>
          <w:p>
            <w:pPr>
              <w:spacing w:after="0"/>
              <w:rPr>
                <w:sz w:val="4"/>
                <w:szCs w:val="4"/>
                <w:color w:val="auto"/>
              </w:rPr>
            </w:pPr>
          </w:p>
        </w:tc>
        <w:tc>
          <w:tcPr>
            <w:tcW w:w="740" w:type="dxa"/>
            <w:vAlign w:val="bottom"/>
            <w:gridSpan w:val="2"/>
          </w:tcPr>
          <w:p>
            <w:pPr>
              <w:jc w:val="center"/>
              <w:ind w:right="200"/>
              <w:spacing w:after="0" w:line="52" w:lineRule="exact"/>
              <w:rPr>
                <w:sz w:val="20"/>
                <w:szCs w:val="20"/>
                <w:color w:val="auto"/>
              </w:rPr>
            </w:pPr>
            <w:r>
              <w:rPr>
                <w:rFonts w:ascii="Times New Roman" w:cs="Times New Roman" w:eastAsia="Times New Roman" w:hAnsi="Times New Roman"/>
                <w:sz w:val="5"/>
                <w:szCs w:val="5"/>
                <w:b w:val="1"/>
                <w:bCs w:val="1"/>
                <w:color w:val="auto"/>
              </w:rPr>
              <w:t>Voting</w:t>
            </w:r>
          </w:p>
        </w:tc>
        <w:tc>
          <w:tcPr>
            <w:tcW w:w="720" w:type="dxa"/>
            <w:vAlign w:val="bottom"/>
            <w:gridSpan w:val="2"/>
          </w:tcPr>
          <w:p>
            <w:pPr>
              <w:jc w:val="center"/>
              <w:ind w:right="60"/>
              <w:spacing w:after="0" w:line="52" w:lineRule="exact"/>
              <w:rPr>
                <w:sz w:val="20"/>
                <w:szCs w:val="20"/>
                <w:color w:val="auto"/>
              </w:rPr>
            </w:pPr>
            <w:r>
              <w:rPr>
                <w:rFonts w:ascii="Times New Roman" w:cs="Times New Roman" w:eastAsia="Times New Roman" w:hAnsi="Times New Roman"/>
                <w:sz w:val="5"/>
                <w:szCs w:val="5"/>
                <w:b w:val="1"/>
                <w:bCs w:val="1"/>
                <w:color w:val="auto"/>
              </w:rPr>
              <w:t>Stock being</w:t>
            </w:r>
          </w:p>
        </w:tc>
        <w:tc>
          <w:tcPr>
            <w:tcW w:w="0" w:type="dxa"/>
            <w:vAlign w:val="bottom"/>
          </w:tcPr>
          <w:p>
            <w:pPr>
              <w:spacing w:after="0"/>
              <w:rPr>
                <w:sz w:val="1"/>
                <w:szCs w:val="1"/>
                <w:color w:val="auto"/>
              </w:rPr>
            </w:pPr>
          </w:p>
        </w:tc>
      </w:tr>
      <w:tr>
        <w:trPr>
          <w:trHeight w:val="114"/>
        </w:trPr>
        <w:tc>
          <w:tcPr>
            <w:tcW w:w="3640" w:type="dxa"/>
            <w:vAlign w:val="bottom"/>
            <w:gridSpan w:val="3"/>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340" w:type="dxa"/>
            <w:vAlign w:val="bottom"/>
            <w:gridSpan w:val="2"/>
            <w:vMerge w:val="continue"/>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gridSpan w:val="2"/>
          </w:tcPr>
          <w:p>
            <w:pPr>
              <w:jc w:val="center"/>
              <w:ind w:right="180"/>
              <w:spacing w:after="0" w:line="114" w:lineRule="exact"/>
              <w:rPr>
                <w:sz w:val="20"/>
                <w:szCs w:val="20"/>
                <w:color w:val="auto"/>
              </w:rPr>
            </w:pPr>
            <w:r>
              <w:rPr>
                <w:rFonts w:ascii="Times New Roman" w:cs="Times New Roman" w:eastAsia="Times New Roman" w:hAnsi="Times New Roman"/>
                <w:sz w:val="10"/>
                <w:szCs w:val="10"/>
                <w:b w:val="1"/>
                <w:bCs w:val="1"/>
                <w:color w:val="auto"/>
              </w:rPr>
              <w:t>Power</w:t>
            </w:r>
          </w:p>
        </w:tc>
        <w:tc>
          <w:tcPr>
            <w:tcW w:w="720" w:type="dxa"/>
            <w:vAlign w:val="bottom"/>
            <w:gridSpan w:val="2"/>
          </w:tcPr>
          <w:p>
            <w:pPr>
              <w:jc w:val="center"/>
              <w:ind w:right="60"/>
              <w:spacing w:after="0" w:line="114" w:lineRule="exact"/>
              <w:rPr>
                <w:sz w:val="20"/>
                <w:szCs w:val="20"/>
                <w:color w:val="auto"/>
              </w:rPr>
            </w:pPr>
            <w:r>
              <w:rPr>
                <w:rFonts w:ascii="Times New Roman" w:cs="Times New Roman" w:eastAsia="Times New Roman" w:hAnsi="Times New Roman"/>
                <w:sz w:val="10"/>
                <w:szCs w:val="10"/>
                <w:b w:val="1"/>
                <w:bCs w:val="1"/>
                <w:color w:val="auto"/>
              </w:rPr>
              <w:t>Registered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bottom w:val="single" w:sz="8" w:color="CCEEFF"/>
            </w:tcBorders>
            <w:shd w:val="clear" w:color="auto" w:fill="000000"/>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right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3620" w:type="dxa"/>
            <w:vAlign w:val="bottom"/>
            <w:gridSpan w:val="2"/>
            <w:shd w:val="clear" w:color="auto" w:fill="CCEEFF"/>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Executive Officers and Directors:</w:t>
            </w: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00" w:type="dxa"/>
            <w:vAlign w:val="bottom"/>
            <w:tcBorders>
              <w:right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Dustin A. Moskovitz</w:t>
            </w:r>
            <w:r>
              <w:rPr>
                <w:rFonts w:ascii="Times New Roman" w:cs="Times New Roman" w:eastAsia="Times New Roman" w:hAnsi="Times New Roman"/>
                <w:sz w:val="10"/>
                <w:szCs w:val="10"/>
                <w:color w:val="auto"/>
              </w:rPr>
              <w:t>(1)</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1,561,779</w:t>
            </w:r>
          </w:p>
        </w:tc>
        <w:tc>
          <w:tcPr>
            <w:tcW w:w="6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3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52,930,914</w:t>
            </w:r>
          </w:p>
        </w:tc>
        <w:tc>
          <w:tcPr>
            <w:tcW w:w="2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5,449,170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Chris Farinacci</w:t>
            </w:r>
            <w:r>
              <w:rPr>
                <w:rFonts w:ascii="Times New Roman" w:cs="Times New Roman" w:eastAsia="Times New Roman" w:hAnsi="Times New Roman"/>
                <w:sz w:val="10"/>
                <w:szCs w:val="10"/>
                <w:color w:val="auto"/>
              </w:rPr>
              <w:t>(2)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2,499,733</w:t>
            </w:r>
          </w:p>
        </w:tc>
        <w:tc>
          <w:tcPr>
            <w:tcW w:w="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2,475,758</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Eleanor Lacey</w:t>
            </w:r>
            <w:r>
              <w:rPr>
                <w:rFonts w:ascii="Times New Roman" w:cs="Times New Roman" w:eastAsia="Times New Roman" w:hAnsi="Times New Roman"/>
                <w:sz w:val="10"/>
                <w:szCs w:val="10"/>
                <w:color w:val="auto"/>
              </w:rPr>
              <w:t>(3)</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407,750</w:t>
            </w:r>
          </w:p>
        </w:tc>
        <w:tc>
          <w:tcPr>
            <w:tcW w:w="6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3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Tim Wan</w:t>
            </w:r>
            <w:r>
              <w:rPr>
                <w:rFonts w:ascii="Times New Roman" w:cs="Times New Roman" w:eastAsia="Times New Roman" w:hAnsi="Times New Roman"/>
                <w:sz w:val="10"/>
                <w:szCs w:val="10"/>
                <w:color w:val="auto"/>
              </w:rPr>
              <w:t>(4)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1,767,934</w:t>
            </w:r>
          </w:p>
        </w:tc>
        <w:tc>
          <w:tcPr>
            <w:tcW w:w="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30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1,748,059</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Justin Rosenstein</w:t>
            </w:r>
            <w:r>
              <w:rPr>
                <w:rFonts w:ascii="Times New Roman" w:cs="Times New Roman" w:eastAsia="Times New Roman" w:hAnsi="Times New Roman"/>
                <w:sz w:val="10"/>
                <w:szCs w:val="10"/>
                <w:color w:val="auto"/>
              </w:rPr>
              <w:t>(5)</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575,984</w:t>
            </w:r>
          </w:p>
        </w:tc>
        <w:tc>
          <w:tcPr>
            <w:tcW w:w="6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3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23,793,011</w:t>
            </w:r>
          </w:p>
        </w:tc>
        <w:tc>
          <w:tcPr>
            <w:tcW w:w="2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2,379,302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Adam D’Angelo</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58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1,126,580</w:t>
            </w: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1,126,580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Sydney Carey</w:t>
            </w:r>
            <w:r>
              <w:rPr>
                <w:rFonts w:ascii="Times New Roman" w:cs="Times New Roman" w:eastAsia="Times New Roman" w:hAnsi="Times New Roman"/>
                <w:sz w:val="10"/>
                <w:szCs w:val="10"/>
                <w:color w:val="auto"/>
              </w:rPr>
              <w:t>(6)</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6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16,666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Matthew Cohler</w:t>
            </w:r>
            <w:r>
              <w:rPr>
                <w:rFonts w:ascii="Times New Roman" w:cs="Times New Roman" w:eastAsia="Times New Roman" w:hAnsi="Times New Roman"/>
                <w:sz w:val="10"/>
                <w:szCs w:val="10"/>
                <w:color w:val="auto"/>
              </w:rPr>
              <w:t>(7)</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58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14,012,703</w:t>
            </w: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Anne Raimondi</w:t>
            </w:r>
            <w:r>
              <w:rPr>
                <w:rFonts w:ascii="Times New Roman" w:cs="Times New Roman" w:eastAsia="Times New Roman" w:hAnsi="Times New Roman"/>
                <w:sz w:val="10"/>
                <w:szCs w:val="10"/>
                <w:color w:val="auto"/>
              </w:rPr>
              <w:t>(8)</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6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23,958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Lorrie Norrington</w:t>
            </w:r>
            <w:r>
              <w:rPr>
                <w:rFonts w:ascii="Times New Roman" w:cs="Times New Roman" w:eastAsia="Times New Roman" w:hAnsi="Times New Roman"/>
                <w:sz w:val="10"/>
                <w:szCs w:val="10"/>
                <w:color w:val="auto"/>
              </w:rPr>
              <w:t>(9)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16,666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All executive officers and directors as a group (10 persons)</w:t>
            </w:r>
            <w:r>
              <w:rPr>
                <w:rFonts w:ascii="Times New Roman" w:cs="Times New Roman" w:eastAsia="Times New Roman" w:hAnsi="Times New Roman"/>
                <w:sz w:val="10"/>
                <w:szCs w:val="10"/>
                <w:color w:val="auto"/>
              </w:rPr>
              <w:t>(10)</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6,963,180</w:t>
            </w:r>
          </w:p>
        </w:tc>
        <w:tc>
          <w:tcPr>
            <w:tcW w:w="6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3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91,863,208</w:t>
            </w:r>
          </w:p>
        </w:tc>
        <w:tc>
          <w:tcPr>
            <w:tcW w:w="2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67.8</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13,636,159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5% Stockholders:</w:t>
            </w: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Benchmark Capital Partners VI, L.P.</w:t>
            </w:r>
            <w:r>
              <w:rPr>
                <w:rFonts w:ascii="Times New Roman" w:cs="Times New Roman" w:eastAsia="Times New Roman" w:hAnsi="Times New Roman"/>
                <w:sz w:val="10"/>
                <w:szCs w:val="10"/>
                <w:color w:val="auto"/>
              </w:rPr>
              <w:t>(7)</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58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14,012,703</w:t>
            </w:r>
          </w:p>
        </w:tc>
        <w:tc>
          <w:tcPr>
            <w:tcW w:w="2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7,006,352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Generation IM Climate Solutions Fund II, L.P.</w:t>
            </w:r>
            <w:r>
              <w:rPr>
                <w:rFonts w:ascii="Times New Roman" w:cs="Times New Roman" w:eastAsia="Times New Roman" w:hAnsi="Times New Roman"/>
                <w:sz w:val="10"/>
                <w:szCs w:val="10"/>
                <w:color w:val="auto"/>
              </w:rPr>
              <w:t>(11)</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58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9,751,944</w:t>
            </w: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Entities affiliated with The Founders Fund</w:t>
            </w:r>
            <w:r>
              <w:rPr>
                <w:rFonts w:ascii="Times New Roman" w:cs="Times New Roman" w:eastAsia="Times New Roman" w:hAnsi="Times New Roman"/>
                <w:sz w:val="10"/>
                <w:szCs w:val="10"/>
                <w:color w:val="auto"/>
              </w:rPr>
              <w:t>(12)</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58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8,713,329</w:t>
            </w:r>
          </w:p>
        </w:tc>
        <w:tc>
          <w:tcPr>
            <w:tcW w:w="2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20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Other Registered Stockholders:</w:t>
            </w: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auto"/>
              </w:rPr>
              <w:t>Non-Executive Officer and Non-Director Service Providers</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Holding Common Stock</w:t>
            </w:r>
            <w:r>
              <w:rPr>
                <w:rFonts w:ascii="Times New Roman" w:cs="Times New Roman" w:eastAsia="Times New Roman" w:hAnsi="Times New Roman"/>
                <w:sz w:val="10"/>
                <w:szCs w:val="10"/>
                <w:color w:val="auto"/>
              </w:rPr>
              <w:t>(13)</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18,253,450</w:t>
            </w:r>
          </w:p>
        </w:tc>
        <w:tc>
          <w:tcPr>
            <w:tcW w:w="6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3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2,065,879</w:t>
            </w:r>
          </w:p>
        </w:tc>
        <w:tc>
          <w:tcPr>
            <w:tcW w:w="2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4,414,945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All Other Registered Stockholders</w:t>
            </w:r>
            <w:r>
              <w:rPr>
                <w:rFonts w:ascii="Times New Roman" w:cs="Times New Roman" w:eastAsia="Times New Roman" w:hAnsi="Times New Roman"/>
                <w:sz w:val="10"/>
                <w:szCs w:val="10"/>
                <w:color w:val="auto"/>
              </w:rPr>
              <w:t>(14)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7,369,927</w:t>
            </w:r>
          </w:p>
        </w:tc>
        <w:tc>
          <w:tcPr>
            <w:tcW w:w="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w:t>
            </w:r>
          </w:p>
        </w:tc>
        <w:tc>
          <w:tcPr>
            <w:tcW w:w="30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4,576,622</w:t>
            </w: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4,973,060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66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140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67" w:right="1440" w:bottom="1440" w:gutter="0" w:footer="0" w:header="0"/>
        </w:sectPr>
      </w:pPr>
    </w:p>
    <w:bookmarkStart w:id="145" w:name="page146"/>
    <w:bookmarkEnd w:id="14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209550</wp:posOffset>
            </wp:positionV>
            <wp:extent cx="548005"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48005" cy="6350"/>
                    </a:xfrm>
                    <a:prstGeom prst="rect">
                      <a:avLst/>
                    </a:prstGeom>
                    <a:noFill/>
                  </pic:spPr>
                </pic:pic>
              </a:graphicData>
            </a:graphic>
          </wp:anchor>
        </w:drawing>
      </w:r>
    </w:p>
    <w:p>
      <w:pPr>
        <w:spacing w:after="0" w:line="334" w:lineRule="exact"/>
        <w:rPr>
          <w:sz w:val="20"/>
          <w:szCs w:val="20"/>
          <w:color w:val="auto"/>
        </w:rPr>
      </w:pPr>
    </w:p>
    <w:p>
      <w:pPr>
        <w:ind w:left="2000" w:hanging="311"/>
        <w:spacing w:after="0"/>
        <w:tabs>
          <w:tab w:leader="none" w:pos="2000" w:val="left"/>
        </w:tabs>
        <w:numPr>
          <w:ilvl w:val="0"/>
          <w:numId w:val="6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beneficial ownership of less than 1% of our outstanding shares of common stock.</w:t>
      </w:r>
    </w:p>
    <w:p>
      <w:pPr>
        <w:spacing w:after="0" w:line="2" w:lineRule="exact"/>
        <w:rPr>
          <w:sz w:val="20"/>
          <w:szCs w:val="20"/>
          <w:color w:val="auto"/>
        </w:rPr>
      </w:pPr>
    </w:p>
    <w:p>
      <w:pPr>
        <w:ind w:left="2000" w:right="619" w:hanging="311"/>
        <w:spacing w:after="0" w:line="222" w:lineRule="auto"/>
        <w:tabs>
          <w:tab w:leader="none" w:pos="2000" w:val="left"/>
        </w:tabs>
        <w:numPr>
          <w:ilvl w:val="0"/>
          <w:numId w:val="7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(a) 29,450,115 shares held of record by the Dustin Moskovitz Trust, (b) 2,604,170 shares held of record by the Dustin Moskovitz Roth IRA, and (c) 42,578 shares held of record by Moskovitz Investment Holdings, LLC. Mr. Moskovitz is the trustee of the Dustin Moskovitz Trust. Therefore, Mr. Moskovitz may be deemed to have voting power and dispositive power over the shares held by the Dustin Moskovitz Trust. Mr. Moskovitz may be deemed to have voting power and dispositive power over the shares held by the Dustin Moskovitz Roth IRA. Mr. Moskovitz, Adam Moskovitz, and Richard Druckman, the managing members of Moskovitz Investment Holdings, LLC, have shared voting and dispositive power with respect to these shares. The address for Moskovitz Investment Holdings, LLC is 394 Pacific Avenue, 2nd Fl, San Francisco, CA 94111. Does not include (i) between an aggregate of 17,012,822 and 27,220,504 shares of Class B common stock that are issuable on the maturity dates of senior mandatory convertible promissory notes held by the Dustin Moskovitz Trust, (ii) bona fide gifts of a total of 1,000 shares of Class A common stock transferred by Mr. Moskovitz to certain individuals for no consideration after July 31, 2020, and (iii) an aggregate of 1,689,256 shares transferred by Justin Rosenstein to the Justin Rosenstein Trust and the Justin Rosenstein Trust 2 after July 31, 2020. Mr. Moskovitz is the trustee of the Justin Rosenstein Trust and the Justin Rosenstein Trust 2 and may be deemed to have voting power and dispositive power over the shares held by these trusts.</w:t>
      </w:r>
    </w:p>
    <w:p>
      <w:pPr>
        <w:spacing w:after="0" w:line="2" w:lineRule="exact"/>
        <w:rPr>
          <w:rFonts w:ascii="Times New Roman" w:cs="Times New Roman" w:eastAsia="Times New Roman" w:hAnsi="Times New Roman"/>
          <w:sz w:val="10"/>
          <w:szCs w:val="10"/>
          <w:color w:val="auto"/>
        </w:rPr>
      </w:pPr>
    </w:p>
    <w:p>
      <w:pPr>
        <w:ind w:left="2000" w:right="599" w:hanging="311"/>
        <w:spacing w:after="0" w:line="222" w:lineRule="auto"/>
        <w:tabs>
          <w:tab w:leader="none" w:pos="2000" w:val="left"/>
        </w:tabs>
        <w:numPr>
          <w:ilvl w:val="0"/>
          <w:numId w:val="7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(a) 153,188 shares of Class A common stock, (b) 2,324,670 shares of Class A common stock issuable upon the exercise of stock options that are exercisable within 60 days of July 31, 2020, of which 683,942 shares are unvested and subject to repurchase by us, and (c) 21,875 shares of Class A common stock issuable pursuant to RSUs that have vested as of July 31, 2020 or will vest within 60 days of July 31, 2020, all of which are subject to deferred settlement. Does not include bona fide gifts of a total of 2,700 shares of Class A common stock transferred by Mr. Farinacci to certain individuals for no consideration after July 31, 2020.</w:t>
      </w:r>
    </w:p>
    <w:p>
      <w:pPr>
        <w:spacing w:after="0" w:line="1" w:lineRule="exact"/>
        <w:rPr>
          <w:rFonts w:ascii="Times New Roman" w:cs="Times New Roman" w:eastAsia="Times New Roman" w:hAnsi="Times New Roman"/>
          <w:sz w:val="10"/>
          <w:szCs w:val="10"/>
          <w:color w:val="auto"/>
        </w:rPr>
      </w:pPr>
    </w:p>
    <w:p>
      <w:pPr>
        <w:ind w:left="2000" w:right="599" w:hanging="311"/>
        <w:spacing w:after="0" w:line="222" w:lineRule="auto"/>
        <w:tabs>
          <w:tab w:leader="none" w:pos="2000" w:val="left"/>
        </w:tabs>
        <w:numPr>
          <w:ilvl w:val="0"/>
          <w:numId w:val="7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(a) 25,000 shares of Class A common stock, (b) 375,000 shares of Class A common stock issuable upon the exercise of stock options that are exercisable within 60 days of July 31, 2020, of which 283,334 shares are unvested and subject to repurchase by us, and (c) 7,750 shares of Class A common stock issuable pursuant to RSUs that have vested as of July 31, 2020 or will vest within 60 days of July 31, 2020, all of which are subject to deferred settlement.</w:t>
      </w:r>
    </w:p>
    <w:p>
      <w:pPr>
        <w:ind w:left="2000" w:right="559" w:hanging="311"/>
        <w:spacing w:after="0" w:line="222" w:lineRule="auto"/>
        <w:tabs>
          <w:tab w:leader="none" w:pos="2000" w:val="left"/>
        </w:tabs>
        <w:numPr>
          <w:ilvl w:val="0"/>
          <w:numId w:val="7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(a) 412,500 shares of Class A common stock, (b) 1,335,559 shares of Class A common stock issuable upon the exercise of stock options that are exercisable within 60 days of July 31, 2020, of which 336,194 shares are unvested and subject to repurchase by us, and (c) 19,875 shares of Class A common stock issuable pursuant to RSUs that have vested as of July 31, 2020 or will vest within 60 days of July 31, 2020, all of which are subject to deferred settlement. Does not reflect a bona fide gift of 50,000 shares of Class A common stock transferred to Mr. Wan’s spouse for no consideration.</w:t>
      </w:r>
    </w:p>
    <w:p>
      <w:pPr>
        <w:spacing w:after="0" w:line="1" w:lineRule="exact"/>
        <w:rPr>
          <w:rFonts w:ascii="Times New Roman" w:cs="Times New Roman" w:eastAsia="Times New Roman" w:hAnsi="Times New Roman"/>
          <w:sz w:val="10"/>
          <w:szCs w:val="10"/>
          <w:color w:val="auto"/>
        </w:rPr>
      </w:pPr>
    </w:p>
    <w:p>
      <w:pPr>
        <w:ind w:left="2000" w:right="819" w:hanging="311"/>
        <w:spacing w:after="0" w:line="222" w:lineRule="auto"/>
        <w:tabs>
          <w:tab w:leader="none" w:pos="2000" w:val="left"/>
        </w:tabs>
        <w:numPr>
          <w:ilvl w:val="0"/>
          <w:numId w:val="7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(a) 23,793,011 shares of Class B common stock held directly by Mr. Rosenstein and (b) 575,984 shares of Class A common stock issuable to Mr. Rosenstein upon the exercise of stock options that are exercisable within 60 days of July 31, 2020. Does not reflect an aggregate of 1,689,256 shares transferred by Justin Rosenstein to the Justin Rosenstein Trust and the Justin Rosenstein Trust 2 after July 31, 2020.</w:t>
      </w:r>
    </w:p>
    <w:p>
      <w:pPr>
        <w:ind w:left="2000" w:hanging="311"/>
        <w:spacing w:after="0" w:line="222" w:lineRule="auto"/>
        <w:tabs>
          <w:tab w:leader="none" w:pos="2000" w:val="left"/>
        </w:tabs>
        <w:numPr>
          <w:ilvl w:val="0"/>
          <w:numId w:val="7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50,000 shares of Class A common stock, of which 37,500 shares are unvested and subject to repurchase by us.</w:t>
      </w:r>
    </w:p>
    <w:p>
      <w:pPr>
        <w:ind w:left="2000" w:right="599" w:hanging="311"/>
        <w:spacing w:after="0" w:line="222" w:lineRule="auto"/>
        <w:tabs>
          <w:tab w:leader="none" w:pos="2000" w:val="left"/>
        </w:tabs>
        <w:numPr>
          <w:ilvl w:val="0"/>
          <w:numId w:val="7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14,012,703 shares of Class B common stock held of record by Benchmark Capital Partners VI, L.P. or BCP VI, for itself and as nominee for Benchmark Founders’ Fund VI, L.P., or BFF VI, Benchmark Founders’ Fund VI-B, L.P., or BFF VI-B, and related individuals. Benchmark Capital Management Co. VI, L.L.C., or BCMC VI, is the general partner of each of BCP VI, BFF VI, and BFF VI-B. Matthew R. Cohler, one of our directors, Alexandre Balkanski, Bruce W. Dunlevie, J. William Gurley, Kevin R. Harvey, Robert C. Kagle, Mitchell H. Lasky, and Steven M. Spurlock are the managing members of BCMC VI and, therefore, may be deemed to hold voting and dispositive power over the shares held by BCP VI. The address of these entities is 2965 Woodside Road, Woodside, CA 94062.</w:t>
      </w:r>
    </w:p>
    <w:p>
      <w:pPr>
        <w:spacing w:after="0" w:line="1" w:lineRule="exact"/>
        <w:rPr>
          <w:rFonts w:ascii="Times New Roman" w:cs="Times New Roman" w:eastAsia="Times New Roman" w:hAnsi="Times New Roman"/>
          <w:sz w:val="10"/>
          <w:szCs w:val="10"/>
          <w:color w:val="auto"/>
        </w:rPr>
      </w:pPr>
    </w:p>
    <w:p>
      <w:pPr>
        <w:ind w:left="2000" w:hanging="311"/>
        <w:spacing w:after="0" w:line="222" w:lineRule="auto"/>
        <w:tabs>
          <w:tab w:leader="none" w:pos="2000" w:val="left"/>
        </w:tabs>
        <w:numPr>
          <w:ilvl w:val="0"/>
          <w:numId w:val="7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50,000 shares of Class A common stock, of which 31,250 shares are unvested and subject to repurchase by us.</w:t>
      </w:r>
    </w:p>
    <w:p>
      <w:pPr>
        <w:ind w:left="2000" w:hanging="311"/>
        <w:spacing w:after="0" w:line="222" w:lineRule="auto"/>
        <w:tabs>
          <w:tab w:leader="none" w:pos="2000" w:val="left"/>
        </w:tabs>
        <w:numPr>
          <w:ilvl w:val="0"/>
          <w:numId w:val="7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50,000 shares of Class A common stock, of which 37,500 shares are unvested and subject to repurchase by us.</w:t>
      </w:r>
    </w:p>
    <w:p>
      <w:pPr>
        <w:ind w:left="2000" w:hanging="311"/>
        <w:spacing w:after="0" w:line="222" w:lineRule="auto"/>
        <w:tabs>
          <w:tab w:leader="none" w:pos="2000" w:val="left"/>
        </w:tabs>
        <w:numPr>
          <w:ilvl w:val="0"/>
          <w:numId w:val="7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(a) 2,302,467 shares of Class A common stock, of which 106,250 shares are unvested and subject to repurchase by us, (b) 91,863,208 shares of Class B common stock,</w:t>
      </w:r>
    </w:p>
    <w:p>
      <w:pPr>
        <w:ind w:left="2000" w:right="599"/>
        <w:spacing w:after="0" w:line="222"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 4,611,213 shares of Class A common stock issuable upon the exercise of stock options that are exercisable within 60 days of July 31, 2020, of which 1,303,470 shares are unvested and subject to repurchase by us, and (d) 49,500 shares of Class A common stock issuable pursuant to RSUs that will vest within 60 days of July 31, 2020. Does not reflect bona fide gifts of a total of 53,700 shares of Class A common stock transferred for no consideration.</w:t>
      </w:r>
    </w:p>
    <w:p>
      <w:pPr>
        <w:ind w:left="2000" w:right="639" w:hanging="311"/>
        <w:spacing w:after="0" w:line="222" w:lineRule="auto"/>
        <w:tabs>
          <w:tab w:leader="none" w:pos="2000" w:val="left"/>
        </w:tabs>
        <w:numPr>
          <w:ilvl w:val="0"/>
          <w:numId w:val="7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9,751,944 shares of Class B common stock held of record by Generation IM Climate Solutions Fund II, L.P., or Generation Fund II. The general partner of Generation Fund II is Generation IM Climate Solutions II GP Ltd, which is a wholly owned subsidiary of Generation Investment Management LLP, or Generation Management. Generation Management serves as the investment manager of Generation Fund II. Generation Management, upon approval by its investment committee, makes investment decisions on behalf of Generation Fund II. Colin le Duc, a former member of our board of directors, Hans Mehn, and David Lowish are portfolio managers and make investment proposals on behalf of Generation Fund II. The address for Generation Fund II is P.O. Box 309, Ugland House, Grand Cayman, KY1-1104, Cayman Islands.</w:t>
      </w:r>
    </w:p>
    <w:p>
      <w:pPr>
        <w:spacing w:after="0" w:line="1" w:lineRule="exact"/>
        <w:rPr>
          <w:rFonts w:ascii="Times New Roman" w:cs="Times New Roman" w:eastAsia="Times New Roman" w:hAnsi="Times New Roman"/>
          <w:sz w:val="10"/>
          <w:szCs w:val="10"/>
          <w:color w:val="auto"/>
        </w:rPr>
      </w:pPr>
    </w:p>
    <w:p>
      <w:pPr>
        <w:ind w:left="2000" w:right="719" w:hanging="311"/>
        <w:spacing w:after="0" w:line="222" w:lineRule="auto"/>
        <w:tabs>
          <w:tab w:leader="none" w:pos="2000" w:val="left"/>
        </w:tabs>
        <w:numPr>
          <w:ilvl w:val="0"/>
          <w:numId w:val="7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(i) 6,595,990 shares held of record by The Founders Fund IV, LP, or FFIV, and (ii) 2,117,339 shares held of record by The Founders Fund IV Principals Fund, LP, or FFIVP. The Founders Fund IV Management, LLC, or FFIVM, is the general partner of each of FFIV and FFIVP. The managing members of FFIVM are Peter Thiel and Brian Singerman and, therefore, each of the managing members of FFIVM may be deemed to hold voting and dispositive power over the shares held by FFIV and FFIVP. The address for these entities is One Letterman Drive, Building D, 5th Floor, San Francisco, CA 94129.</w:t>
      </w:r>
    </w:p>
    <w:p>
      <w:pPr>
        <w:spacing w:after="0" w:line="1" w:lineRule="exact"/>
        <w:rPr>
          <w:rFonts w:ascii="Times New Roman" w:cs="Times New Roman" w:eastAsia="Times New Roman" w:hAnsi="Times New Roman"/>
          <w:sz w:val="10"/>
          <w:szCs w:val="10"/>
          <w:color w:val="auto"/>
        </w:rPr>
      </w:pPr>
    </w:p>
    <w:p>
      <w:pPr>
        <w:ind w:left="2000" w:right="619" w:hanging="311"/>
        <w:spacing w:after="0" w:line="222" w:lineRule="auto"/>
        <w:tabs>
          <w:tab w:leader="none" w:pos="2000" w:val="left"/>
        </w:tabs>
        <w:numPr>
          <w:ilvl w:val="0"/>
          <w:numId w:val="7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(a) 553,417 shares of Class A common stock that are unvested and subject to repurchase by us and (b) 13,079,750 shares of Class A common stock issuable pursuant to stock options and RSUs that are exercisable or will vest within 60 days of July 31, 2020.</w:t>
      </w:r>
    </w:p>
    <w:p>
      <w:pPr>
        <w:ind w:left="2000" w:right="739" w:hanging="311"/>
        <w:spacing w:after="0" w:line="238" w:lineRule="auto"/>
        <w:tabs>
          <w:tab w:leader="none" w:pos="2000" w:val="left"/>
        </w:tabs>
        <w:numPr>
          <w:ilvl w:val="0"/>
          <w:numId w:val="7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(a) 766,097 shares of Class A common stock issuable pursuant to stock options and RSUs that are exercisable or will vest within 60 days of July 31, 2020 and (b) 120,613 shares of Class B common stock issuable pursuant to the exercise of stock options that are outstanding as of July 31, 2020.</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141</w:t>
      </w:r>
    </w:p>
    <w:p>
      <w:pPr>
        <w:sectPr>
          <w:pgSz w:w="11900" w:h="16838" w:orient="portrait"/>
          <w:cols w:equalWidth="0" w:num="1">
            <w:col w:w="10159"/>
          </w:cols>
          <w:pgMar w:left="300" w:top="367" w:right="1440" w:bottom="1440" w:gutter="0" w:footer="0" w:header="0"/>
        </w:sectPr>
      </w:pPr>
    </w:p>
    <w:bookmarkStart w:id="146" w:name="page147"/>
    <w:bookmarkEnd w:id="14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b w:val="1"/>
          <w:bCs w:val="1"/>
          <w:color w:val="auto"/>
        </w:rPr>
        <w:t>DESCRIPTION OF CAPITAL STOCK</w:t>
      </w:r>
    </w:p>
    <w:p>
      <w:pPr>
        <w:spacing w:after="0" w:line="163" w:lineRule="exact"/>
        <w:rPr>
          <w:sz w:val="20"/>
          <w:szCs w:val="20"/>
          <w:color w:val="auto"/>
        </w:rPr>
      </w:pPr>
    </w:p>
    <w:p>
      <w:pPr>
        <w:ind w:left="1680" w:right="599" w:firstLine="316"/>
        <w:spacing w:after="0" w:line="253" w:lineRule="auto"/>
        <w:rPr>
          <w:sz w:val="20"/>
          <w:szCs w:val="20"/>
          <w:color w:val="auto"/>
        </w:rPr>
      </w:pPr>
      <w:r>
        <w:rPr>
          <w:rFonts w:ascii="Times New Roman" w:cs="Times New Roman" w:eastAsia="Times New Roman" w:hAnsi="Times New Roman"/>
          <w:sz w:val="13"/>
          <w:szCs w:val="13"/>
          <w:color w:val="auto"/>
        </w:rPr>
        <w:t>The following description summarizes the most important terms of our capital stock, as they are expected to be in effect following the effectiveness of the registration statement of which this prospectus forms a part. We expect to adopt an amended and restated certificate of incorporation and amended and restated bylaws in connection with this registration, and this description summarizes the provisions that are expected to be included in such documents. Because it is only a summary, it does not contain all the information that may be important to you. For a complete description of the matters set forth in this section titled “Description of Capital Stock,” you should refer to our amended and restated certificate of incorporation, amended and restated bylaws, and our amended and restated investor rights’ agreement, which are or will be included as exhibits to the registration statement of which this prospectus forms a part, and to the applicable provisions of Delaware law. Following the effectiveness of the registration statement of which this prospectus forms a part, our authorized capital stock will consist of:</w:t>
      </w:r>
    </w:p>
    <w:p>
      <w:pPr>
        <w:spacing w:after="0" w:line="67" w:lineRule="exact"/>
        <w:rPr>
          <w:sz w:val="20"/>
          <w:szCs w:val="20"/>
          <w:color w:val="auto"/>
        </w:rPr>
      </w:pPr>
    </w:p>
    <w:p>
      <w:pPr>
        <w:ind w:left="2380" w:hanging="381"/>
        <w:spacing w:after="0"/>
        <w:tabs>
          <w:tab w:leader="none" w:pos="238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1,000,000,000 shares of Class A common stock, $0.00001 par value per share,</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500,000,000 shares of Class B common stock, $0.00001 par value per share, and</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15,000,000 shares of undesignated preferred stock, $0.00001 par value per share.</w:t>
      </w:r>
    </w:p>
    <w:p>
      <w:pPr>
        <w:spacing w:after="0" w:line="161" w:lineRule="exact"/>
        <w:rPr>
          <w:sz w:val="20"/>
          <w:szCs w:val="20"/>
          <w:color w:val="auto"/>
        </w:rPr>
      </w:pPr>
    </w:p>
    <w:p>
      <w:pPr>
        <w:ind w:left="1680" w:right="679" w:firstLine="316"/>
        <w:spacing w:after="0" w:line="256" w:lineRule="auto"/>
        <w:rPr>
          <w:sz w:val="20"/>
          <w:szCs w:val="20"/>
          <w:color w:val="auto"/>
        </w:rPr>
      </w:pPr>
      <w:r>
        <w:rPr>
          <w:rFonts w:ascii="Times New Roman" w:cs="Times New Roman" w:eastAsia="Times New Roman" w:hAnsi="Times New Roman"/>
          <w:sz w:val="13"/>
          <w:szCs w:val="13"/>
          <w:color w:val="auto"/>
        </w:rPr>
        <w:t>Assuming the conversion of all outstanding shares of our preferred stock into shares of our Class B common stock, which will occur upon the effectiveness of the registration statement of which this prospectus forms a part, as of July 31, 2020, there were 16,863,570 shares of our Class A common stock and 134,452,092 shares of Class B common stock outstanding, held by 415 stockholders of record, and no shares of our preferred stock outstanding. Our board of directors is authorized, without stockholder approval except as required by the listing standards of the NYSE, to issue additional shares of our capital stock.</w:t>
      </w:r>
    </w:p>
    <w:p>
      <w:pPr>
        <w:spacing w:after="0" w:line="20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Class A Common Stock and Class B Common Stock</w:t>
      </w:r>
    </w:p>
    <w:p>
      <w:pPr>
        <w:spacing w:after="0" w:line="85" w:lineRule="exact"/>
        <w:rPr>
          <w:sz w:val="20"/>
          <w:szCs w:val="20"/>
          <w:color w:val="auto"/>
        </w:rPr>
      </w:pPr>
    </w:p>
    <w:p>
      <w:pPr>
        <w:ind w:left="1680" w:right="579" w:firstLine="316"/>
        <w:spacing w:after="0" w:line="320" w:lineRule="auto"/>
        <w:rPr>
          <w:sz w:val="20"/>
          <w:szCs w:val="20"/>
          <w:color w:val="auto"/>
        </w:rPr>
      </w:pPr>
      <w:r>
        <w:rPr>
          <w:rFonts w:ascii="Times New Roman" w:cs="Times New Roman" w:eastAsia="Times New Roman" w:hAnsi="Times New Roman"/>
          <w:sz w:val="12"/>
          <w:szCs w:val="12"/>
          <w:color w:val="auto"/>
        </w:rPr>
        <w:t>We have two classes of authorized common stock, Class A common stock and Class B common stock. Upon the effectiveness of the registration statement of which this prospectus forms a part, all outstanding shares of our preferred stock will be converted into shares of our Class B common stock.</w:t>
      </w:r>
    </w:p>
    <w:p>
      <w:pPr>
        <w:spacing w:after="0" w:line="17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Dividend Rights</w:t>
      </w:r>
    </w:p>
    <w:p>
      <w:pPr>
        <w:spacing w:after="0" w:line="87" w:lineRule="exact"/>
        <w:rPr>
          <w:sz w:val="20"/>
          <w:szCs w:val="20"/>
          <w:color w:val="auto"/>
        </w:rPr>
      </w:pPr>
    </w:p>
    <w:p>
      <w:pPr>
        <w:jc w:val="both"/>
        <w:ind w:left="1680" w:right="879" w:firstLine="316"/>
        <w:spacing w:after="0" w:line="263" w:lineRule="auto"/>
        <w:rPr>
          <w:sz w:val="20"/>
          <w:szCs w:val="20"/>
          <w:color w:val="auto"/>
        </w:rPr>
      </w:pPr>
      <w:r>
        <w:rPr>
          <w:rFonts w:ascii="Times New Roman" w:cs="Times New Roman" w:eastAsia="Times New Roman" w:hAnsi="Times New Roman"/>
          <w:sz w:val="13"/>
          <w:szCs w:val="13"/>
          <w:color w:val="auto"/>
        </w:rPr>
        <w:t>Subject to preferences that may apply to any shares of preferred stock outstanding at the time, the holders of our Class A common stock and Class B common stock are entitled to receive dividends out of funds legally available if our board of directors, in its discretion, determines to issue dividends and then only at the times and in the amounts that our board of directors may determine. See the section titled “Dividend Policy.”</w:t>
      </w:r>
    </w:p>
    <w:p>
      <w:pPr>
        <w:spacing w:after="0" w:line="20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Voting Rights</w:t>
      </w:r>
    </w:p>
    <w:p>
      <w:pPr>
        <w:spacing w:after="0" w:line="87" w:lineRule="exact"/>
        <w:rPr>
          <w:sz w:val="20"/>
          <w:szCs w:val="20"/>
          <w:color w:val="auto"/>
        </w:rPr>
      </w:pPr>
    </w:p>
    <w:p>
      <w:pPr>
        <w:ind w:left="1680" w:right="619" w:firstLine="316"/>
        <w:spacing w:after="0" w:line="256" w:lineRule="auto"/>
        <w:rPr>
          <w:sz w:val="20"/>
          <w:szCs w:val="20"/>
          <w:color w:val="auto"/>
        </w:rPr>
      </w:pPr>
      <w:r>
        <w:rPr>
          <w:rFonts w:ascii="Times New Roman" w:cs="Times New Roman" w:eastAsia="Times New Roman" w:hAnsi="Times New Roman"/>
          <w:sz w:val="13"/>
          <w:szCs w:val="13"/>
          <w:color w:val="auto"/>
        </w:rPr>
        <w:t>Holders of our Class A common stock are entitled to one vote per share, and holders of our Class B common stock are entitled to 10 votes per share, on all matters submitted to a vote of stockholders. The holders of our Class A common stock and Class B common stock will generally vote together as a single class on all matters submitted to a vote of our stockholders, unless otherwise required by Delaware law or our amended and restated certificate of incorporation. Delaware law could require either holders of our Class A common stock or Class B common stock to vote separately as a single class in the following circumstances:</w:t>
      </w:r>
    </w:p>
    <w:p>
      <w:pPr>
        <w:spacing w:after="0" w:line="65" w:lineRule="exact"/>
        <w:rPr>
          <w:sz w:val="20"/>
          <w:szCs w:val="20"/>
          <w:color w:val="auto"/>
        </w:rPr>
      </w:pPr>
    </w:p>
    <w:p>
      <w:pPr>
        <w:ind w:left="2380" w:right="779" w:hanging="381"/>
        <w:spacing w:after="0" w:line="277" w:lineRule="auto"/>
        <w:tabs>
          <w:tab w:leader="none" w:pos="238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142</w:t>
      </w:r>
    </w:p>
    <w:p>
      <w:pPr>
        <w:sectPr>
          <w:pgSz w:w="11900" w:h="16838" w:orient="portrait"/>
          <w:cols w:equalWidth="0" w:num="1">
            <w:col w:w="10159"/>
          </w:cols>
          <w:pgMar w:left="300" w:top="367" w:right="1440" w:bottom="1440" w:gutter="0" w:footer="0" w:header="0"/>
        </w:sectPr>
      </w:pPr>
    </w:p>
    <w:bookmarkStart w:id="147" w:name="page148"/>
    <w:bookmarkEnd w:id="14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2380" w:right="579" w:hanging="381"/>
        <w:spacing w:after="0" w:line="263" w:lineRule="auto"/>
        <w:tabs>
          <w:tab w:leader="none" w:pos="238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129" w:lineRule="exact"/>
        <w:rPr>
          <w:sz w:val="20"/>
          <w:szCs w:val="20"/>
          <w:color w:val="auto"/>
        </w:rPr>
      </w:pPr>
    </w:p>
    <w:p>
      <w:pPr>
        <w:ind w:left="1680" w:right="579" w:firstLine="316"/>
        <w:spacing w:after="0" w:line="258" w:lineRule="auto"/>
        <w:rPr>
          <w:sz w:val="20"/>
          <w:szCs w:val="20"/>
          <w:color w:val="auto"/>
        </w:rPr>
      </w:pPr>
      <w:r>
        <w:rPr>
          <w:rFonts w:ascii="Times New Roman" w:cs="Times New Roman" w:eastAsia="Times New Roman" w:hAnsi="Times New Roman"/>
          <w:sz w:val="13"/>
          <w:szCs w:val="13"/>
          <w:color w:val="auto"/>
        </w:rPr>
        <w:t>Our amended and restated certificate of incorporation and amended and restated bylaws will establish a classified board of directors that is divided into three classes with staggered three-year terms. Only the directors in one class will be subject to election by a plurality of the votes cast at each annual meeting of our stockholders, with the directors in the other classes continuing for the remainder of their respective three-year terms. Our amended and restated certificate of incorporation will not provide for cumulative voting for the election of directors.</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Conversion</w:t>
      </w:r>
    </w:p>
    <w:p>
      <w:pPr>
        <w:spacing w:after="0" w:line="87" w:lineRule="exact"/>
        <w:rPr>
          <w:sz w:val="20"/>
          <w:szCs w:val="20"/>
          <w:color w:val="auto"/>
        </w:rPr>
      </w:pPr>
    </w:p>
    <w:p>
      <w:pPr>
        <w:ind w:left="1680" w:right="579" w:firstLine="316"/>
        <w:spacing w:after="0" w:line="252" w:lineRule="auto"/>
        <w:rPr>
          <w:sz w:val="20"/>
          <w:szCs w:val="20"/>
          <w:color w:val="auto"/>
        </w:rPr>
      </w:pPr>
      <w:r>
        <w:rPr>
          <w:rFonts w:ascii="Times New Roman" w:cs="Times New Roman" w:eastAsia="Times New Roman" w:hAnsi="Times New Roman"/>
          <w:sz w:val="13"/>
          <w:szCs w:val="13"/>
          <w:color w:val="auto"/>
        </w:rPr>
        <w:t>Each outstanding share of Class B common stock is convertible at any time at the option of the holder into one share of Class A common stock. In addition, each share of Class B common stock will convert automatically into one share of Class A common stock upon any transfer, whether or not for value, which occurs after the effectiveness of the registration statement of which this prospectus forms a part, except for certain permitted transfers, described in the paragraph that immediately follows this paragraph and further described in our amended and restated certificate of incorporation. Once converted into Class A common stock, the Class B common stock will not be reissued. In addition, each share of Class B common stock will convert automatically into one share of Class A common stock upon the earlier of (i) the date that is specified by the affirmative vote of the holders of two-thirds of the then-outstanding shares of Class B common stock, (ii) one year after the death or permanent disability of Mr. Moskovitz, or (iii) the later of the date that is (x) ten years from the date set forth on the cover page of this prospectus and (y) the date that Mr. Moskovitz no longer serves as our Chief Executive Officer or as a member of our board of directors.</w:t>
      </w:r>
    </w:p>
    <w:p>
      <w:pPr>
        <w:spacing w:after="0" w:line="138" w:lineRule="exact"/>
        <w:rPr>
          <w:sz w:val="20"/>
          <w:szCs w:val="20"/>
          <w:color w:val="auto"/>
        </w:rPr>
      </w:pPr>
    </w:p>
    <w:p>
      <w:pPr>
        <w:ind w:left="1680" w:right="579" w:firstLine="316"/>
        <w:spacing w:after="0" w:line="250" w:lineRule="auto"/>
        <w:rPr>
          <w:sz w:val="20"/>
          <w:szCs w:val="20"/>
          <w:color w:val="auto"/>
        </w:rPr>
      </w:pPr>
      <w:r>
        <w:rPr>
          <w:rFonts w:ascii="Times New Roman" w:cs="Times New Roman" w:eastAsia="Times New Roman" w:hAnsi="Times New Roman"/>
          <w:sz w:val="13"/>
          <w:szCs w:val="13"/>
          <w:color w:val="auto"/>
        </w:rPr>
        <w:t>A transfer of Class B common stock will not trigger an automatic conversion of such stock to Class A common stock if it is a permitted transfer. A permitted transfer is a transfer by a holder of Class B common stock to any of the persons or entities listed in clauses (i) through (v) below, each referred to herein as a Permitted Transferee, and from any such Permitted Transferee back to such holder of Class B common stock and/or any other Permitted Transferee established by or for such holder of Class B common stock: (i) to a trust for the benefit of the holder of Class B common stock and over which such holder of Class B common stock retains sole dispositive power and voting control, provided the holder of Class B common stock does not receive consideration in exchange for the transfer (other than as a settlor or beneficiary of such trust); (ii) to a trust for the benefit of persons other than the holder of Class B common stock so long as the holder of Class B common stock retains sole dispositive power and voting control, provided the holder of Class B common stock does not receive consideration in exchange for the transfer (other than as a settlor or beneficiary of such trust); (iii) to a trust under the terms of which such holder of Class B common stock has retained a “qualified interest” within the meaning of §2702(b)(1) of the Internal Revenue Code of 1986, as amended, or the Code, and/or a reversionary interest so long as the holder of Class B common stock retains sole dispositive power and exclusive voting control with respect to the shares of Class B common stock held by such trust; (iv) to an Individual Retirement Account, as defined in Section 408(a) of the Code, or a pension, profit sharing, stock bonus, or other type of plan or trust of which such holder of Class B common stock is a participant or beneficiary and which satisfies the requirements for qualification under Section 401 of the Code, so long as such holder of Class B common stock retains sole dispositive power and exclusive voting control with respect to the shares of Class B common stock held in such account, plan, or trust; (v) to a corporation, partnership, or limited liability company in which such holder of Class B common stock directly, or indirectly, retains sole dispositive power and exclusive voting control with respect to the shares of Class B common stock held by such corporation, partnership, or limited liability company; or (vi) to a trust or private non-operating organization that is tax-exempt under Section 501(c)(3) of the Code, so long as the holder of Class B common stock has shared dispositive power and shared voting control with respect to the shares of Class B common stock held by such trust or organization and</w:t>
      </w:r>
    </w:p>
    <w:p>
      <w:pPr>
        <w:spacing w:after="0" w:line="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143</w:t>
      </w:r>
    </w:p>
    <w:p>
      <w:pPr>
        <w:sectPr>
          <w:pgSz w:w="11900" w:h="16838" w:orient="portrait"/>
          <w:cols w:equalWidth="0" w:num="1">
            <w:col w:w="10159"/>
          </w:cols>
          <w:pgMar w:left="300" w:top="367" w:right="1440" w:bottom="1440" w:gutter="0" w:footer="0" w:header="0"/>
        </w:sectPr>
      </w:pPr>
    </w:p>
    <w:bookmarkStart w:id="148" w:name="page149"/>
    <w:bookmarkEnd w:id="14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1019"/>
        <w:spacing w:after="0" w:line="277" w:lineRule="auto"/>
        <w:rPr>
          <w:sz w:val="20"/>
          <w:szCs w:val="20"/>
          <w:color w:val="auto"/>
        </w:rPr>
      </w:pPr>
      <w:r>
        <w:rPr>
          <w:rFonts w:ascii="Times New Roman" w:cs="Times New Roman" w:eastAsia="Times New Roman" w:hAnsi="Times New Roman"/>
          <w:sz w:val="13"/>
          <w:szCs w:val="13"/>
          <w:color w:val="auto"/>
        </w:rPr>
        <w:t>the transfer to such trust does not involve any payment of cash, securities, property, or other consideration (other than an interest in such trust or organization) to the holder of Class B common stock.</w:t>
      </w:r>
    </w:p>
    <w:p>
      <w:pPr>
        <w:spacing w:after="0" w:line="19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No Preemptive or Similar Rights</w:t>
      </w:r>
    </w:p>
    <w:p>
      <w:pPr>
        <w:spacing w:after="0" w:line="87" w:lineRule="exact"/>
        <w:rPr>
          <w:sz w:val="20"/>
          <w:szCs w:val="20"/>
          <w:color w:val="auto"/>
        </w:rPr>
      </w:pPr>
    </w:p>
    <w:p>
      <w:pPr>
        <w:ind w:left="1680" w:right="799" w:firstLine="316"/>
        <w:spacing w:after="0" w:line="277" w:lineRule="auto"/>
        <w:rPr>
          <w:sz w:val="20"/>
          <w:szCs w:val="20"/>
          <w:color w:val="auto"/>
        </w:rPr>
      </w:pPr>
      <w:r>
        <w:rPr>
          <w:rFonts w:ascii="Times New Roman" w:cs="Times New Roman" w:eastAsia="Times New Roman" w:hAnsi="Times New Roman"/>
          <w:sz w:val="13"/>
          <w:szCs w:val="13"/>
          <w:color w:val="auto"/>
        </w:rPr>
        <w:t>Our Class A common stock and Class B common stock are not entitled to preemptive rights and are not subject to conversion (except as noted above), redemption, or sinking fund provisions.</w:t>
      </w:r>
    </w:p>
    <w:p>
      <w:pPr>
        <w:spacing w:after="0" w:line="19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Right to Receive Liquidation Distributions</w:t>
      </w:r>
    </w:p>
    <w:p>
      <w:pPr>
        <w:spacing w:after="0" w:line="87" w:lineRule="exact"/>
        <w:rPr>
          <w:sz w:val="20"/>
          <w:szCs w:val="20"/>
          <w:color w:val="auto"/>
        </w:rPr>
      </w:pPr>
    </w:p>
    <w:p>
      <w:pPr>
        <w:ind w:left="1680" w:right="739" w:firstLine="316"/>
        <w:spacing w:after="0" w:line="258" w:lineRule="auto"/>
        <w:rPr>
          <w:sz w:val="20"/>
          <w:szCs w:val="20"/>
          <w:color w:val="auto"/>
        </w:rPr>
      </w:pPr>
      <w:r>
        <w:rPr>
          <w:rFonts w:ascii="Times New Roman" w:cs="Times New Roman" w:eastAsia="Times New Roman" w:hAnsi="Times New Roman"/>
          <w:sz w:val="13"/>
          <w:szCs w:val="13"/>
          <w:color w:val="auto"/>
        </w:rPr>
        <w:t>If we become subject to a liquidation, dissolution, or winding-up, the assets legally available for distribution to our stockholders would be distributable ratably among the holders of our Class A common stock and Class B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Fully Paid and Non-Assessable</w:t>
      </w:r>
    </w:p>
    <w:p>
      <w:pPr>
        <w:spacing w:after="0" w:line="8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All of the outstanding shares of our Class A common stock and Class B common stock are fully paid and non-assessable.</w:t>
      </w:r>
    </w:p>
    <w:p>
      <w:pPr>
        <w:spacing w:after="0" w:line="23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Preferred Stock</w:t>
      </w:r>
    </w:p>
    <w:p>
      <w:pPr>
        <w:spacing w:after="0" w:line="85" w:lineRule="exact"/>
        <w:rPr>
          <w:sz w:val="20"/>
          <w:szCs w:val="20"/>
          <w:color w:val="auto"/>
        </w:rPr>
      </w:pPr>
    </w:p>
    <w:p>
      <w:pPr>
        <w:ind w:left="1680" w:right="579" w:firstLine="316"/>
        <w:spacing w:after="0" w:line="253" w:lineRule="auto"/>
        <w:rPr>
          <w:sz w:val="20"/>
          <w:szCs w:val="20"/>
          <w:color w:val="auto"/>
        </w:rPr>
      </w:pPr>
      <w:r>
        <w:rPr>
          <w:rFonts w:ascii="Times New Roman" w:cs="Times New Roman" w:eastAsia="Times New Roman" w:hAnsi="Times New Roman"/>
          <w:sz w:val="13"/>
          <w:szCs w:val="13"/>
          <w:color w:val="auto"/>
        </w:rPr>
        <w:t>After the effectiveness of the registration statement of which this prospectus forms a part, all of our previously outstanding shares of redeemable convertible preferred stock will have been converted into common stock, there will be no authorized shares of our redeemable convertible preferred stock and we will have no shares of preferred stock outstanding. Under the terms of our amended and restated certificate of incorporation, which will be in effect following the effectiveness of the registration statement of which this prospectus forms a part, our board of directors has the authority, without further action by our stockholders, to issue up to 15,000,000 shares of preferred stock in one or more series, to establish from time to time the number of shares to be included in each such series, to fix the dividend, voting, and other rights, preferences, and privileges of the shares of each series and any qualifications, limitations, or restrictions thereon, and to increase or decrease the number of shares of any such series, but not below the number of shares of such series then outstanding.</w:t>
      </w:r>
    </w:p>
    <w:p>
      <w:pPr>
        <w:spacing w:after="0" w:line="135" w:lineRule="exact"/>
        <w:rPr>
          <w:sz w:val="20"/>
          <w:szCs w:val="20"/>
          <w:color w:val="auto"/>
        </w:rPr>
      </w:pPr>
    </w:p>
    <w:p>
      <w:pPr>
        <w:ind w:left="1680" w:right="599" w:firstLine="316"/>
        <w:spacing w:after="0" w:line="256" w:lineRule="auto"/>
        <w:rPr>
          <w:sz w:val="20"/>
          <w:szCs w:val="20"/>
          <w:color w:val="auto"/>
        </w:rPr>
      </w:pPr>
      <w:r>
        <w:rPr>
          <w:rFonts w:ascii="Times New Roman" w:cs="Times New Roman" w:eastAsia="Times New Roman" w:hAnsi="Times New Roman"/>
          <w:sz w:val="13"/>
          <w:szCs w:val="13"/>
          <w:color w:val="auto"/>
        </w:rPr>
        <w:t>Our board of directors may authorize the issuance of preferred stock with voting or conversion rights that could adversely affect the voting power or other rights of the holders of Class A common stock and Class B common stock. The issuance of preferred stock, while providing flexibility in connection with possible acquisitions and other corporate purposes, could, among other things, have the effect of delaying, deferring, or preventing a change in control of our company and may adversely affect the market price of our Class A common stock and the voting and other rights of the holders of Class A and Class B common stock. We have no current plans to issue any shares of preferred stock.</w:t>
      </w:r>
    </w:p>
    <w:p>
      <w:pPr>
        <w:spacing w:after="0" w:line="20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Options</w:t>
      </w:r>
    </w:p>
    <w:p>
      <w:pPr>
        <w:spacing w:after="0" w:line="85" w:lineRule="exact"/>
        <w:rPr>
          <w:sz w:val="20"/>
          <w:szCs w:val="20"/>
          <w:color w:val="auto"/>
        </w:rPr>
      </w:pPr>
    </w:p>
    <w:p>
      <w:pPr>
        <w:jc w:val="both"/>
        <w:ind w:left="1680" w:right="759" w:firstLine="316"/>
        <w:spacing w:after="0" w:line="263" w:lineRule="auto"/>
        <w:rPr>
          <w:sz w:val="20"/>
          <w:szCs w:val="20"/>
          <w:color w:val="auto"/>
        </w:rPr>
      </w:pPr>
      <w:r>
        <w:rPr>
          <w:rFonts w:ascii="Times New Roman" w:cs="Times New Roman" w:eastAsia="Times New Roman" w:hAnsi="Times New Roman"/>
          <w:sz w:val="13"/>
          <w:szCs w:val="13"/>
          <w:color w:val="auto"/>
        </w:rPr>
        <w:t>As of July 31, 2020, we had outstanding options under our equity incentive plans to purchase an aggregate of 32,271,025 shares of our Class A common stock, with a weighted-average exercise price of $2.62 per share, and an aggregate of 753,314 shares of our Class B common stock, with a weighted-average exercise price of $0.17 per share.</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Restricted Stock Units</w:t>
      </w:r>
    </w:p>
    <w:p>
      <w:pPr>
        <w:spacing w:after="0" w:line="85"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3"/>
          <w:szCs w:val="13"/>
          <w:color w:val="auto"/>
        </w:rPr>
        <w:t>As of July 31, 2020, we had outstanding RSUs representing an aggregate of 3,500,031 shares of our Class A common stock, issued pursuant to our</w:t>
      </w:r>
    </w:p>
    <w:p>
      <w:pPr>
        <w:spacing w:after="0" w:line="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2012 Plan.</w:t>
      </w:r>
    </w:p>
    <w:p>
      <w:pPr>
        <w:spacing w:after="0" w:line="1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144</w:t>
      </w:r>
    </w:p>
    <w:p>
      <w:pPr>
        <w:sectPr>
          <w:pgSz w:w="11900" w:h="16838" w:orient="portrait"/>
          <w:cols w:equalWidth="0" w:num="1">
            <w:col w:w="10159"/>
          </w:cols>
          <w:pgMar w:left="300" w:top="367" w:right="1440" w:bottom="1440" w:gutter="0" w:footer="0" w:header="0"/>
        </w:sectPr>
      </w:pPr>
    </w:p>
    <w:bookmarkStart w:id="149" w:name="page150"/>
    <w:bookmarkEnd w:id="14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Senior Mandatory Convertible Promissory Notes</w:t>
      </w:r>
    </w:p>
    <w:p>
      <w:pPr>
        <w:spacing w:after="0" w:line="85" w:lineRule="exact"/>
        <w:rPr>
          <w:sz w:val="20"/>
          <w:szCs w:val="20"/>
          <w:color w:val="auto"/>
        </w:rPr>
      </w:pPr>
    </w:p>
    <w:p>
      <w:pPr>
        <w:ind w:left="1680" w:right="619" w:firstLine="316"/>
        <w:spacing w:after="0" w:line="250" w:lineRule="auto"/>
        <w:rPr>
          <w:sz w:val="20"/>
          <w:szCs w:val="20"/>
          <w:color w:val="auto"/>
        </w:rPr>
      </w:pPr>
      <w:r>
        <w:rPr>
          <w:rFonts w:ascii="Times New Roman" w:cs="Times New Roman" w:eastAsia="Times New Roman" w:hAnsi="Times New Roman"/>
          <w:sz w:val="13"/>
          <w:szCs w:val="13"/>
          <w:color w:val="auto"/>
        </w:rPr>
        <w:t>As of June 30, 2020, we had two outstanding unsecured senior mandatory convertible promissory notes issued to the Dustin Moskovitz Trust for an aggregate principal amount of $450.0 million, or the 2020 Notes. The 2020 Notes consist of a note that matures on January 30, 2025, or the January Note, and a note that matures on June 26, 2025, or the June Note. Other than principal amount, maturity date and conversion price and rate, the 2020 Notes are identical. The 2020 Notes accrue interest at a rate of 3.5% per annum, which will compound annually and (other than in connection with our bankruptcy, insolvency, or other similar events) will mandatorily convert into shares of our Class B common stock. If outstanding at the applicable maturity date, the amount of principal and accrued interest under each 2020 Note will be as set forth in the table below, which we refer to as the applicable conversion amount. The applicable conversion amount under the applicable 2020 Note will mandatorily convert into shares of our Class B common stock at a rate equal to the greater of the applicable minimum conversion rate set forth in the table below, and (ii) the lesser of (a) $1,000 divided by the volume-weighted average price of our Class A common stock for the 20 trading days ending on the last trading day immediately preceding the Maturity Date per $1,000 of the Conversion Amount, and (b) the applicable maximum conversion rate set forth in the table below. On the applicable maturity date, depending on the trading price of our Class A common stock, we will issue a number of shares of our Class B common stock upon mandatory conversion of the applicable 2020 Note within the range set forth in the table below, subject to customary anti-dilution and other adjustments. In addition, in advance of the applicable maturity date, at our option, we may convert the applicable conversion amount under the 2020 Notes into shares of our Class B common stock at the applicable minimum conversion rate at any time during a calendar quarter (prior to the second scheduled trading day immediately preceding the applicable maturity date) if the closing trading price of our Class A common stock equals or exceeds $1,000 divided by the applicable minimum conversion rate, which we refer to as the applicable conversion price, for 20 or more trading days in the 30 consecutive trading day period ending on the last trading day of the immediately preceding calendar quarter. The initial conversion price (subject to customary anti-dilution and other adjustments in connection with certain extraordinary transactions) is set forth in the table below. In the event we experience a change in control, the applicable conversion amount under each 2020 Note will convert into shares of our Class B common stock in connection with such acquisition at the applicable maximum conversion rate.</w:t>
      </w:r>
    </w:p>
    <w:p>
      <w:pPr>
        <w:spacing w:after="0" w:line="143" w:lineRule="exact"/>
        <w:rPr>
          <w:sz w:val="20"/>
          <w:szCs w:val="20"/>
          <w:color w:val="auto"/>
        </w:rPr>
      </w:pPr>
    </w:p>
    <w:p>
      <w:pPr>
        <w:ind w:left="1680" w:right="919" w:firstLine="316"/>
        <w:spacing w:after="0" w:line="277" w:lineRule="auto"/>
        <w:rPr>
          <w:sz w:val="20"/>
          <w:szCs w:val="20"/>
          <w:color w:val="auto"/>
        </w:rPr>
      </w:pPr>
      <w:r>
        <w:rPr>
          <w:rFonts w:ascii="Times New Roman" w:cs="Times New Roman" w:eastAsia="Times New Roman" w:hAnsi="Times New Roman"/>
          <w:sz w:val="13"/>
          <w:szCs w:val="13"/>
          <w:color w:val="auto"/>
        </w:rPr>
        <w:t>The principal amounts, maturity dates, the conversion amount, the minimum conversion rate, the maximum conversion rate, range of shares potentially issuable at maturity, and the initial conversion price for each of the 2020 Notes are presented below:</w:t>
      </w:r>
    </w:p>
    <w:p>
      <w:pPr>
        <w:spacing w:after="0" w:line="127"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Minimum</w:t>
            </w: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Maximum</w:t>
            </w: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jc w:val="center"/>
              <w:ind w:right="42"/>
              <w:spacing w:after="0"/>
              <w:rPr>
                <w:sz w:val="20"/>
                <w:szCs w:val="20"/>
                <w:color w:val="auto"/>
              </w:rPr>
            </w:pPr>
            <w:r>
              <w:rPr>
                <w:rFonts w:ascii="Times New Roman" w:cs="Times New Roman" w:eastAsia="Times New Roman" w:hAnsi="Times New Roman"/>
                <w:sz w:val="10"/>
                <w:szCs w:val="10"/>
                <w:b w:val="1"/>
                <w:bCs w:val="1"/>
                <w:color w:val="auto"/>
              </w:rPr>
              <w:t>Aggregate</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center"/>
              <w:ind w:right="120"/>
              <w:spacing w:after="0" w:line="107" w:lineRule="exact"/>
              <w:rPr>
                <w:sz w:val="20"/>
                <w:szCs w:val="20"/>
                <w:color w:val="auto"/>
              </w:rPr>
            </w:pPr>
            <w:r>
              <w:rPr>
                <w:rFonts w:ascii="Times New Roman" w:cs="Times New Roman" w:eastAsia="Times New Roman" w:hAnsi="Times New Roman"/>
                <w:sz w:val="10"/>
                <w:szCs w:val="10"/>
                <w:b w:val="1"/>
                <w:bCs w:val="1"/>
                <w:color w:val="auto"/>
              </w:rPr>
              <w:t>Conversion</w:t>
            </w:r>
          </w:p>
        </w:tc>
        <w:tc>
          <w:tcPr>
            <w:tcW w:w="680" w:type="dxa"/>
            <w:vAlign w:val="bottom"/>
            <w:gridSpan w:val="2"/>
          </w:tcPr>
          <w:p>
            <w:pPr>
              <w:jc w:val="center"/>
              <w:ind w:right="120"/>
              <w:spacing w:after="0" w:line="107" w:lineRule="exact"/>
              <w:rPr>
                <w:sz w:val="20"/>
                <w:szCs w:val="20"/>
                <w:color w:val="auto"/>
              </w:rPr>
            </w:pPr>
            <w:r>
              <w:rPr>
                <w:rFonts w:ascii="Times New Roman" w:cs="Times New Roman" w:eastAsia="Times New Roman" w:hAnsi="Times New Roman"/>
                <w:sz w:val="10"/>
                <w:szCs w:val="10"/>
                <w:b w:val="1"/>
                <w:bCs w:val="1"/>
                <w:color w:val="auto"/>
              </w:rPr>
              <w:t>Conversion</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Range of Shares</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Initial</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3"/>
            <w:vMerge w:val="restart"/>
          </w:tcPr>
          <w:p>
            <w:pPr>
              <w:jc w:val="right"/>
              <w:ind w:right="306"/>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Conversion</w:t>
            </w:r>
          </w:p>
        </w:tc>
        <w:tc>
          <w:tcPr>
            <w:tcW w:w="120" w:type="dxa"/>
            <w:vAlign w:val="bottom"/>
          </w:tcPr>
          <w:p>
            <w:pPr>
              <w:spacing w:after="0"/>
              <w:rPr>
                <w:sz w:val="9"/>
                <w:szCs w:val="9"/>
                <w:color w:val="auto"/>
              </w:rPr>
            </w:pPr>
          </w:p>
        </w:tc>
        <w:tc>
          <w:tcPr>
            <w:tcW w:w="680" w:type="dxa"/>
            <w:vAlign w:val="bottom"/>
            <w:gridSpan w:val="2"/>
          </w:tcPr>
          <w:p>
            <w:pPr>
              <w:jc w:val="center"/>
              <w:ind w:right="100"/>
              <w:spacing w:after="0" w:line="107" w:lineRule="exact"/>
              <w:rPr>
                <w:sz w:val="20"/>
                <w:szCs w:val="20"/>
                <w:color w:val="auto"/>
              </w:rPr>
            </w:pPr>
            <w:r>
              <w:rPr>
                <w:rFonts w:ascii="Times New Roman" w:cs="Times New Roman" w:eastAsia="Times New Roman" w:hAnsi="Times New Roman"/>
                <w:sz w:val="10"/>
                <w:szCs w:val="10"/>
                <w:b w:val="1"/>
                <w:bCs w:val="1"/>
                <w:color w:val="auto"/>
              </w:rPr>
              <w:t>Rate</w:t>
            </w:r>
            <w:r>
              <w:rPr>
                <w:rFonts w:ascii="Times New Roman" w:cs="Times New Roman" w:eastAsia="Times New Roman" w:hAnsi="Times New Roman"/>
                <w:sz w:val="8"/>
                <w:szCs w:val="8"/>
                <w:b w:val="1"/>
                <w:bCs w:val="1"/>
                <w:color w:val="auto"/>
              </w:rPr>
              <w:t>(1)</w:t>
            </w:r>
            <w:r>
              <w:rPr>
                <w:rFonts w:ascii="Times New Roman" w:cs="Times New Roman" w:eastAsia="Times New Roman" w:hAnsi="Times New Roman"/>
                <w:sz w:val="10"/>
                <w:szCs w:val="10"/>
                <w:b w:val="1"/>
                <w:bCs w:val="1"/>
                <w:color w:val="auto"/>
              </w:rPr>
              <w:t xml:space="preserve"> (#</w:t>
            </w:r>
          </w:p>
        </w:tc>
        <w:tc>
          <w:tcPr>
            <w:tcW w:w="680" w:type="dxa"/>
            <w:vAlign w:val="bottom"/>
            <w:gridSpan w:val="2"/>
          </w:tcPr>
          <w:p>
            <w:pPr>
              <w:jc w:val="center"/>
              <w:ind w:right="140"/>
              <w:spacing w:after="0" w:line="107" w:lineRule="exact"/>
              <w:rPr>
                <w:sz w:val="20"/>
                <w:szCs w:val="20"/>
                <w:color w:val="auto"/>
              </w:rPr>
            </w:pPr>
            <w:r>
              <w:rPr>
                <w:rFonts w:ascii="Times New Roman" w:cs="Times New Roman" w:eastAsia="Times New Roman" w:hAnsi="Times New Roman"/>
                <w:sz w:val="10"/>
                <w:szCs w:val="10"/>
                <w:b w:val="1"/>
                <w:bCs w:val="1"/>
                <w:color w:val="auto"/>
              </w:rPr>
              <w:t>Rate</w:t>
            </w:r>
            <w:r>
              <w:rPr>
                <w:rFonts w:ascii="Times New Roman" w:cs="Times New Roman" w:eastAsia="Times New Roman" w:hAnsi="Times New Roman"/>
                <w:sz w:val="8"/>
                <w:szCs w:val="8"/>
                <w:b w:val="1"/>
                <w:bCs w:val="1"/>
                <w:color w:val="auto"/>
              </w:rPr>
              <w:t>(1)</w:t>
            </w:r>
            <w:r>
              <w:rPr>
                <w:rFonts w:ascii="Times New Roman" w:cs="Times New Roman" w:eastAsia="Times New Roman" w:hAnsi="Times New Roman"/>
                <w:sz w:val="10"/>
                <w:szCs w:val="10"/>
                <w:b w:val="1"/>
                <w:bCs w:val="1"/>
                <w:color w:val="auto"/>
              </w:rPr>
              <w:t xml:space="preserve"> (#</w:t>
            </w:r>
          </w:p>
        </w:tc>
        <w:tc>
          <w:tcPr>
            <w:tcW w:w="1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 of Security</w:t>
            </w: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center"/>
              <w:ind w:right="42"/>
              <w:spacing w:after="0" w:line="107" w:lineRule="exact"/>
              <w:rPr>
                <w:sz w:val="20"/>
                <w:szCs w:val="20"/>
                <w:color w:val="auto"/>
              </w:rPr>
            </w:pPr>
            <w:r>
              <w:rPr>
                <w:rFonts w:ascii="Times New Roman" w:cs="Times New Roman" w:eastAsia="Times New Roman" w:hAnsi="Times New Roman"/>
                <w:sz w:val="10"/>
                <w:szCs w:val="10"/>
                <w:b w:val="1"/>
                <w:bCs w:val="1"/>
                <w:color w:val="auto"/>
              </w:rPr>
              <w:t>Principal</w:t>
            </w:r>
          </w:p>
        </w:tc>
        <w:tc>
          <w:tcPr>
            <w:tcW w:w="12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center"/>
              <w:ind w:right="120"/>
              <w:spacing w:after="0" w:line="107" w:lineRule="exact"/>
              <w:rPr>
                <w:sz w:val="20"/>
                <w:szCs w:val="20"/>
                <w:color w:val="auto"/>
              </w:rPr>
            </w:pPr>
            <w:r>
              <w:rPr>
                <w:rFonts w:ascii="Times New Roman" w:cs="Times New Roman" w:eastAsia="Times New Roman" w:hAnsi="Times New Roman"/>
                <w:sz w:val="10"/>
                <w:szCs w:val="10"/>
                <w:b w:val="1"/>
                <w:bCs w:val="1"/>
                <w:color w:val="auto"/>
              </w:rPr>
              <w:t>of shares</w:t>
            </w:r>
          </w:p>
        </w:tc>
        <w:tc>
          <w:tcPr>
            <w:tcW w:w="680" w:type="dxa"/>
            <w:vAlign w:val="bottom"/>
            <w:gridSpan w:val="2"/>
          </w:tcPr>
          <w:p>
            <w:pPr>
              <w:jc w:val="center"/>
              <w:ind w:right="120"/>
              <w:spacing w:after="0" w:line="107" w:lineRule="exact"/>
              <w:rPr>
                <w:sz w:val="20"/>
                <w:szCs w:val="20"/>
                <w:color w:val="auto"/>
              </w:rPr>
            </w:pPr>
            <w:r>
              <w:rPr>
                <w:rFonts w:ascii="Times New Roman" w:cs="Times New Roman" w:eastAsia="Times New Roman" w:hAnsi="Times New Roman"/>
                <w:sz w:val="10"/>
                <w:szCs w:val="10"/>
                <w:b w:val="1"/>
                <w:bCs w:val="1"/>
                <w:color w:val="auto"/>
              </w:rPr>
              <w:t>of shares</w:t>
            </w:r>
          </w:p>
        </w:tc>
        <w:tc>
          <w:tcPr>
            <w:tcW w:w="140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Potentially Issuable at</w:t>
            </w:r>
          </w:p>
        </w:tc>
        <w:tc>
          <w:tcPr>
            <w:tcW w:w="120" w:type="dxa"/>
            <w:vAlign w:val="bottom"/>
          </w:tcPr>
          <w:p>
            <w:pPr>
              <w:spacing w:after="0"/>
              <w:rPr>
                <w:sz w:val="9"/>
                <w:szCs w:val="9"/>
                <w:color w:val="auto"/>
              </w:rPr>
            </w:pPr>
          </w:p>
        </w:tc>
        <w:tc>
          <w:tcPr>
            <w:tcW w:w="620" w:type="dxa"/>
            <w:vAlign w:val="bottom"/>
            <w:gridSpan w:val="3"/>
          </w:tcPr>
          <w:p>
            <w:pPr>
              <w:jc w:val="center"/>
              <w:ind w:right="60"/>
              <w:spacing w:after="0" w:line="107" w:lineRule="exact"/>
              <w:rPr>
                <w:sz w:val="20"/>
                <w:szCs w:val="20"/>
                <w:color w:val="auto"/>
              </w:rPr>
            </w:pPr>
            <w:r>
              <w:rPr>
                <w:rFonts w:ascii="Times New Roman" w:cs="Times New Roman" w:eastAsia="Times New Roman" w:hAnsi="Times New Roman"/>
                <w:sz w:val="10"/>
                <w:szCs w:val="10"/>
                <w:b w:val="1"/>
                <w:bCs w:val="1"/>
                <w:color w:val="auto"/>
              </w:rPr>
              <w:t>Conversion</w:t>
            </w:r>
          </w:p>
        </w:tc>
        <w:tc>
          <w:tcPr>
            <w:tcW w:w="0" w:type="dxa"/>
            <w:vAlign w:val="bottom"/>
          </w:tcPr>
          <w:p>
            <w:pPr>
              <w:spacing w:after="0"/>
              <w:rPr>
                <w:sz w:val="1"/>
                <w:szCs w:val="1"/>
                <w:color w:val="auto"/>
              </w:rPr>
            </w:pPr>
          </w:p>
        </w:tc>
      </w:tr>
      <w:tr>
        <w:trPr>
          <w:trHeight w:val="134"/>
        </w:trPr>
        <w:tc>
          <w:tcPr>
            <w:tcW w:w="780" w:type="dxa"/>
            <w:vAlign w:val="bottom"/>
            <w:gridSpan w:val="2"/>
            <w:vMerge w:val="continue"/>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42"/>
              <w:spacing w:after="0" w:line="114" w:lineRule="exact"/>
              <w:rPr>
                <w:sz w:val="20"/>
                <w:szCs w:val="20"/>
                <w:color w:val="auto"/>
              </w:rPr>
            </w:pPr>
            <w:r>
              <w:rPr>
                <w:rFonts w:ascii="Times New Roman" w:cs="Times New Roman" w:eastAsia="Times New Roman" w:hAnsi="Times New Roman"/>
                <w:sz w:val="10"/>
                <w:szCs w:val="10"/>
                <w:b w:val="1"/>
                <w:bCs w:val="1"/>
                <w:color w:val="auto"/>
              </w:rPr>
              <w:t>Amount</w:t>
            </w:r>
          </w:p>
        </w:tc>
        <w:tc>
          <w:tcPr>
            <w:tcW w:w="120" w:type="dxa"/>
            <w:vAlign w:val="bottom"/>
          </w:tcPr>
          <w:p>
            <w:pPr>
              <w:spacing w:after="0"/>
              <w:rPr>
                <w:sz w:val="11"/>
                <w:szCs w:val="11"/>
                <w:color w:val="auto"/>
              </w:rPr>
            </w:pPr>
          </w:p>
        </w:tc>
        <w:tc>
          <w:tcPr>
            <w:tcW w:w="900" w:type="dxa"/>
            <w:vAlign w:val="bottom"/>
            <w:gridSpan w:val="3"/>
          </w:tcPr>
          <w:p>
            <w:pPr>
              <w:jc w:val="right"/>
              <w:ind w:right="406"/>
              <w:spacing w:after="0" w:line="114" w:lineRule="exact"/>
              <w:rPr>
                <w:sz w:val="20"/>
                <w:szCs w:val="20"/>
                <w:color w:val="auto"/>
              </w:rPr>
            </w:pPr>
            <w:r>
              <w:rPr>
                <w:rFonts w:ascii="Times New Roman" w:cs="Times New Roman" w:eastAsia="Times New Roman" w:hAnsi="Times New Roman"/>
                <w:sz w:val="10"/>
                <w:szCs w:val="10"/>
                <w:b w:val="1"/>
                <w:bCs w:val="1"/>
                <w:color w:val="auto"/>
              </w:rPr>
              <w:t>Date</w:t>
            </w:r>
          </w:p>
        </w:tc>
        <w:tc>
          <w:tcPr>
            <w:tcW w:w="680" w:type="dxa"/>
            <w:vAlign w:val="bottom"/>
          </w:tcPr>
          <w:p>
            <w:pPr>
              <w:ind w:left="100"/>
              <w:spacing w:after="0" w:line="114" w:lineRule="exact"/>
              <w:rPr>
                <w:sz w:val="20"/>
                <w:szCs w:val="20"/>
                <w:color w:val="auto"/>
              </w:rPr>
            </w:pPr>
            <w:r>
              <w:rPr>
                <w:rFonts w:ascii="Times New Roman" w:cs="Times New Roman" w:eastAsia="Times New Roman" w:hAnsi="Times New Roman"/>
                <w:sz w:val="10"/>
                <w:szCs w:val="10"/>
                <w:b w:val="1"/>
                <w:bCs w:val="1"/>
                <w:color w:val="auto"/>
              </w:rPr>
              <w:t>Amount</w:t>
            </w:r>
          </w:p>
        </w:tc>
        <w:tc>
          <w:tcPr>
            <w:tcW w:w="120" w:type="dxa"/>
            <w:vAlign w:val="bottom"/>
          </w:tcPr>
          <w:p>
            <w:pPr>
              <w:spacing w:after="0"/>
              <w:rPr>
                <w:sz w:val="11"/>
                <w:szCs w:val="11"/>
                <w:color w:val="auto"/>
              </w:rPr>
            </w:pPr>
          </w:p>
        </w:tc>
        <w:tc>
          <w:tcPr>
            <w:tcW w:w="680" w:type="dxa"/>
            <w:vAlign w:val="bottom"/>
            <w:gridSpan w:val="2"/>
          </w:tcPr>
          <w:p>
            <w:pPr>
              <w:jc w:val="center"/>
              <w:ind w:right="120"/>
              <w:spacing w:after="0" w:line="114" w:lineRule="exact"/>
              <w:rPr>
                <w:sz w:val="20"/>
                <w:szCs w:val="20"/>
                <w:color w:val="auto"/>
              </w:rPr>
            </w:pPr>
            <w:r>
              <w:rPr>
                <w:rFonts w:ascii="Times New Roman" w:cs="Times New Roman" w:eastAsia="Times New Roman" w:hAnsi="Times New Roman"/>
                <w:sz w:val="10"/>
                <w:szCs w:val="10"/>
                <w:b w:val="1"/>
                <w:bCs w:val="1"/>
                <w:color w:val="auto"/>
              </w:rPr>
              <w:t>per $1,000)</w:t>
            </w:r>
          </w:p>
        </w:tc>
        <w:tc>
          <w:tcPr>
            <w:tcW w:w="680" w:type="dxa"/>
            <w:vAlign w:val="bottom"/>
            <w:gridSpan w:val="2"/>
          </w:tcPr>
          <w:p>
            <w:pPr>
              <w:jc w:val="center"/>
              <w:ind w:right="120"/>
              <w:spacing w:after="0" w:line="114" w:lineRule="exact"/>
              <w:rPr>
                <w:sz w:val="20"/>
                <w:szCs w:val="20"/>
                <w:color w:val="auto"/>
              </w:rPr>
            </w:pPr>
            <w:r>
              <w:rPr>
                <w:rFonts w:ascii="Times New Roman" w:cs="Times New Roman" w:eastAsia="Times New Roman" w:hAnsi="Times New Roman"/>
                <w:sz w:val="10"/>
                <w:szCs w:val="10"/>
                <w:b w:val="1"/>
                <w:bCs w:val="1"/>
                <w:color w:val="auto"/>
              </w:rPr>
              <w:t>per $1,000)</w:t>
            </w:r>
          </w:p>
        </w:tc>
        <w:tc>
          <w:tcPr>
            <w:tcW w:w="140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b w:val="1"/>
                <w:bCs w:val="1"/>
                <w:color w:val="auto"/>
              </w:rPr>
              <w:t>Maturity</w:t>
            </w:r>
            <w:r>
              <w:rPr>
                <w:rFonts w:ascii="Times New Roman" w:cs="Times New Roman" w:eastAsia="Times New Roman" w:hAnsi="Times New Roman"/>
                <w:sz w:val="8"/>
                <w:szCs w:val="8"/>
                <w:b w:val="1"/>
                <w:bCs w:val="1"/>
                <w:color w:val="auto"/>
              </w:rPr>
              <w:t>(1)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0"/>
                <w:szCs w:val="10"/>
                <w:b w:val="1"/>
                <w:bCs w:val="1"/>
                <w:color w:val="auto"/>
              </w:rPr>
              <w:t>Price</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Borders>
              <w:top w:val="single" w:sz="8" w:color="auto"/>
            </w:tcBorders>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January Note</w:t>
            </w:r>
          </w:p>
        </w:tc>
        <w:tc>
          <w:tcPr>
            <w:tcW w:w="10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300,000,000</w:t>
            </w:r>
          </w:p>
        </w:tc>
        <w:tc>
          <w:tcPr>
            <w:tcW w:w="1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01/30/2025</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ind w:left="40"/>
              <w:spacing w:after="0" w:line="134" w:lineRule="exact"/>
              <w:rPr>
                <w:sz w:val="20"/>
                <w:szCs w:val="20"/>
                <w:color w:val="auto"/>
              </w:rPr>
            </w:pPr>
            <w:r>
              <w:rPr>
                <w:rFonts w:ascii="Times New Roman" w:cs="Times New Roman" w:eastAsia="Times New Roman" w:hAnsi="Times New Roman"/>
                <w:sz w:val="13"/>
                <w:szCs w:val="13"/>
                <w:color w:val="auto"/>
                <w:w w:val="95"/>
              </w:rPr>
              <w:t>356,305,892</w:t>
            </w: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31.6449</w:t>
            </w: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50.6638</w:t>
            </w:r>
          </w:p>
        </w:tc>
        <w:tc>
          <w:tcPr>
            <w:tcW w:w="120" w:type="dxa"/>
            <w:vAlign w:val="bottom"/>
            <w:tcBorders>
              <w:top w:val="single" w:sz="8" w:color="CCEEFF"/>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11,282,390-18,051,810</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31.58</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June Note</w:t>
            </w:r>
          </w:p>
        </w:tc>
        <w:tc>
          <w:tcPr>
            <w:tcW w:w="10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150,000,000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06/26/2025</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w w:val="95"/>
              </w:rPr>
              <w:t>178,152,946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32.1658</w:t>
            </w: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51.4653</w:t>
            </w:r>
          </w:p>
        </w:tc>
        <w:tc>
          <w:tcPr>
            <w:tcW w:w="120" w:type="dxa"/>
            <w:vAlign w:val="bottom"/>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5,730,432-9,168,694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450,000,000</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5"/>
              </w:rPr>
              <w:t>534,458,838</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17,012,822-27,220,504</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67945</wp:posOffset>
            </wp:positionV>
            <wp:extent cx="548005"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48005" cy="6350"/>
                    </a:xfrm>
                    <a:prstGeom prst="rect">
                      <a:avLst/>
                    </a:prstGeom>
                    <a:noFill/>
                  </pic:spPr>
                </pic:pic>
              </a:graphicData>
            </a:graphic>
          </wp:anchor>
        </w:drawing>
      </w:r>
    </w:p>
    <w:p>
      <w:pPr>
        <w:spacing w:after="0" w:line="111" w:lineRule="exact"/>
        <w:rPr>
          <w:sz w:val="20"/>
          <w:szCs w:val="20"/>
          <w:color w:val="auto"/>
        </w:rPr>
      </w:pPr>
    </w:p>
    <w:p>
      <w:pPr>
        <w:ind w:left="2000" w:hanging="311"/>
        <w:spacing w:after="0"/>
        <w:tabs>
          <w:tab w:leader="none" w:pos="2000" w:val="left"/>
        </w:tabs>
        <w:numPr>
          <w:ilvl w:val="0"/>
          <w:numId w:val="7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Subject to customary anti-dilution and other adjustments.</w:t>
      </w:r>
    </w:p>
    <w:p>
      <w:pPr>
        <w:spacing w:after="0" w:line="149" w:lineRule="exact"/>
        <w:rPr>
          <w:sz w:val="20"/>
          <w:szCs w:val="20"/>
          <w:color w:val="auto"/>
        </w:rPr>
      </w:pPr>
    </w:p>
    <w:p>
      <w:pPr>
        <w:ind w:left="1680" w:right="599" w:firstLine="316"/>
        <w:spacing w:after="0" w:line="254" w:lineRule="auto"/>
        <w:rPr>
          <w:sz w:val="20"/>
          <w:szCs w:val="20"/>
          <w:color w:val="auto"/>
        </w:rPr>
      </w:pPr>
      <w:r>
        <w:rPr>
          <w:rFonts w:ascii="Times New Roman" w:cs="Times New Roman" w:eastAsia="Times New Roman" w:hAnsi="Times New Roman"/>
          <w:sz w:val="13"/>
          <w:szCs w:val="13"/>
          <w:color w:val="auto"/>
        </w:rPr>
        <w:t>The 2020 Notes are not transferable except to affiliates, contain no financial or restrictive covenants, and are expressly subordinated in right of payment to any of our existing or future secured indebtedness. Consistent with the terms of the 2020 Notes, in April and June 2020, the Dustin Moskovitz Trust entered into subordination agreements with Silicon Valley Bank to confirm the parties’ agreement that the 2020 Notes are subordinated to the five-year $40.0 million secured term loan facility. Additionally, the 2020 Notes contain limited events of default, including our bankruptcy or insolvency, upon which the principal amount outstanding under the 2020 Notes, together with all accrued unpaid interest, become immediately due and payable.</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145</w:t>
      </w:r>
    </w:p>
    <w:p>
      <w:pPr>
        <w:sectPr>
          <w:pgSz w:w="11900" w:h="16838" w:orient="portrait"/>
          <w:cols w:equalWidth="0" w:num="1">
            <w:col w:w="10159"/>
          </w:cols>
          <w:pgMar w:left="300" w:top="367" w:right="1440" w:bottom="1440" w:gutter="0" w:footer="0" w:header="0"/>
        </w:sectPr>
      </w:pPr>
    </w:p>
    <w:bookmarkStart w:id="150" w:name="page151"/>
    <w:bookmarkEnd w:id="15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Registration Rights</w:t>
      </w:r>
    </w:p>
    <w:p>
      <w:pPr>
        <w:spacing w:after="0" w:line="85" w:lineRule="exact"/>
        <w:rPr>
          <w:sz w:val="20"/>
          <w:szCs w:val="20"/>
          <w:color w:val="auto"/>
        </w:rPr>
      </w:pPr>
    </w:p>
    <w:p>
      <w:pPr>
        <w:ind w:left="1680" w:right="599" w:firstLine="316"/>
        <w:spacing w:after="0" w:line="256" w:lineRule="auto"/>
        <w:rPr>
          <w:sz w:val="20"/>
          <w:szCs w:val="20"/>
          <w:color w:val="auto"/>
        </w:rPr>
      </w:pPr>
      <w:r>
        <w:rPr>
          <w:rFonts w:ascii="Times New Roman" w:cs="Times New Roman" w:eastAsia="Times New Roman" w:hAnsi="Times New Roman"/>
          <w:sz w:val="13"/>
          <w:szCs w:val="13"/>
          <w:color w:val="auto"/>
        </w:rPr>
        <w:t>We are party to an amended and restated investors’ rights agreement that provides that certain holders of our preferred stock have certain registration rights as set forth below. The registration of shares of our Class A common stock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33" w:lineRule="exact"/>
        <w:rPr>
          <w:sz w:val="20"/>
          <w:szCs w:val="20"/>
          <w:color w:val="auto"/>
        </w:rPr>
      </w:pPr>
    </w:p>
    <w:p>
      <w:pPr>
        <w:ind w:left="1680" w:right="599" w:firstLine="316"/>
        <w:spacing w:after="0" w:line="280" w:lineRule="auto"/>
        <w:rPr>
          <w:sz w:val="20"/>
          <w:szCs w:val="20"/>
          <w:color w:val="auto"/>
        </w:rPr>
      </w:pPr>
      <w:r>
        <w:rPr>
          <w:rFonts w:ascii="Times New Roman" w:cs="Times New Roman" w:eastAsia="Times New Roman" w:hAnsi="Times New Roman"/>
          <w:sz w:val="12"/>
          <w:szCs w:val="12"/>
          <w:color w:val="auto"/>
        </w:rPr>
        <w:t>The registration rights set forth in the amended and restated investors’ rights agreement will expire five years following the listing of our Class A common stock on the NYSE, or, with respect to any particular stockholder, when such stockholder is able to sell all of its shares pursuant to Rule 144(b)</w:t>
      </w:r>
    </w:p>
    <w:p>
      <w:pPr>
        <w:ind w:left="1680" w:right="579"/>
        <w:spacing w:after="0" w:line="251" w:lineRule="auto"/>
        <w:rPr>
          <w:sz w:val="20"/>
          <w:szCs w:val="20"/>
          <w:color w:val="auto"/>
        </w:rPr>
      </w:pPr>
      <w:r>
        <w:rPr>
          <w:rFonts w:ascii="Times New Roman" w:cs="Times New Roman" w:eastAsia="Times New Roman" w:hAnsi="Times New Roman"/>
          <w:sz w:val="13"/>
          <w:szCs w:val="13"/>
          <w:color w:val="auto"/>
        </w:rPr>
        <w:t>(1)(i) of the Securities Act or holds 1% or less of our common stock and is able to sell all of its Registrable Securities, as defined in the amended and restated investors’ rights agreement, without registration pursuant to Rule 144 of the Securities Act during any three-month period. We will pay the registration expenses (other than underwriting discounts and selling commissions) of the holders of the shares registered pursuant to the registrations described below, including the reasonable fees of one counsel for the selling holders. In an underwritten offering, the underwriters have the right, subject to specified conditions, to limit the number of shares such holders may include.</w:t>
      </w:r>
    </w:p>
    <w:p>
      <w:pPr>
        <w:spacing w:after="0" w:line="21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Demand Registration Rights</w:t>
      </w:r>
    </w:p>
    <w:p>
      <w:pPr>
        <w:spacing w:after="0" w:line="87" w:lineRule="exact"/>
        <w:rPr>
          <w:sz w:val="20"/>
          <w:szCs w:val="20"/>
          <w:color w:val="auto"/>
        </w:rPr>
      </w:pPr>
    </w:p>
    <w:p>
      <w:pPr>
        <w:ind w:left="1680" w:right="579" w:firstLine="316"/>
        <w:spacing w:after="0" w:line="256" w:lineRule="auto"/>
        <w:rPr>
          <w:sz w:val="20"/>
          <w:szCs w:val="20"/>
          <w:color w:val="auto"/>
        </w:rPr>
      </w:pPr>
      <w:r>
        <w:rPr>
          <w:rFonts w:ascii="Times New Roman" w:cs="Times New Roman" w:eastAsia="Times New Roman" w:hAnsi="Times New Roman"/>
          <w:sz w:val="13"/>
          <w:szCs w:val="13"/>
          <w:color w:val="auto"/>
        </w:rPr>
        <w:t>After the effectiveness of the registration statement of which this prospectus forms a part, the holders of an aggregate of 73,577,455 shares of our Class B common stock will be entitled to certain demand registration rights. At any time beginning the six months after the effectiveness of the registration statement of which this prospectus forms a part, the holders of a majority of these shares may request that we register all or a portion of their shares. We are obligated to effect only two such registrations. Such request for registration must cover shares with an anticipated aggregate offering price, net of underwriting discounts and commissions, of at least $15.0 million.</w:t>
      </w:r>
    </w:p>
    <w:p>
      <w:pPr>
        <w:spacing w:after="0" w:line="2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Piggyback Registration Rights</w:t>
      </w:r>
    </w:p>
    <w:p>
      <w:pPr>
        <w:spacing w:after="0" w:line="87" w:lineRule="exact"/>
        <w:rPr>
          <w:sz w:val="20"/>
          <w:szCs w:val="20"/>
          <w:color w:val="auto"/>
        </w:rPr>
      </w:pPr>
    </w:p>
    <w:p>
      <w:pPr>
        <w:ind w:left="1680" w:right="639" w:firstLine="316"/>
        <w:spacing w:after="0" w:line="276" w:lineRule="auto"/>
        <w:rPr>
          <w:sz w:val="20"/>
          <w:szCs w:val="20"/>
          <w:color w:val="auto"/>
        </w:rPr>
      </w:pPr>
      <w:r>
        <w:rPr>
          <w:rFonts w:ascii="Times New Roman" w:cs="Times New Roman" w:eastAsia="Times New Roman" w:hAnsi="Times New Roman"/>
          <w:sz w:val="12"/>
          <w:szCs w:val="12"/>
          <w:color w:val="auto"/>
        </w:rPr>
        <w:t>After the effectiveness of the registration statement of which this prospectus forms a part, in the event that we propose to register any of our securities under the Securities Act, either for our own account or for the account of other security holders, the holders of 120,517,455 shares of our Class B common stock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(1) a registration relating solely to the sale of securities to participants in our stock plan, (2) a registration relating to a transaction covered by Rule 145 under the Securities Act, (3) a registration in which the only stock being registered is common stock upon conversion of debt securities also being registered, or (4) any registration on any form which does not include substantially the same information as would be required to be included in a registration statement covering the sale of registrable securities, the holders of these shares are entitled to notice of the registration and have the right to include their shares in the registration, subject to limitations that the underwriters may impose on the number of shares included in the offering.</w:t>
      </w:r>
    </w:p>
    <w:p>
      <w:pPr>
        <w:spacing w:after="0" w:line="19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Form S-3 Registration Rights</w:t>
      </w:r>
    </w:p>
    <w:p>
      <w:pPr>
        <w:spacing w:after="0" w:line="87" w:lineRule="exact"/>
        <w:rPr>
          <w:sz w:val="20"/>
          <w:szCs w:val="20"/>
          <w:color w:val="auto"/>
        </w:rPr>
      </w:pPr>
    </w:p>
    <w:p>
      <w:pPr>
        <w:ind w:left="1680" w:right="639" w:firstLine="316"/>
        <w:spacing w:after="0" w:line="256" w:lineRule="auto"/>
        <w:rPr>
          <w:sz w:val="20"/>
          <w:szCs w:val="20"/>
          <w:color w:val="auto"/>
        </w:rPr>
      </w:pPr>
      <w:r>
        <w:rPr>
          <w:rFonts w:ascii="Times New Roman" w:cs="Times New Roman" w:eastAsia="Times New Roman" w:hAnsi="Times New Roman"/>
          <w:sz w:val="13"/>
          <w:szCs w:val="13"/>
          <w:color w:val="auto"/>
        </w:rPr>
        <w:t>After the effectiveness of the registration statement of which this prospectus forms a part, the holders of an aggregate of 73,577,455 shares of our Class B common stock will be entitled to certain Form S-3 registration rights. The holders of these shares can make a request that we register their shares on Form S-3 if we are qualified to file a registration statement on Form S-3 and if the reasonably anticipated aggregate gross proceeds of the shares offered would equal or exceed $10.0 million. We will not be required to effect more than two registrations on Form S-3 within any 12-month period.</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146</w:t>
      </w:r>
    </w:p>
    <w:p>
      <w:pPr>
        <w:sectPr>
          <w:pgSz w:w="11900" w:h="16838" w:orient="portrait"/>
          <w:cols w:equalWidth="0" w:num="1">
            <w:col w:w="10159"/>
          </w:cols>
          <w:pgMar w:left="300" w:top="367" w:right="1440" w:bottom="1440" w:gutter="0" w:footer="0" w:header="0"/>
        </w:sectPr>
      </w:pPr>
    </w:p>
    <w:bookmarkStart w:id="151" w:name="page152"/>
    <w:bookmarkEnd w:id="15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Anti-Takeover Effects of Delaware Law and Our Certificate of Incorporation and Bylaws</w:t>
      </w:r>
    </w:p>
    <w:p>
      <w:pPr>
        <w:spacing w:after="0" w:line="85" w:lineRule="exact"/>
        <w:rPr>
          <w:sz w:val="20"/>
          <w:szCs w:val="20"/>
          <w:color w:val="auto"/>
        </w:rPr>
      </w:pPr>
    </w:p>
    <w:p>
      <w:pPr>
        <w:ind w:left="1680" w:right="659" w:firstLine="316"/>
        <w:spacing w:after="0" w:line="256" w:lineRule="auto"/>
        <w:rPr>
          <w:sz w:val="20"/>
          <w:szCs w:val="20"/>
          <w:color w:val="auto"/>
        </w:rPr>
      </w:pPr>
      <w:r>
        <w:rPr>
          <w:rFonts w:ascii="Times New Roman" w:cs="Times New Roman" w:eastAsia="Times New Roman" w:hAnsi="Times New Roman"/>
          <w:sz w:val="13"/>
          <w:szCs w:val="13"/>
          <w:color w:val="auto"/>
        </w:rPr>
        <w:t>Some provisions of Delaware law, our amended and restated certificate of incorporation, and our amended and restated bylaws contain or will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33" w:lineRule="exact"/>
        <w:rPr>
          <w:sz w:val="20"/>
          <w:szCs w:val="20"/>
          <w:color w:val="auto"/>
        </w:rPr>
      </w:pPr>
    </w:p>
    <w:p>
      <w:pPr>
        <w:ind w:left="1680" w:right="579" w:firstLine="316"/>
        <w:spacing w:after="0" w:line="258" w:lineRule="auto"/>
        <w:rPr>
          <w:sz w:val="20"/>
          <w:szCs w:val="20"/>
          <w:color w:val="auto"/>
        </w:rPr>
      </w:pPr>
      <w:r>
        <w:rPr>
          <w:rFonts w:ascii="Times New Roman" w:cs="Times New Roman" w:eastAsia="Times New Roman" w:hAnsi="Times New Roman"/>
          <w:sz w:val="13"/>
          <w:szCs w:val="13"/>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Stockholder Meetings</w:t>
      </w:r>
    </w:p>
    <w:p>
      <w:pPr>
        <w:spacing w:after="0" w:line="87" w:lineRule="exact"/>
        <w:rPr>
          <w:sz w:val="20"/>
          <w:szCs w:val="20"/>
          <w:color w:val="auto"/>
        </w:rPr>
      </w:pPr>
    </w:p>
    <w:p>
      <w:pPr>
        <w:ind w:left="1680" w:right="779" w:firstLine="316"/>
        <w:spacing w:after="0" w:line="277" w:lineRule="auto"/>
        <w:rPr>
          <w:sz w:val="20"/>
          <w:szCs w:val="20"/>
          <w:color w:val="auto"/>
        </w:rPr>
      </w:pPr>
      <w:r>
        <w:rPr>
          <w:rFonts w:ascii="Times New Roman" w:cs="Times New Roman" w:eastAsia="Times New Roman" w:hAnsi="Times New Roman"/>
          <w:sz w:val="13"/>
          <w:szCs w:val="13"/>
          <w:color w:val="auto"/>
        </w:rPr>
        <w:t>Our amended and restated bylaws will provide that a special meeting of stockholders may be called only by our chairperson of the board, chief executive officer, the lead independent director, or by a resolution adopted by a majority of our board of directors.</w:t>
      </w:r>
    </w:p>
    <w:p>
      <w:pPr>
        <w:spacing w:after="0" w:line="19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Requirements for Advance Notification of Stockholder Nominations and Proposals</w:t>
      </w:r>
    </w:p>
    <w:p>
      <w:pPr>
        <w:spacing w:after="0" w:line="87" w:lineRule="exact"/>
        <w:rPr>
          <w:sz w:val="20"/>
          <w:szCs w:val="20"/>
          <w:color w:val="auto"/>
        </w:rPr>
      </w:pPr>
    </w:p>
    <w:p>
      <w:pPr>
        <w:ind w:left="1680" w:right="959" w:firstLine="316"/>
        <w:spacing w:after="0" w:line="263" w:lineRule="auto"/>
        <w:rPr>
          <w:sz w:val="20"/>
          <w:szCs w:val="20"/>
          <w:color w:val="auto"/>
        </w:rPr>
      </w:pPr>
      <w:r>
        <w:rPr>
          <w:rFonts w:ascii="Times New Roman" w:cs="Times New Roman" w:eastAsia="Times New Roman" w:hAnsi="Times New Roman"/>
          <w:sz w:val="13"/>
          <w:szCs w:val="13"/>
          <w:color w:val="auto"/>
        </w:rPr>
        <w:t>Our amended and restated bylaws will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20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Elimination of Stockholder Action by Written Consent</w:t>
      </w:r>
    </w:p>
    <w:p>
      <w:pPr>
        <w:spacing w:after="0" w:line="87" w:lineRule="exact"/>
        <w:rPr>
          <w:sz w:val="20"/>
          <w:szCs w:val="20"/>
          <w:color w:val="auto"/>
        </w:rPr>
      </w:pPr>
    </w:p>
    <w:p>
      <w:pPr>
        <w:ind w:left="1680" w:right="699" w:firstLine="316"/>
        <w:spacing w:after="0" w:line="277" w:lineRule="auto"/>
        <w:rPr>
          <w:sz w:val="20"/>
          <w:szCs w:val="20"/>
          <w:color w:val="auto"/>
        </w:rPr>
      </w:pPr>
      <w:r>
        <w:rPr>
          <w:rFonts w:ascii="Times New Roman" w:cs="Times New Roman" w:eastAsia="Times New Roman" w:hAnsi="Times New Roman"/>
          <w:sz w:val="13"/>
          <w:szCs w:val="13"/>
          <w:color w:val="auto"/>
        </w:rPr>
        <w:t>Our amended and restated certificate of incorporation and amended and restated bylaws will eliminate the right of stockholders to act by written consent without a meeting.</w:t>
      </w:r>
    </w:p>
    <w:p>
      <w:pPr>
        <w:spacing w:after="0" w:line="19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Staggered Board</w:t>
      </w:r>
    </w:p>
    <w:p>
      <w:pPr>
        <w:spacing w:after="0" w:line="87" w:lineRule="exact"/>
        <w:rPr>
          <w:sz w:val="20"/>
          <w:szCs w:val="20"/>
          <w:color w:val="auto"/>
        </w:rPr>
      </w:pPr>
    </w:p>
    <w:p>
      <w:pPr>
        <w:ind w:left="1680" w:right="579" w:firstLine="316"/>
        <w:spacing w:after="0" w:line="258" w:lineRule="auto"/>
        <w:rPr>
          <w:sz w:val="20"/>
          <w:szCs w:val="20"/>
          <w:color w:val="auto"/>
        </w:rPr>
      </w:pPr>
      <w:r>
        <w:rPr>
          <w:rFonts w:ascii="Times New Roman" w:cs="Times New Roman" w:eastAsia="Times New Roman" w:hAnsi="Times New Roman"/>
          <w:sz w:val="13"/>
          <w:szCs w:val="13"/>
          <w:color w:val="auto"/>
        </w:rPr>
        <w:t>Our board of directors will be divided into three classes. The directors in each class will serve for a three-year term, one class being elected each year by our stockholders. For more information on the classified board, see “Management—Composition of Our Board of Directors.” This system of electing and removing directors may tend to discourage a third-party from making a tender offer or otherwise attempting to obtain control of us, because it generally makes it more difficult for stockholders to replace a majority of the directors.</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Removal of Directors</w:t>
      </w:r>
    </w:p>
    <w:p>
      <w:pPr>
        <w:spacing w:after="0" w:line="87" w:lineRule="exact"/>
        <w:rPr>
          <w:sz w:val="20"/>
          <w:szCs w:val="20"/>
          <w:color w:val="auto"/>
        </w:rPr>
      </w:pPr>
    </w:p>
    <w:p>
      <w:pPr>
        <w:jc w:val="both"/>
        <w:ind w:left="1680" w:right="679" w:firstLine="316"/>
        <w:spacing w:after="0" w:line="263" w:lineRule="auto"/>
        <w:rPr>
          <w:sz w:val="20"/>
          <w:szCs w:val="20"/>
          <w:color w:val="auto"/>
        </w:rPr>
      </w:pPr>
      <w:r>
        <w:rPr>
          <w:rFonts w:ascii="Times New Roman" w:cs="Times New Roman" w:eastAsia="Times New Roman" w:hAnsi="Times New Roman"/>
          <w:sz w:val="13"/>
          <w:szCs w:val="13"/>
          <w:color w:val="auto"/>
        </w:rPr>
        <w:t>Our amended and restated certificate of incorporation will provide that no member of our board of directors may be removed from office by our stockholders except for cause and, in addition to any other vote required by law, upon the approval of not less than two-thirds of the total voting power of all of our outstanding voting stock then entitled to vote in the election of directors.</w:t>
      </w:r>
    </w:p>
    <w:p>
      <w:pPr>
        <w:spacing w:after="0" w:line="20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Stockholders Not Entitled to Cumulative Voting</w:t>
      </w:r>
    </w:p>
    <w:p>
      <w:pPr>
        <w:spacing w:after="0" w:line="87" w:lineRule="exact"/>
        <w:rPr>
          <w:sz w:val="20"/>
          <w:szCs w:val="20"/>
          <w:color w:val="auto"/>
        </w:rPr>
      </w:pPr>
    </w:p>
    <w:p>
      <w:pPr>
        <w:ind w:left="1680" w:right="579" w:firstLine="316"/>
        <w:spacing w:after="0" w:line="277" w:lineRule="auto"/>
        <w:rPr>
          <w:sz w:val="20"/>
          <w:szCs w:val="20"/>
          <w:color w:val="auto"/>
        </w:rPr>
      </w:pPr>
      <w:r>
        <w:rPr>
          <w:rFonts w:ascii="Times New Roman" w:cs="Times New Roman" w:eastAsia="Times New Roman" w:hAnsi="Times New Roman"/>
          <w:sz w:val="13"/>
          <w:szCs w:val="13"/>
          <w:color w:val="auto"/>
        </w:rPr>
        <w:t>Our amended and restated certificate of incorporation will not permit stockholders to cumulate their votes in the election of directors. Accordingly, the holders of a majority of the outstanding shares of our common stock</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147</w:t>
      </w:r>
    </w:p>
    <w:p>
      <w:pPr>
        <w:sectPr>
          <w:pgSz w:w="11900" w:h="16838" w:orient="portrait"/>
          <w:cols w:equalWidth="0" w:num="1">
            <w:col w:w="10159"/>
          </w:cols>
          <w:pgMar w:left="300" w:top="367" w:right="1440" w:bottom="1440" w:gutter="0" w:footer="0" w:header="0"/>
        </w:sectPr>
      </w:pPr>
    </w:p>
    <w:bookmarkStart w:id="152" w:name="page153"/>
    <w:bookmarkEnd w:id="15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59"/>
        <w:spacing w:after="0" w:line="277" w:lineRule="auto"/>
        <w:rPr>
          <w:sz w:val="20"/>
          <w:szCs w:val="20"/>
          <w:color w:val="auto"/>
        </w:rPr>
      </w:pPr>
      <w:r>
        <w:rPr>
          <w:rFonts w:ascii="Times New Roman" w:cs="Times New Roman" w:eastAsia="Times New Roman" w:hAnsi="Times New Roman"/>
          <w:sz w:val="13"/>
          <w:szCs w:val="13"/>
          <w:color w:val="auto"/>
        </w:rPr>
        <w:t>entitled to vote in any election of directors can elect all of the directors standing for election, if they choose, other than any directors that holders of our preferred stock may be entitled to elect.</w:t>
      </w:r>
    </w:p>
    <w:p>
      <w:pPr>
        <w:spacing w:after="0" w:line="19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Delaware Anti-Takeover Statute</w:t>
      </w:r>
    </w:p>
    <w:p>
      <w:pPr>
        <w:spacing w:after="0" w:line="87" w:lineRule="exact"/>
        <w:rPr>
          <w:sz w:val="20"/>
          <w:szCs w:val="20"/>
          <w:color w:val="auto"/>
        </w:rPr>
      </w:pPr>
    </w:p>
    <w:p>
      <w:pPr>
        <w:ind w:left="1680" w:right="639" w:firstLine="316"/>
        <w:spacing w:after="0" w:line="278" w:lineRule="auto"/>
        <w:rPr>
          <w:sz w:val="20"/>
          <w:szCs w:val="20"/>
          <w:color w:val="auto"/>
        </w:rPr>
      </w:pPr>
      <w:r>
        <w:rPr>
          <w:rFonts w:ascii="Times New Roman" w:cs="Times New Roman" w:eastAsia="Times New Roman" w:hAnsi="Times New Roman"/>
          <w:sz w:val="12"/>
          <w:szCs w:val="12"/>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our board of directors.</w:t>
      </w:r>
    </w:p>
    <w:p>
      <w:pPr>
        <w:spacing w:after="0" w:line="19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Choice of Forum</w:t>
      </w:r>
    </w:p>
    <w:p>
      <w:pPr>
        <w:spacing w:after="0" w:line="85" w:lineRule="exact"/>
        <w:rPr>
          <w:sz w:val="20"/>
          <w:szCs w:val="20"/>
          <w:color w:val="auto"/>
        </w:rPr>
      </w:pPr>
    </w:p>
    <w:p>
      <w:pPr>
        <w:ind w:left="1680" w:right="579" w:firstLine="316"/>
        <w:spacing w:after="0" w:line="251" w:lineRule="auto"/>
        <w:rPr>
          <w:sz w:val="20"/>
          <w:szCs w:val="20"/>
          <w:color w:val="auto"/>
        </w:rPr>
      </w:pPr>
      <w:r>
        <w:rPr>
          <w:rFonts w:ascii="Times New Roman" w:cs="Times New Roman" w:eastAsia="Times New Roman" w:hAnsi="Times New Roman"/>
          <w:sz w:val="13"/>
          <w:szCs w:val="13"/>
          <w:color w:val="auto"/>
        </w:rPr>
        <w:t>Our amended and restated certificate of incorporation will provide that the Court of Chancery of the State of Delaware will be the exclusive forum for the following types of actions or proceedings under Delaware statutory or common law: (1) any derivative action or proceeding brought on our behalf; (2) any action asserting a claim of breach of a fiduciary duty or other wrongdoing by any of our directors, officers, or employees to us or our stockholders; (3) any action asserting a claim against us or our stockholders arising pursuant to any provision of the General Corporation Law of the State of Delaware or our certificate of incorporation or bylaws; (4) any action to interpret, apply, enforce, or determine the validity of our certificate of incorporation or bylaws; (5) any action as to which the Delaware General Corporation Law confers jurisdiction to the Court of Chancery of the State of Delaware; or (6) any action asserting a claim governed by the internal affairs doctrine. The provisions would not apply to suits brought to enforce a duty or liability created by the Securities Act,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w:t>
      </w:r>
    </w:p>
    <w:p>
      <w:pPr>
        <w:spacing w:after="0" w:line="139" w:lineRule="exact"/>
        <w:rPr>
          <w:sz w:val="20"/>
          <w:szCs w:val="20"/>
          <w:color w:val="auto"/>
        </w:rPr>
      </w:pPr>
    </w:p>
    <w:p>
      <w:pPr>
        <w:ind w:left="1680" w:right="579" w:firstLine="316"/>
        <w:spacing w:after="0" w:line="256" w:lineRule="auto"/>
        <w:rPr>
          <w:sz w:val="20"/>
          <w:szCs w:val="20"/>
          <w:color w:val="auto"/>
        </w:rPr>
      </w:pPr>
      <w:r>
        <w:rPr>
          <w:rFonts w:ascii="Times New Roman" w:cs="Times New Roman" w:eastAsia="Times New Roman" w:hAnsi="Times New Roman"/>
          <w:sz w:val="13"/>
          <w:szCs w:val="13"/>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0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Amendment of Charter Provisions</w:t>
      </w:r>
    </w:p>
    <w:p>
      <w:pPr>
        <w:spacing w:after="0" w:line="85" w:lineRule="exact"/>
        <w:rPr>
          <w:sz w:val="20"/>
          <w:szCs w:val="20"/>
          <w:color w:val="auto"/>
        </w:rPr>
      </w:pPr>
    </w:p>
    <w:p>
      <w:pPr>
        <w:ind w:left="1680" w:right="839" w:firstLine="316"/>
        <w:spacing w:after="0" w:line="277" w:lineRule="auto"/>
        <w:rPr>
          <w:sz w:val="20"/>
          <w:szCs w:val="20"/>
          <w:color w:val="auto"/>
        </w:rPr>
      </w:pPr>
      <w:r>
        <w:rPr>
          <w:rFonts w:ascii="Times New Roman" w:cs="Times New Roman" w:eastAsia="Times New Roman" w:hAnsi="Times New Roman"/>
          <w:sz w:val="13"/>
          <w:szCs w:val="13"/>
          <w:color w:val="auto"/>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120" w:lineRule="exact"/>
        <w:rPr>
          <w:sz w:val="20"/>
          <w:szCs w:val="20"/>
          <w:color w:val="auto"/>
        </w:rPr>
      </w:pPr>
    </w:p>
    <w:p>
      <w:pPr>
        <w:ind w:left="1680" w:right="579" w:firstLine="316"/>
        <w:spacing w:after="0" w:line="263" w:lineRule="auto"/>
        <w:rPr>
          <w:sz w:val="20"/>
          <w:szCs w:val="20"/>
          <w:color w:val="auto"/>
        </w:rPr>
      </w:pPr>
      <w:r>
        <w:rPr>
          <w:rFonts w:ascii="Times New Roman" w:cs="Times New Roman" w:eastAsia="Times New Roman" w:hAnsi="Times New Roman"/>
          <w:sz w:val="13"/>
          <w:szCs w:val="13"/>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w:t>
      </w:r>
    </w:p>
    <w:p>
      <w:pPr>
        <w:spacing w:after="0" w:line="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148</w:t>
      </w:r>
    </w:p>
    <w:p>
      <w:pPr>
        <w:sectPr>
          <w:pgSz w:w="11900" w:h="16838" w:orient="portrait"/>
          <w:cols w:equalWidth="0" w:num="1">
            <w:col w:w="10159"/>
          </w:cols>
          <w:pgMar w:left="300" w:top="367" w:right="1440" w:bottom="1440" w:gutter="0" w:footer="0" w:header="0"/>
        </w:sectPr>
      </w:pPr>
    </w:p>
    <w:bookmarkStart w:id="153" w:name="page154"/>
    <w:bookmarkEnd w:id="15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jc w:val="both"/>
        <w:ind w:left="1680" w:right="879"/>
        <w:spacing w:after="0" w:line="263" w:lineRule="auto"/>
        <w:rPr>
          <w:sz w:val="20"/>
          <w:szCs w:val="20"/>
          <w:color w:val="auto"/>
        </w:rPr>
      </w:pPr>
      <w:r>
        <w:rPr>
          <w:rFonts w:ascii="Times New Roman" w:cs="Times New Roman" w:eastAsia="Times New Roman" w:hAnsi="Times New Roman"/>
          <w:sz w:val="13"/>
          <w:szCs w:val="13"/>
          <w:color w:val="auto"/>
        </w:rPr>
        <w:t>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Stock Exchange Listing</w:t>
      </w:r>
    </w:p>
    <w:p>
      <w:pPr>
        <w:spacing w:after="0" w:line="8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We have been approved to list our Class A common stock on the NYSE under the symbol “ASAN.”</w:t>
      </w:r>
    </w:p>
    <w:p>
      <w:pPr>
        <w:spacing w:after="0" w:line="23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Transfer Agent and Registrar</w:t>
      </w:r>
    </w:p>
    <w:p>
      <w:pPr>
        <w:spacing w:after="0" w:line="85" w:lineRule="exact"/>
        <w:rPr>
          <w:sz w:val="20"/>
          <w:szCs w:val="20"/>
          <w:color w:val="auto"/>
        </w:rPr>
      </w:pPr>
    </w:p>
    <w:p>
      <w:pPr>
        <w:ind w:left="1680" w:right="579" w:firstLine="316"/>
        <w:spacing w:after="0" w:line="277" w:lineRule="auto"/>
        <w:rPr>
          <w:sz w:val="20"/>
          <w:szCs w:val="20"/>
          <w:color w:val="auto"/>
        </w:rPr>
      </w:pPr>
      <w:r>
        <w:rPr>
          <w:rFonts w:ascii="Times New Roman" w:cs="Times New Roman" w:eastAsia="Times New Roman" w:hAnsi="Times New Roman"/>
          <w:sz w:val="13"/>
          <w:szCs w:val="13"/>
          <w:color w:val="auto"/>
        </w:rPr>
        <w:t>The transfer agent and registrar for our Class A and Class B common stock is Computershare Trust Company, N.A. The transfer agent’s address is 250 Royall Street, Canton, Massachusetts 02021, and its telephone number is (800) 962-4284.</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149</w:t>
      </w:r>
    </w:p>
    <w:p>
      <w:pPr>
        <w:sectPr>
          <w:pgSz w:w="11900" w:h="16838" w:orient="portrait"/>
          <w:cols w:equalWidth="0" w:num="1">
            <w:col w:w="10159"/>
          </w:cols>
          <w:pgMar w:left="300" w:top="367" w:right="1440" w:bottom="1440" w:gutter="0" w:footer="0" w:header="0"/>
        </w:sectPr>
      </w:pPr>
    </w:p>
    <w:bookmarkStart w:id="154" w:name="page155"/>
    <w:bookmarkEnd w:id="15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SHARES ELIGIBLE FOR FUTURE SALE</w:t>
      </w:r>
    </w:p>
    <w:p>
      <w:pPr>
        <w:spacing w:after="0" w:line="163" w:lineRule="exact"/>
        <w:rPr>
          <w:sz w:val="20"/>
          <w:szCs w:val="20"/>
          <w:color w:val="auto"/>
        </w:rPr>
      </w:pPr>
    </w:p>
    <w:p>
      <w:pPr>
        <w:ind w:left="1680" w:right="599" w:firstLine="316"/>
        <w:spacing w:after="0" w:line="253" w:lineRule="auto"/>
        <w:rPr>
          <w:sz w:val="20"/>
          <w:szCs w:val="20"/>
          <w:color w:val="auto"/>
        </w:rPr>
      </w:pPr>
      <w:r>
        <w:rPr>
          <w:rFonts w:ascii="Times New Roman" w:cs="Times New Roman" w:eastAsia="Times New Roman" w:hAnsi="Times New Roman"/>
          <w:sz w:val="13"/>
          <w:szCs w:val="13"/>
          <w:color w:val="auto"/>
        </w:rPr>
        <w:t>Prior to the listing of our Class A common stock on the NYSE,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Sales of substantial amounts of our Class A common stock in the public market following our listing on the NYSE, or the perception that such sales could occur, could adversely affect the trading price of our Class A common stock and may make it more difficult for you to sell your Class A common stock at a time and price that you deem appropriate. We will have no input if and when any Registered Stockholder may, or may not, elect to sell its shares of Class A common stock or the prices at which any such sales may occur. Future sales of our Class A common stock in the public market, or the availability of such shares for sale in the public market, could adversely affect the trading prices of shares of our Class A common stock prevailing from time to time.</w:t>
      </w:r>
    </w:p>
    <w:p>
      <w:pPr>
        <w:spacing w:after="0" w:line="135" w:lineRule="exact"/>
        <w:rPr>
          <w:sz w:val="20"/>
          <w:szCs w:val="20"/>
          <w:color w:val="auto"/>
        </w:rPr>
      </w:pPr>
    </w:p>
    <w:p>
      <w:pPr>
        <w:ind w:left="1680" w:right="599" w:firstLine="316"/>
        <w:spacing w:after="0" w:line="258" w:lineRule="auto"/>
        <w:rPr>
          <w:sz w:val="20"/>
          <w:szCs w:val="20"/>
          <w:color w:val="auto"/>
        </w:rPr>
      </w:pPr>
      <w:r>
        <w:rPr>
          <w:rFonts w:ascii="Times New Roman" w:cs="Times New Roman" w:eastAsia="Times New Roman" w:hAnsi="Times New Roman"/>
          <w:sz w:val="13"/>
          <w:szCs w:val="13"/>
          <w:color w:val="auto"/>
        </w:rPr>
        <w:t>Upon the effectiveness of the registration statement of which this prospectus forms a part, based on the number of shares of our capital stock outstanding as of July 31, 2020, we will have a total of 16,863,570 shares of our Class A common stock and 134,452,092 shares of our Class B common stock outstanding, assuming the automatic conversion of all outstanding shares of our preferred stock into 73,577,455 shares of our Class B common stock upon the effectiveness of the registration statement of which this prospectus forms a part.</w:t>
      </w:r>
    </w:p>
    <w:p>
      <w:pPr>
        <w:spacing w:after="0" w:line="133" w:lineRule="exact"/>
        <w:rPr>
          <w:sz w:val="20"/>
          <w:szCs w:val="20"/>
          <w:color w:val="auto"/>
        </w:rPr>
      </w:pPr>
    </w:p>
    <w:p>
      <w:pPr>
        <w:ind w:left="1680" w:right="779" w:firstLine="316"/>
        <w:spacing w:after="0" w:line="256" w:lineRule="auto"/>
        <w:rPr>
          <w:sz w:val="20"/>
          <w:szCs w:val="20"/>
          <w:color w:val="auto"/>
        </w:rPr>
      </w:pPr>
      <w:r>
        <w:rPr>
          <w:rFonts w:ascii="Times New Roman" w:cs="Times New Roman" w:eastAsia="Times New Roman" w:hAnsi="Times New Roman"/>
          <w:sz w:val="13"/>
          <w:szCs w:val="13"/>
          <w:color w:val="auto"/>
        </w:rPr>
        <w:t>Shares of our Class A common stock and Class B common stock will be deemed “restricted securities” (as defined in Rule 144 under the Securities Act). Restricted securities may be sold in the public market only if they are registered or if they qualify for an exemption from registration under Rule 144 or Rule 701 under the Securities Act, which rules are summarized below. Following the listing of our Class A common stock on the NYSE, shares of our Class A common stock may be sold either by the Registered Stockholders pursuant to this prospectus or by our other existing stockholders in accordance with Rule 144 of the Securities Act.</w:t>
      </w:r>
    </w:p>
    <w:p>
      <w:pPr>
        <w:spacing w:after="0" w:line="133" w:lineRule="exact"/>
        <w:rPr>
          <w:sz w:val="20"/>
          <w:szCs w:val="20"/>
          <w:color w:val="auto"/>
        </w:rPr>
      </w:pPr>
    </w:p>
    <w:p>
      <w:pPr>
        <w:ind w:left="1680" w:right="659" w:firstLine="316"/>
        <w:spacing w:after="0" w:line="280" w:lineRule="auto"/>
        <w:rPr>
          <w:sz w:val="20"/>
          <w:szCs w:val="20"/>
          <w:color w:val="auto"/>
        </w:rPr>
      </w:pPr>
      <w:r>
        <w:rPr>
          <w:rFonts w:ascii="Times New Roman" w:cs="Times New Roman" w:eastAsia="Times New Roman" w:hAnsi="Times New Roman"/>
          <w:sz w:val="12"/>
          <w:szCs w:val="12"/>
          <w:color w:val="auto"/>
        </w:rPr>
        <w:t>As further described below, until we have been a reporting company for at least 90 days, only non-affiliates who have beneficially owned their shares of common stock for a period of at least one year will be able to sell their shares of Class A common stock under Rule 144, which is expected to</w:t>
      </w:r>
    </w:p>
    <w:p>
      <w:pPr>
        <w:ind w:left="1680"/>
        <w:spacing w:after="0"/>
        <w:tabs>
          <w:tab w:leader="none" w:pos="3220" w:val="left"/>
        </w:tabs>
        <w:rPr>
          <w:sz w:val="20"/>
          <w:szCs w:val="20"/>
          <w:color w:val="auto"/>
        </w:rPr>
      </w:pPr>
      <w:r>
        <w:rPr>
          <w:rFonts w:ascii="Times New Roman" w:cs="Times New Roman" w:eastAsia="Times New Roman" w:hAnsi="Times New Roman"/>
          <w:sz w:val="13"/>
          <w:szCs w:val="13"/>
          <w:color w:val="auto"/>
        </w:rPr>
        <w:t>include approximately</w:t>
      </w:r>
      <w:r>
        <w:rPr>
          <w:sz w:val="20"/>
          <w:szCs w:val="20"/>
          <w:color w:val="auto"/>
        </w:rPr>
        <w:tab/>
      </w:r>
      <w:r>
        <w:rPr>
          <w:rFonts w:ascii="Times New Roman" w:cs="Times New Roman" w:eastAsia="Times New Roman" w:hAnsi="Times New Roman"/>
          <w:sz w:val="12"/>
          <w:szCs w:val="12"/>
          <w:color w:val="auto"/>
        </w:rPr>
        <w:t>shares of common stock immediately after our registration.</w:t>
      </w:r>
    </w:p>
    <w:p>
      <w:pPr>
        <w:spacing w:after="0" w:line="22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Rule 144</w:t>
      </w:r>
    </w:p>
    <w:p>
      <w:pPr>
        <w:spacing w:after="0" w:line="85" w:lineRule="exact"/>
        <w:rPr>
          <w:sz w:val="20"/>
          <w:szCs w:val="20"/>
          <w:color w:val="auto"/>
        </w:rPr>
      </w:pPr>
    </w:p>
    <w:p>
      <w:pPr>
        <w:ind w:left="1680" w:right="619" w:firstLine="316"/>
        <w:spacing w:after="0" w:line="253" w:lineRule="auto"/>
        <w:rPr>
          <w:sz w:val="20"/>
          <w:szCs w:val="20"/>
          <w:color w:val="auto"/>
        </w:rPr>
      </w:pPr>
      <w:r>
        <w:rPr>
          <w:rFonts w:ascii="Times New Roman" w:cs="Times New Roman" w:eastAsia="Times New Roman" w:hAnsi="Times New Roman"/>
          <w:sz w:val="13"/>
          <w:szCs w:val="13"/>
          <w:color w:val="auto"/>
        </w:rPr>
        <w:t>In general, under Rule 144 as currently in effect,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38" w:lineRule="exact"/>
        <w:rPr>
          <w:sz w:val="20"/>
          <w:szCs w:val="20"/>
          <w:color w:val="auto"/>
        </w:rPr>
      </w:pPr>
    </w:p>
    <w:p>
      <w:pPr>
        <w:ind w:left="1680" w:right="739" w:firstLine="316"/>
        <w:spacing w:after="0" w:line="277" w:lineRule="auto"/>
        <w:rPr>
          <w:sz w:val="20"/>
          <w:szCs w:val="20"/>
          <w:color w:val="auto"/>
        </w:rPr>
      </w:pPr>
      <w:r>
        <w:rPr>
          <w:rFonts w:ascii="Times New Roman" w:cs="Times New Roman" w:eastAsia="Times New Roman" w:hAnsi="Times New Roman"/>
          <w:sz w:val="13"/>
          <w:szCs w:val="13"/>
          <w:color w:val="auto"/>
        </w:rPr>
        <w:t>In general, under Rule 144 as currently in effect, our affiliates or persons selling shares on behalf of our affiliates are entitled to sell, within any three-month period, a number of shares that does not exceed the greater of:</w:t>
      </w:r>
    </w:p>
    <w:p>
      <w:pPr>
        <w:spacing w:after="0" w:line="52" w:lineRule="exact"/>
        <w:rPr>
          <w:sz w:val="20"/>
          <w:szCs w:val="20"/>
          <w:color w:val="auto"/>
        </w:rPr>
      </w:pPr>
    </w:p>
    <w:p>
      <w:pPr>
        <w:ind w:left="2380" w:hanging="381"/>
        <w:spacing w:after="0"/>
        <w:tabs>
          <w:tab w:leader="none" w:pos="238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 of the number of shares of our Class A common stock then outstanding; or</w:t>
      </w:r>
    </w:p>
    <w:p>
      <w:pPr>
        <w:spacing w:after="0" w:line="92" w:lineRule="exact"/>
        <w:rPr>
          <w:rFonts w:ascii="Times New Roman" w:cs="Times New Roman" w:eastAsia="Times New Roman" w:hAnsi="Times New Roman"/>
          <w:sz w:val="13"/>
          <w:szCs w:val="13"/>
          <w:color w:val="auto"/>
        </w:rPr>
      </w:pPr>
    </w:p>
    <w:p>
      <w:pPr>
        <w:ind w:left="2380" w:right="979" w:hanging="381"/>
        <w:spacing w:after="0" w:line="277" w:lineRule="auto"/>
        <w:tabs>
          <w:tab w:leader="none" w:pos="238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average weekly trading volume of our Class A common stock during the four calendar weeks preceding the filing of a notice on Form 144 with respect to that sale.</w:t>
      </w:r>
    </w:p>
    <w:p>
      <w:pPr>
        <w:spacing w:after="0" w:line="120" w:lineRule="exact"/>
        <w:rPr>
          <w:sz w:val="20"/>
          <w:szCs w:val="20"/>
          <w:color w:val="auto"/>
        </w:rPr>
      </w:pPr>
    </w:p>
    <w:p>
      <w:pPr>
        <w:ind w:left="1680" w:right="639" w:firstLine="316"/>
        <w:spacing w:after="0" w:line="277" w:lineRule="auto"/>
        <w:rPr>
          <w:sz w:val="20"/>
          <w:szCs w:val="20"/>
          <w:color w:val="auto"/>
        </w:rPr>
      </w:pPr>
      <w:r>
        <w:rPr>
          <w:rFonts w:ascii="Times New Roman" w:cs="Times New Roman" w:eastAsia="Times New Roman" w:hAnsi="Times New Roman"/>
          <w:sz w:val="13"/>
          <w:szCs w:val="13"/>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150</w:t>
      </w:r>
    </w:p>
    <w:p>
      <w:pPr>
        <w:sectPr>
          <w:pgSz w:w="11900" w:h="16838" w:orient="portrait"/>
          <w:cols w:equalWidth="0" w:num="1">
            <w:col w:w="10159"/>
          </w:cols>
          <w:pgMar w:left="300" w:top="367" w:right="1440" w:bottom="1440" w:gutter="0" w:footer="0" w:header="0"/>
        </w:sectPr>
      </w:pPr>
    </w:p>
    <w:bookmarkStart w:id="155" w:name="page156"/>
    <w:bookmarkEnd w:id="15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Rule 701</w:t>
      </w:r>
    </w:p>
    <w:p>
      <w:pPr>
        <w:spacing w:after="0" w:line="85" w:lineRule="exact"/>
        <w:rPr>
          <w:sz w:val="20"/>
          <w:szCs w:val="20"/>
          <w:color w:val="auto"/>
        </w:rPr>
      </w:pPr>
    </w:p>
    <w:p>
      <w:pPr>
        <w:ind w:left="1680" w:right="599" w:firstLine="316"/>
        <w:spacing w:after="0" w:line="254" w:lineRule="auto"/>
        <w:rPr>
          <w:sz w:val="20"/>
          <w:szCs w:val="20"/>
          <w:color w:val="auto"/>
        </w:rPr>
      </w:pPr>
      <w:r>
        <w:rPr>
          <w:rFonts w:ascii="Times New Roman" w:cs="Times New Roman" w:eastAsia="Times New Roman" w:hAnsi="Times New Roman"/>
          <w:sz w:val="13"/>
          <w:szCs w:val="13"/>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w:t>
      </w:r>
    </w:p>
    <w:p>
      <w:pPr>
        <w:spacing w:after="0" w:line="21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Registration Rights</w:t>
      </w:r>
    </w:p>
    <w:p>
      <w:pPr>
        <w:spacing w:after="0" w:line="85" w:lineRule="exact"/>
        <w:rPr>
          <w:sz w:val="20"/>
          <w:szCs w:val="20"/>
          <w:color w:val="auto"/>
        </w:rPr>
      </w:pPr>
    </w:p>
    <w:p>
      <w:pPr>
        <w:ind w:left="1680" w:right="639" w:firstLine="316"/>
        <w:spacing w:after="0" w:line="254" w:lineRule="auto"/>
        <w:rPr>
          <w:sz w:val="20"/>
          <w:szCs w:val="20"/>
          <w:color w:val="auto"/>
        </w:rPr>
      </w:pPr>
      <w:r>
        <w:rPr>
          <w:rFonts w:ascii="Times New Roman" w:cs="Times New Roman" w:eastAsia="Times New Roman" w:hAnsi="Times New Roman"/>
          <w:sz w:val="13"/>
          <w:szCs w:val="13"/>
          <w:color w:val="auto"/>
        </w:rPr>
        <w:t>Pursuant to our amended and restated investors’ rights agreement, the holders of up to 120,517,455 shares of our Class B common stock (including shares issuable upon the conversion of our outstanding preferred stock upon the effectiveness of the registration statement of which this prospectus forms a part), or their transferees, will be entitled to certain rights with respect to the registration of the offer and sale of those shares under the Securities Act. See the section titled “Description of Capital Stock—Registration Rights” for a description of these registration rights. If the offer and sale of these shares is registered, the shares will be freely tradable without restriction under the Securities Act, and a large number of shares may be sold into the public market.</w:t>
      </w:r>
    </w:p>
    <w:p>
      <w:pPr>
        <w:spacing w:after="0" w:line="21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Registration Statement on Form S-8</w:t>
      </w:r>
    </w:p>
    <w:p>
      <w:pPr>
        <w:spacing w:after="0" w:line="85" w:lineRule="exact"/>
        <w:rPr>
          <w:sz w:val="20"/>
          <w:szCs w:val="20"/>
          <w:color w:val="auto"/>
        </w:rPr>
      </w:pPr>
    </w:p>
    <w:p>
      <w:pPr>
        <w:ind w:left="1680" w:right="599" w:firstLine="316"/>
        <w:spacing w:after="0" w:line="254" w:lineRule="auto"/>
        <w:rPr>
          <w:sz w:val="20"/>
          <w:szCs w:val="20"/>
          <w:color w:val="auto"/>
        </w:rPr>
      </w:pPr>
      <w:r>
        <w:rPr>
          <w:rFonts w:ascii="Times New Roman" w:cs="Times New Roman" w:eastAsia="Times New Roman" w:hAnsi="Times New Roman"/>
          <w:sz w:val="13"/>
          <w:szCs w:val="13"/>
          <w:color w:val="auto"/>
        </w:rPr>
        <w:t>We intend to file a registration statement on Form S-8 under the Securities Act to register all of the shares of our Class A common stock and Class B common stock issuable or reserved for issuance under our 2009 Plan, 2012 Plan, our 2020 Plan, and our ESPP. Shares covered by such registration statement will be eligible for sale in the public market, subject to the Rule 144 limitations and vesting restrictions. As of July 31, 2020, options to purchase a total of 753,314 shares of our Class B common stock pursuant to our 2009 Plan, RSUs and options to purchase a total of 35,771,056 shares of our Class A common stock pursuant to our 2012 Plan were outstanding, and no options or other equity awards were outstanding or exercisable under our 2020 Plan.</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151</w:t>
      </w:r>
    </w:p>
    <w:p>
      <w:pPr>
        <w:sectPr>
          <w:pgSz w:w="11900" w:h="16838" w:orient="portrait"/>
          <w:cols w:equalWidth="0" w:num="1">
            <w:col w:w="10159"/>
          </w:cols>
          <w:pgMar w:left="300" w:top="367" w:right="1440" w:bottom="1440" w:gutter="0" w:footer="0" w:header="0"/>
        </w:sectPr>
      </w:pPr>
    </w:p>
    <w:bookmarkStart w:id="156" w:name="page157"/>
    <w:bookmarkEnd w:id="15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SALE PRICE HISTORY OF OUR CAPITAL STOCK</w:t>
      </w:r>
    </w:p>
    <w:p>
      <w:pPr>
        <w:spacing w:after="0" w:line="163" w:lineRule="exact"/>
        <w:rPr>
          <w:sz w:val="20"/>
          <w:szCs w:val="20"/>
          <w:color w:val="auto"/>
        </w:rPr>
      </w:pPr>
    </w:p>
    <w:p>
      <w:pPr>
        <w:ind w:left="1680" w:right="579" w:firstLine="316"/>
        <w:spacing w:after="0" w:line="251" w:lineRule="auto"/>
        <w:rPr>
          <w:sz w:val="20"/>
          <w:szCs w:val="20"/>
          <w:color w:val="auto"/>
        </w:rPr>
      </w:pPr>
      <w:r>
        <w:rPr>
          <w:rFonts w:ascii="Times New Roman" w:cs="Times New Roman" w:eastAsia="Times New Roman" w:hAnsi="Times New Roman"/>
          <w:sz w:val="13"/>
          <w:szCs w:val="13"/>
          <w:color w:val="auto"/>
        </w:rPr>
        <w:t>We intend to apply to list our Class A common stock on the NYSE. Prior to the initial listing, no public market existed for our Class A common stock. However, our Class A and Class B common stock (on an as-converted to common stock basis) have a history of trading in private transactions, although such history is limited, as we only recently lifted transfer restrictions on our capital stock in February 2020. Beginning in February 2020, we maintained a program on the Nasdaq Private Market, or NPM, allowing stockholders to sell shares of our capital stock to accredited investors. Sales of our capital stock on the NPM ceased as of July 31, 2020, but limited privately negotiated transactions continued through August 31, 2020. The table below shows the high and low sales prices for our Class A and Class B common stock (on an as-converted to common stock basis) in private transactions by our stockholders, for the indicated periods, as well as the volume-weighted average price per share, based on information available to us. While the DMM, in consultation with Morgan Stanley and our other financial advisors, is expected to consider this information in connection with setting the opening public price of our Class A common stock, this information may, however, have little or no relation to the broader market demand for our Class A common stock and thus the opening trading price and subsequent trading price of our Class A common stock on the NYSE. As a result, you should not place reliance on these historical private sales prices as they may differ materially from the opening trading price and subsequent trading price of our Class A common stock on the NYSE. See the section titled “Risk Factors—Risks Related to Ownership of Our Class A Common Stock— The trading price of our Class A common stock, upon listing on the NYSE, may have little or no relationship to the historical sales prices of our capital stock in private transactions, and such private transactions have been limited.”</w:t>
      </w:r>
    </w:p>
    <w:p>
      <w:pPr>
        <w:spacing w:after="0" w:line="145"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gridSpan w:val="3"/>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8"/>
              </w:rPr>
              <w:t>Volume-</w:t>
            </w:r>
          </w:p>
        </w:tc>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Number of</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Number of</w:t>
            </w:r>
          </w:p>
        </w:tc>
        <w:tc>
          <w:tcPr>
            <w:tcW w:w="280" w:type="dxa"/>
            <w:vAlign w:val="bottom"/>
          </w:tcPr>
          <w:p>
            <w:pPr>
              <w:spacing w:after="0"/>
              <w:rPr>
                <w:sz w:val="9"/>
                <w:szCs w:val="9"/>
                <w:color w:val="auto"/>
              </w:rPr>
            </w:pPr>
          </w:p>
        </w:tc>
        <w:tc>
          <w:tcPr>
            <w:tcW w:w="700" w:type="dxa"/>
            <w:vAlign w:val="bottom"/>
            <w:gridSpan w:val="3"/>
          </w:tcPr>
          <w:p>
            <w:pPr>
              <w:spacing w:after="0" w:line="107" w:lineRule="exact"/>
              <w:rPr>
                <w:sz w:val="20"/>
                <w:szCs w:val="20"/>
                <w:color w:val="auto"/>
              </w:rPr>
            </w:pPr>
            <w:r>
              <w:rPr>
                <w:rFonts w:ascii="Times New Roman" w:cs="Times New Roman" w:eastAsia="Times New Roman" w:hAnsi="Times New Roman"/>
                <w:sz w:val="10"/>
                <w:szCs w:val="10"/>
                <w:b w:val="1"/>
                <w:bCs w:val="1"/>
                <w:color w:val="auto"/>
              </w:rPr>
              <w:t>Weighted</w:t>
            </w: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4"/>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Per Share Sale Price</w:t>
            </w: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gridSpan w:val="3"/>
          </w:tcPr>
          <w:p>
            <w:pPr>
              <w:jc w:val="center"/>
              <w:ind w:right="300"/>
              <w:spacing w:after="0" w:line="107" w:lineRule="exact"/>
              <w:rPr>
                <w:sz w:val="20"/>
                <w:szCs w:val="20"/>
                <w:color w:val="auto"/>
              </w:rPr>
            </w:pPr>
            <w:r>
              <w:rPr>
                <w:rFonts w:ascii="Times New Roman" w:cs="Times New Roman" w:eastAsia="Times New Roman" w:hAnsi="Times New Roman"/>
                <w:sz w:val="10"/>
                <w:szCs w:val="10"/>
                <w:b w:val="1"/>
                <w:bCs w:val="1"/>
                <w:color w:val="auto"/>
              </w:rPr>
              <w:t>Average</w:t>
            </w:r>
          </w:p>
        </w:tc>
        <w:tc>
          <w:tcPr>
            <w:tcW w:w="760" w:type="dxa"/>
            <w:vAlign w:val="bottom"/>
            <w:gridSpan w:val="2"/>
          </w:tcPr>
          <w:p>
            <w:pPr>
              <w:ind w:left="200"/>
              <w:spacing w:after="0" w:line="107" w:lineRule="exact"/>
              <w:rPr>
                <w:sz w:val="20"/>
                <w:szCs w:val="20"/>
                <w:color w:val="auto"/>
              </w:rPr>
            </w:pPr>
            <w:r>
              <w:rPr>
                <w:rFonts w:ascii="Times New Roman" w:cs="Times New Roman" w:eastAsia="Times New Roman" w:hAnsi="Times New Roman"/>
                <w:sz w:val="10"/>
                <w:szCs w:val="10"/>
                <w:b w:val="1"/>
                <w:bCs w:val="1"/>
                <w:color w:val="auto"/>
              </w:rPr>
              <w:t>Shares</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4"/>
            <w:vMerge w:val="continue"/>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Shares Sold</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center"/>
              <w:ind w:right="360"/>
              <w:spacing w:after="0" w:line="84" w:lineRule="exact"/>
              <w:rPr>
                <w:sz w:val="20"/>
                <w:szCs w:val="20"/>
                <w:color w:val="auto"/>
              </w:rPr>
            </w:pPr>
            <w:r>
              <w:rPr>
                <w:rFonts w:ascii="Times New Roman" w:cs="Times New Roman" w:eastAsia="Times New Roman" w:hAnsi="Times New Roman"/>
                <w:sz w:val="9"/>
                <w:szCs w:val="9"/>
                <w:b w:val="1"/>
                <w:bCs w:val="1"/>
                <w:color w:val="auto"/>
              </w:rPr>
              <w:t>Price</w:t>
            </w:r>
          </w:p>
        </w:tc>
        <w:tc>
          <w:tcPr>
            <w:tcW w:w="760" w:type="dxa"/>
            <w:vAlign w:val="bottom"/>
            <w:gridSpan w:val="2"/>
          </w:tcPr>
          <w:p>
            <w:pPr>
              <w:ind w:left="80"/>
              <w:spacing w:after="0" w:line="84" w:lineRule="exact"/>
              <w:rPr>
                <w:sz w:val="20"/>
                <w:szCs w:val="20"/>
                <w:color w:val="auto"/>
              </w:rPr>
            </w:pPr>
            <w:r>
              <w:rPr>
                <w:rFonts w:ascii="Times New Roman" w:cs="Times New Roman" w:eastAsia="Times New Roman" w:hAnsi="Times New Roman"/>
                <w:sz w:val="9"/>
                <w:szCs w:val="9"/>
                <w:b w:val="1"/>
                <w:bCs w:val="1"/>
                <w:color w:val="auto"/>
              </w:rPr>
              <w:t>Outstanding</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High</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Low</w:t>
            </w:r>
          </w:p>
        </w:tc>
        <w:tc>
          <w:tcPr>
            <w:tcW w:w="28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in the Period</w:t>
            </w:r>
          </w:p>
        </w:tc>
        <w:tc>
          <w:tcPr>
            <w:tcW w:w="280" w:type="dxa"/>
            <w:vAlign w:val="bottom"/>
          </w:tcPr>
          <w:p>
            <w:pPr>
              <w:spacing w:after="0"/>
              <w:rPr>
                <w:sz w:val="10"/>
                <w:szCs w:val="10"/>
                <w:color w:val="auto"/>
              </w:rPr>
            </w:pPr>
          </w:p>
        </w:tc>
        <w:tc>
          <w:tcPr>
            <w:tcW w:w="700" w:type="dxa"/>
            <w:vAlign w:val="bottom"/>
            <w:gridSpan w:val="3"/>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(VWAP)</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(Period End)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00" w:type="dxa"/>
            <w:vAlign w:val="bottom"/>
            <w:tcBorders>
              <w:top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Annual</w:t>
            </w:r>
          </w:p>
        </w:tc>
        <w:tc>
          <w:tcPr>
            <w:tcW w:w="8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Fiscal 2020</w:t>
            </w:r>
            <w:r>
              <w:rPr>
                <w:rFonts w:ascii="Times New Roman" w:cs="Times New Roman" w:eastAsia="Times New Roman" w:hAnsi="Times New Roman"/>
                <w:sz w:val="10"/>
                <w:szCs w:val="10"/>
                <w:color w:val="auto"/>
              </w:rPr>
              <w:t>(1)</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15.82</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88"/>
              </w:rPr>
              <w:t>15.82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4,647,127</w:t>
            </w: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15.82</w:t>
            </w:r>
          </w:p>
        </w:tc>
        <w:tc>
          <w:tcPr>
            <w:tcW w:w="2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8"/>
              </w:rPr>
              <w:t>150,264,964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Quarterly</w:t>
            </w: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 Quarter Fiscal 2021</w:t>
            </w:r>
            <w:r>
              <w:rPr>
                <w:rFonts w:ascii="Times New Roman" w:cs="Times New Roman" w:eastAsia="Times New Roman" w:hAnsi="Times New Roman"/>
                <w:sz w:val="10"/>
                <w:szCs w:val="10"/>
                <w:color w:val="auto"/>
              </w:rPr>
              <w:t>(2)</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88"/>
              </w:rPr>
              <w:t>13.04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335,347</w:t>
            </w: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15.98</w:t>
            </w:r>
          </w:p>
        </w:tc>
        <w:tc>
          <w:tcPr>
            <w:tcW w:w="2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8"/>
              </w:rPr>
              <w:t>150,736,690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Second Quarter Fiscal 2021</w:t>
            </w:r>
            <w:r>
              <w:rPr>
                <w:rFonts w:ascii="Times New Roman" w:cs="Times New Roman" w:eastAsia="Times New Roman" w:hAnsi="Times New Roman"/>
                <w:sz w:val="10"/>
                <w:szCs w:val="10"/>
                <w:color w:val="auto"/>
              </w:rPr>
              <w:t>(2)(3)</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88"/>
              </w:rPr>
              <w:t>13.04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378,368</w:t>
            </w:r>
          </w:p>
        </w:tc>
        <w:tc>
          <w:tcPr>
            <w:tcW w:w="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17.26</w:t>
            </w: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8"/>
              </w:rPr>
              <w:t>151,315,662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Third Quarter Fiscal 2021 (through August 31)</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88"/>
              </w:rPr>
              <w:t>14.24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683,456</w:t>
            </w: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25.11</w:t>
            </w:r>
          </w:p>
        </w:tc>
        <w:tc>
          <w:tcPr>
            <w:tcW w:w="2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8"/>
              </w:rPr>
              <w:t>153,941,457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Monthly</w:t>
            </w: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300" w:type="dxa"/>
            <w:vAlign w:val="bottom"/>
            <w:gridSpan w:val="2"/>
          </w:tcPr>
          <w:p>
            <w:pPr>
              <w:spacing w:after="0" w:line="126" w:lineRule="exact"/>
              <w:rPr>
                <w:sz w:val="20"/>
                <w:szCs w:val="20"/>
                <w:color w:val="auto"/>
              </w:rPr>
            </w:pPr>
            <w:r>
              <w:rPr>
                <w:rFonts w:ascii="Times New Roman" w:cs="Times New Roman" w:eastAsia="Times New Roman" w:hAnsi="Times New Roman"/>
                <w:sz w:val="13"/>
                <w:szCs w:val="13"/>
                <w:color w:val="auto"/>
              </w:rPr>
              <w:t>Fiscal 2020</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October 2019</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15.82</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88"/>
              </w:rPr>
              <w:t>15.82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4,647,127</w:t>
            </w:r>
          </w:p>
        </w:tc>
        <w:tc>
          <w:tcPr>
            <w:tcW w:w="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15.82</w:t>
            </w: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8"/>
              </w:rPr>
              <w:t>148,416,120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300" w:type="dxa"/>
            <w:vAlign w:val="bottom"/>
            <w:gridSpan w:val="2"/>
          </w:tcPr>
          <w:p>
            <w:pPr>
              <w:spacing w:after="0" w:line="126" w:lineRule="exact"/>
              <w:rPr>
                <w:sz w:val="20"/>
                <w:szCs w:val="20"/>
                <w:color w:val="auto"/>
              </w:rPr>
            </w:pPr>
            <w:r>
              <w:rPr>
                <w:rFonts w:ascii="Times New Roman" w:cs="Times New Roman" w:eastAsia="Times New Roman" w:hAnsi="Times New Roman"/>
                <w:sz w:val="13"/>
                <w:szCs w:val="13"/>
                <w:color w:val="auto"/>
              </w:rPr>
              <w:t>Fiscal 2021</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February 2020</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17.00</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88"/>
              </w:rPr>
              <w:t>17.00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236,000</w:t>
            </w:r>
          </w:p>
        </w:tc>
        <w:tc>
          <w:tcPr>
            <w:tcW w:w="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17.00</w:t>
            </w: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8"/>
              </w:rPr>
              <w:t>150,330,399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March 2020</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88"/>
              </w:rPr>
              <w:t>13.04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33,870</w:t>
            </w: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13.60</w:t>
            </w:r>
          </w:p>
        </w:tc>
        <w:tc>
          <w:tcPr>
            <w:tcW w:w="2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8"/>
              </w:rPr>
              <w:t>150,591,531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April 2020</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14.00</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88"/>
              </w:rPr>
              <w:t>13.04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65,477</w:t>
            </w:r>
          </w:p>
        </w:tc>
        <w:tc>
          <w:tcPr>
            <w:tcW w:w="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13.53</w:t>
            </w: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8"/>
              </w:rPr>
              <w:t>150,736,690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May 2020</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14.25</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88"/>
              </w:rPr>
              <w:t>13.04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13.55</w:t>
            </w:r>
          </w:p>
        </w:tc>
        <w:tc>
          <w:tcPr>
            <w:tcW w:w="2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8"/>
              </w:rPr>
              <w:t>150,736,690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June 2020</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17.00</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88"/>
              </w:rPr>
              <w:t>13.04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4,070</w:t>
            </w:r>
          </w:p>
        </w:tc>
        <w:tc>
          <w:tcPr>
            <w:tcW w:w="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14.40</w:t>
            </w: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8"/>
              </w:rPr>
              <w:t>151,153,181</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July 2020</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88"/>
              </w:rPr>
              <w:t>14.24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372,298</w:t>
            </w: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17.31</w:t>
            </w:r>
          </w:p>
        </w:tc>
        <w:tc>
          <w:tcPr>
            <w:tcW w:w="2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8"/>
              </w:rPr>
              <w:t>151,315,662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August 2020</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28.00</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88"/>
              </w:rPr>
              <w:t>14.24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683,456</w:t>
            </w:r>
          </w:p>
        </w:tc>
        <w:tc>
          <w:tcPr>
            <w:tcW w:w="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25.11</w:t>
            </w: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8"/>
              </w:rPr>
              <w:t>153,941,457</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61595</wp:posOffset>
            </wp:positionV>
            <wp:extent cx="548005"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48005" cy="6350"/>
                    </a:xfrm>
                    <a:prstGeom prst="rect">
                      <a:avLst/>
                    </a:prstGeom>
                    <a:noFill/>
                  </pic:spPr>
                </pic:pic>
              </a:graphicData>
            </a:graphic>
          </wp:anchor>
        </w:drawing>
      </w:r>
    </w:p>
    <w:p>
      <w:pPr>
        <w:spacing w:after="0" w:line="101" w:lineRule="exact"/>
        <w:rPr>
          <w:sz w:val="20"/>
          <w:szCs w:val="20"/>
          <w:color w:val="auto"/>
        </w:rPr>
      </w:pPr>
    </w:p>
    <w:p>
      <w:pPr>
        <w:ind w:left="2000" w:right="579" w:hanging="311"/>
        <w:spacing w:after="0" w:line="226" w:lineRule="auto"/>
        <w:tabs>
          <w:tab w:leader="none" w:pos="2000" w:val="left"/>
        </w:tabs>
        <w:numPr>
          <w:ilvl w:val="0"/>
          <w:numId w:val="7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September 2019, we entered into a participation agreement with an entity affiliated with Lead Edge Capital, LEC Asana Holdings, LLC; 8VC Co-Invest Fund I, L.P.; WiL Fund I, L.P.; and Tiger Global Private Investment Partners XI, L.P. and an affiliate thereof, pursuant to which we agreed to waive certain transfer restrictions in connection with a tender offer that such parties proposed to commence. In October 2019, these holders conducted a tender offer for shares of our outstanding Class B common stock and Class A common stock from our stockholders and purchased an aggregate of 4,647,127 shares of our outstanding Class B common stock and Class A common stock from our stockholders, at a purchase price of $15.82 per share, for an aggregate purchase price of approximately $73.5 million.</w:t>
      </w:r>
    </w:p>
    <w:p>
      <w:pPr>
        <w:spacing w:after="0" w:line="1" w:lineRule="exact"/>
        <w:rPr>
          <w:rFonts w:ascii="Times New Roman" w:cs="Times New Roman" w:eastAsia="Times New Roman" w:hAnsi="Times New Roman"/>
          <w:sz w:val="10"/>
          <w:szCs w:val="10"/>
          <w:color w:val="auto"/>
        </w:rPr>
      </w:pPr>
    </w:p>
    <w:p>
      <w:pPr>
        <w:ind w:left="2000" w:right="579" w:hanging="311"/>
        <w:spacing w:after="0" w:line="222" w:lineRule="auto"/>
        <w:tabs>
          <w:tab w:leader="none" w:pos="2000" w:val="left"/>
        </w:tabs>
        <w:numPr>
          <w:ilvl w:val="0"/>
          <w:numId w:val="7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From March 16, 2020 to June 14, 2020, as economic conditions worsened during the COVID-19 pandemic, we restricted the ability of our stockholders to transfer shares of our capital stock at a price per share below $13.04, which was the estimated fair value of our common stock determined by our board of directors.</w:t>
      </w:r>
    </w:p>
    <w:p>
      <w:pPr>
        <w:ind w:left="2000" w:right="619" w:hanging="311"/>
        <w:spacing w:after="0" w:line="238" w:lineRule="auto"/>
        <w:tabs>
          <w:tab w:leader="none" w:pos="2000" w:val="left"/>
        </w:tabs>
        <w:numPr>
          <w:ilvl w:val="0"/>
          <w:numId w:val="7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From June 15, 2020 to July 31, 2020, we restricted the ability of our stockholders to transfer shares of our capital stock at a price per share below $14.24, which was the estimated fair value of our common stock determined by our board of directors.</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152</w:t>
      </w:r>
    </w:p>
    <w:p>
      <w:pPr>
        <w:sectPr>
          <w:pgSz w:w="11900" w:h="16838" w:orient="portrait"/>
          <w:cols w:equalWidth="0" w:num="1">
            <w:col w:w="10159"/>
          </w:cols>
          <w:pgMar w:left="300" w:top="367" w:right="1440" w:bottom="1440" w:gutter="0" w:footer="0" w:header="0"/>
        </w:sectPr>
      </w:pPr>
    </w:p>
    <w:bookmarkStart w:id="157" w:name="page158"/>
    <w:bookmarkEnd w:id="15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MATERIAL U.S. FEDERAL INCOME TAX CONSIDERATIONS FOR</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NON-U.S. HOLDERS OF COMMON STOCK</w:t>
      </w:r>
    </w:p>
    <w:p>
      <w:pPr>
        <w:spacing w:after="0" w:line="149" w:lineRule="exact"/>
        <w:rPr>
          <w:sz w:val="20"/>
          <w:szCs w:val="20"/>
          <w:color w:val="auto"/>
        </w:rPr>
      </w:pPr>
    </w:p>
    <w:p>
      <w:pPr>
        <w:ind w:left="1680" w:right="579" w:firstLine="316"/>
        <w:spacing w:after="0" w:line="252" w:lineRule="auto"/>
        <w:rPr>
          <w:sz w:val="20"/>
          <w:szCs w:val="20"/>
          <w:color w:val="auto"/>
        </w:rPr>
      </w:pPr>
      <w:r>
        <w:rPr>
          <w:rFonts w:ascii="Times New Roman" w:cs="Times New Roman" w:eastAsia="Times New Roman" w:hAnsi="Times New Roman"/>
          <w:sz w:val="13"/>
          <w:szCs w:val="13"/>
          <w:color w:val="auto"/>
        </w:rPr>
        <w:t>The following discussion is a summary of the material U.S. federal income tax consequences to non-U.S. holders (as defined below) of the acquisition, ownership, and disposition of our Class A common stock. This discussion is not a complete analysis of all potential U.S. federal income tax consequences relating thereto, does not address the potential application of the Medicare contribution tax on net investment income or the alternative minimum tax, and does not address any estate or gift tax consequences or any tax consequences arising under any state, local, or foreign tax laws, or any other U.S. federal tax laws. This discussion is based on the U.S. Internal Revenue Code of 1986, as amended, or the Code, Treasury Regulations promulgated thereunder, judicial decisions, and published rulings and administrative pronouncements of the Internal Revenue Service, or the IRS, all as in effect as of the date of this prospectus.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36" w:lineRule="exact"/>
        <w:rPr>
          <w:sz w:val="20"/>
          <w:szCs w:val="20"/>
          <w:color w:val="auto"/>
        </w:rPr>
      </w:pPr>
    </w:p>
    <w:p>
      <w:pPr>
        <w:ind w:left="1680" w:right="659" w:firstLine="316"/>
        <w:spacing w:after="0" w:line="256" w:lineRule="auto"/>
        <w:rPr>
          <w:sz w:val="20"/>
          <w:szCs w:val="20"/>
          <w:color w:val="auto"/>
        </w:rPr>
      </w:pPr>
      <w:r>
        <w:rPr>
          <w:rFonts w:ascii="Times New Roman" w:cs="Times New Roman" w:eastAsia="Times New Roman" w:hAnsi="Times New Roman"/>
          <w:sz w:val="13"/>
          <w:szCs w:val="13"/>
          <w:color w:val="auto"/>
        </w:rPr>
        <w:t>This discussion is limited to non-U.S. holders who purchase our Class A common stock pursuant to this prospectus and who hold our Class A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65" w:lineRule="exact"/>
        <w:rPr>
          <w:sz w:val="20"/>
          <w:szCs w:val="20"/>
          <w:color w:val="auto"/>
        </w:rPr>
      </w:pPr>
    </w:p>
    <w:p>
      <w:pPr>
        <w:ind w:left="2380" w:hanging="381"/>
        <w:spacing w:after="0"/>
        <w:tabs>
          <w:tab w:leader="none" w:pos="238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former citizens or long-term residents of the United States;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partnerships or other pass-through entities (and investors therein);</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“controlled foreign corporations;”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“passive foreign investment companies;”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corporations that accumulate earnings to avoid U.S. federal income tax;</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banks, financial institutions, investment funds, insurance companies, brokers, dealers, or traders in securities;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tax-exempt organizations and governmental organizations;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tax-qualified retirement plans;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persons subject to special tax accounting rules under Section 451(b) of the Code;</w:t>
      </w:r>
    </w:p>
    <w:p>
      <w:pPr>
        <w:spacing w:after="0" w:line="92" w:lineRule="exact"/>
        <w:rPr>
          <w:rFonts w:ascii="Times New Roman" w:cs="Times New Roman" w:eastAsia="Times New Roman" w:hAnsi="Times New Roman"/>
          <w:sz w:val="13"/>
          <w:szCs w:val="13"/>
          <w:color w:val="auto"/>
        </w:rPr>
      </w:pPr>
    </w:p>
    <w:p>
      <w:pPr>
        <w:ind w:left="2380" w:right="1259" w:hanging="381"/>
        <w:spacing w:after="0" w:line="277" w:lineRule="auto"/>
        <w:tabs>
          <w:tab w:leader="none" w:pos="238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persons who hold or receive our Class A common stock pursuant to the exercise of any employee stock option or otherwise as compensation;</w:t>
      </w:r>
    </w:p>
    <w:p>
      <w:pPr>
        <w:spacing w:after="0" w:line="52" w:lineRule="exact"/>
        <w:rPr>
          <w:rFonts w:ascii="Times New Roman" w:cs="Times New Roman" w:eastAsia="Times New Roman" w:hAnsi="Times New Roman"/>
          <w:sz w:val="13"/>
          <w:szCs w:val="13"/>
          <w:color w:val="auto"/>
        </w:rPr>
      </w:pPr>
    </w:p>
    <w:p>
      <w:pPr>
        <w:ind w:left="2380" w:right="619" w:hanging="381"/>
        <w:spacing w:after="0" w:line="277" w:lineRule="auto"/>
        <w:tabs>
          <w:tab w:leader="none" w:pos="238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“qualified foreign pension funds” as defined in Section 897(l)(2) of the Code and entities all of the interests of which are held by qualified foreign pension funds;</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persons that own, or have owned, actually or constructively, more than 5% of our Class A common stock;</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persons who have elected to mark securities to market; and</w:t>
      </w:r>
    </w:p>
    <w:p>
      <w:pPr>
        <w:spacing w:after="0" w:line="92" w:lineRule="exact"/>
        <w:rPr>
          <w:rFonts w:ascii="Times New Roman" w:cs="Times New Roman" w:eastAsia="Times New Roman" w:hAnsi="Times New Roman"/>
          <w:sz w:val="13"/>
          <w:szCs w:val="13"/>
          <w:color w:val="auto"/>
        </w:rPr>
      </w:pPr>
    </w:p>
    <w:p>
      <w:pPr>
        <w:ind w:left="2380" w:right="699" w:hanging="381"/>
        <w:spacing w:after="0" w:line="277" w:lineRule="auto"/>
        <w:tabs>
          <w:tab w:leader="none" w:pos="238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persons holding our Class A common stock as part of a hedging or conversion transaction or straddle, or a constructive sale, or other risk reduction strategy or integrated investment.</w:t>
      </w:r>
    </w:p>
    <w:p>
      <w:pPr>
        <w:spacing w:after="0" w:line="1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If an entity or arrangement that is classified as a partnership for U.S. federal income tax purposes holds our Class A common stock, the U.S.</w:t>
      </w:r>
    </w:p>
    <w:p>
      <w:pPr>
        <w:spacing w:after="0" w:line="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federal income tax treatment of a partner in the partnership will generally</w:t>
      </w:r>
    </w:p>
    <w:p>
      <w:pPr>
        <w:spacing w:after="0" w:line="1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153</w:t>
      </w:r>
    </w:p>
    <w:p>
      <w:pPr>
        <w:sectPr>
          <w:pgSz w:w="11900" w:h="16838" w:orient="portrait"/>
          <w:cols w:equalWidth="0" w:num="1">
            <w:col w:w="10159"/>
          </w:cols>
          <w:pgMar w:left="300" w:top="368" w:right="1440" w:bottom="1440" w:gutter="0" w:footer="0" w:header="0"/>
        </w:sectPr>
      </w:pPr>
    </w:p>
    <w:bookmarkStart w:id="158" w:name="page159"/>
    <w:bookmarkEnd w:id="15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739"/>
        <w:spacing w:after="0" w:line="263" w:lineRule="auto"/>
        <w:rPr>
          <w:sz w:val="20"/>
          <w:szCs w:val="20"/>
          <w:color w:val="auto"/>
        </w:rPr>
      </w:pPr>
      <w:r>
        <w:rPr>
          <w:rFonts w:ascii="Times New Roman" w:cs="Times New Roman" w:eastAsia="Times New Roman" w:hAnsi="Times New Roman"/>
          <w:sz w:val="13"/>
          <w:szCs w:val="13"/>
          <w:color w:val="auto"/>
        </w:rPr>
        <w:t>depend on the status of the partner and the activities of the partnership. Partnerships holding our Class A common stock and the partners in such partnerships are urged to consult their tax advisors about the particular U.S. federal income tax consequences to them of holding and disposing of our Class A common stock.</w:t>
      </w:r>
    </w:p>
    <w:p>
      <w:pPr>
        <w:spacing w:after="0" w:line="127" w:lineRule="exact"/>
        <w:rPr>
          <w:sz w:val="20"/>
          <w:szCs w:val="20"/>
          <w:color w:val="auto"/>
        </w:rPr>
      </w:pPr>
    </w:p>
    <w:p>
      <w:pPr>
        <w:ind w:left="1680" w:right="579" w:firstLine="316"/>
        <w:spacing w:after="0" w:line="254" w:lineRule="auto"/>
        <w:rPr>
          <w:sz w:val="20"/>
          <w:szCs w:val="20"/>
          <w:color w:val="auto"/>
        </w:rPr>
      </w:pPr>
      <w:r>
        <w:rPr>
          <w:rFonts w:ascii="Times New Roman" w:cs="Times New Roman" w:eastAsia="Times New Roman" w:hAnsi="Times New Roman"/>
          <w:sz w:val="13"/>
          <w:szCs w:val="13"/>
          <w:b w:val="1"/>
          <w:bCs w:val="1"/>
          <w:color w:val="auto"/>
        </w:rPr>
        <w:t>THIS DISCUSSION IS FOR INFORMATIONAL PURPOSES ONLY AND IS NOT ADVICE. PROSPECTIVE INVESTORS SHOULD CONSULT THEIR TAX ADVISORS REGARDING THE PARTICULAR U.S. FEDERAL INCOME TAX CONSEQUENCES TO THEM OF ACQUIRING, OWNING, AND DISPOSING OF OUR CLASS A COMMON STOCK, AS WELL AS ANY TAX CONSEQUENCES ARISING UNDER ANY STATE, LOCAL, OR FOREIGN TAX LAWS AND ANY OTHER U.S. FEDERAL TAX LAWS. IN ADDITION, SIGNIFICANT CHANGES IN U.S. FEDERAL TAX LAWS WERE RECENTLY ENACTED. PROSPECTIVE INVESTORS SHOULD ALSO CONSULT WITH THEIR TAX ADVISORS WITH RESPECT TO SUCH CHANGES IN U.S. TAX LAW AS WELL AS POTENTIAL CONFORMING CHANGES IN STATE TAX LAWS.</w:t>
      </w:r>
    </w:p>
    <w:p>
      <w:pPr>
        <w:spacing w:after="0" w:line="21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Definition of Non-U.S. Holder</w:t>
      </w:r>
    </w:p>
    <w:p>
      <w:pPr>
        <w:spacing w:after="0" w:line="85" w:lineRule="exact"/>
        <w:rPr>
          <w:sz w:val="20"/>
          <w:szCs w:val="20"/>
          <w:color w:val="auto"/>
        </w:rPr>
      </w:pPr>
    </w:p>
    <w:p>
      <w:pPr>
        <w:ind w:left="1680" w:right="819" w:firstLine="316"/>
        <w:spacing w:after="0" w:line="263" w:lineRule="auto"/>
        <w:rPr>
          <w:sz w:val="20"/>
          <w:szCs w:val="20"/>
          <w:color w:val="auto"/>
        </w:rPr>
      </w:pPr>
      <w:r>
        <w:rPr>
          <w:rFonts w:ascii="Times New Roman" w:cs="Times New Roman" w:eastAsia="Times New Roman" w:hAnsi="Times New Roman"/>
          <w:sz w:val="13"/>
          <w:szCs w:val="13"/>
          <w:color w:val="auto"/>
        </w:rPr>
        <w:t>For purposes of this discussion, a non-U.S. holder is any beneficial owner of our Class A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61" w:lineRule="exact"/>
        <w:rPr>
          <w:sz w:val="20"/>
          <w:szCs w:val="20"/>
          <w:color w:val="auto"/>
        </w:rPr>
      </w:pPr>
    </w:p>
    <w:p>
      <w:pPr>
        <w:ind w:left="2380" w:hanging="381"/>
        <w:spacing w:after="0"/>
        <w:tabs>
          <w:tab w:leader="none" w:pos="238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individual who is a citizen or resident of the United States;</w:t>
      </w:r>
    </w:p>
    <w:p>
      <w:pPr>
        <w:spacing w:after="0" w:line="92" w:lineRule="exact"/>
        <w:rPr>
          <w:rFonts w:ascii="Times New Roman" w:cs="Times New Roman" w:eastAsia="Times New Roman" w:hAnsi="Times New Roman"/>
          <w:sz w:val="13"/>
          <w:szCs w:val="13"/>
          <w:color w:val="auto"/>
        </w:rPr>
      </w:pPr>
    </w:p>
    <w:p>
      <w:pPr>
        <w:ind w:left="2380" w:right="559" w:hanging="381"/>
        <w:spacing w:after="0" w:line="277" w:lineRule="auto"/>
        <w:tabs>
          <w:tab w:leader="none" w:pos="238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corporation (or any entity treated as a corporation for U.S. federal income tax purposes) created or organized under the laws of the United States, any state thereof or the District of Columbia;</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estate, the income of which is subject to U.S. federal income tax regardless of its source; or</w:t>
      </w:r>
    </w:p>
    <w:p>
      <w:pPr>
        <w:spacing w:after="0" w:line="92" w:lineRule="exact"/>
        <w:rPr>
          <w:rFonts w:ascii="Times New Roman" w:cs="Times New Roman" w:eastAsia="Times New Roman" w:hAnsi="Times New Roman"/>
          <w:sz w:val="13"/>
          <w:szCs w:val="13"/>
          <w:color w:val="auto"/>
        </w:rPr>
      </w:pPr>
    </w:p>
    <w:p>
      <w:pPr>
        <w:ind w:left="2380" w:right="599" w:hanging="381"/>
        <w:spacing w:after="0" w:line="263" w:lineRule="auto"/>
        <w:tabs>
          <w:tab w:leader="none" w:pos="238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Distributions on Our Class A Common Stock</w:t>
      </w:r>
    </w:p>
    <w:p>
      <w:pPr>
        <w:spacing w:after="0" w:line="85" w:lineRule="exact"/>
        <w:rPr>
          <w:sz w:val="20"/>
          <w:szCs w:val="20"/>
          <w:color w:val="auto"/>
        </w:rPr>
      </w:pPr>
    </w:p>
    <w:p>
      <w:pPr>
        <w:ind w:left="1680" w:right="559" w:firstLine="316"/>
        <w:spacing w:after="0" w:line="253" w:lineRule="auto"/>
        <w:rPr>
          <w:sz w:val="20"/>
          <w:szCs w:val="20"/>
          <w:color w:val="auto"/>
        </w:rPr>
      </w:pPr>
      <w:r>
        <w:rPr>
          <w:rFonts w:ascii="Times New Roman" w:cs="Times New Roman" w:eastAsia="Times New Roman" w:hAnsi="Times New Roman"/>
          <w:sz w:val="13"/>
          <w:szCs w:val="13"/>
          <w:color w:val="auto"/>
        </w:rPr>
        <w:t>As described under the section titled “Dividend Policy,” we have not paid and do not anticipate paying dividends. However, if we make cash or other property distributions on our Class A common stock, such distributions will constitute dividends for U.S. federal income tax purposes to the extent paid from our current or accumulated earnings and profits, as determined under U.S. federal income tax principles. Amounts that exceed such current and accumulated earnings and profits and, therefore, are not treated as dividends for U.S. federal income tax purposes will constitute a return of capital and will first be applied against and reduce a holder’s tax basis in our Class A common stock, but not below zero. Any excess amount distributed will be treated as gain realized on the sale or other disposition of our Class A common stock and will be treated as described under the section titled “—Gain On Disposition of Our Class A Common Stock” below.</w:t>
      </w:r>
    </w:p>
    <w:p>
      <w:pPr>
        <w:spacing w:after="0" w:line="138" w:lineRule="exact"/>
        <w:rPr>
          <w:sz w:val="20"/>
          <w:szCs w:val="20"/>
          <w:color w:val="auto"/>
        </w:rPr>
      </w:pPr>
    </w:p>
    <w:p>
      <w:pPr>
        <w:ind w:left="1680" w:right="639" w:firstLine="316"/>
        <w:spacing w:after="0" w:line="253" w:lineRule="auto"/>
        <w:rPr>
          <w:sz w:val="20"/>
          <w:szCs w:val="20"/>
          <w:color w:val="auto"/>
        </w:rPr>
      </w:pPr>
      <w:r>
        <w:rPr>
          <w:rFonts w:ascii="Times New Roman" w:cs="Times New Roman" w:eastAsia="Times New Roman" w:hAnsi="Times New Roman"/>
          <w:sz w:val="13"/>
          <w:szCs w:val="13"/>
          <w:color w:val="auto"/>
        </w:rPr>
        <w:t>Subject to the discussion below regarding effectively connected income, backup withholding and FATCA (as defined below), dividends paid to a non-U.S. holder of our Class A common stock generally will be subject to U.S. federal withholding tax at a rate of 30% of the gross amount of the dividends or such lower rate specified by an applicable income tax treaty. To receive the benefit of a reduced treaty rate, a non-U.S. holder must furnish us or our withholding agent a valid IRS Form W-8BEN or IRS Form W-8BEN-E (or applicable successor form) certifying such holder’s qualification for the reduced rate. This certification must be provided to us or our withholding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withholding agent, either directly or through other intermediaries.</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154</w:t>
      </w:r>
    </w:p>
    <w:p>
      <w:pPr>
        <w:sectPr>
          <w:pgSz w:w="11900" w:h="16838" w:orient="portrait"/>
          <w:cols w:equalWidth="0" w:num="1">
            <w:col w:w="10159"/>
          </w:cols>
          <w:pgMar w:left="300" w:top="367" w:right="1440" w:bottom="1440" w:gutter="0" w:footer="0" w:header="0"/>
        </w:sectPr>
      </w:pPr>
    </w:p>
    <w:bookmarkStart w:id="159" w:name="page160"/>
    <w:bookmarkEnd w:id="15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79" w:firstLine="316"/>
        <w:spacing w:after="0" w:line="256" w:lineRule="auto"/>
        <w:rPr>
          <w:sz w:val="20"/>
          <w:szCs w:val="20"/>
          <w:color w:val="auto"/>
        </w:rPr>
      </w:pPr>
      <w:r>
        <w:rPr>
          <w:rFonts w:ascii="Times New Roman" w:cs="Times New Roman" w:eastAsia="Times New Roman" w:hAnsi="Times New Roman"/>
          <w:sz w:val="13"/>
          <w:szCs w:val="13"/>
          <w:color w:val="auto"/>
        </w:rPr>
        <w:t>If a non-U.S. holder holds our Class A common stock in connection with the conduct of a trade or business in the United States, and dividends paid on our Class A common stock are effectively connected with such holder’s U.S. trade or business (and are attributable to such holder’s permanent establishment or fixed base in the United States if required by an applicable tax treaty), the non-U.S. holder will be exempt from U.S. federal withholding tax. To claim the exemption, the non-U.S. holder must generally furnish a valid IRS Form W-8ECI (or applicable successor form) to the applicable withholding agent.</w:t>
      </w:r>
    </w:p>
    <w:p>
      <w:pPr>
        <w:spacing w:after="0" w:line="133" w:lineRule="exact"/>
        <w:rPr>
          <w:sz w:val="20"/>
          <w:szCs w:val="20"/>
          <w:color w:val="auto"/>
        </w:rPr>
      </w:pPr>
    </w:p>
    <w:p>
      <w:pPr>
        <w:ind w:left="1680" w:right="719" w:firstLine="316"/>
        <w:spacing w:after="0" w:line="258" w:lineRule="auto"/>
        <w:rPr>
          <w:sz w:val="20"/>
          <w:szCs w:val="20"/>
          <w:color w:val="auto"/>
        </w:rPr>
      </w:pPr>
      <w:r>
        <w:rPr>
          <w:rFonts w:ascii="Times New Roman" w:cs="Times New Roman" w:eastAsia="Times New Roman" w:hAnsi="Times New Roman"/>
          <w:sz w:val="13"/>
          <w:szCs w:val="13"/>
          <w:color w:val="auto"/>
        </w:rPr>
        <w:t>However, any such effectively connected dividends paid on our Class A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w:t>
      </w:r>
    </w:p>
    <w:p>
      <w:pPr>
        <w:spacing w:after="0" w:line="133" w:lineRule="exact"/>
        <w:rPr>
          <w:sz w:val="20"/>
          <w:szCs w:val="20"/>
          <w:color w:val="auto"/>
        </w:rPr>
      </w:pPr>
    </w:p>
    <w:p>
      <w:pPr>
        <w:ind w:left="1680" w:right="659" w:firstLine="316"/>
        <w:spacing w:after="0" w:line="277" w:lineRule="auto"/>
        <w:rPr>
          <w:sz w:val="20"/>
          <w:szCs w:val="20"/>
          <w:color w:val="auto"/>
        </w:rPr>
      </w:pPr>
      <w:r>
        <w:rPr>
          <w:rFonts w:ascii="Times New Roman" w:cs="Times New Roman" w:eastAsia="Times New Roman" w:hAnsi="Times New Roman"/>
          <w:sz w:val="13"/>
          <w:szCs w:val="13"/>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1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Non-U.S. holders should consult their tax advisors regarding any applicable income tax treaties that may provide for different rules.</w:t>
      </w:r>
    </w:p>
    <w:p>
      <w:pPr>
        <w:spacing w:after="0" w:line="23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Gain on Disposition of Our Class A Common Stock</w:t>
      </w:r>
    </w:p>
    <w:p>
      <w:pPr>
        <w:spacing w:after="0" w:line="85" w:lineRule="exact"/>
        <w:rPr>
          <w:sz w:val="20"/>
          <w:szCs w:val="20"/>
          <w:color w:val="auto"/>
        </w:rPr>
      </w:pPr>
    </w:p>
    <w:p>
      <w:pPr>
        <w:ind w:left="1680" w:right="599" w:firstLine="316"/>
        <w:spacing w:after="0" w:line="277" w:lineRule="auto"/>
        <w:rPr>
          <w:sz w:val="20"/>
          <w:szCs w:val="20"/>
          <w:color w:val="auto"/>
        </w:rPr>
      </w:pPr>
      <w:r>
        <w:rPr>
          <w:rFonts w:ascii="Times New Roman" w:cs="Times New Roman" w:eastAsia="Times New Roman" w:hAnsi="Times New Roman"/>
          <w:sz w:val="13"/>
          <w:szCs w:val="13"/>
          <w:color w:val="auto"/>
        </w:rPr>
        <w:t>Subject to the discussion below regarding backup withholding and FATCA, a non-U.S. holder generally will not be subject to U.S. federal income tax on any gain realized on the sale or other disposition of our Class A common stock, unless:</w:t>
      </w:r>
    </w:p>
    <w:p>
      <w:pPr>
        <w:spacing w:after="0" w:line="52" w:lineRule="exact"/>
        <w:rPr>
          <w:sz w:val="20"/>
          <w:szCs w:val="20"/>
          <w:color w:val="auto"/>
        </w:rPr>
      </w:pPr>
    </w:p>
    <w:p>
      <w:pPr>
        <w:ind w:left="2380" w:right="779" w:hanging="381"/>
        <w:spacing w:after="0" w:line="263" w:lineRule="auto"/>
        <w:tabs>
          <w:tab w:leader="none" w:pos="238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spacing w:after="0" w:line="61" w:lineRule="exact"/>
        <w:rPr>
          <w:rFonts w:ascii="Times New Roman" w:cs="Times New Roman" w:eastAsia="Times New Roman" w:hAnsi="Times New Roman"/>
          <w:sz w:val="13"/>
          <w:szCs w:val="13"/>
          <w:color w:val="auto"/>
        </w:rPr>
      </w:pPr>
    </w:p>
    <w:p>
      <w:pPr>
        <w:ind w:left="2380" w:right="959" w:hanging="381"/>
        <w:spacing w:after="0" w:line="277" w:lineRule="auto"/>
        <w:tabs>
          <w:tab w:leader="none" w:pos="238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non-U.S. holder is a nonresident alien individual present in the United States for 183 days or more during the taxable year of the disposition, and certain other requirements are met; or</w:t>
      </w:r>
    </w:p>
    <w:p>
      <w:pPr>
        <w:spacing w:after="0" w:line="52" w:lineRule="exact"/>
        <w:rPr>
          <w:rFonts w:ascii="Times New Roman" w:cs="Times New Roman" w:eastAsia="Times New Roman" w:hAnsi="Times New Roman"/>
          <w:sz w:val="13"/>
          <w:szCs w:val="13"/>
          <w:color w:val="auto"/>
        </w:rPr>
      </w:pPr>
    </w:p>
    <w:p>
      <w:pPr>
        <w:ind w:left="2380" w:right="599" w:hanging="381"/>
        <w:spacing w:after="0" w:line="258" w:lineRule="auto"/>
        <w:tabs>
          <w:tab w:leader="none" w:pos="238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Class A common stock constitutes a “United States real property interest” by reason of our status as a United States real property holding corporation, or USRPHC, for U.S. federal income tax purposes at any time within the shorter of the five-year period preceding the disposition or the non-U.S. holder’s holding period for our Class A common stock, and our Class A common stock is not regularly traded on an established securities market during the calendar year in which the sale or other disposition occurs.</w:t>
      </w:r>
    </w:p>
    <w:p>
      <w:pPr>
        <w:spacing w:after="0" w:line="133" w:lineRule="exact"/>
        <w:rPr>
          <w:sz w:val="20"/>
          <w:szCs w:val="20"/>
          <w:color w:val="auto"/>
        </w:rPr>
      </w:pPr>
    </w:p>
    <w:p>
      <w:pPr>
        <w:jc w:val="both"/>
        <w:ind w:left="1680" w:right="559" w:firstLine="316"/>
        <w:spacing w:after="0" w:line="263" w:lineRule="auto"/>
        <w:rPr>
          <w:sz w:val="20"/>
          <w:szCs w:val="20"/>
          <w:color w:val="auto"/>
        </w:rPr>
      </w:pPr>
      <w:r>
        <w:rPr>
          <w:rFonts w:ascii="Times New Roman" w:cs="Times New Roman" w:eastAsia="Times New Roman" w:hAnsi="Times New Roman"/>
          <w:sz w:val="13"/>
          <w:szCs w:val="13"/>
          <w:color w:val="auto"/>
        </w:rPr>
        <w:t>Determining whether we are a USRPHC depends on the fair market value of our U.S. real property interests relative to the fair market value of our other trade or business assets and our foreign real property interests. We believe that we are not currently and do not anticipate becoming a USRPHC for U.S. federal income tax purposes, although there can be no assurance we will not in the future become a USRPHC.</w:t>
      </w:r>
    </w:p>
    <w:p>
      <w:pPr>
        <w:spacing w:after="0" w:line="129" w:lineRule="exact"/>
        <w:rPr>
          <w:sz w:val="20"/>
          <w:szCs w:val="20"/>
          <w:color w:val="auto"/>
        </w:rPr>
      </w:pPr>
    </w:p>
    <w:p>
      <w:pPr>
        <w:ind w:left="1680" w:right="639" w:firstLine="316"/>
        <w:spacing w:after="0" w:line="254" w:lineRule="auto"/>
        <w:rPr>
          <w:sz w:val="20"/>
          <w:szCs w:val="20"/>
          <w:color w:val="auto"/>
        </w:rPr>
      </w:pPr>
      <w:r>
        <w:rPr>
          <w:rFonts w:ascii="Times New Roman" w:cs="Times New Roman" w:eastAsia="Times New Roman" w:hAnsi="Times New Roman"/>
          <w:sz w:val="13"/>
          <w:szCs w:val="13"/>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155</w:t>
      </w:r>
    </w:p>
    <w:p>
      <w:pPr>
        <w:sectPr>
          <w:pgSz w:w="11900" w:h="16838" w:orient="portrait"/>
          <w:cols w:equalWidth="0" w:num="1">
            <w:col w:w="10159"/>
          </w:cols>
          <w:pgMar w:left="300" w:top="367" w:right="1440" w:bottom="1440" w:gutter="0" w:footer="0" w:header="0"/>
        </w:sectPr>
      </w:pPr>
    </w:p>
    <w:bookmarkStart w:id="160" w:name="page161"/>
    <w:bookmarkEnd w:id="16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19"/>
        <w:spacing w:after="0" w:line="256" w:lineRule="auto"/>
        <w:rPr>
          <w:sz w:val="20"/>
          <w:szCs w:val="20"/>
          <w:color w:val="auto"/>
        </w:rPr>
      </w:pPr>
      <w:r>
        <w:rPr>
          <w:rFonts w:ascii="Times New Roman" w:cs="Times New Roman" w:eastAsia="Times New Roman" w:hAnsi="Times New Roman"/>
          <w:sz w:val="13"/>
          <w:szCs w:val="13"/>
          <w:color w:val="auto"/>
        </w:rPr>
        <w:t>is not considered a resident of the United States), provided that the non-U.S. holder has timely filed U.S. federal income tax returns with respect to such losses. Gain described in the third bullet point above will generally be subject to U.S. federal income tax in the same manner as gain that is effectively connected with the conduct of a U.S. trade or business (subject to any provisions under an applicable income tax treaty), except that the branch profits tax generally will not apply. Non-U.S. holders should consult their tax advisors regarding any applicable income tax treaties that may provide for different rules.</w:t>
      </w:r>
    </w:p>
    <w:p>
      <w:pPr>
        <w:spacing w:after="0" w:line="20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Information Reporting and Backup Withholding</w:t>
      </w:r>
    </w:p>
    <w:p>
      <w:pPr>
        <w:spacing w:after="0" w:line="85" w:lineRule="exact"/>
        <w:rPr>
          <w:sz w:val="20"/>
          <w:szCs w:val="20"/>
          <w:color w:val="auto"/>
        </w:rPr>
      </w:pPr>
    </w:p>
    <w:p>
      <w:pPr>
        <w:ind w:left="1680" w:right="639" w:firstLine="316"/>
        <w:spacing w:after="0" w:line="252" w:lineRule="auto"/>
        <w:rPr>
          <w:sz w:val="20"/>
          <w:szCs w:val="20"/>
          <w:color w:val="auto"/>
        </w:rPr>
      </w:pPr>
      <w:r>
        <w:rPr>
          <w:rFonts w:ascii="Times New Roman" w:cs="Times New Roman" w:eastAsia="Times New Roman" w:hAnsi="Times New Roman"/>
          <w:sz w:val="13"/>
          <w:szCs w:val="13"/>
          <w:color w:val="auto"/>
        </w:rPr>
        <w:t>Annual reports are required to be filed with the IRS and provided to each non-U.S. holder indicating the amount of dividends on our Class A common stock paid to such holder and the amount of any tax withheld with respect to those dividends. These information reporting requirements apply even if no withholding was required because the dividends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Class A common stock provided the non-U.S. holder furnishes the required certification for its non-U.S. status, such as by providing a valid IRS Form W-8BEN, IRS Form W-8BEN-E, or IRS Form W-8ECI (or applicable successor form), or certain other requirements are met. Backup withholding may apply if the payor has actual knowledge, or reason to know, that the holder is a U.S. person who is not an exempt recipient.</w:t>
      </w:r>
    </w:p>
    <w:p>
      <w:pPr>
        <w:spacing w:after="0" w:line="138" w:lineRule="exact"/>
        <w:rPr>
          <w:sz w:val="20"/>
          <w:szCs w:val="20"/>
          <w:color w:val="auto"/>
        </w:rPr>
      </w:pPr>
    </w:p>
    <w:p>
      <w:pPr>
        <w:ind w:left="1680" w:right="579" w:firstLine="316"/>
        <w:spacing w:after="0" w:line="263" w:lineRule="auto"/>
        <w:rPr>
          <w:sz w:val="20"/>
          <w:szCs w:val="20"/>
          <w:color w:val="auto"/>
        </w:rPr>
      </w:pPr>
      <w:r>
        <w:rPr>
          <w:rFonts w:ascii="Times New Roman" w:cs="Times New Roman" w:eastAsia="Times New Roman" w:hAnsi="Times New Roman"/>
          <w:sz w:val="13"/>
          <w:szCs w:val="13"/>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Withholding on Foreign Entities</w:t>
      </w:r>
    </w:p>
    <w:p>
      <w:pPr>
        <w:spacing w:after="0" w:line="85" w:lineRule="exact"/>
        <w:rPr>
          <w:sz w:val="20"/>
          <w:szCs w:val="20"/>
          <w:color w:val="auto"/>
        </w:rPr>
      </w:pPr>
    </w:p>
    <w:p>
      <w:pPr>
        <w:ind w:left="1680" w:right="579" w:firstLine="316"/>
        <w:spacing w:after="0" w:line="251" w:lineRule="auto"/>
        <w:rPr>
          <w:sz w:val="20"/>
          <w:szCs w:val="20"/>
          <w:color w:val="auto"/>
        </w:rPr>
      </w:pPr>
      <w:r>
        <w:rPr>
          <w:rFonts w:ascii="Times New Roman" w:cs="Times New Roman" w:eastAsia="Times New Roman" w:hAnsi="Times New Roman"/>
          <w:sz w:val="13"/>
          <w:szCs w:val="13"/>
          <w:color w:val="auto"/>
        </w:rPr>
        <w:t>Sections 1471 through 1474 of the Code (commonly referred to as FATCA) impose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either certifies that it does not have any “substantial United States owners” as defined in the Code or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The withholding provisions described above currently apply to payments of dividends on our Class A common stock. Subject to the recently released proposed Treasury Regulations described below, FATCA will also apply to gross proceeds from sales or other dispositions of our Class A common stock after December 31, 2018. The Treasury Department recently released proposed regulations which, if finalized in their present form, would eliminate the federal withholding tax of 30% applicable to the gross proceeds of a sale or other disposition of our Class A common stock. In its preamble to such proposed regulations, the U.S. Treasury Department stated that taxpayers may generally rely on the proposed regulations until final regulations are issued.</w:t>
      </w:r>
    </w:p>
    <w:p>
      <w:pPr>
        <w:spacing w:after="0" w:line="138" w:lineRule="exact"/>
        <w:rPr>
          <w:sz w:val="20"/>
          <w:szCs w:val="20"/>
          <w:color w:val="auto"/>
        </w:rPr>
      </w:pPr>
    </w:p>
    <w:p>
      <w:pPr>
        <w:ind w:left="1680" w:right="679" w:firstLine="316"/>
        <w:spacing w:after="0" w:line="277" w:lineRule="auto"/>
        <w:rPr>
          <w:sz w:val="20"/>
          <w:szCs w:val="20"/>
          <w:color w:val="auto"/>
        </w:rPr>
      </w:pPr>
      <w:r>
        <w:rPr>
          <w:rFonts w:ascii="Times New Roman" w:cs="Times New Roman" w:eastAsia="Times New Roman" w:hAnsi="Times New Roman"/>
          <w:sz w:val="13"/>
          <w:szCs w:val="13"/>
          <w:color w:val="auto"/>
        </w:rPr>
        <w:t>Prospective investors are encouraged to consult with their own tax advisors regarding the possible implications of FATCA on their investment in our Class A common stock.</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156</w:t>
      </w:r>
    </w:p>
    <w:p>
      <w:pPr>
        <w:sectPr>
          <w:pgSz w:w="11900" w:h="16838" w:orient="portrait"/>
          <w:cols w:equalWidth="0" w:num="1">
            <w:col w:w="10159"/>
          </w:cols>
          <w:pgMar w:left="300" w:top="367" w:right="1440" w:bottom="1440" w:gutter="0" w:footer="0" w:header="0"/>
        </w:sectPr>
      </w:pPr>
    </w:p>
    <w:bookmarkStart w:id="161" w:name="page162"/>
    <w:bookmarkEnd w:id="16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PLAN OF DISTRIBUTION</w:t>
      </w:r>
    </w:p>
    <w:p>
      <w:pPr>
        <w:spacing w:after="0" w:line="163" w:lineRule="exact"/>
        <w:rPr>
          <w:sz w:val="20"/>
          <w:szCs w:val="20"/>
          <w:color w:val="auto"/>
        </w:rPr>
      </w:pPr>
    </w:p>
    <w:p>
      <w:pPr>
        <w:ind w:left="1680" w:right="599" w:firstLine="316"/>
        <w:spacing w:after="0" w:line="253" w:lineRule="auto"/>
        <w:rPr>
          <w:sz w:val="20"/>
          <w:szCs w:val="20"/>
          <w:color w:val="auto"/>
        </w:rPr>
      </w:pPr>
      <w:r>
        <w:rPr>
          <w:rFonts w:ascii="Times New Roman" w:cs="Times New Roman" w:eastAsia="Times New Roman" w:hAnsi="Times New Roman"/>
          <w:sz w:val="13"/>
          <w:szCs w:val="13"/>
          <w:color w:val="auto"/>
        </w:rPr>
        <w:t>The Registered Stockholders may sell their shares of Class A common stock covered hereby pursuant to brokerage transactions on the NYSE, or other public exchanges or registered alternative trading venues, at prevailing market prices at any time after the shares of Class A common stock are listed for trading. We are not party to any arrangement with any Registered Stockholder or any broker-dealer with respect to sales of shares of Class A common stock by the Registered Stockholders, except we have engaged financial advisors with respect to certain other matters relating to our listing, as further described below. As such, we will have no input if and when any Registered Stockholder may, or may not, elect to sell their shares of Class A common stock or the prices at which any such sales may occur, and there can be no assurance that any Registered Stockholders will sell any or all of the shares of Class A common stock covered by this prospectus.</w:t>
      </w:r>
    </w:p>
    <w:p>
      <w:pPr>
        <w:spacing w:after="0" w:line="138" w:lineRule="exact"/>
        <w:rPr>
          <w:sz w:val="20"/>
          <w:szCs w:val="20"/>
          <w:color w:val="auto"/>
        </w:rPr>
      </w:pPr>
    </w:p>
    <w:p>
      <w:pPr>
        <w:ind w:left="1680" w:right="579" w:firstLine="316"/>
        <w:spacing w:after="0" w:line="295" w:lineRule="auto"/>
        <w:rPr>
          <w:sz w:val="20"/>
          <w:szCs w:val="20"/>
          <w:color w:val="auto"/>
        </w:rPr>
      </w:pPr>
      <w:r>
        <w:rPr>
          <w:rFonts w:ascii="Times New Roman" w:cs="Times New Roman" w:eastAsia="Times New Roman" w:hAnsi="Times New Roman"/>
          <w:sz w:val="12"/>
          <w:szCs w:val="12"/>
          <w:color w:val="auto"/>
        </w:rPr>
        <w:t>We will not receive any proceeds from the sale of shares of Class A common stock by the Registered Stockholders. We expect to recognize certain non-recurring costs as part of our transition to a publicly-traded company, consisting of professional fees and other expenses. As part of our direct listing, these fees will be expensed in the period incurred and not deducted from net proceeds to the issuer as they would be in an initial public offering.</w:t>
      </w:r>
    </w:p>
    <w:p>
      <w:pPr>
        <w:spacing w:after="0" w:line="112" w:lineRule="exact"/>
        <w:rPr>
          <w:sz w:val="20"/>
          <w:szCs w:val="20"/>
          <w:color w:val="auto"/>
        </w:rPr>
      </w:pPr>
    </w:p>
    <w:p>
      <w:pPr>
        <w:ind w:left="1680" w:right="559" w:firstLine="316"/>
        <w:spacing w:after="0" w:line="251" w:lineRule="auto"/>
        <w:rPr>
          <w:sz w:val="20"/>
          <w:szCs w:val="20"/>
          <w:color w:val="auto"/>
        </w:rPr>
      </w:pPr>
      <w:r>
        <w:rPr>
          <w:rFonts w:ascii="Times New Roman" w:cs="Times New Roman" w:eastAsia="Times New Roman" w:hAnsi="Times New Roman"/>
          <w:sz w:val="13"/>
          <w:szCs w:val="13"/>
          <w:color w:val="auto"/>
        </w:rPr>
        <w:t>We have engaged Morgan Stanley, J.P. Morgan, Credit Suisse, and Jefferies as our financial advisors to advise and assist us with respect to certain matters relating to our listing, including defining our objectives with respect to the filing of the registration statement of which this prospectus forms a part and the listing of our Class A common stock on the NYSE, the preparation of the registration statement of which this prospectus forms a part, and the preparation of investor communications and presentations in connection with investor education, and to be available to consult with the DMM who will be setting the opening public price of our Class A common stock on the NYSE. However, the financial advisors have not been engaged to participate in investor meetings or to otherwise facilitate or coordinate price discovery activities or sales of our Class A common stock in consultation with us, except as described herein with respect to consultation with the DMM on the opening public price in accordance with NYSE rules. We have also engaged RBC Capital Markets, LLC, JMP Securities LLC, KeyBanc Capital Markets Inc., Oppenheimer &amp; Co. Inc., and Piper Sandler &amp; Co. as our associate financial advisors to advise and assist us with respect to certain matters relating to our listing, including the preparation of the registration statement of which this prospectus forms a part and the preparation of investor communications and presentations in connection with investor education. However, the associate financial advisors have not been engaged to participate in investor meetings or to otherwise facilitate or coordinate price discovery activities or sales of our Class A common stock in consultation with us.</w:t>
      </w:r>
    </w:p>
    <w:p>
      <w:pPr>
        <w:spacing w:after="0" w:line="140" w:lineRule="exact"/>
        <w:rPr>
          <w:sz w:val="20"/>
          <w:szCs w:val="20"/>
          <w:color w:val="auto"/>
        </w:rPr>
      </w:pPr>
    </w:p>
    <w:p>
      <w:pPr>
        <w:ind w:left="1680" w:right="579" w:firstLine="316"/>
        <w:spacing w:after="0" w:line="251" w:lineRule="auto"/>
        <w:rPr>
          <w:sz w:val="20"/>
          <w:szCs w:val="20"/>
          <w:color w:val="auto"/>
        </w:rPr>
      </w:pPr>
      <w:r>
        <w:rPr>
          <w:rFonts w:ascii="Times New Roman" w:cs="Times New Roman" w:eastAsia="Times New Roman" w:hAnsi="Times New Roman"/>
          <w:sz w:val="13"/>
          <w:szCs w:val="13"/>
          <w:color w:val="auto"/>
        </w:rPr>
        <w:t>The DMM, acting pursuant to its obligations under the rules of the NYSE, is responsible for facilitating an orderly market for our Class A common stock. Based on information provided to the NYSE, the opening public price of our Class A common stock on the NYSE will be determined by buy and sell orders collected by the NYSE from various broker-dealers and will be set based on the DMM’s determination of where buy orders can be matched with sell orders at a single price. On the NYSE, buy orders priced equal to or higher than the opening public price and sell orders priced lower than or equal to the opening public price will participate in that opening trade. In accordance with NYSE rules, because there has not been a recent sustained history of trading in our common stock in a private placement market prior to listing, the DMM will consult with Morgan Stanley in order for the DMM to effect a fair and orderly opening of our Class A common stock on the NYSE, without coordination with us, consistent with the federal securities laws in connection with our direct listing. In addition, the DMM may also consult with our other financial advisors, also without coordination with us, in connection with our direct listing. Pursuant to such NYSE rules, and based upon information known to it at that time, Morgan Stanley and our other financial advisors are expected to provide input to the DMM regarding their understanding of the ownership of our outstanding common stock and pre-listing selling and buying interest in our Class A common stock that they become aware of from potential investors and holders of our Class A common stock, including after consultation with certain institutional investors (which may include certain of the Registered Stockholders), in each case, without coordination with us. We will endeavor, and it is our</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157</w:t>
      </w:r>
    </w:p>
    <w:p>
      <w:pPr>
        <w:sectPr>
          <w:pgSz w:w="11900" w:h="16838" w:orient="portrait"/>
          <w:cols w:equalWidth="0" w:num="1">
            <w:col w:w="10159"/>
          </w:cols>
          <w:pgMar w:left="300" w:top="368" w:right="1440" w:bottom="1440" w:gutter="0" w:footer="0" w:header="0"/>
        </w:sectPr>
      </w:pPr>
    </w:p>
    <w:bookmarkStart w:id="162" w:name="page163"/>
    <w:bookmarkEnd w:id="16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59"/>
        <w:spacing w:after="0" w:line="252" w:lineRule="auto"/>
        <w:rPr>
          <w:sz w:val="20"/>
          <w:szCs w:val="20"/>
          <w:color w:val="auto"/>
        </w:rPr>
      </w:pPr>
      <w:r>
        <w:rPr>
          <w:rFonts w:ascii="Times New Roman" w:cs="Times New Roman" w:eastAsia="Times New Roman" w:hAnsi="Times New Roman"/>
          <w:sz w:val="13"/>
          <w:szCs w:val="13"/>
          <w:color w:val="auto"/>
        </w:rPr>
        <w:t>understanding that the financial advisors and any affiliated persons each will endeavor, to conduct our and their activities specifically in compliance with Regulation M (to the extent that Regulation M applies to such activities). Morgan Stanley and certain of our other financial advisors, in their capacity as financial advisors to the Company, and who are available to consult with the DMM in accordance with NYSE rules, are expected to provide the DMM with our fair value per share, as determined by our most recently completed independent common stock valuation report, which was $16.27 per share of Class A common stock and Class B common stock as of July 31, 2020. The common stock valuation report was prepared by an independent third party on behalf of the Company, and no financial advisor or associate financial advisor participated in the preparation of such report. The DMM, in consultation with Morgan Stanley and our other financial advisors, is also expected to consider the information in the section titled “Sale Price History of our Capital Stock.” The Registered Stockholders, including Dustin Moskovitz, Justin Rosenstein, Matthew Cohler and Benchmark Capital Partners VI, L.P., will not be involved in the DMM’s process to establish the opening public price, including any decision regarding the timing of the opening trade.</w:t>
      </w:r>
    </w:p>
    <w:p>
      <w:pPr>
        <w:spacing w:after="0" w:line="136" w:lineRule="exact"/>
        <w:rPr>
          <w:sz w:val="20"/>
          <w:szCs w:val="20"/>
          <w:color w:val="auto"/>
        </w:rPr>
      </w:pPr>
    </w:p>
    <w:p>
      <w:pPr>
        <w:ind w:left="1680" w:right="639" w:firstLine="316"/>
        <w:spacing w:after="0" w:line="254" w:lineRule="auto"/>
        <w:rPr>
          <w:sz w:val="20"/>
          <w:szCs w:val="20"/>
          <w:color w:val="auto"/>
        </w:rPr>
      </w:pPr>
      <w:r>
        <w:rPr>
          <w:rFonts w:ascii="Times New Roman" w:cs="Times New Roman" w:eastAsia="Times New Roman" w:hAnsi="Times New Roman"/>
          <w:sz w:val="13"/>
          <w:szCs w:val="13"/>
          <w:color w:val="auto"/>
        </w:rPr>
        <w:t>Similar to how a security being offered in an underwritten initial public offering would open on the first day of trading, before the opening public price of our Class A common stock is determined, the DMM may publish one or more pre-opening indications on the first day of trading, which provides the market with a price range of where the DMM anticipates the opening public price will be, based on the buy and sell orders entered on the NYSE. The pre-opening indications will be available on the consolidated tape and NYSE market data feeds on the first day of trading. As part of this opening process, the DMM will continue to update the pre-opening indication until the buy and sell orders reach equilibrium and can be priced by offsetting one another to determine the opening public price of our Class A common stock.</w:t>
      </w:r>
    </w:p>
    <w:p>
      <w:pPr>
        <w:spacing w:after="0" w:line="136" w:lineRule="exact"/>
        <w:rPr>
          <w:sz w:val="20"/>
          <w:szCs w:val="20"/>
          <w:color w:val="auto"/>
        </w:rPr>
      </w:pPr>
    </w:p>
    <w:p>
      <w:pPr>
        <w:ind w:left="1680" w:right="559" w:firstLine="316"/>
        <w:spacing w:after="0" w:line="253" w:lineRule="auto"/>
        <w:rPr>
          <w:sz w:val="20"/>
          <w:szCs w:val="20"/>
          <w:color w:val="auto"/>
        </w:rPr>
      </w:pPr>
      <w:r>
        <w:rPr>
          <w:rFonts w:ascii="Times New Roman" w:cs="Times New Roman" w:eastAsia="Times New Roman" w:hAnsi="Times New Roman"/>
          <w:sz w:val="13"/>
          <w:szCs w:val="13"/>
          <w:color w:val="auto"/>
        </w:rPr>
        <w:t>In connection with the process described above, a DMM in a direct listing may have less information available to it to determine the opening public price of our Class A common stock than a DMM would in an underwritten initial public offering. For example, because our financial advisors are not acting as underwriters, they will not have engaged in a book building process, and as a result, they will not be able to provide input to the DMM that is based on or informed by that process. Moreover, prior to the opening trade, there will not be a price at which underwriters initially sold shares of Class A common stock to the public as there would be in an underwritten initial public offering. This lack of an initial public offering price could impact the range of buy and sell orders collected by the NYSE from various broker-dealers. Consequently, the public price of our Class A common stock may be more volatile than in an underwritten initial public offering and could, upon listing on the NYSE, decline significantly and rapidly. See the section titled “Risk Factors—Risks Related to Ownership of Our Class A Common Stock.”</w:t>
      </w:r>
    </w:p>
    <w:p>
      <w:pPr>
        <w:spacing w:after="0" w:line="135" w:lineRule="exact"/>
        <w:rPr>
          <w:sz w:val="20"/>
          <w:szCs w:val="20"/>
          <w:color w:val="auto"/>
        </w:rPr>
      </w:pPr>
    </w:p>
    <w:p>
      <w:pPr>
        <w:ind w:left="1680" w:right="1099" w:firstLine="316"/>
        <w:spacing w:after="0" w:line="277" w:lineRule="auto"/>
        <w:rPr>
          <w:sz w:val="20"/>
          <w:szCs w:val="20"/>
          <w:color w:val="auto"/>
        </w:rPr>
      </w:pPr>
      <w:r>
        <w:rPr>
          <w:rFonts w:ascii="Times New Roman" w:cs="Times New Roman" w:eastAsia="Times New Roman" w:hAnsi="Times New Roman"/>
          <w:sz w:val="13"/>
          <w:szCs w:val="13"/>
          <w:color w:val="auto"/>
        </w:rPr>
        <w:t>In addition to sales made pursuant to this prospectus, the shares of Class A common stock covered by this prospectus may be sold by the Registered Stockholders in private transactions exempt from the registration requirements of the Securities Act.</w:t>
      </w:r>
    </w:p>
    <w:p>
      <w:pPr>
        <w:spacing w:after="0" w:line="120" w:lineRule="exact"/>
        <w:rPr>
          <w:sz w:val="20"/>
          <w:szCs w:val="20"/>
          <w:color w:val="auto"/>
        </w:rPr>
      </w:pPr>
    </w:p>
    <w:p>
      <w:pPr>
        <w:ind w:left="1680" w:right="559" w:firstLine="316"/>
        <w:spacing w:after="0" w:line="277" w:lineRule="auto"/>
        <w:rPr>
          <w:sz w:val="20"/>
          <w:szCs w:val="20"/>
          <w:color w:val="auto"/>
        </w:rPr>
      </w:pPr>
      <w:r>
        <w:rPr>
          <w:rFonts w:ascii="Times New Roman" w:cs="Times New Roman" w:eastAsia="Times New Roman" w:hAnsi="Times New Roman"/>
          <w:sz w:val="13"/>
          <w:szCs w:val="13"/>
          <w:color w:val="auto"/>
        </w:rPr>
        <w:t>Under the securities laws of some states, shares of Class A common stock may be sold in such states only through registered or licensed brokers or dealers.</w:t>
      </w:r>
    </w:p>
    <w:p>
      <w:pPr>
        <w:spacing w:after="0" w:line="120" w:lineRule="exact"/>
        <w:rPr>
          <w:sz w:val="20"/>
          <w:szCs w:val="20"/>
          <w:color w:val="auto"/>
        </w:rPr>
      </w:pPr>
    </w:p>
    <w:p>
      <w:pPr>
        <w:ind w:left="1680" w:right="639" w:firstLine="316"/>
        <w:spacing w:after="0" w:line="263" w:lineRule="auto"/>
        <w:rPr>
          <w:sz w:val="20"/>
          <w:szCs w:val="20"/>
          <w:color w:val="auto"/>
        </w:rPr>
      </w:pPr>
      <w:r>
        <w:rPr>
          <w:rFonts w:ascii="Times New Roman" w:cs="Times New Roman" w:eastAsia="Times New Roman" w:hAnsi="Times New Roman"/>
          <w:sz w:val="13"/>
          <w:szCs w:val="13"/>
          <w:color w:val="auto"/>
        </w:rPr>
        <w:t>If any of the Registered Stockholders utilize a broker-dealer in the sale of the shares of Class A common stock being offered by this prospectus, such broker-dealer may receive commissions in the form of discounts, concessions, or commissions from such Registered Stockholder, or commissions from purchasers of the shares of Class A common stock for whom they may act as agent or to whom they may sell as principal.</w:t>
      </w:r>
    </w:p>
    <w:p>
      <w:pPr>
        <w:spacing w:after="0" w:line="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158</w:t>
      </w:r>
    </w:p>
    <w:p>
      <w:pPr>
        <w:sectPr>
          <w:pgSz w:w="11900" w:h="16838" w:orient="portrait"/>
          <w:cols w:equalWidth="0" w:num="1">
            <w:col w:w="10159"/>
          </w:cols>
          <w:pgMar w:left="300" w:top="367" w:right="1440" w:bottom="1440" w:gutter="0" w:footer="0" w:header="0"/>
        </w:sectPr>
      </w:pPr>
    </w:p>
    <w:bookmarkStart w:id="163" w:name="page164"/>
    <w:bookmarkEnd w:id="16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LEGAL MATTERS</w:t>
      </w:r>
    </w:p>
    <w:p>
      <w:pPr>
        <w:spacing w:after="0" w:line="163" w:lineRule="exact"/>
        <w:rPr>
          <w:sz w:val="20"/>
          <w:szCs w:val="20"/>
          <w:color w:val="auto"/>
        </w:rPr>
      </w:pPr>
    </w:p>
    <w:p>
      <w:pPr>
        <w:ind w:left="1680" w:right="799" w:firstLine="316"/>
        <w:spacing w:after="0" w:line="277" w:lineRule="auto"/>
        <w:rPr>
          <w:sz w:val="20"/>
          <w:szCs w:val="20"/>
          <w:color w:val="auto"/>
        </w:rPr>
      </w:pPr>
      <w:r>
        <w:rPr>
          <w:rFonts w:ascii="Times New Roman" w:cs="Times New Roman" w:eastAsia="Times New Roman" w:hAnsi="Times New Roman"/>
          <w:sz w:val="13"/>
          <w:szCs w:val="13"/>
          <w:color w:val="auto"/>
        </w:rPr>
        <w:t>Cooley LLP, Palo Alto, California, and Orrick, Herrington &amp; Sutcliffe LLP, Menlo Park, California, are our legal advisors. Latham &amp; Watkins LLP is legal advisor to the financial advisors.</w:t>
      </w:r>
    </w:p>
    <w:p>
      <w:pPr>
        <w:spacing w:after="0" w:line="27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EXPERTS</w:t>
      </w:r>
    </w:p>
    <w:p>
      <w:pPr>
        <w:spacing w:after="0" w:line="163" w:lineRule="exact"/>
        <w:rPr>
          <w:sz w:val="20"/>
          <w:szCs w:val="20"/>
          <w:color w:val="auto"/>
        </w:rPr>
      </w:pPr>
    </w:p>
    <w:p>
      <w:pPr>
        <w:ind w:left="1680" w:right="659" w:firstLine="316"/>
        <w:spacing w:after="0" w:line="263" w:lineRule="auto"/>
        <w:rPr>
          <w:sz w:val="20"/>
          <w:szCs w:val="20"/>
          <w:color w:val="auto"/>
        </w:rPr>
      </w:pPr>
      <w:r>
        <w:rPr>
          <w:rFonts w:ascii="Times New Roman" w:cs="Times New Roman" w:eastAsia="Times New Roman" w:hAnsi="Times New Roman"/>
          <w:sz w:val="13"/>
          <w:szCs w:val="13"/>
          <w:color w:val="auto"/>
        </w:rPr>
        <w:t>The financial statements as of January 31, 2019 and 2020 and for each of the two years in the period ended January 31, 2020 included in this prospectus have been so included in reliance on the report of PricewaterhouseCoopers LLP, an independent registered public accounting firm, given on the authority of said firm as experts in auditing and accounting.</w:t>
      </w:r>
    </w:p>
    <w:p>
      <w:pPr>
        <w:spacing w:after="0" w:line="28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WHERE YOU CAN FIND ADDITIONAL INFORMATION</w:t>
      </w:r>
    </w:p>
    <w:p>
      <w:pPr>
        <w:spacing w:after="0" w:line="163" w:lineRule="exact"/>
        <w:rPr>
          <w:sz w:val="20"/>
          <w:szCs w:val="20"/>
          <w:color w:val="auto"/>
        </w:rPr>
      </w:pPr>
    </w:p>
    <w:p>
      <w:pPr>
        <w:ind w:left="1680" w:right="619" w:firstLine="316"/>
        <w:spacing w:after="0" w:line="252" w:lineRule="auto"/>
        <w:rPr>
          <w:sz w:val="20"/>
          <w:szCs w:val="20"/>
          <w:color w:val="auto"/>
        </w:rPr>
      </w:pPr>
      <w:r>
        <w:rPr>
          <w:rFonts w:ascii="Times New Roman" w:cs="Times New Roman" w:eastAsia="Times New Roman" w:hAnsi="Times New Roman"/>
          <w:sz w:val="13"/>
          <w:szCs w:val="13"/>
          <w:color w:val="auto"/>
        </w:rPr>
        <w:t>We have filed with the SEC a registration statement on Form S-1 under the Securities Act with respect to the shares of Class A common stock covered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proxy statements, and other information about issuers like us that file electronically with the SEC. The address of that website is www.sec.gov.</w:t>
      </w:r>
    </w:p>
    <w:p>
      <w:pPr>
        <w:spacing w:after="0" w:line="138" w:lineRule="exact"/>
        <w:rPr>
          <w:sz w:val="20"/>
          <w:szCs w:val="20"/>
          <w:color w:val="auto"/>
        </w:rPr>
      </w:pPr>
    </w:p>
    <w:p>
      <w:pPr>
        <w:ind w:left="1680" w:right="579" w:firstLine="316"/>
        <w:spacing w:after="0" w:line="279" w:lineRule="auto"/>
        <w:rPr>
          <w:sz w:val="20"/>
          <w:szCs w:val="20"/>
          <w:color w:val="auto"/>
        </w:rPr>
      </w:pPr>
      <w:r>
        <w:rPr>
          <w:rFonts w:ascii="Times New Roman" w:cs="Times New Roman" w:eastAsia="Times New Roman" w:hAnsi="Times New Roman"/>
          <w:sz w:val="12"/>
          <w:szCs w:val="12"/>
          <w:color w:val="auto"/>
        </w:rPr>
        <w:t>Upon the effectiveness of the registration statement of which this prospectus forms a part,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website of the SEC referred to above. We also maintain a website at https://asana.com. Upon the effectiveness of the registration statement of which this prospectus forms a part,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159</w:t>
      </w:r>
    </w:p>
    <w:p>
      <w:pPr>
        <w:sectPr>
          <w:pgSz w:w="11900" w:h="16838" w:orient="portrait"/>
          <w:cols w:equalWidth="0" w:num="1">
            <w:col w:w="10159"/>
          </w:cols>
          <w:pgMar w:left="300" w:top="368" w:right="1440" w:bottom="1440" w:gutter="0" w:footer="0" w:header="0"/>
        </w:sectPr>
      </w:pPr>
    </w:p>
    <w:bookmarkStart w:id="164" w:name="page165"/>
    <w:bookmarkEnd w:id="16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ASANA, INC.</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INDEX TO CONSOLIDATED FINANCIAL STATEMENTS</w:t>
      </w:r>
    </w:p>
    <w:p>
      <w:pPr>
        <w:spacing w:after="0" w:line="164"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7600" w:type="dxa"/>
            <w:vAlign w:val="bottom"/>
            <w:vMerge w:val="restart"/>
          </w:tcPr>
          <w:p>
            <w:pPr>
              <w:spacing w:after="0"/>
              <w:rPr>
                <w:rFonts w:ascii="Times New Roman" w:cs="Times New Roman" w:eastAsia="Times New Roman" w:hAnsi="Times New Roman"/>
                <w:sz w:val="13"/>
                <w:szCs w:val="13"/>
                <w:u w:val="single" w:color="auto"/>
                <w:color w:val="0000EE"/>
              </w:rPr>
            </w:pPr>
            <w:hyperlink w:anchor="page166">
              <w:r>
                <w:rPr>
                  <w:rFonts w:ascii="Times New Roman" w:cs="Times New Roman" w:eastAsia="Times New Roman" w:hAnsi="Times New Roman"/>
                  <w:sz w:val="13"/>
                  <w:szCs w:val="13"/>
                  <w:u w:val="single" w:color="auto"/>
                  <w:color w:val="0000EE"/>
                </w:rPr>
                <w:t>Report of Independent Registered Public Accounting Firm</w:t>
              </w:r>
            </w:hyperlink>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Page</w:t>
            </w:r>
          </w:p>
        </w:tc>
        <w:tc>
          <w:tcPr>
            <w:tcW w:w="0" w:type="dxa"/>
            <w:vAlign w:val="bottom"/>
          </w:tcPr>
          <w:p>
            <w:pPr>
              <w:spacing w:after="0"/>
              <w:rPr>
                <w:sz w:val="1"/>
                <w:szCs w:val="1"/>
                <w:color w:val="auto"/>
              </w:rPr>
            </w:pPr>
          </w:p>
        </w:tc>
      </w:tr>
      <w:tr>
        <w:trPr>
          <w:trHeight w:val="132"/>
        </w:trPr>
        <w:tc>
          <w:tcPr>
            <w:tcW w:w="7600" w:type="dxa"/>
            <w:vAlign w:val="bottom"/>
            <w:vMerge w:val="continue"/>
          </w:tcPr>
          <w:p>
            <w:pPr>
              <w:spacing w:after="0"/>
              <w:rPr>
                <w:sz w:val="11"/>
                <w:szCs w:val="11"/>
                <w:color w:val="auto"/>
              </w:rPr>
            </w:pPr>
          </w:p>
        </w:tc>
        <w:tc>
          <w:tcPr>
            <w:tcW w:w="2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F-2</w:t>
            </w:r>
          </w:p>
        </w:tc>
        <w:tc>
          <w:tcPr>
            <w:tcW w:w="0" w:type="dxa"/>
            <w:vAlign w:val="bottom"/>
          </w:tcPr>
          <w:p>
            <w:pPr>
              <w:spacing w:after="0"/>
              <w:rPr>
                <w:sz w:val="1"/>
                <w:szCs w:val="1"/>
                <w:color w:val="auto"/>
              </w:rPr>
            </w:pPr>
          </w:p>
        </w:tc>
      </w:tr>
      <w:tr>
        <w:trPr>
          <w:trHeight w:val="155"/>
        </w:trPr>
        <w:tc>
          <w:tcPr>
            <w:tcW w:w="7600" w:type="dxa"/>
            <w:vAlign w:val="bottom"/>
          </w:tcPr>
          <w:p>
            <w:pPr>
              <w:spacing w:after="0"/>
              <w:rPr>
                <w:rFonts w:ascii="Times New Roman" w:cs="Times New Roman" w:eastAsia="Times New Roman" w:hAnsi="Times New Roman"/>
                <w:sz w:val="13"/>
                <w:szCs w:val="13"/>
                <w:u w:val="single" w:color="auto"/>
                <w:color w:val="0000EE"/>
              </w:rPr>
            </w:pPr>
            <w:hyperlink w:anchor="page167">
              <w:r>
                <w:rPr>
                  <w:rFonts w:ascii="Times New Roman" w:cs="Times New Roman" w:eastAsia="Times New Roman" w:hAnsi="Times New Roman"/>
                  <w:sz w:val="13"/>
                  <w:szCs w:val="13"/>
                  <w:u w:val="single" w:color="auto"/>
                  <w:color w:val="0000EE"/>
                </w:rPr>
                <w:t>Consolidated Balance Sheet</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F-3</w:t>
            </w:r>
          </w:p>
        </w:tc>
        <w:tc>
          <w:tcPr>
            <w:tcW w:w="0" w:type="dxa"/>
            <w:vAlign w:val="bottom"/>
          </w:tcPr>
          <w:p>
            <w:pPr>
              <w:spacing w:after="0"/>
              <w:rPr>
                <w:sz w:val="1"/>
                <w:szCs w:val="1"/>
                <w:color w:val="auto"/>
              </w:rPr>
            </w:pPr>
          </w:p>
        </w:tc>
      </w:tr>
      <w:tr>
        <w:trPr>
          <w:trHeight w:val="155"/>
        </w:trPr>
        <w:tc>
          <w:tcPr>
            <w:tcW w:w="7600" w:type="dxa"/>
            <w:vAlign w:val="bottom"/>
          </w:tcPr>
          <w:p>
            <w:pPr>
              <w:spacing w:after="0"/>
              <w:rPr>
                <w:rFonts w:ascii="Times New Roman" w:cs="Times New Roman" w:eastAsia="Times New Roman" w:hAnsi="Times New Roman"/>
                <w:sz w:val="13"/>
                <w:szCs w:val="13"/>
                <w:u w:val="single" w:color="auto"/>
                <w:color w:val="0000EE"/>
              </w:rPr>
            </w:pPr>
            <w:hyperlink w:anchor="page168">
              <w:r>
                <w:rPr>
                  <w:rFonts w:ascii="Times New Roman" w:cs="Times New Roman" w:eastAsia="Times New Roman" w:hAnsi="Times New Roman"/>
                  <w:sz w:val="13"/>
                  <w:szCs w:val="13"/>
                  <w:u w:val="single" w:color="auto"/>
                  <w:color w:val="0000EE"/>
                </w:rPr>
                <w:t>Consolidated Statement of Operations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F-4</w:t>
            </w:r>
          </w:p>
        </w:tc>
        <w:tc>
          <w:tcPr>
            <w:tcW w:w="0" w:type="dxa"/>
            <w:vAlign w:val="bottom"/>
          </w:tcPr>
          <w:p>
            <w:pPr>
              <w:spacing w:after="0"/>
              <w:rPr>
                <w:sz w:val="1"/>
                <w:szCs w:val="1"/>
                <w:color w:val="auto"/>
              </w:rPr>
            </w:pPr>
          </w:p>
        </w:tc>
      </w:tr>
      <w:tr>
        <w:trPr>
          <w:trHeight w:val="155"/>
        </w:trPr>
        <w:tc>
          <w:tcPr>
            <w:tcW w:w="7600" w:type="dxa"/>
            <w:vAlign w:val="bottom"/>
          </w:tcPr>
          <w:p>
            <w:pPr>
              <w:spacing w:after="0"/>
              <w:rPr>
                <w:rFonts w:ascii="Times New Roman" w:cs="Times New Roman" w:eastAsia="Times New Roman" w:hAnsi="Times New Roman"/>
                <w:sz w:val="13"/>
                <w:szCs w:val="13"/>
                <w:u w:val="single" w:color="auto"/>
                <w:color w:val="0000EE"/>
              </w:rPr>
            </w:pPr>
            <w:hyperlink w:anchor="page169">
              <w:r>
                <w:rPr>
                  <w:rFonts w:ascii="Times New Roman" w:cs="Times New Roman" w:eastAsia="Times New Roman" w:hAnsi="Times New Roman"/>
                  <w:sz w:val="13"/>
                  <w:szCs w:val="13"/>
                  <w:u w:val="single" w:color="auto"/>
                  <w:color w:val="0000EE"/>
                </w:rPr>
                <w:t>Consolidated Statement of Comprehensive Loss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F-5</w:t>
            </w:r>
          </w:p>
        </w:tc>
        <w:tc>
          <w:tcPr>
            <w:tcW w:w="0" w:type="dxa"/>
            <w:vAlign w:val="bottom"/>
          </w:tcPr>
          <w:p>
            <w:pPr>
              <w:spacing w:after="0"/>
              <w:rPr>
                <w:sz w:val="1"/>
                <w:szCs w:val="1"/>
                <w:color w:val="auto"/>
              </w:rPr>
            </w:pPr>
          </w:p>
        </w:tc>
      </w:tr>
      <w:tr>
        <w:trPr>
          <w:trHeight w:val="155"/>
        </w:trPr>
        <w:tc>
          <w:tcPr>
            <w:tcW w:w="7600" w:type="dxa"/>
            <w:vAlign w:val="bottom"/>
          </w:tcPr>
          <w:p>
            <w:pPr>
              <w:spacing w:after="0"/>
              <w:rPr>
                <w:rFonts w:ascii="Times New Roman" w:cs="Times New Roman" w:eastAsia="Times New Roman" w:hAnsi="Times New Roman"/>
                <w:sz w:val="13"/>
                <w:szCs w:val="13"/>
                <w:u w:val="single" w:color="auto"/>
                <w:color w:val="0000EE"/>
              </w:rPr>
            </w:pPr>
            <w:hyperlink w:anchor="page170">
              <w:r>
                <w:rPr>
                  <w:rFonts w:ascii="Times New Roman" w:cs="Times New Roman" w:eastAsia="Times New Roman" w:hAnsi="Times New Roman"/>
                  <w:sz w:val="13"/>
                  <w:szCs w:val="13"/>
                  <w:u w:val="single" w:color="auto"/>
                  <w:color w:val="0000EE"/>
                </w:rPr>
                <w:t>Consolidated Statement of Redeemable Convertible Preferred Stock and Stockholders’ Deficit</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F-6</w:t>
            </w:r>
          </w:p>
        </w:tc>
        <w:tc>
          <w:tcPr>
            <w:tcW w:w="0" w:type="dxa"/>
            <w:vAlign w:val="bottom"/>
          </w:tcPr>
          <w:p>
            <w:pPr>
              <w:spacing w:after="0"/>
              <w:rPr>
                <w:sz w:val="1"/>
                <w:szCs w:val="1"/>
                <w:color w:val="auto"/>
              </w:rPr>
            </w:pPr>
          </w:p>
        </w:tc>
      </w:tr>
      <w:tr>
        <w:trPr>
          <w:trHeight w:val="155"/>
        </w:trPr>
        <w:tc>
          <w:tcPr>
            <w:tcW w:w="7600" w:type="dxa"/>
            <w:vAlign w:val="bottom"/>
          </w:tcPr>
          <w:p>
            <w:pPr>
              <w:spacing w:after="0"/>
              <w:rPr>
                <w:rFonts w:ascii="Times New Roman" w:cs="Times New Roman" w:eastAsia="Times New Roman" w:hAnsi="Times New Roman"/>
                <w:sz w:val="13"/>
                <w:szCs w:val="13"/>
                <w:u w:val="single" w:color="auto"/>
                <w:color w:val="0000EE"/>
              </w:rPr>
            </w:pPr>
            <w:hyperlink w:anchor="page172">
              <w:r>
                <w:rPr>
                  <w:rFonts w:ascii="Times New Roman" w:cs="Times New Roman" w:eastAsia="Times New Roman" w:hAnsi="Times New Roman"/>
                  <w:sz w:val="13"/>
                  <w:szCs w:val="13"/>
                  <w:u w:val="single" w:color="auto"/>
                  <w:color w:val="0000EE"/>
                </w:rPr>
                <w:t>Consolidated Statement of Cash Flows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F-8</w:t>
            </w:r>
          </w:p>
        </w:tc>
        <w:tc>
          <w:tcPr>
            <w:tcW w:w="0" w:type="dxa"/>
            <w:vAlign w:val="bottom"/>
          </w:tcPr>
          <w:p>
            <w:pPr>
              <w:spacing w:after="0"/>
              <w:rPr>
                <w:sz w:val="1"/>
                <w:szCs w:val="1"/>
                <w:color w:val="auto"/>
              </w:rPr>
            </w:pPr>
          </w:p>
        </w:tc>
      </w:tr>
      <w:tr>
        <w:trPr>
          <w:trHeight w:val="167"/>
        </w:trPr>
        <w:tc>
          <w:tcPr>
            <w:tcW w:w="7600" w:type="dxa"/>
            <w:vAlign w:val="bottom"/>
          </w:tcPr>
          <w:p>
            <w:pPr>
              <w:spacing w:after="0"/>
              <w:rPr>
                <w:rFonts w:ascii="Times New Roman" w:cs="Times New Roman" w:eastAsia="Times New Roman" w:hAnsi="Times New Roman"/>
                <w:sz w:val="13"/>
                <w:szCs w:val="13"/>
                <w:u w:val="single" w:color="auto"/>
                <w:color w:val="0000EE"/>
              </w:rPr>
            </w:pPr>
            <w:hyperlink w:anchor="page174">
              <w:r>
                <w:rPr>
                  <w:rFonts w:ascii="Times New Roman" w:cs="Times New Roman" w:eastAsia="Times New Roman" w:hAnsi="Times New Roman"/>
                  <w:sz w:val="13"/>
                  <w:szCs w:val="13"/>
                  <w:u w:val="single" w:color="auto"/>
                  <w:color w:val="0000EE"/>
                </w:rPr>
                <w:t>Notes to Consolidated Financial Statements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F-10</w:t>
            </w:r>
          </w:p>
        </w:tc>
        <w:tc>
          <w:tcPr>
            <w:tcW w:w="0" w:type="dxa"/>
            <w:vAlign w:val="bottom"/>
          </w:tcPr>
          <w:p>
            <w:pPr>
              <w:spacing w:after="0"/>
              <w:rPr>
                <w:sz w:val="1"/>
                <w:szCs w:val="1"/>
                <w:color w:val="auto"/>
              </w:rPr>
            </w:pPr>
          </w:p>
        </w:tc>
      </w:tr>
      <w:tr>
        <w:trPr>
          <w:trHeight w:val="262"/>
        </w:trPr>
        <w:tc>
          <w:tcPr>
            <w:tcW w:w="7600" w:type="dxa"/>
            <w:vAlign w:val="bottom"/>
          </w:tcPr>
          <w:p>
            <w:pPr>
              <w:ind w:left="3880"/>
              <w:spacing w:after="0"/>
              <w:rPr>
                <w:sz w:val="20"/>
                <w:szCs w:val="20"/>
                <w:color w:val="auto"/>
              </w:rPr>
            </w:pPr>
            <w:r>
              <w:rPr>
                <w:rFonts w:ascii="Times New Roman" w:cs="Times New Roman" w:eastAsia="Times New Roman" w:hAnsi="Times New Roman"/>
                <w:sz w:val="13"/>
                <w:szCs w:val="13"/>
                <w:color w:val="auto"/>
              </w:rPr>
              <w:t>F-1</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67" w:right="1440" w:bottom="1440" w:gutter="0" w:footer="0" w:header="0"/>
        </w:sectPr>
      </w:pPr>
    </w:p>
    <w:bookmarkStart w:id="165" w:name="page166"/>
    <w:bookmarkEnd w:id="16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16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To the Board of Directors and Stockholders of Asana, Inc.</w:t>
      </w:r>
    </w:p>
    <w:p>
      <w:pPr>
        <w:spacing w:after="0" w:line="23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Opinion on the Financial Statements</w:t>
      </w:r>
    </w:p>
    <w:p>
      <w:pPr>
        <w:spacing w:after="0" w:line="85" w:lineRule="exact"/>
        <w:rPr>
          <w:sz w:val="20"/>
          <w:szCs w:val="20"/>
          <w:color w:val="auto"/>
        </w:rPr>
      </w:pPr>
    </w:p>
    <w:p>
      <w:pPr>
        <w:ind w:left="1680" w:right="619"/>
        <w:spacing w:after="0" w:line="254" w:lineRule="auto"/>
        <w:rPr>
          <w:sz w:val="20"/>
          <w:szCs w:val="20"/>
          <w:color w:val="auto"/>
        </w:rPr>
      </w:pPr>
      <w:r>
        <w:rPr>
          <w:rFonts w:ascii="Times New Roman" w:cs="Times New Roman" w:eastAsia="Times New Roman" w:hAnsi="Times New Roman"/>
          <w:sz w:val="13"/>
          <w:szCs w:val="13"/>
          <w:color w:val="auto"/>
        </w:rPr>
        <w:t>We have audited the accompanying consolidated balance sheets of Asana, Inc. and its subsidiaries (the “Company”) as of January 31, 2020 and 2019, and the related consolidated statements of operations, of comprehensive loss, of redeemable convertible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January 31, 2020 and 2019, and the results of its operations and its cash flows for the years then ended in conformity with accounting principles generally accepted in the United States of America.</w:t>
      </w:r>
    </w:p>
    <w:p>
      <w:pPr>
        <w:spacing w:after="0" w:line="21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i w:val="1"/>
          <w:iCs w:val="1"/>
          <w:color w:val="auto"/>
        </w:rPr>
        <w:t>Change in Accounting Principle</w:t>
      </w:r>
    </w:p>
    <w:p>
      <w:pPr>
        <w:spacing w:after="0" w:line="8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As discussed in Note 2 to the consolidated financial statements, the Company changed the manner in which it accounts for leases on February 1, 2019.</w:t>
      </w:r>
    </w:p>
    <w:p>
      <w:pPr>
        <w:spacing w:after="0" w:line="23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Basis for Opinion</w:t>
      </w:r>
    </w:p>
    <w:p>
      <w:pPr>
        <w:spacing w:after="0" w:line="85" w:lineRule="exact"/>
        <w:rPr>
          <w:sz w:val="20"/>
          <w:szCs w:val="20"/>
          <w:color w:val="auto"/>
        </w:rPr>
      </w:pPr>
    </w:p>
    <w:p>
      <w:pPr>
        <w:ind w:left="1680" w:right="859"/>
        <w:spacing w:after="0" w:line="258" w:lineRule="auto"/>
        <w:rPr>
          <w:sz w:val="20"/>
          <w:szCs w:val="20"/>
          <w:color w:val="auto"/>
        </w:rPr>
      </w:pPr>
      <w:r>
        <w:rPr>
          <w:rFonts w:ascii="Times New Roman" w:cs="Times New Roman" w:eastAsia="Times New Roman" w:hAnsi="Times New Roman"/>
          <w:sz w:val="13"/>
          <w:szCs w:val="13"/>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left="1680" w:right="579"/>
        <w:spacing w:after="0" w:line="263" w:lineRule="auto"/>
        <w:rPr>
          <w:sz w:val="20"/>
          <w:szCs w:val="20"/>
          <w:color w:val="auto"/>
        </w:rPr>
      </w:pPr>
      <w:r>
        <w:rPr>
          <w:rFonts w:ascii="Times New Roman" w:cs="Times New Roman" w:eastAsia="Times New Roman" w:hAnsi="Times New Roman"/>
          <w:sz w:val="13"/>
          <w:szCs w:val="13"/>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29" w:lineRule="exact"/>
        <w:rPr>
          <w:sz w:val="20"/>
          <w:szCs w:val="20"/>
          <w:color w:val="auto"/>
        </w:rPr>
      </w:pPr>
    </w:p>
    <w:p>
      <w:pPr>
        <w:jc w:val="both"/>
        <w:ind w:left="1680" w:right="639"/>
        <w:spacing w:after="0" w:line="256" w:lineRule="auto"/>
        <w:rPr>
          <w:sz w:val="20"/>
          <w:szCs w:val="20"/>
          <w:color w:val="auto"/>
        </w:rPr>
      </w:pPr>
      <w:r>
        <w:rPr>
          <w:rFonts w:ascii="Times New Roman" w:cs="Times New Roman" w:eastAsia="Times New Roman" w:hAnsi="Times New Roman"/>
          <w:sz w:val="13"/>
          <w:szCs w:val="13"/>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/s/ PricewaterhouseCoopers LLP</w:t>
      </w:r>
    </w:p>
    <w:p>
      <w:pPr>
        <w:spacing w:after="0" w:line="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San Francisco, California</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April 20, 2020</w:t>
      </w:r>
    </w:p>
    <w:p>
      <w:pPr>
        <w:spacing w:after="0" w:line="14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We have served as the Company’s auditor since 2011.</w:t>
      </w:r>
    </w:p>
    <w:p>
      <w:pPr>
        <w:spacing w:after="0" w:line="11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F-2</w:t>
      </w:r>
    </w:p>
    <w:p>
      <w:pPr>
        <w:sectPr>
          <w:pgSz w:w="11900" w:h="16838" w:orient="portrait"/>
          <w:cols w:equalWidth="0" w:num="1">
            <w:col w:w="10159"/>
          </w:cols>
          <w:pgMar w:left="300" w:top="367" w:right="1440" w:bottom="1440" w:gutter="0" w:footer="0" w:header="0"/>
        </w:sectPr>
      </w:pPr>
    </w:p>
    <w:bookmarkStart w:id="166" w:name="page167"/>
    <w:bookmarkEnd w:id="16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ASANA, INC.</w:t>
      </w:r>
    </w:p>
    <w:p>
      <w:pPr>
        <w:spacing w:after="0" w:line="2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b w:val="1"/>
          <w:bCs w:val="1"/>
          <w:color w:val="auto"/>
        </w:rPr>
        <w:t>CONSOLIDATED BALANCE SHEETS</w:t>
      </w:r>
    </w:p>
    <w:p>
      <w:pPr>
        <w:spacing w:after="0" w:line="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b w:val="1"/>
          <w:bCs w:val="1"/>
          <w:color w:val="auto"/>
        </w:rPr>
        <w:t>(in thousands, except per share amounts)</w:t>
      </w:r>
    </w:p>
    <w:p>
      <w:pPr>
        <w:spacing w:after="0" w:line="156"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80" w:type="dxa"/>
            <w:vAlign w:val="bottom"/>
            <w:gridSpan w:val="6"/>
            <w:vMerge w:val="restart"/>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As of January 31,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4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gridSpan w:val="2"/>
            <w:vMerge w:val="restart"/>
          </w:tcPr>
          <w:p>
            <w:pPr>
              <w:jc w:val="center"/>
              <w:ind w:right="260"/>
              <w:spacing w:after="0" w:line="107" w:lineRule="exact"/>
              <w:rPr>
                <w:sz w:val="20"/>
                <w:szCs w:val="20"/>
                <w:color w:val="auto"/>
              </w:rPr>
            </w:pPr>
            <w:r>
              <w:rPr>
                <w:rFonts w:ascii="Times New Roman" w:cs="Times New Roman" w:eastAsia="Times New Roman" w:hAnsi="Times New Roman"/>
                <w:sz w:val="10"/>
                <w:szCs w:val="10"/>
                <w:b w:val="1"/>
                <w:bCs w:val="1"/>
                <w:color w:val="auto"/>
              </w:rPr>
              <w:t>July 31,</w:t>
            </w:r>
          </w:p>
        </w:tc>
        <w:tc>
          <w:tcPr>
            <w:tcW w:w="120" w:type="dxa"/>
            <w:vAlign w:val="bottom"/>
          </w:tcPr>
          <w:p>
            <w:pPr>
              <w:spacing w:after="0"/>
              <w:rPr>
                <w:sz w:val="4"/>
                <w:szCs w:val="4"/>
                <w:color w:val="auto"/>
              </w:rPr>
            </w:pPr>
          </w:p>
        </w:tc>
        <w:tc>
          <w:tcPr>
            <w:tcW w:w="660" w:type="dxa"/>
            <w:vAlign w:val="bottom"/>
            <w:gridSpan w:val="3"/>
            <w:vMerge w:val="restart"/>
          </w:tcPr>
          <w:p>
            <w:pPr>
              <w:jc w:val="right"/>
              <w:ind w:right="120"/>
              <w:spacing w:after="0" w:line="107" w:lineRule="exact"/>
              <w:rPr>
                <w:sz w:val="20"/>
                <w:szCs w:val="20"/>
                <w:color w:val="auto"/>
              </w:rPr>
            </w:pPr>
            <w:r>
              <w:rPr>
                <w:rFonts w:ascii="Times New Roman" w:cs="Times New Roman" w:eastAsia="Times New Roman" w:hAnsi="Times New Roman"/>
                <w:sz w:val="10"/>
                <w:szCs w:val="10"/>
                <w:b w:val="1"/>
                <w:bCs w:val="1"/>
                <w:color w:val="auto"/>
              </w:rPr>
              <w:t>Pro Forma</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80" w:type="dxa"/>
            <w:vAlign w:val="bottom"/>
            <w:tcBorders>
              <w:top w:val="single" w:sz="8" w:color="auto"/>
            </w:tcBorders>
            <w:vMerge w:val="restart"/>
          </w:tcPr>
          <w:p>
            <w:pPr>
              <w:jc w:val="right"/>
              <w:ind w:right="116"/>
              <w:spacing w:after="0"/>
              <w:rPr>
                <w:sz w:val="20"/>
                <w:szCs w:val="20"/>
                <w:color w:val="auto"/>
              </w:rPr>
            </w:pPr>
            <w:r>
              <w:rPr>
                <w:rFonts w:ascii="Times New Roman" w:cs="Times New Roman" w:eastAsia="Times New Roman" w:hAnsi="Times New Roman"/>
                <w:sz w:val="10"/>
                <w:szCs w:val="10"/>
                <w:b w:val="1"/>
                <w:bCs w:val="1"/>
                <w:color w:val="auto"/>
              </w:rPr>
              <w:t>2019</w:t>
            </w:r>
          </w:p>
        </w:tc>
        <w:tc>
          <w:tcPr>
            <w:tcW w:w="1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80" w:type="dxa"/>
            <w:vAlign w:val="bottom"/>
            <w:tcBorders>
              <w:top w:val="single" w:sz="8" w:color="auto"/>
            </w:tcBorders>
            <w:vMerge w:val="restart"/>
          </w:tcPr>
          <w:p>
            <w:pPr>
              <w:jc w:val="right"/>
              <w:ind w:right="116"/>
              <w:spacing w:after="0"/>
              <w:rPr>
                <w:sz w:val="20"/>
                <w:szCs w:val="20"/>
                <w:color w:val="auto"/>
              </w:rPr>
            </w:pPr>
            <w:r>
              <w:rPr>
                <w:rFonts w:ascii="Times New Roman" w:cs="Times New Roman" w:eastAsia="Times New Roman" w:hAnsi="Times New Roman"/>
                <w:sz w:val="10"/>
                <w:szCs w:val="10"/>
                <w:b w:val="1"/>
                <w:bCs w:val="1"/>
                <w:color w:val="auto"/>
              </w:rPr>
              <w:t>2020</w:t>
            </w: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center"/>
              <w:ind w:right="17"/>
              <w:spacing w:after="0"/>
              <w:rPr>
                <w:sz w:val="20"/>
                <w:szCs w:val="20"/>
                <w:color w:val="auto"/>
              </w:rPr>
            </w:pPr>
            <w:r>
              <w:rPr>
                <w:rFonts w:ascii="Times New Roman" w:cs="Times New Roman" w:eastAsia="Times New Roman" w:hAnsi="Times New Roman"/>
                <w:sz w:val="10"/>
                <w:szCs w:val="10"/>
                <w:b w:val="1"/>
                <w:bCs w:val="1"/>
                <w:color w:val="auto"/>
              </w:rPr>
              <w:t>2020</w:t>
            </w:r>
          </w:p>
        </w:tc>
        <w:tc>
          <w:tcPr>
            <w:tcW w:w="180" w:type="dxa"/>
            <w:vAlign w:val="bottom"/>
          </w:tcPr>
          <w:p>
            <w:pPr>
              <w:spacing w:after="0"/>
              <w:rPr>
                <w:sz w:val="10"/>
                <w:szCs w:val="10"/>
                <w:color w:val="auto"/>
              </w:rPr>
            </w:pPr>
          </w:p>
        </w:tc>
        <w:tc>
          <w:tcPr>
            <w:tcW w:w="780" w:type="dxa"/>
            <w:vAlign w:val="bottom"/>
            <w:gridSpan w:val="4"/>
          </w:tcPr>
          <w:p>
            <w:pPr>
              <w:ind w:left="120"/>
              <w:spacing w:after="0"/>
              <w:rPr>
                <w:sz w:val="20"/>
                <w:szCs w:val="20"/>
                <w:color w:val="auto"/>
              </w:rPr>
            </w:pPr>
            <w:r>
              <w:rPr>
                <w:rFonts w:ascii="Times New Roman" w:cs="Times New Roman" w:eastAsia="Times New Roman" w:hAnsi="Times New Roman"/>
                <w:sz w:val="10"/>
                <w:szCs w:val="10"/>
                <w:b w:val="1"/>
                <w:bCs w:val="1"/>
                <w:color w:val="auto"/>
              </w:rPr>
              <w:t>July 31, 2020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340" w:type="dxa"/>
            <w:vAlign w:val="bottom"/>
            <w:tcBorders>
              <w:top w:val="single" w:sz="8" w:color="auto"/>
            </w:tcBorders>
            <w:gridSpan w:val="5"/>
          </w:tcPr>
          <w:p>
            <w:pPr>
              <w:jc w:val="right"/>
              <w:ind w:right="375"/>
              <w:spacing w:after="0" w:line="97"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23,778</w:t>
            </w:r>
          </w:p>
        </w:tc>
        <w:tc>
          <w:tcPr>
            <w:tcW w:w="16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306,020</w:t>
            </w:r>
          </w:p>
        </w:tc>
        <w:tc>
          <w:tcPr>
            <w:tcW w:w="16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449,519</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Marketable securities</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64,189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45,288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receivable, net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5,595</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12,659</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16,291</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9,595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16,667</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17,507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 current assets</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103,157</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380,634</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489,723</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10,100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28,526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Restricted cash, noncurrent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2,802</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4,657</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1,155</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20,818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142,316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assets</w:t>
            </w:r>
          </w:p>
        </w:tc>
        <w:tc>
          <w:tcPr>
            <w:tcW w:w="1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3,691</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5,483</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6,844</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113,749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421,692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668,564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 Redeemable Convertible Preferred Stock, and Stockholders’ (Deficit)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payable</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3,647</w:t>
            </w:r>
          </w:p>
        </w:tc>
        <w:tc>
          <w:tcPr>
            <w:tcW w:w="16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7,549</w:t>
            </w:r>
          </w:p>
        </w:tc>
        <w:tc>
          <w:tcPr>
            <w:tcW w:w="16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13,141</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7,930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18,241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23,368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Deferred revenue</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31,918</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62,725</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73,774</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Operating lease liabilities, current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11,613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11,132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4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43,495</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100,128</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121,415</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Term loan, net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Convertible notes, net—related party</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203,097</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330,472</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Operating lease liabilities, noncurrent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10,472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132,779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liabilities</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801</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2,729</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2,151</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Redeemable convertible preferred stock warrant liability</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 liabilities</w:t>
            </w:r>
          </w:p>
        </w:tc>
        <w:tc>
          <w:tcPr>
            <w:tcW w:w="140" w:type="dxa"/>
            <w:vAlign w:val="bottom"/>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44,390</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316,426</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589,687</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Commitments and contingencies (Note 7)</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600" w:type="dxa"/>
            <w:vAlign w:val="bottom"/>
            <w:shd w:val="clear" w:color="auto" w:fill="CCEEFF"/>
          </w:tcPr>
          <w:p>
            <w:pPr>
              <w:ind w:left="120"/>
              <w:spacing w:after="0" w:line="143" w:lineRule="exact"/>
              <w:rPr>
                <w:sz w:val="20"/>
                <w:szCs w:val="20"/>
                <w:color w:val="auto"/>
              </w:rPr>
            </w:pPr>
            <w:r>
              <w:rPr>
                <w:rFonts w:ascii="Times New Roman" w:cs="Times New Roman" w:eastAsia="Times New Roman" w:hAnsi="Times New Roman"/>
                <w:sz w:val="13"/>
                <w:szCs w:val="13"/>
                <w:color w:val="auto"/>
              </w:rPr>
              <w:t>Redeemable convertible preferred stock, $0.00001 par value; 151,101, 151,101, and</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151,101 shares authorized as of January 31, 2019, January 31, 2020, and July 31,</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2020 (unaudited), respectively; 73,547, 73,577, and 73,577 shares issued and</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outstanding as of January 31, 2019, January 31, 2020, and July 31, 2020</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(unaudited), respectively; liquidation preference of $250,916, $250,999, and</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$250,999 as of January 31, 2019, January 31, 2020, and July 31, 2020</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(unaudited), respectively; no shares issued and outstanding as of July 31, 2020,</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 forma (unaudited)</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250,370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250,581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250,581</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Stockholders’ (deficit) equity</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shd w:val="clear" w:color="auto" w:fill="CCEEFF"/>
          </w:tcPr>
          <w:p>
            <w:pPr>
              <w:ind w:left="120"/>
              <w:spacing w:after="0" w:line="143" w:lineRule="exact"/>
              <w:rPr>
                <w:sz w:val="20"/>
                <w:szCs w:val="20"/>
                <w:color w:val="auto"/>
              </w:rPr>
            </w:pPr>
            <w:r>
              <w:rPr>
                <w:rFonts w:ascii="Times New Roman" w:cs="Times New Roman" w:eastAsia="Times New Roman" w:hAnsi="Times New Roman"/>
                <w:sz w:val="13"/>
                <w:szCs w:val="13"/>
                <w:color w:val="auto"/>
              </w:rPr>
              <w:t>Common stock, $0.00001 par value; 540,000, 540,000, and 540,000 shares</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authorized as of January 31, 2019, January 31, 2020, and July 31, 2020</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(unaudited), respectively; 68,257, 76,688, and 77,738 shares issued and</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outstanding as of January 31, 2019, January 31, 2020, and July 31, 2020</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(unaudited), respectively; 151,316 shares issued and outstanding as of July 31,</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2020, pro forma (unaudited)</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30,215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184,522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234,990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485,570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(80)</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(102)</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(48)</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Accumulated deficit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w w:val="98"/>
              </w:rPr>
              <w:t>(211,147)</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4"/>
              </w:rPr>
              <w:t>(329,736)</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4"/>
              </w:rPr>
              <w:t>(406,647)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8"/>
              </w:rPr>
              <w:t>(406,647)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stockholders’ (deficit) equity</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w w:val="98"/>
              </w:rPr>
              <w:t>(181,011)</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4"/>
              </w:rPr>
              <w:t>(145,315)</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4"/>
              </w:rPr>
              <w:t>(171,704)</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78,877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liabilities, redeemable convertible preferred stock, and stockholders’ (deficit)</w:t>
            </w: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equity</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113,749</w:t>
            </w:r>
          </w:p>
        </w:tc>
        <w:tc>
          <w:tcPr>
            <w:tcW w:w="16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421,692</w:t>
            </w:r>
          </w:p>
        </w:tc>
        <w:tc>
          <w:tcPr>
            <w:tcW w:w="16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668,564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600" w:type="dxa"/>
            <w:vAlign w:val="bottom"/>
          </w:tcPr>
          <w:p>
            <w:pPr>
              <w:ind w:left="3860"/>
              <w:spacing w:after="0"/>
              <w:rPr>
                <w:sz w:val="20"/>
                <w:szCs w:val="20"/>
                <w:color w:val="auto"/>
              </w:rPr>
            </w:pPr>
            <w:r>
              <w:rPr>
                <w:rFonts w:ascii="Times New Roman" w:cs="Times New Roman" w:eastAsia="Times New Roman" w:hAnsi="Times New Roman"/>
                <w:sz w:val="13"/>
                <w:szCs w:val="13"/>
                <w:color w:val="auto"/>
              </w:rPr>
              <w:t>F-3</w:t>
            </w:r>
          </w:p>
        </w:tc>
        <w:tc>
          <w:tcPr>
            <w:tcW w:w="14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67" w:right="1440" w:bottom="1440" w:gutter="0" w:footer="0" w:header="0"/>
        </w:sectPr>
      </w:pPr>
    </w:p>
    <w:bookmarkStart w:id="167" w:name="page168"/>
    <w:bookmarkEnd w:id="16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ASANA, INC.</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(in thousands, except per share amounts)</w:t>
      </w:r>
    </w:p>
    <w:p>
      <w:pPr>
        <w:spacing w:after="0" w:line="156"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6"/>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6"/>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Six Months Ended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6"/>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rPr>
              <w:t>January 31,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4"/>
          </w:tcPr>
          <w:p>
            <w:pPr>
              <w:jc w:val="center"/>
              <w:ind w:left="238"/>
              <w:spacing w:after="0"/>
              <w:rPr>
                <w:sz w:val="20"/>
                <w:szCs w:val="20"/>
                <w:color w:val="auto"/>
              </w:rPr>
            </w:pPr>
            <w:r>
              <w:rPr>
                <w:rFonts w:ascii="Times New Roman" w:cs="Times New Roman" w:eastAsia="Times New Roman" w:hAnsi="Times New Roman"/>
                <w:sz w:val="10"/>
                <w:szCs w:val="10"/>
                <w:b w:val="1"/>
                <w:bCs w:val="1"/>
                <w:color w:val="auto"/>
              </w:rPr>
              <w:t>July 31,</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7"/>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36"/>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8"/>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116"/>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4"/>
          </w:tcPr>
          <w:p>
            <w:pPr>
              <w:jc w:val="center"/>
              <w:ind w:left="258"/>
              <w:spacing w:after="0" w:line="97"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Revenues</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76,770</w:t>
            </w:r>
          </w:p>
        </w:tc>
        <w:tc>
          <w:tcPr>
            <w:tcW w:w="14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142,606</w:t>
            </w:r>
          </w:p>
        </w:tc>
        <w:tc>
          <w:tcPr>
            <w:tcW w:w="14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61,057</w:t>
            </w:r>
          </w:p>
        </w:tc>
        <w:tc>
          <w:tcPr>
            <w:tcW w:w="14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99,730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Cost of revenues</w:t>
            </w: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13,832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19,881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8,751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13,227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4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62,938</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122,725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52,306</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86,503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Research and development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42,585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89,675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29,876</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48,342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Sales and marketing</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52,106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105,836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39,025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74,913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4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20,260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46,845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14,649</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25,917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operating expenses</w:t>
            </w: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114,951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242,356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83,550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149,172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from operations</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(52,013)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(119,631)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(31,244)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8"/>
              </w:rPr>
              <w:t>(62,669)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8"/>
              </w:rPr>
              <w:t>(15,355)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Other income (expense), net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(390)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(226)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continue"/>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before provision for income taxes</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(50,900)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(118,344)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(30,419)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8"/>
              </w:rPr>
              <w:t>(76,625)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(50,928)</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(118,589)</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(30,541)</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8"/>
              </w:rPr>
              <w:t>(76,911)</w:t>
            </w:r>
          </w:p>
        </w:tc>
        <w:tc>
          <w:tcPr>
            <w:tcW w:w="0" w:type="dxa"/>
            <w:vAlign w:val="bottom"/>
          </w:tcPr>
          <w:p>
            <w:pPr>
              <w:spacing w:after="0"/>
              <w:rPr>
                <w:sz w:val="1"/>
                <w:szCs w:val="1"/>
                <w:color w:val="auto"/>
              </w:rPr>
            </w:pPr>
          </w:p>
        </w:tc>
      </w:tr>
      <w:tr>
        <w:trPr>
          <w:trHeight w:val="164"/>
        </w:trPr>
        <w:tc>
          <w:tcPr>
            <w:tcW w:w="44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Net loss per share:</w:t>
            </w: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Basic and diluted</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(0.78)</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(1.69)</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(0.45)</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(1.01)</w:t>
            </w:r>
          </w:p>
        </w:tc>
        <w:tc>
          <w:tcPr>
            <w:tcW w:w="0" w:type="dxa"/>
            <w:vAlign w:val="bottom"/>
          </w:tcPr>
          <w:p>
            <w:pPr>
              <w:spacing w:after="0"/>
              <w:rPr>
                <w:sz w:val="1"/>
                <w:szCs w:val="1"/>
                <w:color w:val="auto"/>
              </w:rPr>
            </w:pPr>
          </w:p>
        </w:tc>
      </w:tr>
      <w:tr>
        <w:trPr>
          <w:trHeight w:val="164"/>
        </w:trPr>
        <w:tc>
          <w:tcPr>
            <w:tcW w:w="44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Weighted-average shares used in calculating net loss per share:</w:t>
            </w: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Basic and diluted</w:t>
            </w:r>
          </w:p>
        </w:tc>
        <w:tc>
          <w:tcPr>
            <w:tcW w:w="4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65,214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70,335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68,197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76,015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4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Pro forma net loss per share (unaudited):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Basic and diluted</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(0.82)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(0.51)</w:t>
            </w:r>
          </w:p>
        </w:tc>
        <w:tc>
          <w:tcPr>
            <w:tcW w:w="0" w:type="dxa"/>
            <w:vAlign w:val="bottom"/>
          </w:tcPr>
          <w:p>
            <w:pPr>
              <w:spacing w:after="0"/>
              <w:rPr>
                <w:sz w:val="1"/>
                <w:szCs w:val="1"/>
                <w:color w:val="auto"/>
              </w:rPr>
            </w:pPr>
          </w:p>
        </w:tc>
      </w:tr>
      <w:tr>
        <w:trPr>
          <w:trHeight w:val="150"/>
        </w:trPr>
        <w:tc>
          <w:tcPr>
            <w:tcW w:w="44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Weighted-average shares used in calculating pro forma net loss per share</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42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Basic and diluted</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143,887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149,592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420" w:type="dxa"/>
            <w:vAlign w:val="bottom"/>
          </w:tcPr>
          <w:p>
            <w:pPr>
              <w:ind w:left="3860"/>
              <w:spacing w:after="0"/>
              <w:rPr>
                <w:sz w:val="20"/>
                <w:szCs w:val="20"/>
                <w:color w:val="auto"/>
              </w:rPr>
            </w:pPr>
            <w:r>
              <w:rPr>
                <w:rFonts w:ascii="Times New Roman" w:cs="Times New Roman" w:eastAsia="Times New Roman" w:hAnsi="Times New Roman"/>
                <w:sz w:val="13"/>
                <w:szCs w:val="13"/>
                <w:color w:val="auto"/>
              </w:rPr>
              <w:t>F-4</w:t>
            </w: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67" w:right="1440" w:bottom="1440" w:gutter="0" w:footer="0" w:header="0"/>
        </w:sectPr>
      </w:pPr>
    </w:p>
    <w:bookmarkStart w:id="168" w:name="page169"/>
    <w:bookmarkEnd w:id="16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ASANA, INC.</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CONSOLIDATED STATEMENTS OF COMPREHENSIVE LOSS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56"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400" w:type="dxa"/>
            <w:vAlign w:val="bottom"/>
            <w:gridSpan w:val="5"/>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100" w:type="dxa"/>
            <w:vAlign w:val="bottom"/>
          </w:tcPr>
          <w:p>
            <w:pPr>
              <w:spacing w:after="0"/>
              <w:rPr>
                <w:sz w:val="10"/>
                <w:szCs w:val="10"/>
                <w:color w:val="auto"/>
              </w:rPr>
            </w:pPr>
          </w:p>
        </w:tc>
        <w:tc>
          <w:tcPr>
            <w:tcW w:w="1340" w:type="dxa"/>
            <w:vAlign w:val="bottom"/>
            <w:gridSpan w:val="5"/>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Six Months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400" w:type="dxa"/>
            <w:vAlign w:val="bottom"/>
            <w:gridSpan w:val="5"/>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January 31,</w:t>
            </w:r>
          </w:p>
        </w:tc>
        <w:tc>
          <w:tcPr>
            <w:tcW w:w="100" w:type="dxa"/>
            <w:vAlign w:val="bottom"/>
          </w:tcPr>
          <w:p>
            <w:pPr>
              <w:spacing w:after="0"/>
              <w:rPr>
                <w:sz w:val="10"/>
                <w:szCs w:val="10"/>
                <w:color w:val="auto"/>
              </w:rPr>
            </w:pPr>
          </w:p>
        </w:tc>
        <w:tc>
          <w:tcPr>
            <w:tcW w:w="1340" w:type="dxa"/>
            <w:vAlign w:val="bottom"/>
            <w:gridSpan w:val="5"/>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Ended July 31,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480" w:type="dxa"/>
            <w:vAlign w:val="bottom"/>
            <w:tcBorders>
              <w:top w:val="single" w:sz="8" w:color="auto"/>
            </w:tcBorders>
          </w:tcPr>
          <w:p>
            <w:pPr>
              <w:jc w:val="right"/>
              <w:ind w:right="85"/>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Borders>
              <w:top w:val="single" w:sz="8" w:color="auto"/>
            </w:tcBorders>
          </w:tcPr>
          <w:p>
            <w:pPr>
              <w:spacing w:after="0"/>
              <w:rPr>
                <w:sz w:val="8"/>
                <w:szCs w:val="8"/>
                <w:color w:val="auto"/>
              </w:rPr>
            </w:pPr>
          </w:p>
        </w:tc>
        <w:tc>
          <w:tcPr>
            <w:tcW w:w="660" w:type="dxa"/>
            <w:vAlign w:val="bottom"/>
            <w:tcBorders>
              <w:top w:val="single" w:sz="8" w:color="auto"/>
            </w:tcBorders>
            <w:gridSpan w:val="2"/>
          </w:tcPr>
          <w:p>
            <w:pPr>
              <w:jc w:val="right"/>
              <w:ind w:right="180"/>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top w:val="single" w:sz="8" w:color="auto"/>
            </w:tcBorders>
          </w:tcPr>
          <w:p>
            <w:pPr>
              <w:jc w:val="right"/>
              <w:ind w:right="108"/>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20" w:type="dxa"/>
            <w:vAlign w:val="bottom"/>
            <w:tcBorders>
              <w:top w:val="single" w:sz="8" w:color="auto"/>
            </w:tcBorders>
          </w:tcPr>
          <w:p>
            <w:pPr>
              <w:spacing w:after="0"/>
              <w:rPr>
                <w:sz w:val="8"/>
                <w:szCs w:val="8"/>
                <w:color w:val="auto"/>
              </w:rPr>
            </w:pPr>
          </w:p>
        </w:tc>
        <w:tc>
          <w:tcPr>
            <w:tcW w:w="620" w:type="dxa"/>
            <w:vAlign w:val="bottom"/>
            <w:tcBorders>
              <w:top w:val="single" w:sz="8" w:color="auto"/>
            </w:tcBorders>
            <w:gridSpan w:val="2"/>
          </w:tcPr>
          <w:p>
            <w:pPr>
              <w:jc w:val="right"/>
              <w:ind w:right="160"/>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Borders>
              <w:top w:val="single" w:sz="8" w:color="auto"/>
            </w:tcBorders>
            <w:gridSpan w:val="4"/>
          </w:tcPr>
          <w:p>
            <w:pPr>
              <w:jc w:val="center"/>
              <w:ind w:right="20"/>
              <w:spacing w:after="0" w:line="97"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2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(50,928)</w:t>
            </w: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 (118,589)</w:t>
            </w: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(30,541)</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 (76,911)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1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unrealized gains (losses) on marketable securities</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Change in foreign currency translation adjustments</w:t>
            </w:r>
          </w:p>
        </w:tc>
        <w:tc>
          <w:tcPr>
            <w:tcW w:w="16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w:t>
            </w: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(29)</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Comprehensive loss</w:t>
            </w:r>
          </w:p>
        </w:tc>
        <w:tc>
          <w:tcPr>
            <w:tcW w:w="2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(50,923)</w:t>
            </w: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 (118,611)</w:t>
            </w: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(30,539)</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 (76,857)</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F-5</w:t>
            </w:r>
          </w:p>
        </w:tc>
        <w:tc>
          <w:tcPr>
            <w:tcW w:w="48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67" w:right="1440" w:bottom="1440" w:gutter="0" w:footer="0" w:header="0"/>
        </w:sectPr>
      </w:pPr>
    </w:p>
    <w:bookmarkStart w:id="169" w:name="page170"/>
    <w:bookmarkEnd w:id="16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ASANA, INC.</w:t>
      </w:r>
    </w:p>
    <w:p>
      <w:pPr>
        <w:spacing w:after="0" w:line="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CONSOLIDATED STATEMENTS OF REDEEMABLE CONVERTIBLE PREFERRED STOCK AND STOCKHOLDERS’ DEFICIT</w:t>
      </w:r>
    </w:p>
    <w:p>
      <w:pPr>
        <w:spacing w:after="0" w:line="1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(in thousands)</w:t>
      </w:r>
    </w:p>
    <w:p>
      <w:pPr>
        <w:sectPr>
          <w:pgSz w:w="11900" w:h="16838" w:orient="portrait"/>
          <w:cols w:equalWidth="0" w:num="1">
            <w:col w:w="10159"/>
          </w:cols>
          <w:pgMar w:left="300" w:top="368" w:right="1440" w:bottom="1440" w:gutter="0" w:footer="0" w:header="0"/>
        </w:sectPr>
      </w:pPr>
    </w:p>
    <w:p>
      <w:pPr>
        <w:spacing w:after="0" w:line="222"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0"/>
          <w:szCs w:val="10"/>
          <w:b w:val="1"/>
          <w:bCs w:val="1"/>
          <w:color w:val="auto"/>
        </w:rPr>
        <w:t>Redeemable Convertible</w:t>
      </w:r>
    </w:p>
    <w:p>
      <w:pPr>
        <w:spacing w:after="0" w:line="4"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0"/>
          <w:szCs w:val="10"/>
          <w:b w:val="1"/>
          <w:bCs w:val="1"/>
          <w:color w:val="auto"/>
        </w:rPr>
        <w:t>Preferred Stock</w:t>
      </w:r>
    </w:p>
    <w:p>
      <w:pPr>
        <w:spacing w:after="0" w:line="28"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4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Balances at February 1, 2018</w:t>
            </w:r>
          </w:p>
        </w:tc>
        <w:tc>
          <w:tcPr>
            <w:tcW w:w="5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0" w:type="dxa"/>
            <w:vAlign w:val="bottom"/>
          </w:tcPr>
          <w:p>
            <w:pPr>
              <w:spacing w:after="0"/>
              <w:rPr>
                <w:sz w:val="1"/>
                <w:szCs w:val="1"/>
                <w:color w:val="auto"/>
              </w:rPr>
            </w:pPr>
          </w:p>
        </w:tc>
      </w:tr>
      <w:tr>
        <w:trPr>
          <w:trHeight w:val="132"/>
        </w:trPr>
        <w:tc>
          <w:tcPr>
            <w:tcW w:w="2480" w:type="dxa"/>
            <w:vAlign w:val="bottom"/>
            <w:vMerge w:val="continue"/>
          </w:tcPr>
          <w:p>
            <w:pPr>
              <w:spacing w:after="0"/>
              <w:rPr>
                <w:sz w:val="11"/>
                <w:szCs w:val="11"/>
                <w:color w:val="auto"/>
              </w:rPr>
            </w:pPr>
          </w:p>
        </w:tc>
        <w:tc>
          <w:tcPr>
            <w:tcW w:w="5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67,317</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199,364</w:t>
            </w:r>
          </w:p>
        </w:tc>
        <w:tc>
          <w:tcPr>
            <w:tcW w:w="0" w:type="dxa"/>
            <w:vAlign w:val="bottom"/>
          </w:tcPr>
          <w:p>
            <w:pPr>
              <w:spacing w:after="0"/>
              <w:rPr>
                <w:sz w:val="1"/>
                <w:szCs w:val="1"/>
                <w:color w:val="auto"/>
              </w:rPr>
            </w:pPr>
          </w:p>
        </w:tc>
      </w:tr>
      <w:tr>
        <w:trPr>
          <w:trHeight w:val="155"/>
        </w:trPr>
        <w:tc>
          <w:tcPr>
            <w:tcW w:w="2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Issuance of Series E redeemable</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convertible preferred stock, net of</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issuance costs</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51,006</w:t>
            </w:r>
          </w:p>
        </w:tc>
        <w:tc>
          <w:tcPr>
            <w:tcW w:w="0" w:type="dxa"/>
            <w:vAlign w:val="bottom"/>
          </w:tcPr>
          <w:p>
            <w:pPr>
              <w:spacing w:after="0"/>
              <w:rPr>
                <w:sz w:val="1"/>
                <w:szCs w:val="1"/>
                <w:color w:val="auto"/>
              </w:rPr>
            </w:pPr>
          </w:p>
        </w:tc>
      </w:tr>
      <w:tr>
        <w:trPr>
          <w:trHeight w:val="155"/>
        </w:trPr>
        <w:tc>
          <w:tcPr>
            <w:tcW w:w="2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Issuance of common stock upon the</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exercise of options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Vesting of early exercised stock options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unrealized gain on marketable</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7"/>
        </w:trPr>
        <w:tc>
          <w:tcPr>
            <w:tcW w:w="2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480" w:type="dxa"/>
            <w:vAlign w:val="bottom"/>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Balances at January 31, 2019</w:t>
            </w:r>
          </w:p>
        </w:tc>
        <w:tc>
          <w:tcPr>
            <w:tcW w:w="56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73,547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250,370</w:t>
            </w:r>
          </w:p>
        </w:tc>
        <w:tc>
          <w:tcPr>
            <w:tcW w:w="0" w:type="dxa"/>
            <w:vAlign w:val="bottom"/>
          </w:tcPr>
          <w:p>
            <w:pPr>
              <w:spacing w:after="0"/>
              <w:rPr>
                <w:sz w:val="1"/>
                <w:szCs w:val="1"/>
                <w:color w:val="auto"/>
              </w:rPr>
            </w:pPr>
          </w:p>
        </w:tc>
      </w:tr>
      <w:tr>
        <w:trPr>
          <w:trHeight w:val="155"/>
        </w:trPr>
        <w:tc>
          <w:tcPr>
            <w:tcW w:w="2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Issuance of common stock upon the</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exercise of options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Issuance of redeemable convertible</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preferred stock upon net exercise of</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warrants</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0" w:type="dxa"/>
            <w:vAlign w:val="bottom"/>
          </w:tcPr>
          <w:p>
            <w:pPr>
              <w:spacing w:after="0"/>
              <w:rPr>
                <w:sz w:val="1"/>
                <w:szCs w:val="1"/>
                <w:color w:val="auto"/>
              </w:rPr>
            </w:pPr>
          </w:p>
        </w:tc>
      </w:tr>
      <w:tr>
        <w:trPr>
          <w:trHeight w:val="155"/>
        </w:trPr>
        <w:tc>
          <w:tcPr>
            <w:tcW w:w="2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Vesting of early exercised stock options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unrealized gain on marketable</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Deemed capital contribution on issuance of</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convertible note—related party</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7"/>
        </w:trPr>
        <w:tc>
          <w:tcPr>
            <w:tcW w:w="2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2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Balances at January 31, 2020</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73,577</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250,581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115"/>
        </w:trPr>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vMerge w:val="restart"/>
          </w:tcPr>
          <w:p>
            <w:pPr>
              <w:jc w:val="right"/>
              <w:ind w:right="20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07"/>
        </w:trPr>
        <w:tc>
          <w:tcPr>
            <w:tcW w:w="900" w:type="dxa"/>
            <w:vAlign w:val="bottom"/>
            <w:gridSpan w:val="6"/>
            <w:vMerge w:val="restart"/>
          </w:tcPr>
          <w:p>
            <w:pPr>
              <w:jc w:val="right"/>
              <w:ind w:right="55"/>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tcPr>
          <w:p>
            <w:pPr>
              <w:jc w:val="center"/>
              <w:ind w:right="240"/>
              <w:spacing w:after="0" w:line="107" w:lineRule="exact"/>
              <w:rPr>
                <w:sz w:val="20"/>
                <w:szCs w:val="20"/>
                <w:color w:val="auto"/>
              </w:rPr>
            </w:pPr>
            <w:r>
              <w:rPr>
                <w:rFonts w:ascii="Times New Roman" w:cs="Times New Roman" w:eastAsia="Times New Roman" w:hAnsi="Times New Roman"/>
                <w:sz w:val="10"/>
                <w:szCs w:val="10"/>
                <w:b w:val="1"/>
                <w:bCs w:val="1"/>
                <w:color w:val="auto"/>
              </w:rPr>
              <w:t>Other</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900" w:type="dxa"/>
            <w:vAlign w:val="bottom"/>
            <w:tcBorders>
              <w:bottom w:val="single" w:sz="8" w:color="auto"/>
            </w:tcBorders>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3"/>
          </w:tcPr>
          <w:p>
            <w:pPr>
              <w:jc w:val="right"/>
              <w:ind w:right="120"/>
              <w:spacing w:after="0" w:line="87"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60" w:type="dxa"/>
            <w:vAlign w:val="bottom"/>
          </w:tcPr>
          <w:p>
            <w:pPr>
              <w:spacing w:after="0"/>
              <w:rPr>
                <w:sz w:val="7"/>
                <w:szCs w:val="7"/>
                <w:color w:val="auto"/>
              </w:rPr>
            </w:pPr>
          </w:p>
        </w:tc>
        <w:tc>
          <w:tcPr>
            <w:tcW w:w="800" w:type="dxa"/>
            <w:vAlign w:val="bottom"/>
            <w:gridSpan w:val="3"/>
          </w:tcPr>
          <w:p>
            <w:pPr>
              <w:jc w:val="center"/>
              <w:ind w:right="100"/>
              <w:spacing w:after="0" w:line="87"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40" w:type="dxa"/>
            <w:vAlign w:val="bottom"/>
          </w:tcPr>
          <w:p>
            <w:pPr>
              <w:spacing w:after="0"/>
              <w:rPr>
                <w:sz w:val="7"/>
                <w:szCs w:val="7"/>
                <w:color w:val="auto"/>
              </w:rPr>
            </w:pPr>
          </w:p>
        </w:tc>
        <w:tc>
          <w:tcPr>
            <w:tcW w:w="700" w:type="dxa"/>
            <w:vAlign w:val="bottom"/>
            <w:gridSpan w:val="3"/>
          </w:tcPr>
          <w:p>
            <w:pPr>
              <w:ind w:left="20"/>
              <w:spacing w:after="0" w:line="87"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700" w:type="dxa"/>
            <w:vAlign w:val="bottom"/>
            <w:gridSpan w:val="4"/>
          </w:tcPr>
          <w:p>
            <w:pPr>
              <w:ind w:left="60"/>
              <w:spacing w:after="0" w:line="87"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123"/>
        </w:trPr>
        <w:tc>
          <w:tcPr>
            <w:tcW w:w="1640" w:type="dxa"/>
            <w:vAlign w:val="bottom"/>
            <w:gridSpan w:val="10"/>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w w:val="99"/>
              </w:rPr>
              <w:t>Shares    AmountPaid-In</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Loss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235"/>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right"/>
              <w:ind w:right="162"/>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0" w:type="dxa"/>
            <w:vAlign w:val="bottom"/>
          </w:tcPr>
          <w:p>
            <w:pPr>
              <w:spacing w:after="0"/>
              <w:rPr>
                <w:sz w:val="1"/>
                <w:szCs w:val="1"/>
                <w:color w:val="auto"/>
              </w:rPr>
            </w:pPr>
          </w:p>
        </w:tc>
      </w:tr>
      <w:tr>
        <w:trPr>
          <w:trHeight w:val="157"/>
        </w:trPr>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63,660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18,101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(160,219)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(142,202)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2"/>
        </w:trPr>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8"/>
        </w:trPr>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67"/>
        </w:trPr>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8,585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8,585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(18)</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68"/>
        </w:trPr>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55"/>
              <w:spacing w:after="0"/>
              <w:rPr>
                <w:sz w:val="20"/>
                <w:szCs w:val="20"/>
                <w:color w:val="auto"/>
              </w:rPr>
            </w:pPr>
            <w:r>
              <w:rPr>
                <w:rFonts w:ascii="Times New Roman" w:cs="Times New Roman" w:eastAsia="Times New Roman" w:hAnsi="Times New Roman"/>
                <w:sz w:val="13"/>
                <w:szCs w:val="13"/>
                <w:color w:val="auto"/>
              </w:rPr>
              <w:t>(50,928)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(50,928)</w:t>
            </w:r>
          </w:p>
        </w:tc>
        <w:tc>
          <w:tcPr>
            <w:tcW w:w="0" w:type="dxa"/>
            <w:vAlign w:val="bottom"/>
          </w:tcPr>
          <w:p>
            <w:pPr>
              <w:spacing w:after="0"/>
              <w:rPr>
                <w:sz w:val="1"/>
                <w:szCs w:val="1"/>
                <w:color w:val="auto"/>
              </w:rPr>
            </w:pPr>
          </w:p>
        </w:tc>
      </w:tr>
      <w:tr>
        <w:trPr>
          <w:trHeight w:val="157"/>
        </w:trPr>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68,256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30,215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(211,147)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(181,011)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8,456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7,576</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0" w:type="dxa"/>
            <w:vAlign w:val="bottom"/>
          </w:tcPr>
          <w:p>
            <w:pPr>
              <w:spacing w:after="0"/>
              <w:rPr>
                <w:sz w:val="1"/>
                <w:szCs w:val="1"/>
                <w:color w:val="auto"/>
              </w:rPr>
            </w:pPr>
          </w:p>
        </w:tc>
      </w:tr>
      <w:tr>
        <w:trPr>
          <w:trHeight w:val="167"/>
        </w:trPr>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48,425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96,981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96,981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68"/>
        </w:trPr>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55"/>
              <w:spacing w:after="0"/>
              <w:rPr>
                <w:sz w:val="20"/>
                <w:szCs w:val="20"/>
                <w:color w:val="auto"/>
              </w:rPr>
            </w:pPr>
            <w:r>
              <w:rPr>
                <w:rFonts w:ascii="Times New Roman" w:cs="Times New Roman" w:eastAsia="Times New Roman" w:hAnsi="Times New Roman"/>
                <w:sz w:val="13"/>
                <w:szCs w:val="13"/>
                <w:color w:val="auto"/>
              </w:rPr>
              <w:t>(118,589)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(118,589)</w:t>
            </w:r>
          </w:p>
        </w:tc>
        <w:tc>
          <w:tcPr>
            <w:tcW w:w="0" w:type="dxa"/>
            <w:vAlign w:val="bottom"/>
          </w:tcPr>
          <w:p>
            <w:pPr>
              <w:spacing w:after="0"/>
              <w:rPr>
                <w:sz w:val="1"/>
                <w:szCs w:val="1"/>
                <w:color w:val="auto"/>
              </w:rPr>
            </w:pPr>
          </w:p>
        </w:tc>
      </w:tr>
      <w:tr>
        <w:trPr>
          <w:trHeight w:val="164"/>
        </w:trPr>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76,688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184,522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(329,736</w:t>
            </w:r>
          </w:p>
        </w:tc>
        <w:tc>
          <w:tcPr>
            <w:tcW w:w="80" w:type="dxa"/>
            <w:vAlign w:val="bottom"/>
          </w:tcPr>
          <w:p>
            <w:pPr>
              <w:jc w:val="right"/>
              <w:ind w:right="55"/>
              <w:spacing w:after="0"/>
              <w:rPr>
                <w:sz w:val="20"/>
                <w:szCs w:val="20"/>
                <w:color w:val="auto"/>
              </w:rPr>
            </w:pPr>
            <w:r>
              <w:rPr>
                <w:rFonts w:ascii="Times New Roman" w:cs="Times New Roman" w:eastAsia="Times New Roman" w:hAnsi="Times New Roman"/>
                <w:sz w:val="1"/>
                <w:szCs w:val="1"/>
                <w:color w:val="auto"/>
                <w:w w:val="4294967281"/>
              </w:rPr>
              <w:t>)</w:t>
            </w: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(145,315</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-2454275</wp:posOffset>
            </wp:positionH>
            <wp:positionV relativeFrom="paragraph">
              <wp:posOffset>-3175635</wp:posOffset>
            </wp:positionV>
            <wp:extent cx="5022850" cy="3182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022850" cy="318262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F-6</w:t>
      </w:r>
    </w:p>
    <w:p>
      <w:pPr>
        <w:sectPr>
          <w:pgSz w:w="11900" w:h="16838" w:orient="portrait"/>
          <w:cols w:equalWidth="0" w:num="2">
            <w:col w:w="5400" w:space="160"/>
            <w:col w:w="4599"/>
          </w:cols>
          <w:pgMar w:left="300" w:top="368" w:right="1440" w:bottom="1440" w:gutter="0" w:footer="0" w:header="0"/>
          <w:type w:val="continuous"/>
        </w:sectPr>
      </w:pPr>
    </w:p>
    <w:bookmarkStart w:id="170" w:name="page171"/>
    <w:bookmarkEnd w:id="17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ASANA, INC.</w:t>
      </w:r>
    </w:p>
    <w:p>
      <w:pPr>
        <w:spacing w:after="0" w:line="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CONSOLIDATED STATEMENTS OF REDEEMABLE CONVERTIBLE PREFERRED STOCK AND STOCKHOLDERS’ DEFICIT —</w:t>
      </w:r>
    </w:p>
    <w:p>
      <w:pPr>
        <w:spacing w:after="0" w:line="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b w:val="1"/>
          <w:bCs w:val="1"/>
          <w:color w:val="auto"/>
        </w:rPr>
        <w:t>CONTINUED</w:t>
      </w:r>
    </w:p>
    <w:p>
      <w:pPr>
        <w:spacing w:after="0" w:line="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3"/>
          <w:szCs w:val="13"/>
          <w:b w:val="1"/>
          <w:bCs w:val="1"/>
          <w:color w:val="auto"/>
        </w:rPr>
        <w:t>(in thousands)</w:t>
      </w:r>
    </w:p>
    <w:p>
      <w:pPr>
        <w:sectPr>
          <w:pgSz w:w="11900" w:h="16838" w:orient="portrait"/>
          <w:cols w:equalWidth="0" w:num="1">
            <w:col w:w="10159"/>
          </w:cols>
          <w:pgMar w:left="300" w:top="367" w:right="1440" w:bottom="1440" w:gutter="0" w:footer="0" w:header="0"/>
        </w:sectPr>
      </w:pPr>
    </w:p>
    <w:p>
      <w:pPr>
        <w:spacing w:after="0" w:line="222"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0"/>
          <w:szCs w:val="10"/>
          <w:b w:val="1"/>
          <w:bCs w:val="1"/>
          <w:color w:val="auto"/>
        </w:rPr>
        <w:t>Redeemable Convertible</w:t>
      </w:r>
    </w:p>
    <w:p>
      <w:pPr>
        <w:spacing w:after="0" w:line="4"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0"/>
          <w:szCs w:val="10"/>
          <w:b w:val="1"/>
          <w:bCs w:val="1"/>
          <w:color w:val="auto"/>
        </w:rPr>
        <w:t>Preferred Stock</w:t>
      </w:r>
    </w:p>
    <w:p>
      <w:pPr>
        <w:spacing w:after="0" w:line="28"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5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Balances at January 31, 2019</w:t>
            </w:r>
          </w:p>
        </w:tc>
        <w:tc>
          <w:tcPr>
            <w:tcW w:w="5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0" w:type="dxa"/>
            <w:vAlign w:val="bottom"/>
          </w:tcPr>
          <w:p>
            <w:pPr>
              <w:spacing w:after="0"/>
              <w:rPr>
                <w:sz w:val="1"/>
                <w:szCs w:val="1"/>
                <w:color w:val="auto"/>
              </w:rPr>
            </w:pPr>
          </w:p>
        </w:tc>
      </w:tr>
      <w:tr>
        <w:trPr>
          <w:trHeight w:val="132"/>
        </w:trPr>
        <w:tc>
          <w:tcPr>
            <w:tcW w:w="2580" w:type="dxa"/>
            <w:vAlign w:val="bottom"/>
            <w:vMerge w:val="continue"/>
          </w:tcPr>
          <w:p>
            <w:pPr>
              <w:spacing w:after="0"/>
              <w:rPr>
                <w:sz w:val="11"/>
                <w:szCs w:val="11"/>
                <w:color w:val="auto"/>
              </w:rPr>
            </w:pPr>
          </w:p>
        </w:tc>
        <w:tc>
          <w:tcPr>
            <w:tcW w:w="5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73,547</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250,370</w:t>
            </w:r>
          </w:p>
        </w:tc>
        <w:tc>
          <w:tcPr>
            <w:tcW w:w="0" w:type="dxa"/>
            <w:vAlign w:val="bottom"/>
          </w:tcPr>
          <w:p>
            <w:pPr>
              <w:spacing w:after="0"/>
              <w:rPr>
                <w:sz w:val="1"/>
                <w:szCs w:val="1"/>
                <w:color w:val="auto"/>
              </w:rPr>
            </w:pPr>
          </w:p>
        </w:tc>
      </w:tr>
      <w:tr>
        <w:trPr>
          <w:trHeight w:val="155"/>
        </w:trPr>
        <w:tc>
          <w:tcPr>
            <w:tcW w:w="2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Issuance of common stock upon the</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exercise of options (unaudited)</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Vesting of early exercised stock options</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(unaudited)</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Repurchases of common stock (unaudited)</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(unaudited)</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unrealized loss on marketable</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securities (unaudited)</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(unaudited)</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7"/>
        </w:trPr>
        <w:tc>
          <w:tcPr>
            <w:tcW w:w="2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loss (unaudited)</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2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Balances at July 31, 2019 (unaudited)</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73,547</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250,370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vMerge w:val="restart"/>
          </w:tcPr>
          <w:p>
            <w:pPr>
              <w:jc w:val="right"/>
              <w:ind w:right="20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07"/>
        </w:trPr>
        <w:tc>
          <w:tcPr>
            <w:tcW w:w="900" w:type="dxa"/>
            <w:vAlign w:val="bottom"/>
            <w:gridSpan w:val="6"/>
            <w:vMerge w:val="restart"/>
          </w:tcPr>
          <w:p>
            <w:pPr>
              <w:jc w:val="right"/>
              <w:ind w:right="55"/>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jc w:val="center"/>
              <w:ind w:right="240"/>
              <w:spacing w:after="0" w:line="107" w:lineRule="exact"/>
              <w:rPr>
                <w:sz w:val="20"/>
                <w:szCs w:val="20"/>
                <w:color w:val="auto"/>
              </w:rPr>
            </w:pPr>
            <w:r>
              <w:rPr>
                <w:rFonts w:ascii="Times New Roman" w:cs="Times New Roman" w:eastAsia="Times New Roman" w:hAnsi="Times New Roman"/>
                <w:sz w:val="10"/>
                <w:szCs w:val="10"/>
                <w:b w:val="1"/>
                <w:bCs w:val="1"/>
                <w:color w:val="auto"/>
              </w:rPr>
              <w:t>Other</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900" w:type="dxa"/>
            <w:vAlign w:val="bottom"/>
            <w:tcBorders>
              <w:bottom w:val="single" w:sz="8" w:color="auto"/>
            </w:tcBorders>
            <w:gridSpan w:val="6"/>
            <w:vMerge w:val="continue"/>
          </w:tcPr>
          <w:p>
            <w:pPr>
              <w:spacing w:after="0"/>
              <w:rPr>
                <w:sz w:val="7"/>
                <w:szCs w:val="7"/>
                <w:color w:val="auto"/>
              </w:rPr>
            </w:pPr>
          </w:p>
        </w:tc>
        <w:tc>
          <w:tcPr>
            <w:tcW w:w="680" w:type="dxa"/>
            <w:vAlign w:val="bottom"/>
            <w:gridSpan w:val="3"/>
          </w:tcPr>
          <w:p>
            <w:pPr>
              <w:jc w:val="right"/>
              <w:ind w:right="100"/>
              <w:spacing w:after="0" w:line="87"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60" w:type="dxa"/>
            <w:vAlign w:val="bottom"/>
          </w:tcPr>
          <w:p>
            <w:pPr>
              <w:spacing w:after="0"/>
              <w:rPr>
                <w:sz w:val="7"/>
                <w:szCs w:val="7"/>
                <w:color w:val="auto"/>
              </w:rPr>
            </w:pPr>
          </w:p>
        </w:tc>
        <w:tc>
          <w:tcPr>
            <w:tcW w:w="780" w:type="dxa"/>
            <w:vAlign w:val="bottom"/>
            <w:gridSpan w:val="3"/>
          </w:tcPr>
          <w:p>
            <w:pPr>
              <w:jc w:val="center"/>
              <w:ind w:right="100"/>
              <w:spacing w:after="0" w:line="87"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740" w:type="dxa"/>
            <w:vAlign w:val="bottom"/>
            <w:gridSpan w:val="4"/>
          </w:tcPr>
          <w:p>
            <w:pPr>
              <w:ind w:left="60"/>
              <w:spacing w:after="0" w:line="87"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700" w:type="dxa"/>
            <w:vAlign w:val="bottom"/>
            <w:gridSpan w:val="4"/>
          </w:tcPr>
          <w:p>
            <w:pPr>
              <w:ind w:left="60"/>
              <w:spacing w:after="0" w:line="87"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123"/>
        </w:trPr>
        <w:tc>
          <w:tcPr>
            <w:tcW w:w="1580" w:type="dxa"/>
            <w:vAlign w:val="bottom"/>
            <w:gridSpan w:val="9"/>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Shares    Amount   Paid-In</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Loss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235"/>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right"/>
              <w:ind w:right="162"/>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0" w:type="dxa"/>
            <w:vAlign w:val="bottom"/>
          </w:tcPr>
          <w:p>
            <w:pPr>
              <w:spacing w:after="0"/>
              <w:rPr>
                <w:sz w:val="1"/>
                <w:szCs w:val="1"/>
                <w:color w:val="auto"/>
              </w:rPr>
            </w:pPr>
          </w:p>
        </w:tc>
      </w:tr>
      <w:tr>
        <w:trPr>
          <w:trHeight w:val="157"/>
        </w:trPr>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68,256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$ 30,215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(211,147)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(181,011)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2,688</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626</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310"/>
        </w:trPr>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3,454</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98"/>
        </w:trPr>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55"/>
              <w:spacing w:after="0"/>
              <w:rPr>
                <w:sz w:val="20"/>
                <w:szCs w:val="20"/>
                <w:color w:val="auto"/>
              </w:rPr>
            </w:pPr>
            <w:r>
              <w:rPr>
                <w:rFonts w:ascii="Times New Roman" w:cs="Times New Roman" w:eastAsia="Times New Roman" w:hAnsi="Times New Roman"/>
                <w:sz w:val="13"/>
                <w:szCs w:val="13"/>
                <w:color w:val="auto"/>
              </w:rPr>
              <w:t>(30,541)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(30,541)</w:t>
            </w:r>
          </w:p>
        </w:tc>
        <w:tc>
          <w:tcPr>
            <w:tcW w:w="0" w:type="dxa"/>
            <w:vAlign w:val="bottom"/>
          </w:tcPr>
          <w:p>
            <w:pPr>
              <w:spacing w:after="0"/>
              <w:rPr>
                <w:sz w:val="1"/>
                <w:szCs w:val="1"/>
                <w:color w:val="auto"/>
              </w:rPr>
            </w:pPr>
          </w:p>
        </w:tc>
      </w:tr>
      <w:tr>
        <w:trPr>
          <w:trHeight w:val="164"/>
        </w:trPr>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70,939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$ 36,292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(241,688</w:t>
            </w:r>
          </w:p>
        </w:tc>
        <w:tc>
          <w:tcPr>
            <w:tcW w:w="80" w:type="dxa"/>
            <w:vAlign w:val="bottom"/>
          </w:tcPr>
          <w:p>
            <w:pPr>
              <w:jc w:val="right"/>
              <w:ind w:right="55"/>
              <w:spacing w:after="0"/>
              <w:rPr>
                <w:sz w:val="20"/>
                <w:szCs w:val="20"/>
                <w:color w:val="auto"/>
              </w:rPr>
            </w:pPr>
            <w:r>
              <w:rPr>
                <w:rFonts w:ascii="Times New Roman" w:cs="Times New Roman" w:eastAsia="Times New Roman" w:hAnsi="Times New Roman"/>
                <w:sz w:val="1"/>
                <w:szCs w:val="1"/>
                <w:color w:val="auto"/>
                <w:w w:val="4294967281"/>
              </w:rPr>
              <w:t>)</w:t>
            </w: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(205,473</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-2543175</wp:posOffset>
            </wp:positionH>
            <wp:positionV relativeFrom="paragraph">
              <wp:posOffset>-1685925</wp:posOffset>
            </wp:positionV>
            <wp:extent cx="5022850" cy="16929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022850" cy="1692910"/>
                    </a:xfrm>
                    <a:prstGeom prst="rect">
                      <a:avLst/>
                    </a:prstGeom>
                    <a:noFill/>
                  </pic:spPr>
                </pic:pic>
              </a:graphicData>
            </a:graphic>
          </wp:anchor>
        </w:drawing>
      </w:r>
    </w:p>
    <w:p>
      <w:pPr>
        <w:spacing w:after="0" w:line="159" w:lineRule="exact"/>
        <w:rPr>
          <w:sz w:val="20"/>
          <w:szCs w:val="20"/>
          <w:color w:val="auto"/>
        </w:rPr>
      </w:pPr>
    </w:p>
    <w:p>
      <w:pPr>
        <w:sectPr>
          <w:pgSz w:w="11900" w:h="16838" w:orient="portrait"/>
          <w:cols w:equalWidth="0" w:num="2">
            <w:col w:w="5500" w:space="200"/>
            <w:col w:w="4459"/>
          </w:cols>
          <w:pgMar w:left="300" w:top="367" w:right="1440" w:bottom="1440" w:gutter="0" w:footer="0" w:header="0"/>
          <w:type w:val="continuous"/>
        </w:sect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240" w:type="dxa"/>
            <w:vAlign w:val="bottom"/>
            <w:gridSpan w:val="4"/>
            <w:vMerge w:val="restart"/>
          </w:tcPr>
          <w:p>
            <w:pPr>
              <w:jc w:val="right"/>
              <w:ind w:right="17"/>
              <w:spacing w:after="0"/>
              <w:rPr>
                <w:sz w:val="20"/>
                <w:szCs w:val="20"/>
                <w:color w:val="auto"/>
              </w:rPr>
            </w:pPr>
            <w:r>
              <w:rPr>
                <w:rFonts w:ascii="Times New Roman" w:cs="Times New Roman" w:eastAsia="Times New Roman" w:hAnsi="Times New Roman"/>
                <w:sz w:val="10"/>
                <w:szCs w:val="10"/>
                <w:b w:val="1"/>
                <w:bCs w:val="1"/>
                <w:color w:val="auto"/>
              </w:rPr>
              <w:t>Redeemable Convertible</w:t>
            </w:r>
          </w:p>
        </w:tc>
        <w:tc>
          <w:tcPr>
            <w:tcW w:w="1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3"/>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gridSpan w:val="2"/>
            <w:vMerge w:val="restart"/>
          </w:tcPr>
          <w:p>
            <w:pPr>
              <w:jc w:val="center"/>
              <w:ind w:right="240"/>
              <w:spacing w:after="0" w:line="107" w:lineRule="exact"/>
              <w:rPr>
                <w:sz w:val="20"/>
                <w:szCs w:val="20"/>
                <w:color w:val="auto"/>
              </w:rPr>
            </w:pPr>
            <w:r>
              <w:rPr>
                <w:rFonts w:ascii="Times New Roman" w:cs="Times New Roman" w:eastAsia="Times New Roman" w:hAnsi="Times New Roman"/>
                <w:sz w:val="10"/>
                <w:szCs w:val="10"/>
                <w:b w:val="1"/>
                <w:bCs w:val="1"/>
                <w:color w:val="auto"/>
              </w:rPr>
              <w:t>Other</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gridSpan w:val="2"/>
            <w:vMerge w:val="restart"/>
          </w:tcPr>
          <w:p>
            <w:pPr>
              <w:jc w:val="right"/>
              <w:ind w:right="242"/>
              <w:spacing w:after="0" w:line="107"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40" w:type="dxa"/>
            <w:vAlign w:val="bottom"/>
          </w:tcPr>
          <w:p>
            <w:pPr>
              <w:spacing w:after="0"/>
              <w:rPr>
                <w:sz w:val="4"/>
                <w:szCs w:val="4"/>
                <w:color w:val="auto"/>
              </w:rPr>
            </w:pPr>
          </w:p>
        </w:tc>
        <w:tc>
          <w:tcPr>
            <w:tcW w:w="1240" w:type="dxa"/>
            <w:vAlign w:val="bottom"/>
            <w:gridSpan w:val="4"/>
            <w:vMerge w:val="restart"/>
          </w:tcPr>
          <w:p>
            <w:pPr>
              <w:jc w:val="right"/>
              <w:ind w:right="217"/>
              <w:spacing w:after="0"/>
              <w:rPr>
                <w:sz w:val="20"/>
                <w:szCs w:val="20"/>
                <w:color w:val="auto"/>
              </w:rPr>
            </w:pPr>
            <w:r>
              <w:rPr>
                <w:rFonts w:ascii="Times New Roman" w:cs="Times New Roman" w:eastAsia="Times New Roman" w:hAnsi="Times New Roman"/>
                <w:sz w:val="10"/>
                <w:szCs w:val="10"/>
                <w:b w:val="1"/>
                <w:bCs w:val="1"/>
                <w:color w:val="auto"/>
              </w:rPr>
              <w:t>Preferred Stock</w:t>
            </w:r>
          </w:p>
        </w:tc>
        <w:tc>
          <w:tcPr>
            <w:tcW w:w="160" w:type="dxa"/>
            <w:vAlign w:val="bottom"/>
            <w:tcBorders>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80" w:type="dxa"/>
            <w:vAlign w:val="bottom"/>
            <w:gridSpan w:val="4"/>
            <w:vMerge w:val="restart"/>
          </w:tcPr>
          <w:p>
            <w:pPr>
              <w:jc w:val="right"/>
              <w:ind w:right="35"/>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240" w:type="dxa"/>
            <w:vAlign w:val="bottom"/>
            <w:tcBorders>
              <w:bottom w:val="single" w:sz="8" w:color="auto"/>
            </w:tcBorders>
            <w:gridSpan w:val="4"/>
            <w:vMerge w:val="continue"/>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tcBorders>
              <w:bottom w:val="single" w:sz="8" w:color="auto"/>
            </w:tcBorders>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2"/>
          </w:tcPr>
          <w:p>
            <w:pPr>
              <w:jc w:val="right"/>
              <w:ind w:right="120"/>
              <w:spacing w:after="0" w:line="75" w:lineRule="exact"/>
              <w:rPr>
                <w:sz w:val="20"/>
                <w:szCs w:val="20"/>
                <w:color w:val="auto"/>
              </w:rPr>
            </w:pPr>
            <w:r>
              <w:rPr>
                <w:rFonts w:ascii="Times New Roman" w:cs="Times New Roman" w:eastAsia="Times New Roman" w:hAnsi="Times New Roman"/>
                <w:sz w:val="8"/>
                <w:szCs w:val="8"/>
                <w:b w:val="1"/>
                <w:bCs w:val="1"/>
                <w:color w:val="auto"/>
              </w:rPr>
              <w:t>Additional</w:t>
            </w:r>
          </w:p>
        </w:tc>
        <w:tc>
          <w:tcPr>
            <w:tcW w:w="840" w:type="dxa"/>
            <w:vAlign w:val="bottom"/>
            <w:gridSpan w:val="4"/>
          </w:tcPr>
          <w:p>
            <w:pPr>
              <w:jc w:val="center"/>
              <w:ind w:right="40"/>
              <w:spacing w:after="0" w:line="75" w:lineRule="exact"/>
              <w:rPr>
                <w:sz w:val="20"/>
                <w:szCs w:val="20"/>
                <w:color w:val="auto"/>
              </w:rPr>
            </w:pPr>
            <w:r>
              <w:rPr>
                <w:rFonts w:ascii="Times New Roman" w:cs="Times New Roman" w:eastAsia="Times New Roman" w:hAnsi="Times New Roman"/>
                <w:sz w:val="8"/>
                <w:szCs w:val="8"/>
                <w:b w:val="1"/>
                <w:bCs w:val="1"/>
                <w:color w:val="auto"/>
              </w:rPr>
              <w:t>Comprehensive</w:t>
            </w:r>
          </w:p>
        </w:tc>
        <w:tc>
          <w:tcPr>
            <w:tcW w:w="40" w:type="dxa"/>
            <w:vAlign w:val="bottom"/>
          </w:tcPr>
          <w:p>
            <w:pPr>
              <w:spacing w:after="0"/>
              <w:rPr>
                <w:sz w:val="6"/>
                <w:szCs w:val="6"/>
                <w:color w:val="auto"/>
              </w:rPr>
            </w:pPr>
          </w:p>
        </w:tc>
        <w:tc>
          <w:tcPr>
            <w:tcW w:w="700" w:type="dxa"/>
            <w:vAlign w:val="bottom"/>
            <w:gridSpan w:val="3"/>
          </w:tcPr>
          <w:p>
            <w:pPr>
              <w:ind w:left="20"/>
              <w:spacing w:after="0" w:line="75" w:lineRule="exact"/>
              <w:rPr>
                <w:sz w:val="20"/>
                <w:szCs w:val="20"/>
                <w:color w:val="auto"/>
              </w:rPr>
            </w:pPr>
            <w:r>
              <w:rPr>
                <w:rFonts w:ascii="Times New Roman" w:cs="Times New Roman" w:eastAsia="Times New Roman" w:hAnsi="Times New Roman"/>
                <w:sz w:val="8"/>
                <w:szCs w:val="8"/>
                <w:b w:val="1"/>
                <w:bCs w:val="1"/>
                <w:color w:val="auto"/>
              </w:rPr>
              <w:t>Accumulated</w:t>
            </w:r>
          </w:p>
        </w:tc>
        <w:tc>
          <w:tcPr>
            <w:tcW w:w="740" w:type="dxa"/>
            <w:vAlign w:val="bottom"/>
            <w:gridSpan w:val="4"/>
          </w:tcPr>
          <w:p>
            <w:pPr>
              <w:ind w:left="60"/>
              <w:spacing w:after="0" w:line="75" w:lineRule="exact"/>
              <w:rPr>
                <w:sz w:val="20"/>
                <w:szCs w:val="20"/>
                <w:color w:val="auto"/>
              </w:rPr>
            </w:pPr>
            <w:r>
              <w:rPr>
                <w:rFonts w:ascii="Times New Roman" w:cs="Times New Roman" w:eastAsia="Times New Roman" w:hAnsi="Times New Roman"/>
                <w:sz w:val="8"/>
                <w:szCs w:val="8"/>
                <w:b w:val="1"/>
                <w:bCs w:val="1"/>
                <w:color w:val="auto"/>
              </w:rPr>
              <w:t>Stockholders’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560" w:type="dxa"/>
            <w:vAlign w:val="bottom"/>
          </w:tcPr>
          <w:p>
            <w:pPr>
              <w:jc w:val="right"/>
              <w:ind w:right="78"/>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37"/>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80" w:type="dxa"/>
            <w:vAlign w:val="bottom"/>
            <w:gridSpan w:val="3"/>
          </w:tcPr>
          <w:p>
            <w:pPr>
              <w:ind w:left="120"/>
              <w:spacing w:after="0"/>
              <w:rPr>
                <w:sz w:val="20"/>
                <w:szCs w:val="20"/>
                <w:color w:val="auto"/>
              </w:rPr>
            </w:pPr>
            <w:r>
              <w:rPr>
                <w:rFonts w:ascii="Times New Roman" w:cs="Times New Roman" w:eastAsia="Times New Roman" w:hAnsi="Times New Roman"/>
                <w:sz w:val="10"/>
                <w:szCs w:val="10"/>
                <w:b w:val="1"/>
                <w:bCs w:val="1"/>
                <w:color w:val="auto"/>
                <w:w w:val="96"/>
              </w:rPr>
              <w:t>Amount</w:t>
            </w:r>
          </w:p>
        </w:tc>
        <w:tc>
          <w:tcPr>
            <w:tcW w:w="100" w:type="dxa"/>
            <w:vAlign w:val="bottom"/>
          </w:tcPr>
          <w:p>
            <w:pPr>
              <w:spacing w:after="0"/>
              <w:rPr>
                <w:sz w:val="11"/>
                <w:szCs w:val="11"/>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Paid-In</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Loss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235"/>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202"/>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54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Balances at January 31, 2020</w:t>
            </w:r>
          </w:p>
        </w:tc>
        <w:tc>
          <w:tcPr>
            <w:tcW w:w="56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73,577</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250,581</w:t>
            </w:r>
          </w:p>
        </w:tc>
        <w:tc>
          <w:tcPr>
            <w:tcW w:w="160" w:type="dxa"/>
            <w:vAlign w:val="bottom"/>
            <w:tcBorders>
              <w:top w:val="single" w:sz="8" w:color="CCEEFF"/>
              <w:right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76,688</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w w:val="96"/>
              </w:rPr>
              <w:t>$ 184,522</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(102)</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w w:val="98"/>
              </w:rPr>
              <w:t>(329,736)</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w w:val="94"/>
              </w:rPr>
              <w:t>(145,315)</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auto"/>
              </w:rPr>
              <w:t>Issuance of common stock upon the</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exercise of options (unaudited)</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auto"/>
            </w:tcBorders>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1,428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54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3"/>
                <w:szCs w:val="13"/>
                <w:color w:val="auto"/>
              </w:rPr>
              <w:t>Vesting of early exercised stock options</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(unaudited)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1,731</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auto"/>
              </w:rPr>
              <w:t>Issuance of common stock upon the</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vesting and settlement of restricted</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stock units, net of shares withheld for</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taxes (unaudited)</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auto"/>
            </w:tcBorders>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(186)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(186)</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54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(unaudited)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9,522</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auto"/>
              </w:rPr>
              <w:t>Net unrealized loss on marketable</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securities (unaudited)</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54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3"/>
                <w:szCs w:val="13"/>
                <w:color w:val="auto"/>
              </w:rPr>
              <w:t>Deemed capital contribution on issuance</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of convertible note—related party</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(unaudited)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37,973</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37,973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auto"/>
              </w:rPr>
              <w:t>Foreign currency translation adjustments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(unaudited)</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Net loss (unaudited)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(76,911)</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(76,911)</w:t>
            </w:r>
          </w:p>
        </w:tc>
        <w:tc>
          <w:tcPr>
            <w:tcW w:w="0" w:type="dxa"/>
            <w:vAlign w:val="bottom"/>
          </w:tcPr>
          <w:p>
            <w:pPr>
              <w:spacing w:after="0"/>
              <w:rPr>
                <w:sz w:val="1"/>
                <w:szCs w:val="1"/>
                <w:color w:val="auto"/>
              </w:rPr>
            </w:pPr>
          </w:p>
        </w:tc>
      </w:tr>
      <w:tr>
        <w:trPr>
          <w:trHeight w:val="173"/>
        </w:trPr>
        <w:tc>
          <w:tcPr>
            <w:tcW w:w="25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Balances at July 31, 2020 (unaudited)</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73,577</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250,581</w:t>
            </w:r>
          </w:p>
        </w:tc>
        <w:tc>
          <w:tcPr>
            <w:tcW w:w="1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77,738</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$ 234,990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(406,647</w:t>
            </w:r>
          </w:p>
        </w:tc>
        <w:tc>
          <w:tcPr>
            <w:tcW w:w="80" w:type="dxa"/>
            <w:vAlign w:val="bottom"/>
          </w:tcPr>
          <w:p>
            <w:pPr>
              <w:jc w:val="right"/>
              <w:ind w:right="55"/>
              <w:spacing w:after="0"/>
              <w:rPr>
                <w:sz w:val="20"/>
                <w:szCs w:val="20"/>
                <w:color w:val="auto"/>
              </w:rPr>
            </w:pPr>
            <w:r>
              <w:rPr>
                <w:rFonts w:ascii="Times New Roman" w:cs="Times New Roman" w:eastAsia="Times New Roman" w:hAnsi="Times New Roman"/>
                <w:sz w:val="1"/>
                <w:szCs w:val="1"/>
                <w:color w:val="auto"/>
                <w:w w:val="4294967281"/>
              </w:rPr>
              <w:t>)</w:t>
            </w:r>
          </w:p>
        </w:tc>
        <w:tc>
          <w:tcPr>
            <w:tcW w:w="6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(171,704</w:t>
            </w:r>
          </w:p>
        </w:tc>
        <w:tc>
          <w:tcPr>
            <w:tcW w:w="80" w:type="dxa"/>
            <w:vAlign w:val="bottom"/>
          </w:tcPr>
          <w:p>
            <w:pPr>
              <w:jc w:val="right"/>
              <w:ind w:right="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gridSpan w:val="3"/>
          </w:tcPr>
          <w:p>
            <w:pPr>
              <w:jc w:val="right"/>
              <w:ind w:right="278"/>
              <w:spacing w:after="0"/>
              <w:rPr>
                <w:sz w:val="20"/>
                <w:szCs w:val="20"/>
                <w:color w:val="auto"/>
              </w:rPr>
            </w:pPr>
            <w:r>
              <w:rPr>
                <w:rFonts w:ascii="Times New Roman" w:cs="Times New Roman" w:eastAsia="Times New Roman" w:hAnsi="Times New Roman"/>
                <w:sz w:val="13"/>
                <w:szCs w:val="13"/>
                <w:color w:val="auto"/>
              </w:rPr>
              <w:t>F-7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67" w:right="1440" w:bottom="1440" w:gutter="0" w:footer="0" w:header="0"/>
          <w:type w:val="continuous"/>
        </w:sectPr>
      </w:pPr>
    </w:p>
    <w:bookmarkStart w:id="171" w:name="page172"/>
    <w:bookmarkEnd w:id="17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ASANA, INC.</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64"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80" w:type="dxa"/>
            <w:vAlign w:val="bottom"/>
            <w:gridSpan w:val="6"/>
          </w:tcPr>
          <w:p>
            <w:pPr>
              <w:ind w:left="100"/>
              <w:spacing w:after="0"/>
              <w:rPr>
                <w:sz w:val="20"/>
                <w:szCs w:val="20"/>
                <w:color w:val="auto"/>
              </w:rPr>
            </w:pPr>
            <w:r>
              <w:rPr>
                <w:rFonts w:ascii="Times New Roman" w:cs="Times New Roman" w:eastAsia="Times New Roman" w:hAnsi="Times New Roman"/>
                <w:sz w:val="10"/>
                <w:szCs w:val="10"/>
                <w:b w:val="1"/>
                <w:bCs w:val="1"/>
                <w:color w:val="auto"/>
              </w:rPr>
              <w:t>Year Ended January 31,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6"/>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Six Months Ended July 31,</w:t>
            </w:r>
          </w:p>
        </w:tc>
      </w:tr>
      <w:tr>
        <w:trPr>
          <w:trHeight w:val="96"/>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ind w:left="100"/>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56"/>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6"/>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60" w:type="dxa"/>
            <w:vAlign w:val="bottom"/>
            <w:tcBorders>
              <w:top w:val="single" w:sz="8" w:color="auto"/>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56"/>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4"/>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55"/>
        </w:trPr>
        <w:tc>
          <w:tcPr>
            <w:tcW w:w="2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(50,928)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(118,589)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(30,541)</w:t>
            </w:r>
          </w:p>
        </w:tc>
        <w:tc>
          <w:tcPr>
            <w:tcW w:w="280" w:type="dxa"/>
            <w:vAlign w:val="bottom"/>
            <w:gridSpan w:val="2"/>
          </w:tcPr>
          <w:p>
            <w:pPr>
              <w:jc w:val="right"/>
              <w:ind w:right="46"/>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(76,911)</w:t>
            </w:r>
          </w:p>
        </w:tc>
      </w:tr>
      <w:tr>
        <w:trPr>
          <w:trHeight w:val="155"/>
        </w:trPr>
        <w:tc>
          <w:tcPr>
            <w:tcW w:w="2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Allowance for doubtful accounts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1,120</w:t>
            </w: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4,231</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2,233</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1,163</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1,516</w:t>
            </w: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Amortization of deferred contract acquisition costs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1,585</w:t>
            </w: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8,547</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48,386</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3,428</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9,358</w:t>
            </w: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accretion of discount of marketable securities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(820)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(1,016)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(698)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(53)</w:t>
            </w:r>
          </w:p>
        </w:tc>
      </w:tr>
      <w:tr>
        <w:trPr>
          <w:trHeight w:val="155"/>
        </w:trPr>
        <w:tc>
          <w:tcPr>
            <w:tcW w:w="20" w:type="dxa"/>
            <w:vAlign w:val="bottom"/>
          </w:tcPr>
          <w:p>
            <w:pPr>
              <w:spacing w:after="0"/>
              <w:rPr>
                <w:sz w:val="13"/>
                <w:szCs w:val="13"/>
                <w:color w:val="auto"/>
              </w:rPr>
            </w:pP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Change in fair value of redeemable convertible preferred stock warrant liability</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5"/>
        </w:trPr>
        <w:tc>
          <w:tcPr>
            <w:tcW w:w="20" w:type="dxa"/>
            <w:vAlign w:val="bottom"/>
          </w:tcPr>
          <w:p>
            <w:pPr>
              <w:spacing w:after="0"/>
              <w:rPr>
                <w:sz w:val="13"/>
                <w:szCs w:val="13"/>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Non-cash lease expense</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6,585</w:t>
            </w: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Amortization of discount on convertible notes and term loan issuance costs</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9,614</w:t>
            </w: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Non-cash interest expense</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5,739</w:t>
            </w: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Accounts receivable</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(3,427)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(7,718)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(2,100)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(4,752)</w:t>
            </w:r>
          </w:p>
        </w:tc>
      </w:tr>
      <w:tr>
        <w:trPr>
          <w:trHeight w:val="155"/>
        </w:trPr>
        <w:tc>
          <w:tcPr>
            <w:tcW w:w="20" w:type="dxa"/>
            <w:vAlign w:val="bottom"/>
          </w:tcPr>
          <w:p>
            <w:pPr>
              <w:spacing w:after="0"/>
              <w:rPr>
                <w:sz w:val="13"/>
                <w:szCs w:val="13"/>
                <w:color w:val="auto"/>
              </w:rPr>
            </w:pP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(4,534)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(8,688)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(2,351)</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(4,377)</w:t>
            </w:r>
          </w:p>
        </w:tc>
      </w:tr>
      <w:tr>
        <w:trPr>
          <w:trHeight w:val="155"/>
        </w:trPr>
        <w:tc>
          <w:tcPr>
            <w:tcW w:w="20" w:type="dxa"/>
            <w:vAlign w:val="bottom"/>
          </w:tcPr>
          <w:p>
            <w:pPr>
              <w:spacing w:after="0"/>
              <w:rPr>
                <w:sz w:val="13"/>
                <w:szCs w:val="13"/>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Other assets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(3,690)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(1,791)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(837)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(1,362)</w:t>
            </w:r>
          </w:p>
        </w:tc>
      </w:tr>
      <w:tr>
        <w:trPr>
          <w:trHeight w:val="155"/>
        </w:trPr>
        <w:tc>
          <w:tcPr>
            <w:tcW w:w="20" w:type="dxa"/>
            <w:vAlign w:val="bottom"/>
          </w:tcPr>
          <w:p>
            <w:pPr>
              <w:spacing w:after="0"/>
              <w:rPr>
                <w:sz w:val="13"/>
                <w:szCs w:val="13"/>
                <w:color w:val="auto"/>
              </w:rPr>
            </w:pP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Accounts payable</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3,472</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1,783</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1,541</w:t>
            </w: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8,321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3,498</w:t>
            </w: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Deferred revenue</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15,089</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32,189</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14,584</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10,939</w:t>
            </w: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(7,618)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(3,173)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(4,310)</w:t>
            </w:r>
          </w:p>
        </w:tc>
      </w:tr>
      <w:tr>
        <w:trPr>
          <w:trHeight w:val="155"/>
        </w:trPr>
        <w:tc>
          <w:tcPr>
            <w:tcW w:w="20" w:type="dxa"/>
            <w:vAlign w:val="bottom"/>
          </w:tcPr>
          <w:p>
            <w:pPr>
              <w:spacing w:after="0"/>
              <w:rPr>
                <w:sz w:val="13"/>
                <w:szCs w:val="13"/>
                <w:color w:val="auto"/>
              </w:rPr>
            </w:pP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Other liabilities</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4"/>
        </w:trPr>
        <w:tc>
          <w:tcPr>
            <w:tcW w:w="20" w:type="dxa"/>
            <w:vAlign w:val="bottom"/>
          </w:tcPr>
          <w:p>
            <w:pPr>
              <w:spacing w:after="0"/>
              <w:rPr>
                <w:sz w:val="13"/>
                <w:szCs w:val="13"/>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1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(30,180)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(40,136)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(13,100)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(40,270)</w:t>
            </w:r>
          </w:p>
        </w:tc>
        <w:tc>
          <w:tcPr>
            <w:tcW w:w="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Purchases of marketable securities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8"/>
              </w:rPr>
              <w:t>(103,205)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(77,759)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(53,006)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5"/>
        </w:trPr>
        <w:tc>
          <w:tcPr>
            <w:tcW w:w="20" w:type="dxa"/>
            <w:vAlign w:val="bottom"/>
          </w:tcPr>
          <w:p>
            <w:pPr>
              <w:spacing w:after="0"/>
              <w:rPr>
                <w:sz w:val="13"/>
                <w:szCs w:val="13"/>
                <w:color w:val="auto"/>
              </w:rPr>
            </w:pP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Sales of marketable securities</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4,282</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2,680</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5"/>
        </w:trPr>
        <w:tc>
          <w:tcPr>
            <w:tcW w:w="20" w:type="dxa"/>
            <w:vAlign w:val="bottom"/>
          </w:tcPr>
          <w:p>
            <w:pPr>
              <w:spacing w:after="0"/>
              <w:rPr>
                <w:sz w:val="13"/>
                <w:szCs w:val="13"/>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Maturities of marketable securities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61,950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93,394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49,600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38,942</w:t>
            </w: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(2,850)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(6,878)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(849)</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(12,401)</w:t>
            </w:r>
          </w:p>
        </w:tc>
      </w:tr>
      <w:tr>
        <w:trPr>
          <w:trHeight w:val="155"/>
        </w:trPr>
        <w:tc>
          <w:tcPr>
            <w:tcW w:w="20" w:type="dxa"/>
            <w:vAlign w:val="bottom"/>
          </w:tcPr>
          <w:p>
            <w:pPr>
              <w:spacing w:after="0"/>
              <w:rPr>
                <w:sz w:val="13"/>
                <w:szCs w:val="13"/>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Capitalized internal-use software</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(557)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(384)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(302)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(818)</w:t>
            </w: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(44,662)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12,655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(1,877)</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25,723</w:t>
            </w:r>
          </w:p>
        </w:tc>
        <w:tc>
          <w:tcPr>
            <w:tcW w:w="80" w:type="dxa"/>
            <w:vAlign w:val="bottom"/>
            <w:shd w:val="clear" w:color="auto" w:fill="CCEEFF"/>
          </w:tcPr>
          <w:p>
            <w:pPr>
              <w:spacing w:after="0"/>
              <w:rPr>
                <w:sz w:val="13"/>
                <w:szCs w:val="13"/>
                <w:color w:val="auto"/>
              </w:rPr>
            </w:pPr>
          </w:p>
        </w:tc>
      </w:tr>
      <w:tr>
        <w:trPr>
          <w:trHeight w:val="154"/>
        </w:trPr>
        <w:tc>
          <w:tcPr>
            <w:tcW w:w="46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3"/>
        </w:trPr>
        <w:tc>
          <w:tcPr>
            <w:tcW w:w="20" w:type="dxa"/>
            <w:vAlign w:val="bottom"/>
          </w:tcPr>
          <w:p>
            <w:pPr>
              <w:spacing w:after="0"/>
              <w:rPr>
                <w:sz w:val="12"/>
                <w:szCs w:val="12"/>
                <w:color w:val="auto"/>
              </w:rPr>
            </w:pPr>
          </w:p>
        </w:tc>
        <w:tc>
          <w:tcPr>
            <w:tcW w:w="462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3"/>
                <w:szCs w:val="13"/>
                <w:color w:val="auto"/>
              </w:rPr>
              <w:t>Proceeds from issuance of redeemable convertible preferred stock, net of issuance</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4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costs</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51,006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5"/>
        </w:trPr>
        <w:tc>
          <w:tcPr>
            <w:tcW w:w="20" w:type="dxa"/>
            <w:vAlign w:val="bottom"/>
          </w:tcPr>
          <w:p>
            <w:pPr>
              <w:spacing w:after="0"/>
              <w:rPr>
                <w:sz w:val="13"/>
                <w:szCs w:val="13"/>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Proceeds from term loan, net of issuance costs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2,915</w:t>
            </w: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Proceeds from issuance of convertible notes—related party</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150,000</w:t>
            </w: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Taxes paid related to net share settlement of equity awards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(186)</w:t>
            </w:r>
          </w:p>
        </w:tc>
      </w:tr>
      <w:tr>
        <w:trPr>
          <w:trHeight w:val="155"/>
        </w:trPr>
        <w:tc>
          <w:tcPr>
            <w:tcW w:w="20" w:type="dxa"/>
            <w:vAlign w:val="bottom"/>
          </w:tcPr>
          <w:p>
            <w:pPr>
              <w:spacing w:after="0"/>
              <w:rPr>
                <w:sz w:val="13"/>
                <w:szCs w:val="13"/>
                <w:color w:val="auto"/>
              </w:rPr>
            </w:pP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5"/>
        </w:trPr>
        <w:tc>
          <w:tcPr>
            <w:tcW w:w="20" w:type="dxa"/>
            <w:vAlign w:val="bottom"/>
          </w:tcPr>
          <w:p>
            <w:pPr>
              <w:spacing w:after="0"/>
              <w:rPr>
                <w:sz w:val="13"/>
                <w:szCs w:val="13"/>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4,301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11,674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2,934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1,751</w:t>
            </w:r>
          </w:p>
        </w:tc>
        <w:tc>
          <w:tcPr>
            <w:tcW w:w="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1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55,293</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311,597</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2,923</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154,480</w:t>
            </w:r>
          </w:p>
        </w:tc>
        <w:tc>
          <w:tcPr>
            <w:tcW w:w="80" w:type="dxa"/>
            <w:vAlign w:val="bottom"/>
            <w:shd w:val="clear" w:color="auto" w:fill="CCEEFF"/>
          </w:tcPr>
          <w:p>
            <w:pPr>
              <w:spacing w:after="0"/>
              <w:rPr>
                <w:sz w:val="13"/>
                <w:szCs w:val="13"/>
                <w:color w:val="auto"/>
              </w:rPr>
            </w:pPr>
          </w:p>
        </w:tc>
      </w:tr>
      <w:tr>
        <w:trPr>
          <w:trHeight w:val="154"/>
        </w:trPr>
        <w:tc>
          <w:tcPr>
            <w:tcW w:w="46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Effect of foreign exchange rates on cash and cash equivalents and restricted cash</w:t>
            </w: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increase (decrease) in cash, cash equivalents, and restricted cash</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(19,545)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284,097</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(12,052)</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139,997</w:t>
            </w: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Beginning of period</w:t>
            </w:r>
          </w:p>
        </w:tc>
        <w:tc>
          <w:tcPr>
            <w:tcW w:w="1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46,125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26,580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26,580</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310,677</w:t>
            </w:r>
          </w:p>
        </w:tc>
        <w:tc>
          <w:tcPr>
            <w:tcW w:w="80" w:type="dxa"/>
            <w:vAlign w:val="bottom"/>
            <w:shd w:val="clear" w:color="auto" w:fill="CCEEFF"/>
          </w:tcPr>
          <w:p>
            <w:pPr>
              <w:spacing w:after="0"/>
              <w:rPr>
                <w:sz w:val="13"/>
                <w:szCs w:val="13"/>
                <w:color w:val="auto"/>
              </w:rPr>
            </w:pPr>
          </w:p>
        </w:tc>
      </w:tr>
      <w:tr>
        <w:trPr>
          <w:trHeight w:val="164"/>
        </w:trPr>
        <w:tc>
          <w:tcPr>
            <w:tcW w:w="46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End of period</w:t>
            </w:r>
          </w:p>
        </w:tc>
        <w:tc>
          <w:tcPr>
            <w:tcW w:w="12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26,580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310,677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14,528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450,674</w:t>
            </w:r>
          </w:p>
        </w:tc>
        <w:tc>
          <w:tcPr>
            <w:tcW w:w="80" w:type="dxa"/>
            <w:vAlign w:val="bottom"/>
          </w:tcPr>
          <w:p>
            <w:pPr>
              <w:spacing w:after="0"/>
              <w:rPr>
                <w:sz w:val="14"/>
                <w:szCs w:val="14"/>
                <w:color w:val="auto"/>
              </w:rPr>
            </w:pPr>
          </w:p>
        </w:tc>
      </w:tr>
      <w:tr>
        <w:trPr>
          <w:trHeight w:val="271"/>
        </w:trPr>
        <w:tc>
          <w:tcPr>
            <w:tcW w:w="20" w:type="dxa"/>
            <w:vAlign w:val="bottom"/>
          </w:tcPr>
          <w:p>
            <w:pPr>
              <w:spacing w:after="0"/>
              <w:rPr>
                <w:sz w:val="23"/>
                <w:szCs w:val="23"/>
                <w:color w:val="auto"/>
              </w:rPr>
            </w:pPr>
          </w:p>
        </w:tc>
        <w:tc>
          <w:tcPr>
            <w:tcW w:w="4620" w:type="dxa"/>
            <w:vAlign w:val="bottom"/>
          </w:tcPr>
          <w:p>
            <w:pPr>
              <w:ind w:left="3860"/>
              <w:spacing w:after="0"/>
              <w:rPr>
                <w:sz w:val="20"/>
                <w:szCs w:val="20"/>
                <w:color w:val="auto"/>
              </w:rPr>
            </w:pPr>
            <w:r>
              <w:rPr>
                <w:rFonts w:ascii="Times New Roman" w:cs="Times New Roman" w:eastAsia="Times New Roman" w:hAnsi="Times New Roman"/>
                <w:sz w:val="13"/>
                <w:szCs w:val="13"/>
                <w:color w:val="auto"/>
              </w:rPr>
              <w:t>F-8</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r>
    </w:tbl>
    <w:p>
      <w:pPr>
        <w:sectPr>
          <w:pgSz w:w="11900" w:h="16838" w:orient="portrait"/>
          <w:cols w:equalWidth="0" w:num="1">
            <w:col w:w="10159"/>
          </w:cols>
          <w:pgMar w:left="300" w:top="367" w:right="1440" w:bottom="1440" w:gutter="0" w:footer="0" w:header="0"/>
        </w:sectPr>
      </w:pPr>
    </w:p>
    <w:bookmarkStart w:id="172" w:name="page173"/>
    <w:bookmarkEnd w:id="17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ASANA, INC.</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64"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4"/>
          </w:tcPr>
          <w:p>
            <w:pPr>
              <w:jc w:val="right"/>
              <w:ind w:right="297"/>
              <w:spacing w:after="0"/>
              <w:rPr>
                <w:sz w:val="20"/>
                <w:szCs w:val="20"/>
                <w:color w:val="auto"/>
              </w:rPr>
            </w:pPr>
            <w:r>
              <w:rPr>
                <w:rFonts w:ascii="Times New Roman" w:cs="Times New Roman" w:eastAsia="Times New Roman" w:hAnsi="Times New Roman"/>
                <w:sz w:val="10"/>
                <w:szCs w:val="10"/>
                <w:b w:val="1"/>
                <w:bCs w:val="1"/>
                <w:color w:val="auto"/>
              </w:rPr>
              <w:t>As of January 31,</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5"/>
          </w:tcPr>
          <w:p>
            <w:pPr>
              <w:ind w:left="80"/>
              <w:spacing w:after="0"/>
              <w:rPr>
                <w:sz w:val="20"/>
                <w:szCs w:val="20"/>
                <w:color w:val="auto"/>
              </w:rPr>
            </w:pPr>
            <w:r>
              <w:rPr>
                <w:rFonts w:ascii="Times New Roman" w:cs="Times New Roman" w:eastAsia="Times New Roman" w:hAnsi="Times New Roman"/>
                <w:sz w:val="10"/>
                <w:szCs w:val="10"/>
                <w:b w:val="1"/>
                <w:bCs w:val="1"/>
                <w:color w:val="auto"/>
              </w:rPr>
              <w:t>Six Months Ended July 31,</w:t>
            </w:r>
          </w:p>
        </w:tc>
      </w:tr>
      <w:tr>
        <w:trPr>
          <w:trHeight w:val="96"/>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9"/>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200" w:type="dxa"/>
            <w:vAlign w:val="bottom"/>
            <w:tcBorders>
              <w:top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7"/>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2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80"/>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80" w:type="dxa"/>
            <w:vAlign w:val="bottom"/>
            <w:tcBorders>
              <w:top w:val="single" w:sz="8" w:color="auto"/>
              <w:bottom w:val="single" w:sz="8" w:color="auto"/>
            </w:tcBorders>
          </w:tcPr>
          <w:p>
            <w:pPr>
              <w:spacing w:after="0"/>
              <w:rPr>
                <w:sz w:val="8"/>
                <w:szCs w:val="8"/>
                <w:color w:val="auto"/>
              </w:rPr>
            </w:pPr>
          </w:p>
        </w:tc>
        <w:tc>
          <w:tcPr>
            <w:tcW w:w="24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217"/>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4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3"/>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40"/>
        </w:trPr>
        <w:tc>
          <w:tcPr>
            <w:tcW w:w="20" w:type="dxa"/>
            <w:vAlign w:val="bottom"/>
          </w:tcPr>
          <w:p>
            <w:pPr>
              <w:spacing w:after="0"/>
              <w:rPr>
                <w:sz w:val="12"/>
                <w:szCs w:val="12"/>
                <w:color w:val="auto"/>
              </w:rPr>
            </w:pPr>
          </w:p>
        </w:tc>
        <w:tc>
          <w:tcPr>
            <w:tcW w:w="44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Reconciliation of cash, cash equivalents, and restricted cash to the consolidated</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0"/>
        </w:trPr>
        <w:tc>
          <w:tcPr>
            <w:tcW w:w="20" w:type="dxa"/>
            <w:vAlign w:val="bottom"/>
          </w:tcPr>
          <w:p>
            <w:pPr>
              <w:spacing w:after="0"/>
              <w:rPr>
                <w:sz w:val="14"/>
                <w:szCs w:val="14"/>
                <w:color w:val="auto"/>
              </w:rPr>
            </w:pPr>
          </w:p>
        </w:tc>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balance sheets</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20" w:type="dxa"/>
            <w:vAlign w:val="bottom"/>
            <w:gridSpan w:val="2"/>
          </w:tcPr>
          <w:p>
            <w:pPr>
              <w:jc w:val="right"/>
              <w:ind w:right="26"/>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23,778</w:t>
            </w:r>
          </w:p>
        </w:tc>
        <w:tc>
          <w:tcPr>
            <w:tcW w:w="340" w:type="dxa"/>
            <w:vAlign w:val="bottom"/>
            <w:gridSpan w:val="2"/>
          </w:tcPr>
          <w:p>
            <w:pPr>
              <w:jc w:val="right"/>
              <w:ind w:right="26"/>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306,020</w:t>
            </w:r>
          </w:p>
        </w:tc>
        <w:tc>
          <w:tcPr>
            <w:tcW w:w="320" w:type="dxa"/>
            <w:vAlign w:val="bottom"/>
            <w:gridSpan w:val="2"/>
          </w:tcPr>
          <w:p>
            <w:pPr>
              <w:jc w:val="right"/>
              <w:ind w:right="6"/>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10,945</w:t>
            </w:r>
          </w:p>
        </w:tc>
        <w:tc>
          <w:tcPr>
            <w:tcW w:w="420" w:type="dxa"/>
            <w:vAlign w:val="bottom"/>
            <w:gridSpan w:val="2"/>
          </w:tcPr>
          <w:p>
            <w:pPr>
              <w:jc w:val="right"/>
              <w:ind w:right="126"/>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449,519</w:t>
            </w:r>
          </w:p>
        </w:tc>
        <w:tc>
          <w:tcPr>
            <w:tcW w:w="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Restricted cash</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2,802</w:t>
            </w:r>
          </w:p>
        </w:tc>
        <w:tc>
          <w:tcPr>
            <w:tcW w:w="2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4,657</w:t>
            </w:r>
          </w:p>
        </w:tc>
        <w:tc>
          <w:tcPr>
            <w:tcW w:w="2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3,583</w:t>
            </w:r>
          </w:p>
        </w:tc>
        <w:tc>
          <w:tcPr>
            <w:tcW w:w="1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1,155</w:t>
            </w:r>
          </w:p>
        </w:tc>
        <w:tc>
          <w:tcPr>
            <w:tcW w:w="40" w:type="dxa"/>
            <w:vAlign w:val="bottom"/>
            <w:shd w:val="clear" w:color="auto" w:fill="CCEEFF"/>
          </w:tcPr>
          <w:p>
            <w:pPr>
              <w:spacing w:after="0"/>
              <w:rPr>
                <w:sz w:val="13"/>
                <w:szCs w:val="13"/>
                <w:color w:val="auto"/>
              </w:rPr>
            </w:pPr>
          </w:p>
        </w:tc>
      </w:tr>
      <w:tr>
        <w:trPr>
          <w:trHeight w:val="164"/>
        </w:trPr>
        <w:tc>
          <w:tcPr>
            <w:tcW w:w="45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cash, cash equivalents, and restricted cash</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26,580</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310,677</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14,528</w:t>
            </w:r>
          </w:p>
        </w:tc>
        <w:tc>
          <w:tcPr>
            <w:tcW w:w="180" w:type="dxa"/>
            <w:vAlign w:val="bottom"/>
          </w:tcPr>
          <w:p>
            <w:pPr>
              <w:spacing w:after="0"/>
              <w:rPr>
                <w:sz w:val="14"/>
                <w:szCs w:val="14"/>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450,674</w:t>
            </w:r>
          </w:p>
        </w:tc>
        <w:tc>
          <w:tcPr>
            <w:tcW w:w="4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Supplemental cash flow data</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3"/>
                <w:szCs w:val="13"/>
                <w:color w:val="auto"/>
              </w:rPr>
              <w:t>Purchase of property and equipment in accounts payable and accrued liabilities</w:t>
            </w:r>
          </w:p>
        </w:tc>
        <w:tc>
          <w:tcPr>
            <w:tcW w:w="220" w:type="dxa"/>
            <w:vAlign w:val="bottom"/>
            <w:gridSpan w:val="2"/>
          </w:tcPr>
          <w:p>
            <w:pPr>
              <w:jc w:val="right"/>
              <w:ind w:right="26"/>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340" w:type="dxa"/>
            <w:vAlign w:val="bottom"/>
            <w:gridSpan w:val="2"/>
          </w:tcPr>
          <w:p>
            <w:pPr>
              <w:jc w:val="right"/>
              <w:ind w:right="26"/>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914</w:t>
            </w:r>
          </w:p>
        </w:tc>
        <w:tc>
          <w:tcPr>
            <w:tcW w:w="320" w:type="dxa"/>
            <w:vAlign w:val="bottom"/>
            <w:gridSpan w:val="2"/>
          </w:tcPr>
          <w:p>
            <w:pPr>
              <w:jc w:val="right"/>
              <w:ind w:right="6"/>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420" w:type="dxa"/>
            <w:vAlign w:val="bottom"/>
            <w:gridSpan w:val="2"/>
          </w:tcPr>
          <w:p>
            <w:pPr>
              <w:jc w:val="right"/>
              <w:ind w:right="126"/>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7,508</w:t>
            </w:r>
          </w:p>
        </w:tc>
        <w:tc>
          <w:tcPr>
            <w:tcW w:w="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Vesting of early exercised stock options</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1,402</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1,731</w:t>
            </w:r>
          </w:p>
        </w:tc>
        <w:tc>
          <w:tcPr>
            <w:tcW w:w="40" w:type="dxa"/>
            <w:vAlign w:val="bottom"/>
            <w:shd w:val="clear" w:color="auto" w:fill="CCEEFF"/>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Conversion of redeemable convertible preferred stock warrant liability to redeemable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4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convertible preferred stock as a result of warrant exercise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r>
      <w:tr>
        <w:trPr>
          <w:trHeight w:val="262"/>
        </w:trPr>
        <w:tc>
          <w:tcPr>
            <w:tcW w:w="20" w:type="dxa"/>
            <w:vAlign w:val="bottom"/>
          </w:tcPr>
          <w:p>
            <w:pPr>
              <w:spacing w:after="0"/>
              <w:rPr>
                <w:sz w:val="22"/>
                <w:szCs w:val="22"/>
                <w:color w:val="auto"/>
              </w:rPr>
            </w:pPr>
          </w:p>
        </w:tc>
        <w:tc>
          <w:tcPr>
            <w:tcW w:w="4480" w:type="dxa"/>
            <w:vAlign w:val="bottom"/>
          </w:tcPr>
          <w:p>
            <w:pPr>
              <w:ind w:left="3860"/>
              <w:spacing w:after="0"/>
              <w:rPr>
                <w:sz w:val="20"/>
                <w:szCs w:val="20"/>
                <w:color w:val="auto"/>
              </w:rPr>
            </w:pPr>
            <w:r>
              <w:rPr>
                <w:rFonts w:ascii="Times New Roman" w:cs="Times New Roman" w:eastAsia="Times New Roman" w:hAnsi="Times New Roman"/>
                <w:sz w:val="13"/>
                <w:szCs w:val="13"/>
                <w:color w:val="auto"/>
              </w:rPr>
              <w:t>F-9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ectPr>
          <w:pgSz w:w="11900" w:h="16838" w:orient="portrait"/>
          <w:cols w:equalWidth="0" w:num="1">
            <w:col w:w="10159"/>
          </w:cols>
          <w:pgMar w:left="300" w:top="367" w:right="1440" w:bottom="1440" w:gutter="0" w:footer="0" w:header="0"/>
        </w:sectPr>
      </w:pPr>
    </w:p>
    <w:bookmarkStart w:id="173" w:name="page174"/>
    <w:bookmarkEnd w:id="17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Note 1. Organization</w:t>
      </w:r>
    </w:p>
    <w:p>
      <w:pPr>
        <w:spacing w:after="0" w:line="15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Organization and Description of Business</w:t>
      </w:r>
    </w:p>
    <w:p>
      <w:pPr>
        <w:spacing w:after="0" w:line="87" w:lineRule="exact"/>
        <w:rPr>
          <w:sz w:val="20"/>
          <w:szCs w:val="20"/>
          <w:color w:val="auto"/>
        </w:rPr>
      </w:pPr>
    </w:p>
    <w:p>
      <w:pPr>
        <w:ind w:left="1680" w:right="579" w:firstLine="316"/>
        <w:spacing w:after="0" w:line="320" w:lineRule="auto"/>
        <w:rPr>
          <w:sz w:val="20"/>
          <w:szCs w:val="20"/>
          <w:color w:val="auto"/>
        </w:rPr>
      </w:pPr>
      <w:r>
        <w:rPr>
          <w:rFonts w:ascii="Times New Roman" w:cs="Times New Roman" w:eastAsia="Times New Roman" w:hAnsi="Times New Roman"/>
          <w:sz w:val="12"/>
          <w:szCs w:val="12"/>
          <w:color w:val="auto"/>
        </w:rPr>
        <w:t>Asana, Inc. (“Asana” or the “Company”) was incorporated in the state of Delaware on December 16, 2008. Asana is a work management platform that helps teams orchestrate work, from daily tasks to cross-functional strategic initiatives. The Company is headquartered in San Francisco, California.</w:t>
      </w:r>
    </w:p>
    <w:p>
      <w:pPr>
        <w:spacing w:after="0" w:line="17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Note 2. Basis of Presentation and Summary of Significant Accounting Policies</w:t>
      </w:r>
    </w:p>
    <w:p>
      <w:pPr>
        <w:spacing w:after="0" w:line="15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Principles of Consolidation</w:t>
      </w:r>
    </w:p>
    <w:p>
      <w:pPr>
        <w:spacing w:after="0" w:line="87" w:lineRule="exact"/>
        <w:rPr>
          <w:sz w:val="20"/>
          <w:szCs w:val="20"/>
          <w:color w:val="auto"/>
        </w:rPr>
      </w:pPr>
    </w:p>
    <w:p>
      <w:pPr>
        <w:ind w:left="1680" w:right="799" w:firstLine="316"/>
        <w:spacing w:after="0" w:line="263" w:lineRule="auto"/>
        <w:rPr>
          <w:sz w:val="20"/>
          <w:szCs w:val="20"/>
          <w:color w:val="auto"/>
        </w:rPr>
      </w:pPr>
      <w:r>
        <w:rPr>
          <w:rFonts w:ascii="Times New Roman" w:cs="Times New Roman" w:eastAsia="Times New Roman" w:hAnsi="Times New Roman"/>
          <w:sz w:val="13"/>
          <w:szCs w:val="13"/>
          <w:color w:val="auto"/>
        </w:rPr>
        <w:t>The accompanying consolidated financial statements have been prepared in conformity with generally accepted accounting principles in the United States of America (“U.S. GAAP”) and include the accounts of the Company’s wholly-owned subsidiaries. All intercompany transactions and balances have been eliminated on consolidation.</w:t>
      </w:r>
    </w:p>
    <w:p>
      <w:pPr>
        <w:spacing w:after="0" w:line="20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Fiscal Year</w:t>
      </w:r>
    </w:p>
    <w:p>
      <w:pPr>
        <w:spacing w:after="0" w:line="87" w:lineRule="exact"/>
        <w:rPr>
          <w:sz w:val="20"/>
          <w:szCs w:val="20"/>
          <w:color w:val="auto"/>
        </w:rPr>
      </w:pPr>
    </w:p>
    <w:p>
      <w:pPr>
        <w:ind w:left="1680" w:right="759" w:firstLine="316"/>
        <w:spacing w:after="0" w:line="277" w:lineRule="auto"/>
        <w:rPr>
          <w:sz w:val="20"/>
          <w:szCs w:val="20"/>
          <w:color w:val="auto"/>
        </w:rPr>
      </w:pPr>
      <w:r>
        <w:rPr>
          <w:rFonts w:ascii="Times New Roman" w:cs="Times New Roman" w:eastAsia="Times New Roman" w:hAnsi="Times New Roman"/>
          <w:sz w:val="13"/>
          <w:szCs w:val="13"/>
          <w:color w:val="auto"/>
        </w:rPr>
        <w:t>The Company’s fiscal year ends on January 31. For example, references to fiscal 2019 and 2020 refer to the fiscal year ended January 31, 2019 and January 31, 2020, respectively.</w:t>
      </w:r>
    </w:p>
    <w:p>
      <w:pPr>
        <w:spacing w:after="0" w:line="19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Unaudited Pro Forma Balance Sheet Information</w:t>
      </w:r>
    </w:p>
    <w:p>
      <w:pPr>
        <w:spacing w:after="0" w:line="87" w:lineRule="exact"/>
        <w:rPr>
          <w:sz w:val="20"/>
          <w:szCs w:val="20"/>
          <w:color w:val="auto"/>
        </w:rPr>
      </w:pPr>
    </w:p>
    <w:p>
      <w:pPr>
        <w:ind w:left="1680" w:right="679" w:firstLine="316"/>
        <w:spacing w:after="0" w:line="263" w:lineRule="auto"/>
        <w:rPr>
          <w:sz w:val="20"/>
          <w:szCs w:val="20"/>
          <w:color w:val="auto"/>
        </w:rPr>
      </w:pPr>
      <w:r>
        <w:rPr>
          <w:rFonts w:ascii="Times New Roman" w:cs="Times New Roman" w:eastAsia="Times New Roman" w:hAnsi="Times New Roman"/>
          <w:sz w:val="13"/>
          <w:szCs w:val="13"/>
          <w:color w:val="auto"/>
        </w:rPr>
        <w:t>The accompanying unaudited pro forma consolidated balance sheet assumes all shares of the Company’s redeemable convertible preferred stock had automatically converted into 73,577,455 shares of Class B common stock on a one-for-one basis as if such conversion had occurred on July 31, 2020.</w:t>
      </w:r>
    </w:p>
    <w:p>
      <w:pPr>
        <w:spacing w:after="0" w:line="20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Reclassification of Class A and Class B Common Stock</w:t>
      </w:r>
    </w:p>
    <w:p>
      <w:pPr>
        <w:spacing w:after="0" w:line="87" w:lineRule="exact"/>
        <w:rPr>
          <w:sz w:val="20"/>
          <w:szCs w:val="20"/>
          <w:color w:val="auto"/>
        </w:rPr>
      </w:pPr>
    </w:p>
    <w:p>
      <w:pPr>
        <w:ind w:left="1680" w:right="579" w:firstLine="316"/>
        <w:spacing w:after="0" w:line="286" w:lineRule="auto"/>
        <w:rPr>
          <w:sz w:val="20"/>
          <w:szCs w:val="20"/>
          <w:color w:val="auto"/>
        </w:rPr>
      </w:pPr>
      <w:r>
        <w:rPr>
          <w:rFonts w:ascii="Times New Roman" w:cs="Times New Roman" w:eastAsia="Times New Roman" w:hAnsi="Times New Roman"/>
          <w:sz w:val="12"/>
          <w:szCs w:val="12"/>
          <w:color w:val="auto"/>
        </w:rPr>
        <w:t>On March 23, 2020, the Company amended and restated its certificate of incorporation to effect a reclassification of the Company’s Class A common stock to Class B common stock, and vice versa. There were no changes to the rights, preferences, and privileges of each class of common stock at this time. All references to Class A common stock have been recast to Class B common stock, and all references to Class B common stock have been recast to Class A common stock, in these consolidated financial statements to give retrospective effect to the reclassification for all periods presented.</w:t>
      </w:r>
    </w:p>
    <w:p>
      <w:pPr>
        <w:spacing w:after="0" w:line="19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Use of Estimates</w:t>
      </w:r>
    </w:p>
    <w:p>
      <w:pPr>
        <w:spacing w:after="0" w:line="87" w:lineRule="exact"/>
        <w:rPr>
          <w:sz w:val="20"/>
          <w:szCs w:val="20"/>
          <w:color w:val="auto"/>
        </w:rPr>
      </w:pPr>
    </w:p>
    <w:p>
      <w:pPr>
        <w:ind w:left="1680" w:right="579" w:firstLine="316"/>
        <w:spacing w:after="0" w:line="256" w:lineRule="auto"/>
        <w:rPr>
          <w:sz w:val="20"/>
          <w:szCs w:val="20"/>
          <w:color w:val="auto"/>
        </w:rPr>
      </w:pPr>
      <w:r>
        <w:rPr>
          <w:rFonts w:ascii="Times New Roman" w:cs="Times New Roman" w:eastAsia="Times New Roman" w:hAnsi="Times New Roman"/>
          <w:sz w:val="13"/>
          <w:szCs w:val="13"/>
          <w:color w:val="auto"/>
        </w:rPr>
        <w:t>The preparation of consolidated financial statements in conformity with U.S. GAAP requires management to make estimates and assumptions that affect the amounts reported and disclosed in the consolidated financial statements and accompanying notes. Estimates and assumptions reflected in the consolidated financial statements include, but are not limited to, revenue recognition, the useful lives and carrying values of long-lived assets, the fair value of the Convertible Notes (as defined below), the fair value of common stock, stock-based compensation expense, the period of benefit for deferred contract acquisition costs, and income taxes. Actual results could differ from those estimates.</w:t>
      </w:r>
    </w:p>
    <w:p>
      <w:pPr>
        <w:spacing w:after="0" w:line="2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Risks and Uncertainties</w:t>
      </w:r>
    </w:p>
    <w:p>
      <w:pPr>
        <w:spacing w:after="0" w:line="87" w:lineRule="exact"/>
        <w:rPr>
          <w:sz w:val="20"/>
          <w:szCs w:val="20"/>
          <w:color w:val="auto"/>
        </w:rPr>
      </w:pPr>
    </w:p>
    <w:p>
      <w:pPr>
        <w:jc w:val="both"/>
        <w:ind w:left="1680" w:right="959" w:firstLine="316"/>
        <w:spacing w:after="0" w:line="263" w:lineRule="auto"/>
        <w:rPr>
          <w:sz w:val="20"/>
          <w:szCs w:val="20"/>
          <w:color w:val="auto"/>
        </w:rPr>
      </w:pPr>
      <w:r>
        <w:rPr>
          <w:rFonts w:ascii="Times New Roman" w:cs="Times New Roman" w:eastAsia="Times New Roman" w:hAnsi="Times New Roman"/>
          <w:sz w:val="13"/>
          <w:szCs w:val="13"/>
          <w:color w:val="auto"/>
        </w:rPr>
        <w:t>As a result of the COVID-19 pandemic, the Company has temporarily closed its headquarters and other offices, required its employees and contractors to work remotely, and implemented travel restrictions, all of which represent a significant disruption in how the Company operates its business. The operations of its partners</w:t>
      </w:r>
    </w:p>
    <w:p>
      <w:pPr>
        <w:spacing w:after="0" w:line="8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F-10</w:t>
      </w:r>
    </w:p>
    <w:p>
      <w:pPr>
        <w:sectPr>
          <w:pgSz w:w="11900" w:h="16838" w:orient="portrait"/>
          <w:cols w:equalWidth="0" w:num="1">
            <w:col w:w="10159"/>
          </w:cols>
          <w:pgMar w:left="300" w:top="367" w:right="1440" w:bottom="1440" w:gutter="0" w:footer="0" w:header="0"/>
        </w:sectPr>
      </w:pPr>
    </w:p>
    <w:bookmarkStart w:id="174" w:name="page175"/>
    <w:bookmarkEnd w:id="17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59"/>
        <w:spacing w:after="0" w:line="251" w:lineRule="auto"/>
        <w:rPr>
          <w:sz w:val="20"/>
          <w:szCs w:val="20"/>
          <w:color w:val="auto"/>
        </w:rPr>
      </w:pPr>
      <w:r>
        <w:rPr>
          <w:rFonts w:ascii="Times New Roman" w:cs="Times New Roman" w:eastAsia="Times New Roman" w:hAnsi="Times New Roman"/>
          <w:sz w:val="13"/>
          <w:szCs w:val="13"/>
          <w:color w:val="auto"/>
        </w:rPr>
        <w:t>and customers have likewise been disrupted. The worldwide spread of the COVID-19 virus is expected to result in a global slowdown of economic activity. While the duration and extent of the COVID-19 pandemic depends on future developments that cannot be accurately predicted at this time, such as the extent and effectiveness of containment actions, it has already had an adverse effect on the global economy and the ultimate societal and economic impact of the COVID-19 pandemic remains unknown. In particular, the conditions caused by this pandemic could affect the rate of global IT spending and could adversely affect demand for the Company’s platform, lengthen the Company’s sales cycles, reduce the value or duration of subscriptions, negatively impact collections of accounts receivable, reduce expected spending from new customers, cause some of the Company’s paying customers to go out of business, limit the ability of the Company’s direct sales force to travel to customers and potential customers, and affect contraction or attrition rates of the Company’s customers, all of which could adversely affect the Company’s business, results of operations, and financial condition. As of the date of issuance of the financial statements, the Company is not aware of any specific event or circumstance related to COVID-19 that would require it to update its estimates or judgments or adjust the carrying value of its assets or liabilities. Actual results could differ from those estimates and any such differences may be material to the consolidated financial statements.</w:t>
      </w:r>
    </w:p>
    <w:p>
      <w:pPr>
        <w:spacing w:after="0" w:line="21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Revenue Recognition</w:t>
      </w:r>
    </w:p>
    <w:p>
      <w:pPr>
        <w:spacing w:after="0" w:line="87" w:lineRule="exact"/>
        <w:rPr>
          <w:sz w:val="20"/>
          <w:szCs w:val="20"/>
          <w:color w:val="auto"/>
        </w:rPr>
      </w:pPr>
    </w:p>
    <w:p>
      <w:pPr>
        <w:ind w:left="1680" w:right="819" w:firstLine="316"/>
        <w:spacing w:after="0" w:line="258" w:lineRule="auto"/>
        <w:rPr>
          <w:sz w:val="20"/>
          <w:szCs w:val="20"/>
          <w:color w:val="auto"/>
        </w:rPr>
      </w:pPr>
      <w:r>
        <w:rPr>
          <w:rFonts w:ascii="Times New Roman" w:cs="Times New Roman" w:eastAsia="Times New Roman" w:hAnsi="Times New Roman"/>
          <w:sz w:val="13"/>
          <w:szCs w:val="13"/>
          <w:color w:val="auto"/>
        </w:rPr>
        <w:t xml:space="preserve">The Company derives its revenues from monthly and annual subscription fees earned from customers accessing the platform. The Company’s policy is to exclude sales and other indirect taxes when measuring the transaction price of its subscription agreements. The Company accounts for revenue contracts with customers by applying the requirements of ASC 606, </w:t>
      </w:r>
      <w:r>
        <w:rPr>
          <w:rFonts w:ascii="Times New Roman" w:cs="Times New Roman" w:eastAsia="Times New Roman" w:hAnsi="Times New Roman"/>
          <w:sz w:val="13"/>
          <w:szCs w:val="13"/>
          <w:i w:val="1"/>
          <w:iCs w:val="1"/>
          <w:color w:val="auto"/>
        </w:rPr>
        <w:t>Revenue from Contracts with Customers</w:t>
      </w:r>
      <w:r>
        <w:rPr>
          <w:rFonts w:ascii="Times New Roman" w:cs="Times New Roman" w:eastAsia="Times New Roman" w:hAnsi="Times New Roman"/>
          <w:sz w:val="13"/>
          <w:szCs w:val="13"/>
          <w:color w:val="auto"/>
        </w:rPr>
        <w:t>, which includes the following steps:</w:t>
      </w:r>
    </w:p>
    <w:p>
      <w:pPr>
        <w:spacing w:after="0" w:line="65" w:lineRule="exact"/>
        <w:rPr>
          <w:sz w:val="20"/>
          <w:szCs w:val="20"/>
          <w:color w:val="auto"/>
        </w:rPr>
      </w:pPr>
    </w:p>
    <w:p>
      <w:pPr>
        <w:ind w:left="2380" w:hanging="381"/>
        <w:spacing w:after="0"/>
        <w:tabs>
          <w:tab w:leader="none" w:pos="238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Identification of the contract, or contracts, with the customer;</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Identification of the performance obligations in the contract;</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Determination of the transaction price;</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Allocation of the transaction price to the performance obligations in the contract; and</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Recognition of the revenues when, or as, the Company satisfies a performance obligation.</w:t>
      </w:r>
    </w:p>
    <w:p>
      <w:pPr>
        <w:spacing w:after="0" w:line="161" w:lineRule="exact"/>
        <w:rPr>
          <w:sz w:val="20"/>
          <w:szCs w:val="20"/>
          <w:color w:val="auto"/>
        </w:rPr>
      </w:pPr>
    </w:p>
    <w:p>
      <w:pPr>
        <w:ind w:left="1680" w:right="679" w:firstLine="316"/>
        <w:spacing w:after="0" w:line="256" w:lineRule="auto"/>
        <w:rPr>
          <w:sz w:val="20"/>
          <w:szCs w:val="20"/>
          <w:color w:val="auto"/>
        </w:rPr>
      </w:pPr>
      <w:r>
        <w:rPr>
          <w:rFonts w:ascii="Times New Roman" w:cs="Times New Roman" w:eastAsia="Times New Roman" w:hAnsi="Times New Roman"/>
          <w:sz w:val="13"/>
          <w:szCs w:val="13"/>
          <w:color w:val="auto"/>
        </w:rPr>
        <w:t>The Company’s subscription agreements generally have monthly or annual contractual terms and are billed in advance. Revenues are recognized ratably over the related contractual term beginning on the date that the platform is made available to a customer. The Company recognizes revenues ratably because the customer receives and consumes the benefits of the platform throughout the contractual period. Access to the platform represents a series of distinct services that comprise a single performance obligation that is satisfied over time. The Company’s contracts are generally non-cancelable and do not provide for refunds to customers in the event of cancellations.</w:t>
      </w:r>
    </w:p>
    <w:p>
      <w:pPr>
        <w:spacing w:after="0" w:line="133" w:lineRule="exact"/>
        <w:rPr>
          <w:sz w:val="20"/>
          <w:szCs w:val="20"/>
          <w:color w:val="auto"/>
        </w:rPr>
      </w:pPr>
    </w:p>
    <w:p>
      <w:pPr>
        <w:ind w:left="1680" w:right="579" w:firstLine="316"/>
        <w:spacing w:after="0" w:line="263" w:lineRule="auto"/>
        <w:rPr>
          <w:sz w:val="20"/>
          <w:szCs w:val="20"/>
          <w:color w:val="auto"/>
        </w:rPr>
      </w:pPr>
      <w:r>
        <w:rPr>
          <w:rFonts w:ascii="Times New Roman" w:cs="Times New Roman" w:eastAsia="Times New Roman" w:hAnsi="Times New Roman"/>
          <w:sz w:val="13"/>
          <w:szCs w:val="13"/>
          <w:color w:val="auto"/>
        </w:rPr>
        <w:t>A majority of the Company’s contracts give a right to bill for additional usage, which is deemed variable consideration. The variable consideration is allocated as the services are completed. An estimate of variable consideration is included in the transaction price if it is probable that a significant reversal of cumulative revenue recognized will not occur.</w:t>
      </w:r>
    </w:p>
    <w:p>
      <w:pPr>
        <w:spacing w:after="0" w:line="20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Deferred Revenue and Remaining Performance Obligations</w:t>
      </w:r>
    </w:p>
    <w:p>
      <w:pPr>
        <w:spacing w:after="0" w:line="87" w:lineRule="exact"/>
        <w:rPr>
          <w:sz w:val="20"/>
          <w:szCs w:val="20"/>
          <w:color w:val="auto"/>
        </w:rPr>
      </w:pPr>
    </w:p>
    <w:p>
      <w:pPr>
        <w:ind w:left="1680" w:right="599" w:firstLine="316"/>
        <w:spacing w:after="0" w:line="258" w:lineRule="auto"/>
        <w:rPr>
          <w:sz w:val="20"/>
          <w:szCs w:val="20"/>
          <w:color w:val="auto"/>
        </w:rPr>
      </w:pPr>
      <w:r>
        <w:rPr>
          <w:rFonts w:ascii="Times New Roman" w:cs="Times New Roman" w:eastAsia="Times New Roman" w:hAnsi="Times New Roman"/>
          <w:sz w:val="13"/>
          <w:szCs w:val="13"/>
          <w:color w:val="auto"/>
        </w:rPr>
        <w:t>Total deferred revenue was $16.8 million as of February 1, 2018. Total deferred revenue was $31.9 million, $64.1 million, and $75.0 million as of January 31, 2019, January 31, 2020, and July 31, 2020 (unaudited), respectively, of which zero, $1.4 million, and $1.2 million, respectively, is presented within other liabilities, as a noncurrent liability, in the consolidated balance sheets as of January 31, 2019, January 31, 2020, and July 31, 2020 (unaudited), respectively.</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F-11</w:t>
      </w:r>
    </w:p>
    <w:p>
      <w:pPr>
        <w:sectPr>
          <w:pgSz w:w="11900" w:h="16838" w:orient="portrait"/>
          <w:cols w:equalWidth="0" w:num="1">
            <w:col w:w="10159"/>
          </w:cols>
          <w:pgMar w:left="300" w:top="367" w:right="1440" w:bottom="1440" w:gutter="0" w:footer="0" w:header="0"/>
        </w:sectPr>
      </w:pPr>
    </w:p>
    <w:bookmarkStart w:id="175" w:name="page176"/>
    <w:bookmarkEnd w:id="17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jc w:val="both"/>
        <w:ind w:left="1680" w:right="619" w:firstLine="316"/>
        <w:spacing w:after="0" w:line="263" w:lineRule="auto"/>
        <w:rPr>
          <w:sz w:val="20"/>
          <w:szCs w:val="20"/>
          <w:color w:val="auto"/>
        </w:rPr>
      </w:pPr>
      <w:r>
        <w:rPr>
          <w:rFonts w:ascii="Times New Roman" w:cs="Times New Roman" w:eastAsia="Times New Roman" w:hAnsi="Times New Roman"/>
          <w:sz w:val="13"/>
          <w:szCs w:val="13"/>
          <w:color w:val="auto"/>
        </w:rPr>
        <w:t>The Company recognized $16.8 million, $31.8 million, $23.6 million, and $46.5 million of revenues during the years ended January 31, 2019 and 2020 and the six months ended July 31, 2019 and 2020 (unaudited), respectively, that were included in the deferred revenue balance at the beginning of the respective period.</w:t>
      </w:r>
    </w:p>
    <w:p>
      <w:pPr>
        <w:spacing w:after="0" w:line="129" w:lineRule="exact"/>
        <w:rPr>
          <w:sz w:val="20"/>
          <w:szCs w:val="20"/>
          <w:color w:val="auto"/>
        </w:rPr>
      </w:pPr>
    </w:p>
    <w:p>
      <w:pPr>
        <w:ind w:left="1680" w:right="659" w:firstLine="316"/>
        <w:spacing w:after="0" w:line="263" w:lineRule="auto"/>
        <w:rPr>
          <w:sz w:val="20"/>
          <w:szCs w:val="20"/>
          <w:color w:val="auto"/>
        </w:rPr>
      </w:pPr>
      <w:r>
        <w:rPr>
          <w:rFonts w:ascii="Times New Roman" w:cs="Times New Roman" w:eastAsia="Times New Roman" w:hAnsi="Times New Roman"/>
          <w:sz w:val="13"/>
          <w:szCs w:val="13"/>
          <w:color w:val="auto"/>
        </w:rPr>
        <w:t>As of January 31, 2020 and July 31, 2020 (unaudited), the Company’s remaining performance obligations from subscription contracts were $72.4 million and $85.4 million, respectively. The Company expects to recognize substantially all of the remaining performance obligations as revenue over the 24 months following January 31, 2020 and July 31, 2020 (unaudited), respectively.</w:t>
      </w:r>
    </w:p>
    <w:p>
      <w:pPr>
        <w:spacing w:after="0" w:line="20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Deferred Contract Acquisition Costs</w:t>
      </w:r>
    </w:p>
    <w:p>
      <w:pPr>
        <w:spacing w:after="0" w:line="87" w:lineRule="exact"/>
        <w:rPr>
          <w:sz w:val="20"/>
          <w:szCs w:val="20"/>
          <w:color w:val="auto"/>
        </w:rPr>
      </w:pPr>
    </w:p>
    <w:p>
      <w:pPr>
        <w:ind w:left="1680" w:right="559" w:firstLine="316"/>
        <w:spacing w:after="0" w:line="258" w:lineRule="auto"/>
        <w:rPr>
          <w:sz w:val="20"/>
          <w:szCs w:val="20"/>
          <w:color w:val="auto"/>
        </w:rPr>
      </w:pPr>
      <w:r>
        <w:rPr>
          <w:rFonts w:ascii="Times New Roman" w:cs="Times New Roman" w:eastAsia="Times New Roman" w:hAnsi="Times New Roman"/>
          <w:sz w:val="13"/>
          <w:szCs w:val="13"/>
          <w:color w:val="auto"/>
        </w:rPr>
        <w:t>Deferred contract acquisition costs represent gross deferred contract acquisition costs less accumulated amortization. Sales commissions earned by the Company’s sales force, as well as related payroll taxes, are considered to be incremental and recoverable costs of obtaining a contract with a customer. As a result, these amounts have been capitalized as deferred contract acquisition costs within prepaid and other current assets and other assets on the consolidated balance sheets.</w:t>
      </w:r>
    </w:p>
    <w:p>
      <w:pPr>
        <w:spacing w:after="0" w:line="133" w:lineRule="exact"/>
        <w:rPr>
          <w:sz w:val="20"/>
          <w:szCs w:val="20"/>
          <w:color w:val="auto"/>
        </w:rPr>
      </w:pPr>
    </w:p>
    <w:p>
      <w:pPr>
        <w:ind w:left="1680" w:right="579" w:firstLine="316"/>
        <w:spacing w:after="0" w:line="263" w:lineRule="auto"/>
        <w:rPr>
          <w:sz w:val="20"/>
          <w:szCs w:val="20"/>
          <w:color w:val="auto"/>
        </w:rPr>
      </w:pPr>
      <w:r>
        <w:rPr>
          <w:rFonts w:ascii="Times New Roman" w:cs="Times New Roman" w:eastAsia="Times New Roman" w:hAnsi="Times New Roman"/>
          <w:sz w:val="13"/>
          <w:szCs w:val="13"/>
          <w:color w:val="auto"/>
        </w:rPr>
        <w:t>Deferred contract acquisition costs are amortized over a period of benefit of three years. The period of benefit was estimated by considering factors such as historical customer attrition rates, the useful life of the Company’s technology, and the impact of competition in the software-as-a-service industry.</w:t>
      </w:r>
    </w:p>
    <w:p>
      <w:pPr>
        <w:spacing w:after="0" w:line="12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following table summarizes the activity of deferred contract acquisition costs (in thousands):</w:t>
      </w:r>
    </w:p>
    <w:p>
      <w:pPr>
        <w:spacing w:after="0" w:line="168"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6"/>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Six Months Ended</w:t>
            </w:r>
          </w:p>
        </w:tc>
      </w:tr>
      <w:tr>
        <w:trPr>
          <w:trHeight w:val="123"/>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rPr>
              <w:t>January 31,</w:t>
            </w:r>
          </w:p>
        </w:tc>
        <w:tc>
          <w:tcPr>
            <w:tcW w:w="3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4"/>
          </w:tcPr>
          <w:p>
            <w:pPr>
              <w:jc w:val="center"/>
              <w:ind w:left="180"/>
              <w:spacing w:after="0"/>
              <w:rPr>
                <w:sz w:val="20"/>
                <w:szCs w:val="20"/>
                <w:color w:val="auto"/>
              </w:rPr>
            </w:pPr>
            <w:r>
              <w:rPr>
                <w:rFonts w:ascii="Times New Roman" w:cs="Times New Roman" w:eastAsia="Times New Roman" w:hAnsi="Times New Roman"/>
                <w:sz w:val="10"/>
                <w:szCs w:val="10"/>
                <w:b w:val="1"/>
                <w:bCs w:val="1"/>
                <w:color w:val="auto"/>
              </w:rPr>
              <w:t>July 31,</w:t>
            </w:r>
          </w:p>
        </w:tc>
        <w:tc>
          <w:tcPr>
            <w:tcW w:w="3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6"/>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9"/>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97"/>
              <w:spacing w:after="0" w:line="97" w:lineRule="exact"/>
              <w:rPr>
                <w:sz w:val="20"/>
                <w:szCs w:val="20"/>
                <w:color w:val="auto"/>
              </w:rPr>
            </w:pPr>
            <w:r>
              <w:rPr>
                <w:rFonts w:ascii="Times New Roman" w:cs="Times New Roman" w:eastAsia="Times New Roman" w:hAnsi="Times New Roman"/>
                <w:sz w:val="10"/>
                <w:szCs w:val="10"/>
                <w:b w:val="1"/>
                <w:bCs w:val="1"/>
                <w:color w:val="auto"/>
                <w:w w:val="89"/>
              </w:rPr>
              <w:t>2020</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80"/>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77"/>
              <w:spacing w:after="0" w:line="97" w:lineRule="exact"/>
              <w:rPr>
                <w:sz w:val="20"/>
                <w:szCs w:val="20"/>
                <w:color w:val="auto"/>
              </w:rPr>
            </w:pPr>
            <w:r>
              <w:rPr>
                <w:rFonts w:ascii="Times New Roman" w:cs="Times New Roman" w:eastAsia="Times New Roman" w:hAnsi="Times New Roman"/>
                <w:sz w:val="10"/>
                <w:szCs w:val="10"/>
                <w:b w:val="1"/>
                <w:bCs w:val="1"/>
                <w:color w:val="auto"/>
                <w:w w:val="89"/>
              </w:rPr>
              <w:t>2020</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4"/>
          </w:tcPr>
          <w:p>
            <w:pPr>
              <w:jc w:val="center"/>
              <w:ind w:left="180"/>
              <w:spacing w:after="0" w:line="97" w:lineRule="exact"/>
              <w:rPr>
                <w:sz w:val="20"/>
                <w:szCs w:val="20"/>
                <w:color w:val="auto"/>
              </w:rPr>
            </w:pPr>
            <w:r>
              <w:rPr>
                <w:rFonts w:ascii="Times New Roman" w:cs="Times New Roman" w:eastAsia="Times New Roman" w:hAnsi="Times New Roman"/>
                <w:sz w:val="10"/>
                <w:szCs w:val="10"/>
                <w:b w:val="1"/>
                <w:bCs w:val="1"/>
                <w:color w:val="auto"/>
                <w:w w:val="99"/>
              </w:rPr>
              <w:t>(unaudited)</w:t>
            </w: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55"/>
        </w:trPr>
        <w:tc>
          <w:tcPr>
            <w:tcW w:w="20" w:type="dxa"/>
            <w:vAlign w:val="bottom"/>
          </w:tcPr>
          <w:p>
            <w:pPr>
              <w:spacing w:after="0"/>
              <w:rPr>
                <w:sz w:val="13"/>
                <w:szCs w:val="13"/>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Beginning balance</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2,071</w:t>
            </w:r>
          </w:p>
        </w:tc>
        <w:tc>
          <w:tcPr>
            <w:tcW w:w="12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2,071</w:t>
            </w:r>
          </w:p>
        </w:tc>
        <w:tc>
          <w:tcPr>
            <w:tcW w:w="14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6,107</w:t>
            </w: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3"/>
                <w:szCs w:val="13"/>
                <w:color w:val="auto"/>
              </w:rPr>
              <w:t>Capitalization of contract acquisition costs</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3,345</w:t>
            </w: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of deferred contract acquisition costs</w:t>
            </w: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(322)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(1,607)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(563)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4"/>
              </w:rPr>
              <w:t>(1,585)</w:t>
            </w:r>
          </w:p>
        </w:tc>
      </w:tr>
      <w:tr>
        <w:trPr>
          <w:trHeight w:val="164"/>
        </w:trPr>
        <w:tc>
          <w:tcPr>
            <w:tcW w:w="3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Ending balance</w:t>
            </w:r>
          </w:p>
        </w:tc>
        <w:tc>
          <w:tcPr>
            <w:tcW w:w="12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2,071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6,107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3,643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7,867</w:t>
            </w:r>
          </w:p>
        </w:tc>
        <w:tc>
          <w:tcPr>
            <w:tcW w:w="8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contract acquisition costs, current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797</w:t>
            </w:r>
          </w:p>
        </w:tc>
        <w:tc>
          <w:tcPr>
            <w:tcW w:w="14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2,692</w:t>
            </w:r>
          </w:p>
        </w:tc>
        <w:tc>
          <w:tcPr>
            <w:tcW w:w="12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1,460</w:t>
            </w:r>
          </w:p>
        </w:tc>
        <w:tc>
          <w:tcPr>
            <w:tcW w:w="14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3,732</w:t>
            </w:r>
          </w:p>
        </w:tc>
        <w:tc>
          <w:tcPr>
            <w:tcW w:w="80" w:type="dxa"/>
            <w:vAlign w:val="bottom"/>
            <w:shd w:val="clear" w:color="auto" w:fill="CCEEFF"/>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3"/>
                <w:szCs w:val="13"/>
                <w:color w:val="auto"/>
              </w:rPr>
              <w:t>Deferred contract acquisition costs, noncurrent</w:t>
            </w:r>
          </w:p>
        </w:tc>
        <w:tc>
          <w:tcPr>
            <w:tcW w:w="1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3,415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4,135</w:t>
            </w:r>
          </w:p>
        </w:tc>
        <w:tc>
          <w:tcPr>
            <w:tcW w:w="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deferred contract acquisition costs</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2,071</w:t>
            </w:r>
          </w:p>
        </w:tc>
        <w:tc>
          <w:tcPr>
            <w:tcW w:w="14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6,107</w:t>
            </w:r>
          </w:p>
        </w:tc>
        <w:tc>
          <w:tcPr>
            <w:tcW w:w="12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3,643</w:t>
            </w:r>
          </w:p>
        </w:tc>
        <w:tc>
          <w:tcPr>
            <w:tcW w:w="14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7,867</w:t>
            </w:r>
          </w:p>
        </w:tc>
        <w:tc>
          <w:tcPr>
            <w:tcW w:w="80" w:type="dxa"/>
            <w:vAlign w:val="bottom"/>
            <w:shd w:val="clear" w:color="auto" w:fill="CCEEFF"/>
          </w:tcPr>
          <w:p>
            <w:pPr>
              <w:spacing w:after="0"/>
              <w:rPr>
                <w:sz w:val="13"/>
                <w:szCs w:val="13"/>
                <w:color w:val="auto"/>
              </w:rPr>
            </w:pPr>
          </w:p>
        </w:tc>
      </w:tr>
      <w:tr>
        <w:trPr>
          <w:trHeight w:val="29"/>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2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Research and Development</w:t>
      </w:r>
    </w:p>
    <w:p>
      <w:pPr>
        <w:spacing w:after="0" w:line="87" w:lineRule="exact"/>
        <w:rPr>
          <w:sz w:val="20"/>
          <w:szCs w:val="20"/>
          <w:color w:val="auto"/>
        </w:rPr>
      </w:pPr>
    </w:p>
    <w:p>
      <w:pPr>
        <w:jc w:val="both"/>
        <w:ind w:left="1680" w:right="819" w:firstLine="316"/>
        <w:spacing w:after="0" w:line="295" w:lineRule="auto"/>
        <w:rPr>
          <w:sz w:val="20"/>
          <w:szCs w:val="20"/>
          <w:color w:val="auto"/>
        </w:rPr>
      </w:pPr>
      <w:r>
        <w:rPr>
          <w:rFonts w:ascii="Times New Roman" w:cs="Times New Roman" w:eastAsia="Times New Roman" w:hAnsi="Times New Roman"/>
          <w:sz w:val="12"/>
          <w:szCs w:val="12"/>
          <w:color w:val="auto"/>
        </w:rPr>
        <w:t>Research and development expenses consist primarily of personnel-related expenses such as salaries and related benefits for the Company’s product development employees. Also included are non-personnel costs such as product design costs, third-party services and consulting expenses, depreciation expense related to equipment used in research and development activities, and allocation of the Company’s general overhead expenses.</w:t>
      </w:r>
    </w:p>
    <w:p>
      <w:pPr>
        <w:spacing w:after="0" w:line="18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Advertising Expenses</w:t>
      </w:r>
    </w:p>
    <w:p>
      <w:pPr>
        <w:spacing w:after="0" w:line="87" w:lineRule="exact"/>
        <w:rPr>
          <w:sz w:val="20"/>
          <w:szCs w:val="20"/>
          <w:color w:val="auto"/>
        </w:rPr>
      </w:pPr>
    </w:p>
    <w:p>
      <w:pPr>
        <w:jc w:val="both"/>
        <w:ind w:left="1680" w:right="699" w:firstLine="316"/>
        <w:spacing w:after="0" w:line="263" w:lineRule="auto"/>
        <w:rPr>
          <w:sz w:val="20"/>
          <w:szCs w:val="20"/>
          <w:color w:val="auto"/>
        </w:rPr>
      </w:pPr>
      <w:r>
        <w:rPr>
          <w:rFonts w:ascii="Times New Roman" w:cs="Times New Roman" w:eastAsia="Times New Roman" w:hAnsi="Times New Roman"/>
          <w:sz w:val="13"/>
          <w:szCs w:val="13"/>
          <w:color w:val="auto"/>
        </w:rPr>
        <w:t>Advertising expenses are charged to sales and marketing expense in the consolidated statements of operations as incurred. Advertising expenses were $19.9 million, $39.0 million, $13.2 million, and $29.6 million for the years ended January 31, 2019 and 2020 and the six months ended July 31, 2019 and 2020 (unaudited), respectively.</w:t>
      </w:r>
    </w:p>
    <w:p>
      <w:pPr>
        <w:spacing w:after="0" w:line="20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Stock-Based Compensation Expense</w:t>
      </w:r>
    </w:p>
    <w:p>
      <w:pPr>
        <w:spacing w:after="0" w:line="87" w:lineRule="exact"/>
        <w:rPr>
          <w:sz w:val="20"/>
          <w:szCs w:val="20"/>
          <w:color w:val="auto"/>
        </w:rPr>
      </w:pPr>
    </w:p>
    <w:p>
      <w:pPr>
        <w:ind w:left="1680" w:right="619" w:firstLine="316"/>
        <w:spacing w:after="0" w:line="277" w:lineRule="auto"/>
        <w:rPr>
          <w:sz w:val="20"/>
          <w:szCs w:val="20"/>
          <w:color w:val="auto"/>
        </w:rPr>
      </w:pPr>
      <w:r>
        <w:rPr>
          <w:rFonts w:ascii="Times New Roman" w:cs="Times New Roman" w:eastAsia="Times New Roman" w:hAnsi="Times New Roman"/>
          <w:sz w:val="13"/>
          <w:szCs w:val="13"/>
          <w:color w:val="auto"/>
        </w:rPr>
        <w:t>The Company records stock-based compensation expense for all stock-based awards, including stock options and restricted stock units (“RSUs”), made to employees, non-employees, and directors based on</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F-12</w:t>
      </w:r>
    </w:p>
    <w:p>
      <w:pPr>
        <w:sectPr>
          <w:pgSz w:w="11900" w:h="16838" w:orient="portrait"/>
          <w:cols w:equalWidth="0" w:num="1">
            <w:col w:w="10159"/>
          </w:cols>
          <w:pgMar w:left="300" w:top="367" w:right="1440" w:bottom="1440" w:gutter="0" w:footer="0" w:header="0"/>
        </w:sectPr>
      </w:pPr>
    </w:p>
    <w:bookmarkStart w:id="176" w:name="page177"/>
    <w:bookmarkEnd w:id="17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99"/>
        <w:spacing w:after="0" w:line="252" w:lineRule="auto"/>
        <w:rPr>
          <w:sz w:val="20"/>
          <w:szCs w:val="20"/>
          <w:color w:val="auto"/>
        </w:rPr>
      </w:pPr>
      <w:r>
        <w:rPr>
          <w:rFonts w:ascii="Times New Roman" w:cs="Times New Roman" w:eastAsia="Times New Roman" w:hAnsi="Times New Roman"/>
          <w:sz w:val="13"/>
          <w:szCs w:val="13"/>
          <w:color w:val="auto"/>
        </w:rPr>
        <w:t>estimated fair values recognized over the requisite service period. The fair value of stock options granted for purposes of calculating stock-based compensation expense is estimated on the grant date using the Black-Scholes pricing model. The Black-Scholes pricing model requires the Company to make assumptions and judgments about the inputs used in the calculation, including the expected term (weighted-average period of time that the options granted are expected to be outstanding), the volatility of the Company’s common stock, risk-free interest rate, and expected dividend yield. The expected term represents the period that the Company’s stock-based awards are expected to be outstanding. The expected term assumptions are determined based on the vesting terms, exercise terms, and contractual lives of the options. The volatility is based on an average of the historical volatilities of the common stock of comparable public companies with characteristics similar to those of the Company. The risk-free rate is based on the U.S. Treasury yield curve in effect at the time of grant for periods corresponding with the expected life of the option. The Company’s expected dividend yield input is zero as it has not historically paid, nor does it expect in the future to pay, cash dividends on its common stock. Stock-based compensation expense for RSUs is measured based on the fair value of the underlying shares on the date of grant.</w:t>
      </w:r>
    </w:p>
    <w:p>
      <w:pPr>
        <w:spacing w:after="0" w:line="136" w:lineRule="exact"/>
        <w:rPr>
          <w:sz w:val="20"/>
          <w:szCs w:val="20"/>
          <w:color w:val="auto"/>
        </w:rPr>
      </w:pPr>
    </w:p>
    <w:p>
      <w:pPr>
        <w:ind w:left="1680" w:right="1019" w:firstLine="316"/>
        <w:spacing w:after="0" w:line="277" w:lineRule="auto"/>
        <w:rPr>
          <w:sz w:val="20"/>
          <w:szCs w:val="20"/>
          <w:color w:val="auto"/>
        </w:rPr>
      </w:pPr>
      <w:r>
        <w:rPr>
          <w:rFonts w:ascii="Times New Roman" w:cs="Times New Roman" w:eastAsia="Times New Roman" w:hAnsi="Times New Roman"/>
          <w:sz w:val="13"/>
          <w:szCs w:val="13"/>
          <w:color w:val="auto"/>
        </w:rPr>
        <w:t>Stock-based compensation expense is recognized as expense over the requisite service period, which is generally the vesting period of the respective award. The Company uses the straight-line method for expense attribution. The Company accounts for forfeitures as they occur.</w:t>
      </w:r>
    </w:p>
    <w:p>
      <w:pPr>
        <w:spacing w:after="0" w:line="19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Foreign Currency Translation and Transactions</w:t>
      </w:r>
    </w:p>
    <w:p>
      <w:pPr>
        <w:spacing w:after="0" w:line="87" w:lineRule="exact"/>
        <w:rPr>
          <w:sz w:val="20"/>
          <w:szCs w:val="20"/>
          <w:color w:val="auto"/>
        </w:rPr>
      </w:pPr>
    </w:p>
    <w:p>
      <w:pPr>
        <w:ind w:left="1680" w:right="579" w:firstLine="316"/>
        <w:spacing w:after="0" w:line="253" w:lineRule="auto"/>
        <w:rPr>
          <w:sz w:val="20"/>
          <w:szCs w:val="20"/>
          <w:color w:val="auto"/>
        </w:rPr>
      </w:pPr>
      <w:r>
        <w:rPr>
          <w:rFonts w:ascii="Times New Roman" w:cs="Times New Roman" w:eastAsia="Times New Roman" w:hAnsi="Times New Roman"/>
          <w:sz w:val="13"/>
          <w:szCs w:val="13"/>
          <w:color w:val="auto"/>
        </w:rPr>
        <w:t>The functional currency of each of the Company’s wholly owned subsidiaries is the applicable local currency or the U.S. dollar. The translation of foreign currencies into U.S. dollars is performed for assets and liabilities using current foreign currency exchange rates in effect at the balance sheet date and for revenues and expense accounts using average foreign currency exchange rates during the period. Capital accounts are translated at historical foreign currency exchange rates. Translation gains and losses are included in stockholders’ deficit as a component of accumulated other comprehensive income (loss). Adjustments that arise from foreign currency exchange rate changes on transactions denominated in a currency other than the functional currency are included in other income (expense), net on the consolidated statements of operations and were not material for the years ended January 31, 2019 and 2020 and the six months ended July 31, 2019 and 2020 (unaudited).</w:t>
      </w:r>
    </w:p>
    <w:p>
      <w:pPr>
        <w:spacing w:after="0" w:line="21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Segment Information</w:t>
      </w:r>
    </w:p>
    <w:p>
      <w:pPr>
        <w:spacing w:after="0" w:line="87" w:lineRule="exact"/>
        <w:rPr>
          <w:sz w:val="20"/>
          <w:szCs w:val="20"/>
          <w:color w:val="auto"/>
        </w:rPr>
      </w:pPr>
    </w:p>
    <w:p>
      <w:pPr>
        <w:ind w:left="1680" w:right="799" w:firstLine="316"/>
        <w:spacing w:after="0" w:line="258" w:lineRule="auto"/>
        <w:rPr>
          <w:sz w:val="20"/>
          <w:szCs w:val="20"/>
          <w:color w:val="auto"/>
        </w:rPr>
      </w:pPr>
      <w:r>
        <w:rPr>
          <w:rFonts w:ascii="Times New Roman" w:cs="Times New Roman" w:eastAsia="Times New Roman" w:hAnsi="Times New Roman"/>
          <w:sz w:val="13"/>
          <w:szCs w:val="13"/>
          <w:color w:val="auto"/>
        </w:rPr>
        <w:t>The Company’s chief operating decision-maker is its Chief Executive Officer (“CEO”), who reviews financial information presented on a consolidated basis for purposes of making operating decisions, assessing financial performance, and allocating resources. The Company manages its operations and allocates resources as a single operating segment. For information regarding the Company’s revenues and long-lived assets by geographic area, see Note 14, “Geographic Information.”</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Cash, Cash Equivalents, and Restricted Cash</w:t>
      </w:r>
    </w:p>
    <w:p>
      <w:pPr>
        <w:spacing w:after="0" w:line="87" w:lineRule="exact"/>
        <w:rPr>
          <w:sz w:val="20"/>
          <w:szCs w:val="20"/>
          <w:color w:val="auto"/>
        </w:rPr>
      </w:pPr>
    </w:p>
    <w:p>
      <w:pPr>
        <w:ind w:left="1680" w:right="1199" w:firstLine="316"/>
        <w:spacing w:after="0" w:line="277" w:lineRule="auto"/>
        <w:rPr>
          <w:sz w:val="20"/>
          <w:szCs w:val="20"/>
          <w:color w:val="auto"/>
        </w:rPr>
      </w:pPr>
      <w:r>
        <w:rPr>
          <w:rFonts w:ascii="Times New Roman" w:cs="Times New Roman" w:eastAsia="Times New Roman" w:hAnsi="Times New Roman"/>
          <w:sz w:val="13"/>
          <w:szCs w:val="13"/>
          <w:color w:val="auto"/>
        </w:rPr>
        <w:t>The Company considers all highly liquid investments with original maturities at the date of purchase of three months or less to be cash equivalents. Cash and cash equivalents are stated at cost, which approximates fair value.</w:t>
      </w:r>
    </w:p>
    <w:p>
      <w:pPr>
        <w:spacing w:after="0" w:line="120" w:lineRule="exact"/>
        <w:rPr>
          <w:sz w:val="20"/>
          <w:szCs w:val="20"/>
          <w:color w:val="auto"/>
        </w:rPr>
      </w:pPr>
    </w:p>
    <w:p>
      <w:pPr>
        <w:ind w:left="1680" w:right="619" w:firstLine="316"/>
        <w:spacing w:after="0" w:line="263" w:lineRule="auto"/>
        <w:rPr>
          <w:sz w:val="20"/>
          <w:szCs w:val="20"/>
          <w:color w:val="auto"/>
        </w:rPr>
      </w:pPr>
      <w:r>
        <w:rPr>
          <w:rFonts w:ascii="Times New Roman" w:cs="Times New Roman" w:eastAsia="Times New Roman" w:hAnsi="Times New Roman"/>
          <w:sz w:val="13"/>
          <w:szCs w:val="13"/>
          <w:color w:val="auto"/>
        </w:rPr>
        <w:t>Under various facilities operating lease agreements, the Company is required to maintain a restricted cash deposit as collateral. The Company had $2.8 million, $4.7 million, and $1.2 million of restricted cash for use as security deposits for standby letters of credit issued to landlords as of January 31, 2019 and 2020 and July 31, 2020 (unaudited), respectively.</w:t>
      </w:r>
    </w:p>
    <w:p>
      <w:pPr>
        <w:spacing w:after="0" w:line="8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F-13</w:t>
      </w:r>
    </w:p>
    <w:p>
      <w:pPr>
        <w:sectPr>
          <w:pgSz w:w="11900" w:h="16838" w:orient="portrait"/>
          <w:cols w:equalWidth="0" w:num="1">
            <w:col w:w="10159"/>
          </w:cols>
          <w:pgMar w:left="300" w:top="367" w:right="1440" w:bottom="1440" w:gutter="0" w:footer="0" w:header="0"/>
        </w:sectPr>
      </w:pPr>
    </w:p>
    <w:bookmarkStart w:id="177" w:name="page178"/>
    <w:bookmarkEnd w:id="17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19" w:firstLine="316"/>
        <w:spacing w:after="0" w:line="263" w:lineRule="auto"/>
        <w:rPr>
          <w:sz w:val="20"/>
          <w:szCs w:val="20"/>
          <w:color w:val="auto"/>
        </w:rPr>
      </w:pPr>
      <w:r>
        <w:rPr>
          <w:rFonts w:ascii="Times New Roman" w:cs="Times New Roman" w:eastAsia="Times New Roman" w:hAnsi="Times New Roman"/>
          <w:sz w:val="13"/>
          <w:szCs w:val="13"/>
          <w:color w:val="auto"/>
        </w:rPr>
        <w:t>Cash, cash equivalents, and restricted cash as reported in the Company’s consolidated statements of cash flows includes the aggregate amounts of cash, cash equivalents, and restricted cash as shown on the consolidated balance sheets. Cash, cash equivalents, and restricted cash as reported in the Company’s consolidated statements of cash flows consist of the following (in thousands):</w:t>
      </w:r>
    </w:p>
    <w:p>
      <w:pPr>
        <w:spacing w:after="0" w:line="136"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center"/>
              <w:ind w:right="61"/>
              <w:spacing w:after="0"/>
              <w:rPr>
                <w:sz w:val="20"/>
                <w:szCs w:val="20"/>
                <w:color w:val="auto"/>
              </w:rPr>
            </w:pPr>
            <w:r>
              <w:rPr>
                <w:rFonts w:ascii="Times New Roman" w:cs="Times New Roman" w:eastAsia="Times New Roman" w:hAnsi="Times New Roman"/>
                <w:sz w:val="10"/>
                <w:szCs w:val="10"/>
                <w:b w:val="1"/>
                <w:bCs w:val="1"/>
                <w:color w:val="auto"/>
              </w:rPr>
              <w:t>As of</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4"/>
            <w:vMerge w:val="restart"/>
          </w:tcPr>
          <w:p>
            <w:pPr>
              <w:jc w:val="right"/>
              <w:ind w:right="239"/>
              <w:spacing w:after="0"/>
              <w:rPr>
                <w:sz w:val="20"/>
                <w:szCs w:val="20"/>
                <w:color w:val="auto"/>
              </w:rPr>
            </w:pPr>
            <w:r>
              <w:rPr>
                <w:rFonts w:ascii="Times New Roman" w:cs="Times New Roman" w:eastAsia="Times New Roman" w:hAnsi="Times New Roman"/>
                <w:sz w:val="10"/>
                <w:szCs w:val="10"/>
                <w:b w:val="1"/>
                <w:bCs w:val="1"/>
                <w:color w:val="auto"/>
              </w:rPr>
              <w:t>As of January 31,</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5"/>
            <w:vMerge w:val="restart"/>
          </w:tcPr>
          <w:p>
            <w:pPr>
              <w:ind w:left="260"/>
              <w:spacing w:after="0"/>
              <w:rPr>
                <w:sz w:val="20"/>
                <w:szCs w:val="20"/>
                <w:color w:val="auto"/>
              </w:rPr>
            </w:pPr>
            <w:r>
              <w:rPr>
                <w:rFonts w:ascii="Times New Roman" w:cs="Times New Roman" w:eastAsia="Times New Roman" w:hAnsi="Times New Roman"/>
                <w:sz w:val="10"/>
                <w:szCs w:val="10"/>
                <w:b w:val="1"/>
                <w:bCs w:val="1"/>
                <w:color w:val="auto"/>
              </w:rPr>
              <w:t>As of July 31,</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580" w:type="dxa"/>
            <w:vAlign w:val="bottom"/>
            <w:gridSpan w:val="2"/>
            <w:vMerge w:val="restart"/>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February 1,</w:t>
            </w: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gridSpan w:val="4"/>
            <w:vMerge w:val="continue"/>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vMerge w:val="restart"/>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2019</w:t>
            </w:r>
          </w:p>
        </w:tc>
        <w:tc>
          <w:tcPr>
            <w:tcW w:w="1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vMerge w:val="restart"/>
          </w:tcPr>
          <w:p>
            <w:pPr>
              <w:jc w:val="right"/>
              <w:ind w:right="139"/>
              <w:spacing w:after="0"/>
              <w:rPr>
                <w:sz w:val="20"/>
                <w:szCs w:val="20"/>
                <w:color w:val="auto"/>
              </w:rPr>
            </w:pPr>
            <w:r>
              <w:rPr>
                <w:rFonts w:ascii="Times New Roman" w:cs="Times New Roman" w:eastAsia="Times New Roman" w:hAnsi="Times New Roman"/>
                <w:sz w:val="10"/>
                <w:szCs w:val="10"/>
                <w:b w:val="1"/>
                <w:bCs w:val="1"/>
                <w:color w:val="auto"/>
              </w:rPr>
              <w:t>2020</w:t>
            </w:r>
          </w:p>
        </w:tc>
        <w:tc>
          <w:tcPr>
            <w:tcW w:w="1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vMerge w:val="restart"/>
          </w:tcPr>
          <w:p>
            <w:pPr>
              <w:jc w:val="right"/>
              <w:ind w:right="162"/>
              <w:spacing w:after="0"/>
              <w:rPr>
                <w:sz w:val="20"/>
                <w:szCs w:val="20"/>
                <w:color w:val="auto"/>
              </w:rPr>
            </w:pPr>
            <w:r>
              <w:rPr>
                <w:rFonts w:ascii="Times New Roman" w:cs="Times New Roman" w:eastAsia="Times New Roman" w:hAnsi="Times New Roman"/>
                <w:sz w:val="10"/>
                <w:szCs w:val="10"/>
                <w:b w:val="1"/>
                <w:bCs w:val="1"/>
                <w:color w:val="auto"/>
              </w:rPr>
              <w:t>2019</w:t>
            </w:r>
          </w:p>
        </w:tc>
        <w:tc>
          <w:tcPr>
            <w:tcW w:w="1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vMerge w:val="restart"/>
          </w:tcPr>
          <w:p>
            <w:pPr>
              <w:jc w:val="right"/>
              <w:ind w:right="159"/>
              <w:spacing w:after="0"/>
              <w:rPr>
                <w:sz w:val="20"/>
                <w:szCs w:val="20"/>
                <w:color w:val="auto"/>
              </w:rPr>
            </w:pPr>
            <w:r>
              <w:rPr>
                <w:rFonts w:ascii="Times New Roman" w:cs="Times New Roman" w:eastAsia="Times New Roman" w:hAnsi="Times New Roman"/>
                <w:sz w:val="10"/>
                <w:szCs w:val="10"/>
                <w:b w:val="1"/>
                <w:bCs w:val="1"/>
                <w:color w:val="auto"/>
                <w:w w:val="99"/>
              </w:rPr>
              <w:t>2020</w:t>
            </w: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0"/>
                <w:szCs w:val="10"/>
                <w:b w:val="1"/>
                <w:bCs w:val="1"/>
                <w:color w:val="auto"/>
              </w:rPr>
              <w:t>2018</w:t>
            </w: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3"/>
          </w:tcPr>
          <w:p>
            <w:pPr>
              <w:jc w:val="right"/>
              <w:ind w:right="20"/>
              <w:spacing w:after="0" w:line="97"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44,659</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23,778</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306,020</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10,945</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449,519</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Restricted cash</w:t>
            </w:r>
          </w:p>
        </w:tc>
        <w:tc>
          <w:tcPr>
            <w:tcW w:w="9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1,466</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2,802</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4,657</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3,583</w:t>
            </w: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cash equivalents, and restricted cash</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46,125</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26,580</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310,677</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14,528</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450,674</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Marketable Securities</w:t>
      </w:r>
    </w:p>
    <w:p>
      <w:pPr>
        <w:spacing w:after="0" w:line="87" w:lineRule="exact"/>
        <w:rPr>
          <w:sz w:val="20"/>
          <w:szCs w:val="20"/>
          <w:color w:val="auto"/>
        </w:rPr>
      </w:pPr>
    </w:p>
    <w:p>
      <w:pPr>
        <w:ind w:left="1680" w:right="559" w:firstLine="316"/>
        <w:spacing w:after="0" w:line="252" w:lineRule="auto"/>
        <w:rPr>
          <w:sz w:val="20"/>
          <w:szCs w:val="20"/>
          <w:color w:val="auto"/>
        </w:rPr>
      </w:pPr>
      <w:r>
        <w:rPr>
          <w:rFonts w:ascii="Times New Roman" w:cs="Times New Roman" w:eastAsia="Times New Roman" w:hAnsi="Times New Roman"/>
          <w:sz w:val="13"/>
          <w:szCs w:val="13"/>
          <w:color w:val="auto"/>
        </w:rPr>
        <w:t>Marketable securities are partially comprised of marketable securities, including U.S. government securities, commercial paper, and corporate bonds with an original contractual maturity or a remaining maturity at the time of purchase of greater than three months and no more than 12 months. These marketable securities are classified as available-for-sale securities and are carried at fair value with unrealized gains and losses reported in accumulated other comprehensive income (loss) as a separate component of stockholders’ deficit. Interest receivable on these securities is presented in prepaid expenses and other current assets on the consolidated balance sheets. Realized gains and losses and other-than-temporary impairments, if any, on available-for-sale securities are recognized upon sale and are included in other income (expense), net in the consolidated statements of operations. The cost of securities sold is based on the specific identification method. Marketable securities are reviewed periodically to identify possible other-than-temporary impairments. No impairment loss has been recorded on the Company’s marketable securities during the years ended January 31, 2019 and 2020 and the six months ended July 31, 2020 (unaudited).</w:t>
      </w:r>
    </w:p>
    <w:p>
      <w:pPr>
        <w:spacing w:after="0" w:line="21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Accounts Receivable and Allowance for Doubtful Accounts</w:t>
      </w:r>
    </w:p>
    <w:p>
      <w:pPr>
        <w:spacing w:after="0" w:line="87" w:lineRule="exact"/>
        <w:rPr>
          <w:sz w:val="20"/>
          <w:szCs w:val="20"/>
          <w:color w:val="auto"/>
        </w:rPr>
      </w:pPr>
    </w:p>
    <w:p>
      <w:pPr>
        <w:ind w:left="1680" w:right="659" w:firstLine="316"/>
        <w:spacing w:after="0" w:line="263" w:lineRule="auto"/>
        <w:rPr>
          <w:sz w:val="20"/>
          <w:szCs w:val="20"/>
          <w:color w:val="auto"/>
        </w:rPr>
      </w:pPr>
      <w:r>
        <w:rPr>
          <w:rFonts w:ascii="Times New Roman" w:cs="Times New Roman" w:eastAsia="Times New Roman" w:hAnsi="Times New Roman"/>
          <w:sz w:val="13"/>
          <w:szCs w:val="13"/>
          <w:color w:val="auto"/>
        </w:rPr>
        <w:t>Accounts receivable are stated at realizable value, net of allowance for doubtful accounts. The Company’s estimate is based on historical collection experience and a review of the current status of accounts receivable. The Company’s allowance for doubtful accounts was $0.1 million, $0.1 million, and $1.2 million as of January 31, 2019 and 2020 and July 31, 2020 (unaudited), respectively.</w:t>
      </w:r>
    </w:p>
    <w:p>
      <w:pPr>
        <w:spacing w:after="0" w:line="20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Concentration of Credit Risk</w:t>
      </w:r>
    </w:p>
    <w:p>
      <w:pPr>
        <w:spacing w:after="0" w:line="87" w:lineRule="exact"/>
        <w:rPr>
          <w:sz w:val="20"/>
          <w:szCs w:val="20"/>
          <w:color w:val="auto"/>
        </w:rPr>
      </w:pPr>
    </w:p>
    <w:p>
      <w:pPr>
        <w:ind w:left="1680" w:right="679" w:firstLine="316"/>
        <w:spacing w:after="0" w:line="263" w:lineRule="auto"/>
        <w:rPr>
          <w:sz w:val="20"/>
          <w:szCs w:val="20"/>
          <w:color w:val="auto"/>
        </w:rPr>
      </w:pPr>
      <w:r>
        <w:rPr>
          <w:rFonts w:ascii="Times New Roman" w:cs="Times New Roman" w:eastAsia="Times New Roman" w:hAnsi="Times New Roman"/>
          <w:sz w:val="13"/>
          <w:szCs w:val="13"/>
          <w:color w:val="auto"/>
        </w:rPr>
        <w:t>Financial instruments that potentially subject the Company to a concentration of credit risk consist of cash, cash equivalents, and marketable securities. Substantially all the Company’s cash and cash equivalents are held by four financial institutions that management believes are of high credit quality. Such deposits may, at times, exceed federally insured limits. Cash equivalents are invested in highly rated money market funds.</w:t>
      </w:r>
    </w:p>
    <w:p>
      <w:pPr>
        <w:spacing w:after="0" w:line="129" w:lineRule="exact"/>
        <w:rPr>
          <w:sz w:val="20"/>
          <w:szCs w:val="20"/>
          <w:color w:val="auto"/>
        </w:rPr>
      </w:pPr>
    </w:p>
    <w:p>
      <w:pPr>
        <w:ind w:left="1680" w:right="639" w:firstLine="316"/>
        <w:spacing w:after="0" w:line="256" w:lineRule="auto"/>
        <w:rPr>
          <w:sz w:val="20"/>
          <w:szCs w:val="20"/>
          <w:color w:val="auto"/>
        </w:rPr>
      </w:pPr>
      <w:r>
        <w:rPr>
          <w:rFonts w:ascii="Times New Roman" w:cs="Times New Roman" w:eastAsia="Times New Roman" w:hAnsi="Times New Roman"/>
          <w:sz w:val="13"/>
          <w:szCs w:val="13"/>
          <w:color w:val="auto"/>
        </w:rPr>
        <w:t>A large portion of the Company’s customers authorize the Company to bill their credit card accounts through the Company’s third-party payment processing partners, presenting additional credit risk. For the years ended January 31, 2019 and 2020 and the six months ended July 31, 2019 and 2020 (unaudited), there were no individual customers that accounted for 10% or more of the Company’s revenues. The Company had one customer that accounted for 12% of accounts receivable as of January 31, 2019, and no customers accounted for more than 10% of accounts receivable as of January 31, 2020 or July 31, 2020 (unaudited).</w:t>
      </w:r>
    </w:p>
    <w:p>
      <w:pPr>
        <w:spacing w:after="0" w:line="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F-14</w:t>
      </w:r>
    </w:p>
    <w:p>
      <w:pPr>
        <w:sectPr>
          <w:pgSz w:w="11900" w:h="16838" w:orient="portrait"/>
          <w:cols w:equalWidth="0" w:num="1">
            <w:col w:w="10159"/>
          </w:cols>
          <w:pgMar w:left="300" w:top="367" w:right="1440" w:bottom="1440" w:gutter="0" w:footer="0" w:header="0"/>
        </w:sectPr>
      </w:pPr>
    </w:p>
    <w:bookmarkStart w:id="178" w:name="page179"/>
    <w:bookmarkEnd w:id="17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Fair Value of Financial Instruments</w:t>
      </w:r>
    </w:p>
    <w:p>
      <w:pPr>
        <w:spacing w:after="0" w:line="87" w:lineRule="exact"/>
        <w:rPr>
          <w:sz w:val="20"/>
          <w:szCs w:val="20"/>
          <w:color w:val="auto"/>
        </w:rPr>
      </w:pPr>
    </w:p>
    <w:p>
      <w:pPr>
        <w:ind w:left="1680" w:right="759" w:firstLine="316"/>
        <w:spacing w:after="0" w:line="263" w:lineRule="auto"/>
        <w:rPr>
          <w:sz w:val="20"/>
          <w:szCs w:val="20"/>
          <w:color w:val="auto"/>
        </w:rPr>
      </w:pPr>
      <w:r>
        <w:rPr>
          <w:rFonts w:ascii="Times New Roman" w:cs="Times New Roman" w:eastAsia="Times New Roman" w:hAnsi="Times New Roman"/>
          <w:sz w:val="13"/>
          <w:szCs w:val="13"/>
          <w:color w:val="auto"/>
        </w:rPr>
        <w:t>The carrying amounts reflected in the consolidated balance sheets for cash equivalents, accounts receivable, and accounts payable approximate their respective fair values due to the short maturities of those instruments. Available-for-sale marketable securities are recorded at fair value on the consolidated balance sheets.</w:t>
      </w:r>
    </w:p>
    <w:p>
      <w:pPr>
        <w:spacing w:after="0" w:line="129" w:lineRule="exact"/>
        <w:rPr>
          <w:sz w:val="20"/>
          <w:szCs w:val="20"/>
          <w:color w:val="auto"/>
        </w:rPr>
      </w:pPr>
    </w:p>
    <w:p>
      <w:pPr>
        <w:ind w:left="1680" w:right="699" w:firstLine="316"/>
        <w:spacing w:after="0" w:line="256" w:lineRule="auto"/>
        <w:rPr>
          <w:sz w:val="20"/>
          <w:szCs w:val="20"/>
          <w:color w:val="auto"/>
        </w:rPr>
      </w:pPr>
      <w:r>
        <w:rPr>
          <w:rFonts w:ascii="Times New Roman" w:cs="Times New Roman" w:eastAsia="Times New Roman" w:hAnsi="Times New Roman"/>
          <w:sz w:val="13"/>
          <w:szCs w:val="13"/>
          <w:color w:val="auto"/>
        </w:rPr>
        <w:t>The Company accounts for certain of its financial assets at fair value. In determining and disclosing fair value, the Company uses a fair value hierarchy established by U.S. GAAP. The guidance defines fair value as an exit price, representing the amount that would be received upon the sale of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Company utilizes a three-tier fair value hierarchy, which prioritizes the inputs used in measuring fair value as follows:</w:t>
      </w:r>
    </w:p>
    <w:p>
      <w:pPr>
        <w:spacing w:after="0" w:line="153" w:lineRule="exact"/>
        <w:rPr>
          <w:sz w:val="20"/>
          <w:szCs w:val="20"/>
          <w:color w:val="auto"/>
        </w:rPr>
      </w:pPr>
    </w:p>
    <w:p>
      <w:pPr>
        <w:ind w:left="2160"/>
        <w:spacing w:after="0"/>
        <w:tabs>
          <w:tab w:leader="none" w:pos="2680" w:val="left"/>
        </w:tabs>
        <w:rPr>
          <w:sz w:val="20"/>
          <w:szCs w:val="20"/>
          <w:color w:val="auto"/>
        </w:rPr>
      </w:pPr>
      <w:r>
        <w:rPr>
          <w:rFonts w:ascii="Times New Roman" w:cs="Times New Roman" w:eastAsia="Times New Roman" w:hAnsi="Times New Roman"/>
          <w:sz w:val="13"/>
          <w:szCs w:val="13"/>
          <w:color w:val="auto"/>
        </w:rPr>
        <w:t>Level 1</w:t>
      </w:r>
      <w:r>
        <w:rPr>
          <w:sz w:val="20"/>
          <w:szCs w:val="20"/>
          <w:color w:val="auto"/>
        </w:rPr>
        <w:tab/>
      </w:r>
      <w:r>
        <w:rPr>
          <w:rFonts w:ascii="Times New Roman" w:cs="Times New Roman" w:eastAsia="Times New Roman" w:hAnsi="Times New Roman"/>
          <w:sz w:val="12"/>
          <w:szCs w:val="12"/>
          <w:color w:val="auto"/>
        </w:rPr>
        <w:t>Observable inputs such as quoted prices in active markets.</w:t>
      </w:r>
    </w:p>
    <w:p>
      <w:pPr>
        <w:spacing w:after="0" w:line="180" w:lineRule="exact"/>
        <w:rPr>
          <w:sz w:val="20"/>
          <w:szCs w:val="20"/>
          <w:color w:val="auto"/>
        </w:rPr>
      </w:pPr>
    </w:p>
    <w:p>
      <w:pPr>
        <w:ind w:left="2160"/>
        <w:spacing w:after="0"/>
        <w:tabs>
          <w:tab w:leader="none" w:pos="2680" w:val="left"/>
        </w:tabs>
        <w:rPr>
          <w:sz w:val="20"/>
          <w:szCs w:val="20"/>
          <w:color w:val="auto"/>
        </w:rPr>
      </w:pPr>
      <w:r>
        <w:rPr>
          <w:rFonts w:ascii="Times New Roman" w:cs="Times New Roman" w:eastAsia="Times New Roman" w:hAnsi="Times New Roman"/>
          <w:sz w:val="13"/>
          <w:szCs w:val="13"/>
          <w:color w:val="auto"/>
        </w:rPr>
        <w:t>Level 2</w:t>
      </w:r>
      <w:r>
        <w:rPr>
          <w:sz w:val="20"/>
          <w:szCs w:val="20"/>
          <w:color w:val="auto"/>
        </w:rPr>
        <w:tab/>
      </w:r>
      <w:r>
        <w:rPr>
          <w:rFonts w:ascii="Times New Roman" w:cs="Times New Roman" w:eastAsia="Times New Roman" w:hAnsi="Times New Roman"/>
          <w:sz w:val="12"/>
          <w:szCs w:val="12"/>
          <w:color w:val="auto"/>
        </w:rPr>
        <w:t>Inputs other than the quoted prices in active markets that are observable either directly or indirectly.</w:t>
      </w:r>
    </w:p>
    <w:p>
      <w:pPr>
        <w:spacing w:after="0" w:line="180" w:lineRule="exact"/>
        <w:rPr>
          <w:sz w:val="20"/>
          <w:szCs w:val="20"/>
          <w:color w:val="auto"/>
        </w:rPr>
      </w:pPr>
    </w:p>
    <w:p>
      <w:pPr>
        <w:ind w:left="2160"/>
        <w:spacing w:after="0"/>
        <w:tabs>
          <w:tab w:leader="none" w:pos="2680" w:val="left"/>
        </w:tabs>
        <w:rPr>
          <w:sz w:val="20"/>
          <w:szCs w:val="20"/>
          <w:color w:val="auto"/>
        </w:rPr>
      </w:pPr>
      <w:r>
        <w:rPr>
          <w:rFonts w:ascii="Times New Roman" w:cs="Times New Roman" w:eastAsia="Times New Roman" w:hAnsi="Times New Roman"/>
          <w:sz w:val="13"/>
          <w:szCs w:val="13"/>
          <w:color w:val="auto"/>
        </w:rPr>
        <w:t>Level 3</w:t>
      </w:r>
      <w:r>
        <w:rPr>
          <w:sz w:val="20"/>
          <w:szCs w:val="20"/>
          <w:color w:val="auto"/>
        </w:rPr>
        <w:tab/>
      </w:r>
      <w:r>
        <w:rPr>
          <w:rFonts w:ascii="Times New Roman" w:cs="Times New Roman" w:eastAsia="Times New Roman" w:hAnsi="Times New Roman"/>
          <w:sz w:val="12"/>
          <w:szCs w:val="12"/>
          <w:color w:val="auto"/>
        </w:rPr>
        <w:t>Unobservable inputs in which there is little or no market data and that are significant to the fair value of the assets or liabilities.</w:t>
      </w:r>
    </w:p>
    <w:p>
      <w:pPr>
        <w:spacing w:after="0" w:line="161" w:lineRule="exact"/>
        <w:rPr>
          <w:sz w:val="20"/>
          <w:szCs w:val="20"/>
          <w:color w:val="auto"/>
        </w:rPr>
      </w:pPr>
    </w:p>
    <w:p>
      <w:pPr>
        <w:ind w:left="1680" w:right="1099" w:firstLine="316"/>
        <w:spacing w:after="0" w:line="277" w:lineRule="auto"/>
        <w:rPr>
          <w:sz w:val="20"/>
          <w:szCs w:val="20"/>
          <w:color w:val="auto"/>
        </w:rPr>
      </w:pPr>
      <w:r>
        <w:rPr>
          <w:rFonts w:ascii="Times New Roman" w:cs="Times New Roman" w:eastAsia="Times New Roman" w:hAnsi="Times New Roman"/>
          <w:sz w:val="13"/>
          <w:szCs w:val="13"/>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19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3"/>
          <w:szCs w:val="13"/>
          <w:b w:val="1"/>
          <w:bCs w:val="1"/>
          <w:i w:val="1"/>
          <w:iCs w:val="1"/>
          <w:color w:val="auto"/>
        </w:rPr>
        <w:t>Lease Obligations</w:t>
      </w:r>
    </w:p>
    <w:p>
      <w:pPr>
        <w:spacing w:after="0" w:line="87" w:lineRule="exact"/>
        <w:rPr>
          <w:sz w:val="20"/>
          <w:szCs w:val="20"/>
          <w:color w:val="auto"/>
        </w:rPr>
      </w:pPr>
    </w:p>
    <w:p>
      <w:pPr>
        <w:ind w:left="1680" w:right="599" w:firstLine="316"/>
        <w:spacing w:after="0" w:line="251" w:lineRule="auto"/>
        <w:rPr>
          <w:sz w:val="20"/>
          <w:szCs w:val="20"/>
          <w:color w:val="auto"/>
        </w:rPr>
      </w:pPr>
      <w:r>
        <w:rPr>
          <w:rFonts w:ascii="Times New Roman" w:cs="Times New Roman" w:eastAsia="Times New Roman" w:hAnsi="Times New Roman"/>
          <w:sz w:val="13"/>
          <w:szCs w:val="13"/>
          <w:color w:val="auto"/>
        </w:rPr>
        <w:t>The Company determines if an arrangement is a lease at inception by determining if the contract conveys the right to control the issue of an identified asset for a period of time in exchange for consideration and other facts and circumstances. Right-of-use (“ROU”) assets and lease liabilities are recognized at commencement date based on the present value of remaining lease payments over the lease term. For this purpose, the Company considers only payments that are fixed and determinable at the time of commencement. As the Company’s leases do not provide an implicit rate, the Company uses the incremental borrowing rate based on the information available at commencement date in determining the present value of lease payments. The incremental borrowing rate is a hypothetical rate based on the Company’s understanding of what its credit rating would be. The ROU assets also include any lease payments made prior to commencement and are recorded net of any lease incentives received. The lease terms may include options to extend or terminate the lease when it is reasonably certain that the Company will exercise such options. The lease agreements may contain variable costs such as common area maintenance, insurance, real estate taxes or other costs. Variable lease costs are expensed as incurred on the consolidated statements of operations. The Company’s lease agreements generally do not contain any residual value guarantees, restrictions, or covenants.</w:t>
      </w:r>
    </w:p>
    <w:p>
      <w:pPr>
        <w:spacing w:after="0" w:line="141" w:lineRule="exact"/>
        <w:rPr>
          <w:sz w:val="20"/>
          <w:szCs w:val="20"/>
          <w:color w:val="auto"/>
        </w:rPr>
      </w:pPr>
    </w:p>
    <w:p>
      <w:pPr>
        <w:ind w:left="1680" w:right="559" w:firstLine="316"/>
        <w:spacing w:after="0" w:line="295" w:lineRule="auto"/>
        <w:rPr>
          <w:sz w:val="20"/>
          <w:szCs w:val="20"/>
          <w:color w:val="auto"/>
        </w:rPr>
      </w:pPr>
      <w:r>
        <w:rPr>
          <w:rFonts w:ascii="Times New Roman" w:cs="Times New Roman" w:eastAsia="Times New Roman" w:hAnsi="Times New Roman"/>
          <w:sz w:val="12"/>
          <w:szCs w:val="12"/>
          <w:color w:val="auto"/>
        </w:rPr>
        <w:t>The Company has lease agreements with lease and non-lease components. The Company has elected to combine lease and non-lease components as a single lease component for all classes of underlying assets. The Company has also elected to keep leases with an initial term of 12 months or less off the balance sheet and recognize the associated lease payments in the consolidated statements of operations on a straight-line basis over the lease term.</w:t>
      </w:r>
    </w:p>
    <w:p>
      <w:pPr>
        <w:spacing w:after="0" w:line="112" w:lineRule="exact"/>
        <w:rPr>
          <w:sz w:val="20"/>
          <w:szCs w:val="20"/>
          <w:color w:val="auto"/>
        </w:rPr>
      </w:pPr>
    </w:p>
    <w:p>
      <w:pPr>
        <w:ind w:left="1680" w:right="719" w:firstLine="316"/>
        <w:spacing w:after="0" w:line="277" w:lineRule="auto"/>
        <w:rPr>
          <w:sz w:val="20"/>
          <w:szCs w:val="20"/>
          <w:color w:val="auto"/>
        </w:rPr>
      </w:pPr>
      <w:r>
        <w:rPr>
          <w:rFonts w:ascii="Times New Roman" w:cs="Times New Roman" w:eastAsia="Times New Roman" w:hAnsi="Times New Roman"/>
          <w:sz w:val="13"/>
          <w:szCs w:val="13"/>
          <w:color w:val="auto"/>
        </w:rPr>
        <w:t>Operating leases are included in operating lease ROU assets, operating lease liabilities, current, and operating lease liabilities, noncurrent on the consolidated balance sheets.</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F-15</w:t>
      </w:r>
    </w:p>
    <w:p>
      <w:pPr>
        <w:sectPr>
          <w:pgSz w:w="11900" w:h="16838" w:orient="portrait"/>
          <w:cols w:equalWidth="0" w:num="1">
            <w:col w:w="10159"/>
          </w:cols>
          <w:pgMar w:left="300" w:top="367" w:right="1440" w:bottom="1440" w:gutter="0" w:footer="0" w:header="0"/>
        </w:sectPr>
      </w:pPr>
    </w:p>
    <w:bookmarkStart w:id="179" w:name="page180"/>
    <w:bookmarkEnd w:id="17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Property and Equipment, Net</w:t>
      </w:r>
    </w:p>
    <w:p>
      <w:pPr>
        <w:spacing w:after="0" w:line="87" w:lineRule="exact"/>
        <w:rPr>
          <w:sz w:val="20"/>
          <w:szCs w:val="20"/>
          <w:color w:val="auto"/>
        </w:rPr>
      </w:pPr>
    </w:p>
    <w:p>
      <w:pPr>
        <w:ind w:left="1680" w:right="659" w:firstLine="316"/>
        <w:spacing w:after="0" w:line="258" w:lineRule="auto"/>
        <w:rPr>
          <w:sz w:val="20"/>
          <w:szCs w:val="20"/>
          <w:color w:val="auto"/>
        </w:rPr>
      </w:pPr>
      <w:r>
        <w:rPr>
          <w:rFonts w:ascii="Times New Roman" w:cs="Times New Roman" w:eastAsia="Times New Roman" w:hAnsi="Times New Roman"/>
          <w:sz w:val="13"/>
          <w:szCs w:val="13"/>
          <w:color w:val="auto"/>
        </w:rPr>
        <w:t>The Company records its property and equipment at cost. Depreciation is computed on the straight-line method over the estimated useful lives of two to three years. Leasehold improvements are amortized over the remaining period of the lease, or the estimated useful life of the improvement, whichever is shorter. Repair and maintenance expenditures, which are not considered improvements and do not extend the useful life of an asset, are expensed as incurred.</w:t>
      </w:r>
    </w:p>
    <w:p>
      <w:pPr>
        <w:spacing w:after="0" w:line="148" w:lineRule="exact"/>
        <w:rPr>
          <w:sz w:val="20"/>
          <w:szCs w:val="20"/>
          <w:color w:val="auto"/>
        </w:rPr>
      </w:pPr>
    </w:p>
    <w:tbl>
      <w:tblPr>
        <w:tblLayout w:type="fixed"/>
        <w:tblInd w:w="1680" w:type="dxa"/>
        <w:tblCellMar>
          <w:top w:w="0" w:type="dxa"/>
          <w:left w:w="0" w:type="dxa"/>
          <w:bottom w:w="0" w:type="dxa"/>
          <w:right w:w="0" w:type="dxa"/>
        </w:tblCellMar>
      </w:tblPr>
      <w:tr>
        <w:trPr>
          <w:trHeight w:val="133"/>
        </w:trPr>
        <w:tc>
          <w:tcPr>
            <w:tcW w:w="48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Asset Type</w:t>
            </w:r>
          </w:p>
        </w:tc>
        <w:tc>
          <w:tcPr>
            <w:tcW w:w="3020" w:type="dxa"/>
            <w:vAlign w:val="bottom"/>
          </w:tcPr>
          <w:p>
            <w:pPr>
              <w:jc w:val="right"/>
              <w:ind w:right="1198"/>
              <w:spacing w:after="0"/>
              <w:rPr>
                <w:sz w:val="20"/>
                <w:szCs w:val="20"/>
                <w:color w:val="auto"/>
              </w:rPr>
            </w:pPr>
            <w:r>
              <w:rPr>
                <w:rFonts w:ascii="Times New Roman" w:cs="Times New Roman" w:eastAsia="Times New Roman" w:hAnsi="Times New Roman"/>
                <w:sz w:val="10"/>
                <w:szCs w:val="10"/>
                <w:b w:val="1"/>
                <w:bCs w:val="1"/>
                <w:color w:val="auto"/>
              </w:rPr>
              <w:t>Life (Years)</w:t>
            </w:r>
          </w:p>
        </w:tc>
      </w:tr>
      <w:tr>
        <w:trPr>
          <w:trHeight w:val="132"/>
        </w:trPr>
        <w:tc>
          <w:tcPr>
            <w:tcW w:w="20" w:type="dxa"/>
            <w:vAlign w:val="bottom"/>
          </w:tcPr>
          <w:p>
            <w:pPr>
              <w:spacing w:after="0"/>
              <w:rPr>
                <w:sz w:val="11"/>
                <w:szCs w:val="11"/>
                <w:color w:val="auto"/>
              </w:rPr>
            </w:pPr>
          </w:p>
        </w:tc>
        <w:tc>
          <w:tcPr>
            <w:tcW w:w="4740" w:type="dxa"/>
            <w:vAlign w:val="bottom"/>
            <w:tcBorders>
              <w:top w:val="single" w:sz="8" w:color="auto"/>
            </w:tcBorders>
          </w:tcPr>
          <w:p>
            <w:pPr>
              <w:spacing w:after="0" w:line="132" w:lineRule="exact"/>
              <w:rPr>
                <w:sz w:val="20"/>
                <w:szCs w:val="20"/>
                <w:color w:val="auto"/>
              </w:rPr>
            </w:pPr>
            <w:r>
              <w:rPr>
                <w:rFonts w:ascii="Times New Roman" w:cs="Times New Roman" w:eastAsia="Times New Roman" w:hAnsi="Times New Roman"/>
                <w:sz w:val="13"/>
                <w:szCs w:val="13"/>
                <w:color w:val="auto"/>
              </w:rPr>
              <w:t>Desktop and other computer equipment</w:t>
            </w:r>
          </w:p>
        </w:tc>
        <w:tc>
          <w:tcPr>
            <w:tcW w:w="80" w:type="dxa"/>
            <w:vAlign w:val="bottom"/>
          </w:tcPr>
          <w:p>
            <w:pPr>
              <w:spacing w:after="0"/>
              <w:rPr>
                <w:sz w:val="11"/>
                <w:szCs w:val="11"/>
                <w:color w:val="auto"/>
              </w:rPr>
            </w:pPr>
          </w:p>
        </w:tc>
        <w:tc>
          <w:tcPr>
            <w:tcW w:w="3020" w:type="dxa"/>
            <w:vAlign w:val="bottom"/>
            <w:tcBorders>
              <w:top w:val="single" w:sz="8" w:color="auto"/>
            </w:tcBorders>
          </w:tcPr>
          <w:p>
            <w:pPr>
              <w:jc w:val="right"/>
              <w:spacing w:after="0" w:line="132" w:lineRule="exact"/>
              <w:rPr>
                <w:sz w:val="20"/>
                <w:szCs w:val="20"/>
                <w:color w:val="auto"/>
              </w:rPr>
            </w:pPr>
            <w:r>
              <w:rPr>
                <w:rFonts w:ascii="Times New Roman" w:cs="Times New Roman" w:eastAsia="Times New Roman" w:hAnsi="Times New Roman"/>
                <w:sz w:val="13"/>
                <w:szCs w:val="13"/>
                <w:color w:val="auto"/>
              </w:rPr>
              <w:t>2-3</w:t>
            </w:r>
          </w:p>
        </w:tc>
      </w:tr>
      <w:tr>
        <w:trPr>
          <w:trHeight w:val="155"/>
        </w:trPr>
        <w:tc>
          <w:tcPr>
            <w:tcW w:w="48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Furniture and fixtures</w:t>
            </w:r>
          </w:p>
        </w:tc>
        <w:tc>
          <w:tcPr>
            <w:tcW w:w="3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55"/>
        </w:trPr>
        <w:tc>
          <w:tcPr>
            <w:tcW w:w="48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Leasehold improvements</w:t>
            </w:r>
          </w:p>
        </w:tc>
        <w:tc>
          <w:tcPr>
            <w:tcW w:w="3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Shorter of lease term or estimated useful life</w:t>
            </w:r>
          </w:p>
        </w:tc>
      </w:tr>
      <w:tr>
        <w:trPr>
          <w:trHeight w:val="167"/>
        </w:trPr>
        <w:tc>
          <w:tcPr>
            <w:tcW w:w="48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Capitalized internal-use software</w:t>
            </w:r>
          </w:p>
        </w:tc>
        <w:tc>
          <w:tcPr>
            <w:tcW w:w="3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bl>
    <w:p>
      <w:pPr>
        <w:spacing w:after="0" w:line="21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Capitalized Internal-Use Software</w:t>
      </w:r>
    </w:p>
    <w:p>
      <w:pPr>
        <w:spacing w:after="0" w:line="87" w:lineRule="exact"/>
        <w:rPr>
          <w:sz w:val="20"/>
          <w:szCs w:val="20"/>
          <w:color w:val="auto"/>
        </w:rPr>
      </w:pPr>
    </w:p>
    <w:p>
      <w:pPr>
        <w:jc w:val="both"/>
        <w:ind w:left="1680" w:right="699" w:firstLine="316"/>
        <w:spacing w:after="0" w:line="295" w:lineRule="auto"/>
        <w:rPr>
          <w:sz w:val="20"/>
          <w:szCs w:val="20"/>
          <w:color w:val="auto"/>
        </w:rPr>
      </w:pPr>
      <w:r>
        <w:rPr>
          <w:rFonts w:ascii="Times New Roman" w:cs="Times New Roman" w:eastAsia="Times New Roman" w:hAnsi="Times New Roman"/>
          <w:sz w:val="12"/>
          <w:szCs w:val="12"/>
          <w:color w:val="auto"/>
        </w:rPr>
        <w:t>The Company capitalizes certain internal software development costs, consisting primarily of direct labor associated with creating the internally developed software. Capitalized costs are amortized using the straight-line method over the estimated useful life of the software once it is ready for its intended use. The Company believes the straight-line recognition method best approximates the manner in which the expected benefit will be derived.</w:t>
      </w:r>
    </w:p>
    <w:p>
      <w:pPr>
        <w:spacing w:after="0" w:line="18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Impairment of Long-Lived Assets</w:t>
      </w:r>
    </w:p>
    <w:p>
      <w:pPr>
        <w:spacing w:after="0" w:line="87" w:lineRule="exact"/>
        <w:rPr>
          <w:sz w:val="20"/>
          <w:szCs w:val="20"/>
          <w:color w:val="auto"/>
        </w:rPr>
      </w:pPr>
    </w:p>
    <w:p>
      <w:pPr>
        <w:ind w:left="1680" w:right="579" w:firstLine="316"/>
        <w:spacing w:after="0" w:line="254" w:lineRule="auto"/>
        <w:rPr>
          <w:sz w:val="20"/>
          <w:szCs w:val="20"/>
          <w:color w:val="auto"/>
        </w:rPr>
      </w:pPr>
      <w:r>
        <w:rPr>
          <w:rFonts w:ascii="Times New Roman" w:cs="Times New Roman" w:eastAsia="Times New Roman" w:hAnsi="Times New Roman"/>
          <w:sz w:val="13"/>
          <w:szCs w:val="13"/>
          <w:color w:val="auto"/>
        </w:rPr>
        <w:t>The Company evaluates its long-lived assets for impairment whenever events or changes in circumstances indicate that the carrying amount of such asset groups may not be recoverable. Recoverability of assets to be held and used is measured by a comparison of the carrying amount of an asset group to future undiscounted net cash flows expected to be generated by the asset group.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No impairment losses were recorded during the years ended January 31, 2019 and 2020 and the six months ended July 31, 2020 (unaudited).</w:t>
      </w:r>
    </w:p>
    <w:p>
      <w:pPr>
        <w:spacing w:after="0" w:line="21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Income Taxes</w:t>
      </w:r>
    </w:p>
    <w:p>
      <w:pPr>
        <w:spacing w:after="0" w:line="87" w:lineRule="exact"/>
        <w:rPr>
          <w:sz w:val="20"/>
          <w:szCs w:val="20"/>
          <w:color w:val="auto"/>
        </w:rPr>
      </w:pPr>
    </w:p>
    <w:p>
      <w:pPr>
        <w:ind w:left="1680" w:right="639" w:firstLine="316"/>
        <w:spacing w:after="0" w:line="263" w:lineRule="auto"/>
        <w:rPr>
          <w:sz w:val="20"/>
          <w:szCs w:val="20"/>
          <w:color w:val="auto"/>
        </w:rPr>
      </w:pPr>
      <w:r>
        <w:rPr>
          <w:rFonts w:ascii="Times New Roman" w:cs="Times New Roman" w:eastAsia="Times New Roman" w:hAnsi="Times New Roman"/>
          <w:sz w:val="13"/>
          <w:szCs w:val="13"/>
          <w:color w:val="auto"/>
        </w:rPr>
        <w:t>The Company accounts for income taxes under the asset and liability method, which requires that deferred income taxes be provided for temporary differences between the tax basis of the Company’s assets and liabilities and their financial statement reported amounts. In addition, deferred tax assets are recorded for the future benefit of utilizing net operating loss carryforwards and research and development credit carryforwards.</w:t>
      </w:r>
    </w:p>
    <w:p>
      <w:pPr>
        <w:spacing w:after="0" w:line="129" w:lineRule="exact"/>
        <w:rPr>
          <w:sz w:val="20"/>
          <w:szCs w:val="20"/>
          <w:color w:val="auto"/>
        </w:rPr>
      </w:pPr>
    </w:p>
    <w:p>
      <w:pPr>
        <w:ind w:left="1680" w:right="599" w:firstLine="316"/>
        <w:spacing w:after="0" w:line="253" w:lineRule="auto"/>
        <w:rPr>
          <w:sz w:val="20"/>
          <w:szCs w:val="20"/>
          <w:color w:val="auto"/>
        </w:rPr>
      </w:pPr>
      <w:r>
        <w:rPr>
          <w:rFonts w:ascii="Times New Roman" w:cs="Times New Roman" w:eastAsia="Times New Roman" w:hAnsi="Times New Roman"/>
          <w:sz w:val="13"/>
          <w:szCs w:val="13"/>
          <w:color w:val="auto"/>
        </w:rPr>
        <w:t>A valuation allowance is provided against deferred tax assets unless it is more likely than not that they will be realized. If there is significant negative evidence that the near-term realization of certain assets are deemed unlikely, the Company would record a valuation allowance against the deferred tax assets. The Company regularly assesses the continuing need for a valuation allowance against its deferred tax assets. Significant judgment is required to determine whether a valuation allowance continues to be necessary and the amount of such valuation allowance, if appropriate. The Company considers all available evidence, both positive and negative, to determine, based on the weight of available evidence, whether it is more likely than not that some or all of the deferred tax assets will not be realized. In evaluating the continued need for a valuation allowance, the Company considers, among other things, the nature, frequency, and severity of current and cumulative losses, forecasts of future profitability, and the duration of statutory carryforward periods.</w:t>
      </w:r>
    </w:p>
    <w:p>
      <w:pPr>
        <w:spacing w:after="0" w:line="135" w:lineRule="exact"/>
        <w:rPr>
          <w:sz w:val="20"/>
          <w:szCs w:val="20"/>
          <w:color w:val="auto"/>
        </w:rPr>
      </w:pPr>
    </w:p>
    <w:p>
      <w:pPr>
        <w:ind w:left="1680" w:right="699" w:firstLine="316"/>
        <w:spacing w:after="0" w:line="295" w:lineRule="auto"/>
        <w:rPr>
          <w:sz w:val="20"/>
          <w:szCs w:val="20"/>
          <w:color w:val="auto"/>
        </w:rPr>
      </w:pPr>
      <w:r>
        <w:rPr>
          <w:rFonts w:ascii="Times New Roman" w:cs="Times New Roman" w:eastAsia="Times New Roman" w:hAnsi="Times New Roman"/>
          <w:sz w:val="12"/>
          <w:szCs w:val="12"/>
          <w:color w:val="auto"/>
        </w:rPr>
        <w:t xml:space="preserve">The Company performs a comprehensive review of potential uncertain tax positions in each jurisdiction in which the Company operates. The Company accounts for uncertain tax positions in accordance with ASC 740, </w:t>
      </w:r>
      <w:r>
        <w:rPr>
          <w:rFonts w:ascii="Times New Roman" w:cs="Times New Roman" w:eastAsia="Times New Roman" w:hAnsi="Times New Roman"/>
          <w:sz w:val="12"/>
          <w:szCs w:val="12"/>
          <w:i w:val="1"/>
          <w:iCs w:val="1"/>
          <w:color w:val="auto"/>
        </w:rPr>
        <w:t>Income Taxes</w:t>
      </w:r>
      <w:r>
        <w:rPr>
          <w:rFonts w:ascii="Times New Roman" w:cs="Times New Roman" w:eastAsia="Times New Roman" w:hAnsi="Times New Roman"/>
          <w:sz w:val="12"/>
          <w:szCs w:val="12"/>
          <w:color w:val="auto"/>
        </w:rPr>
        <w:t>. ASC 740 prescribes a recognition threshold and measurement attribute for the financial statement recognition and measurement of a tax provision that an entity takes or expects to take in a tax return.</w:t>
      </w:r>
    </w:p>
    <w:p>
      <w:pPr>
        <w:spacing w:after="0" w:line="6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F-16</w:t>
      </w:r>
    </w:p>
    <w:p>
      <w:pPr>
        <w:sectPr>
          <w:pgSz w:w="11900" w:h="16838" w:orient="portrait"/>
          <w:cols w:equalWidth="0" w:num="1">
            <w:col w:w="10159"/>
          </w:cols>
          <w:pgMar w:left="300" w:top="367" w:right="1440" w:bottom="1440" w:gutter="0" w:footer="0" w:header="0"/>
        </w:sectPr>
      </w:pPr>
    </w:p>
    <w:bookmarkStart w:id="180" w:name="page181"/>
    <w:bookmarkEnd w:id="18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2"/>
          <w:szCs w:val="12"/>
          <w:color w:val="auto"/>
        </w:rPr>
        <w:t>The Company’s policy is to include penalties and interest related to income tax matters within the Company’s benefit from (provision for) income</w:t>
      </w:r>
    </w:p>
    <w:p>
      <w:pPr>
        <w:spacing w:after="0" w:line="2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taxes.</w:t>
      </w:r>
    </w:p>
    <w:p>
      <w:pPr>
        <w:spacing w:after="0" w:line="22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Redeemable Convertible Preferred Stock Warrants</w:t>
      </w:r>
    </w:p>
    <w:p>
      <w:pPr>
        <w:spacing w:after="0" w:line="87" w:lineRule="exact"/>
        <w:rPr>
          <w:sz w:val="20"/>
          <w:szCs w:val="20"/>
          <w:color w:val="auto"/>
        </w:rPr>
      </w:pPr>
    </w:p>
    <w:p>
      <w:pPr>
        <w:ind w:left="1680" w:right="659" w:firstLine="316"/>
        <w:spacing w:after="0" w:line="254" w:lineRule="auto"/>
        <w:rPr>
          <w:sz w:val="20"/>
          <w:szCs w:val="20"/>
          <w:color w:val="auto"/>
        </w:rPr>
      </w:pPr>
      <w:r>
        <w:rPr>
          <w:rFonts w:ascii="Times New Roman" w:cs="Times New Roman" w:eastAsia="Times New Roman" w:hAnsi="Times New Roman"/>
          <w:sz w:val="13"/>
          <w:szCs w:val="13"/>
          <w:color w:val="auto"/>
        </w:rPr>
        <w:t>The Company had redeemable convertible preferred stock warrants exercisable for its Series B redeemable convertible preferred stock, which were classified as liabilities on the Company’s balance sheets. The redeemable convertible preferred stock warrants were subject to remeasurement at each balance sheet date, and any change in fair value was recognized as a component of other income (expense), net. In November 2019, all of the Company’s outstanding redeemable convertible preferred stock warrants were net exercised for 30,606 shares of Series B redeemable convertible preferred stock. See Note 10, “Series 1 Redeemable Convertible Preferred Stock and Series A - Series E Redeemable Convertible Preferred Stock,” for further discussion.</w:t>
      </w:r>
    </w:p>
    <w:p>
      <w:pPr>
        <w:spacing w:after="0" w:line="21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Net Loss Per Share</w:t>
      </w:r>
    </w:p>
    <w:p>
      <w:pPr>
        <w:spacing w:after="0" w:line="87" w:lineRule="exact"/>
        <w:rPr>
          <w:sz w:val="20"/>
          <w:szCs w:val="20"/>
          <w:color w:val="auto"/>
        </w:rPr>
      </w:pPr>
    </w:p>
    <w:p>
      <w:pPr>
        <w:ind w:left="1680" w:right="639" w:firstLine="316"/>
        <w:spacing w:after="0" w:line="254" w:lineRule="auto"/>
        <w:rPr>
          <w:sz w:val="20"/>
          <w:szCs w:val="20"/>
          <w:color w:val="auto"/>
        </w:rPr>
      </w:pPr>
      <w:r>
        <w:rPr>
          <w:rFonts w:ascii="Times New Roman" w:cs="Times New Roman" w:eastAsia="Times New Roman" w:hAnsi="Times New Roman"/>
          <w:sz w:val="13"/>
          <w:szCs w:val="13"/>
          <w:color w:val="auto"/>
        </w:rPr>
        <w:t>Basic and diluted net loss per share attributable to common stockholders is presented in conformity with the two-class method required for participating securities. All series of the Company’s redeemable convertible preferred stock and early exercised stock options are considered to be participating securities because all holders are entitled to receive a non-cumulative dividend on a pari passu basis in the event that a dividend is paid on the common stock. The holders of the redeemable convertible preferred stock do not have a contractual obligation to share in the Company’s losses. As such, the Company’s net losses for the years ended January 31, 2019 and 2020 and the six months ended July 31, 2019 and 2020 (unaudited) were not allocated to these participating securities.</w:t>
      </w:r>
    </w:p>
    <w:p>
      <w:pPr>
        <w:spacing w:after="0" w:line="136" w:lineRule="exact"/>
        <w:rPr>
          <w:sz w:val="20"/>
          <w:szCs w:val="20"/>
          <w:color w:val="auto"/>
        </w:rPr>
      </w:pPr>
    </w:p>
    <w:p>
      <w:pPr>
        <w:jc w:val="both"/>
        <w:ind w:left="1680" w:right="579" w:firstLine="316"/>
        <w:spacing w:after="0" w:line="295" w:lineRule="auto"/>
        <w:rPr>
          <w:sz w:val="20"/>
          <w:szCs w:val="20"/>
          <w:color w:val="auto"/>
        </w:rPr>
      </w:pPr>
      <w:r>
        <w:rPr>
          <w:rFonts w:ascii="Times New Roman" w:cs="Times New Roman" w:eastAsia="Times New Roman" w:hAnsi="Times New Roman"/>
          <w:sz w:val="12"/>
          <w:szCs w:val="12"/>
          <w:color w:val="auto"/>
        </w:rPr>
        <w:t>The rights, including the liquidation and dividend rights, of the holders of Class A and Class B common stock are identical, except with respect to voting. As the liquidation and dividend rights are identical, the undistributed earnings are allocated on a proportionate basis and the resulting net loss per share attributed to common stockholders will, therefore, be the same for both Class A and Class B common stock on an individual or combined basis.</w:t>
      </w:r>
    </w:p>
    <w:p>
      <w:pPr>
        <w:spacing w:after="0" w:line="112" w:lineRule="exact"/>
        <w:rPr>
          <w:sz w:val="20"/>
          <w:szCs w:val="20"/>
          <w:color w:val="auto"/>
        </w:rPr>
      </w:pPr>
    </w:p>
    <w:p>
      <w:pPr>
        <w:ind w:left="1680" w:right="879" w:firstLine="316"/>
        <w:spacing w:after="0" w:line="277" w:lineRule="auto"/>
        <w:rPr>
          <w:sz w:val="20"/>
          <w:szCs w:val="20"/>
          <w:color w:val="auto"/>
        </w:rPr>
      </w:pPr>
      <w:r>
        <w:rPr>
          <w:rFonts w:ascii="Times New Roman" w:cs="Times New Roman" w:eastAsia="Times New Roman" w:hAnsi="Times New Roman"/>
          <w:sz w:val="13"/>
          <w:szCs w:val="13"/>
          <w:color w:val="auto"/>
        </w:rPr>
        <w:t>Under the two-class method, basic net loss per share attributable to common stockholders is computed by dividing the net loss attributable to common stockholders by the weighted-average number of shares of common stock outstanding during the period.</w:t>
      </w:r>
    </w:p>
    <w:p>
      <w:pPr>
        <w:spacing w:after="0" w:line="120" w:lineRule="exact"/>
        <w:rPr>
          <w:sz w:val="20"/>
          <w:szCs w:val="20"/>
          <w:color w:val="auto"/>
        </w:rPr>
      </w:pPr>
    </w:p>
    <w:p>
      <w:pPr>
        <w:ind w:left="1680" w:right="679" w:firstLine="316"/>
        <w:spacing w:after="0" w:line="295" w:lineRule="auto"/>
        <w:rPr>
          <w:sz w:val="20"/>
          <w:szCs w:val="20"/>
          <w:color w:val="auto"/>
        </w:rPr>
      </w:pPr>
      <w:r>
        <w:rPr>
          <w:rFonts w:ascii="Times New Roman" w:cs="Times New Roman" w:eastAsia="Times New Roman" w:hAnsi="Times New Roman"/>
          <w:sz w:val="12"/>
          <w:szCs w:val="12"/>
          <w:color w:val="auto"/>
        </w:rPr>
        <w:t>Diluted earnings per share attributable to common stockholders adjusts basic earnings per share for the potentially dilutive impact of redeemable convertible preferred stock warrants, stock options, RSUs, and redeemable convertible preferred stock. As the Company has reported losses for all periods presented, all potentially dilutive securities are anti-dilutive, and accordingly, basic net loss per share equaled diluted net loss per share.</w:t>
      </w:r>
    </w:p>
    <w:p>
      <w:pPr>
        <w:spacing w:after="0" w:line="18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Recently Issued Accounting Pronouncements Not Yet Adopted</w:t>
      </w:r>
    </w:p>
    <w:p>
      <w:pPr>
        <w:spacing w:after="0" w:line="85" w:lineRule="exact"/>
        <w:rPr>
          <w:sz w:val="20"/>
          <w:szCs w:val="20"/>
          <w:color w:val="auto"/>
        </w:rPr>
      </w:pPr>
    </w:p>
    <w:p>
      <w:pPr>
        <w:ind w:left="1680" w:right="659" w:firstLine="316"/>
        <w:spacing w:after="0" w:line="255" w:lineRule="auto"/>
        <w:rPr>
          <w:sz w:val="20"/>
          <w:szCs w:val="20"/>
          <w:color w:val="auto"/>
        </w:rPr>
      </w:pPr>
      <w:r>
        <w:rPr>
          <w:rFonts w:ascii="Times New Roman" w:cs="Times New Roman" w:eastAsia="Times New Roman" w:hAnsi="Times New Roman"/>
          <w:sz w:val="13"/>
          <w:szCs w:val="13"/>
          <w:color w:val="auto"/>
        </w:rPr>
        <w:t xml:space="preserve">In June 2016, the FASB issued ASU No. 2016-13, </w:t>
      </w:r>
      <w:r>
        <w:rPr>
          <w:rFonts w:ascii="Times New Roman" w:cs="Times New Roman" w:eastAsia="Times New Roman" w:hAnsi="Times New Roman"/>
          <w:sz w:val="13"/>
          <w:szCs w:val="13"/>
          <w:i w:val="1"/>
          <w:iCs w:val="1"/>
          <w:color w:val="auto"/>
        </w:rPr>
        <w:t>Financial Instruments-Credit Losses (Topic 326): Measurement of Credit Losses on Financial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Instruments</w:t>
      </w:r>
      <w:r>
        <w:rPr>
          <w:rFonts w:ascii="Times New Roman" w:cs="Times New Roman" w:eastAsia="Times New Roman" w:hAnsi="Times New Roman"/>
          <w:sz w:val="13"/>
          <w:szCs w:val="13"/>
          <w:color w:val="auto"/>
        </w:rPr>
        <w:t>, which requires the measurement and recognition of expected credit losses for financial assets held at amortized cost. It also eliminates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concept of other-than-temporary impairment and requires credit losses related to available-for-sale debt securities to be recorded through an allowance for credit losses rather than as a reduction in the amortized cost basis of the securities. These changes will result in more timely recognition of credit losses. The guidance is effective for the Company for fiscal years beginning after December 15, 2022 and interim periods within those fiscal years. Early adoption is permitted. The Company is currently evaluating the impact and timing of adopting ASU No. 2016-13.</w:t>
      </w:r>
    </w:p>
    <w:p>
      <w:pPr>
        <w:spacing w:after="0" w:line="133" w:lineRule="exact"/>
        <w:rPr>
          <w:sz w:val="20"/>
          <w:szCs w:val="20"/>
          <w:color w:val="auto"/>
        </w:rPr>
      </w:pPr>
    </w:p>
    <w:p>
      <w:pPr>
        <w:ind w:left="1680" w:right="919" w:firstLine="316"/>
        <w:spacing w:after="0" w:line="280" w:lineRule="auto"/>
        <w:rPr>
          <w:sz w:val="20"/>
          <w:szCs w:val="20"/>
          <w:color w:val="auto"/>
        </w:rPr>
      </w:pPr>
      <w:r>
        <w:rPr>
          <w:rFonts w:ascii="Times New Roman" w:cs="Times New Roman" w:eastAsia="Times New Roman" w:hAnsi="Times New Roman"/>
          <w:sz w:val="13"/>
          <w:szCs w:val="13"/>
          <w:color w:val="auto"/>
        </w:rPr>
        <w:t>In August 2018, the FASB issued ASU No. 2018-15</w:t>
      </w:r>
      <w:r>
        <w:rPr>
          <w:rFonts w:ascii="Times New Roman" w:cs="Times New Roman" w:eastAsia="Times New Roman" w:hAnsi="Times New Roman"/>
          <w:sz w:val="13"/>
          <w:szCs w:val="13"/>
          <w:i w:val="1"/>
          <w:iCs w:val="1"/>
          <w:color w:val="auto"/>
        </w:rPr>
        <w:t>, Intangibles-Goodwill and Other-Internal-Use Software (Subtopic 350-40), Customer’s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Accounting for Implementation Costs Incurred in a Cloud Computing</w:t>
      </w:r>
    </w:p>
    <w:p>
      <w:pPr>
        <w:spacing w:after="0" w:line="7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F-17</w:t>
      </w:r>
    </w:p>
    <w:p>
      <w:pPr>
        <w:sectPr>
          <w:pgSz w:w="11900" w:h="16838" w:orient="portrait"/>
          <w:cols w:equalWidth="0" w:num="1">
            <w:col w:w="10159"/>
          </w:cols>
          <w:pgMar w:left="300" w:top="368" w:right="1440" w:bottom="1440" w:gutter="0" w:footer="0" w:header="0"/>
        </w:sectPr>
      </w:pPr>
    </w:p>
    <w:bookmarkStart w:id="181" w:name="page182"/>
    <w:bookmarkEnd w:id="18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right="639"/>
        <w:spacing w:after="0" w:line="256" w:lineRule="auto"/>
        <w:rPr>
          <w:sz w:val="20"/>
          <w:szCs w:val="20"/>
          <w:color w:val="auto"/>
        </w:rPr>
      </w:pPr>
      <w:r>
        <w:rPr>
          <w:rFonts w:ascii="Times New Roman" w:cs="Times New Roman" w:eastAsia="Times New Roman" w:hAnsi="Times New Roman"/>
          <w:sz w:val="13"/>
          <w:szCs w:val="13"/>
          <w:i w:val="1"/>
          <w:iCs w:val="1"/>
          <w:color w:val="auto"/>
        </w:rPr>
        <w:t xml:space="preserve">Arrangement That Is a Service Contract. </w:t>
      </w:r>
      <w:r>
        <w:rPr>
          <w:rFonts w:ascii="Times New Roman" w:cs="Times New Roman" w:eastAsia="Times New Roman" w:hAnsi="Times New Roman"/>
          <w:sz w:val="13"/>
          <w:szCs w:val="13"/>
          <w:color w:val="auto"/>
        </w:rPr>
        <w:t>Under existing U.S. GAAP, there is diversity in practice in accounting for the costs of implementing cloud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computing arrangements that are service contracts. The amendments in ASU No. 2018-15 amend the definition of a hosting arrangement and requires a customer in a hosting arrangement that is a service contract to capitalize certain costs as if the arrangement were an internal-use software project. The guidance is effective for the Company for fiscal years beginning after December 15, 2020 and interim periods within fiscal years beginning after December 15, 2021. Early adoption is permitted. The Company is currently evaluating the impact and timing of adopting ASU No. 2018-15.</w:t>
      </w:r>
    </w:p>
    <w:p>
      <w:pPr>
        <w:spacing w:after="0" w:line="133" w:lineRule="exact"/>
        <w:rPr>
          <w:sz w:val="20"/>
          <w:szCs w:val="20"/>
          <w:color w:val="auto"/>
        </w:rPr>
      </w:pPr>
    </w:p>
    <w:p>
      <w:pPr>
        <w:ind w:left="1680" w:right="579" w:firstLine="316"/>
        <w:spacing w:after="0" w:line="256" w:lineRule="auto"/>
        <w:rPr>
          <w:sz w:val="20"/>
          <w:szCs w:val="20"/>
          <w:color w:val="auto"/>
        </w:rPr>
      </w:pPr>
      <w:r>
        <w:rPr>
          <w:rFonts w:ascii="Times New Roman" w:cs="Times New Roman" w:eastAsia="Times New Roman" w:hAnsi="Times New Roman"/>
          <w:sz w:val="13"/>
          <w:szCs w:val="13"/>
          <w:color w:val="auto"/>
        </w:rPr>
        <w:t xml:space="preserve">In December 2019, the FASB issued ASU No. 2019-12, </w:t>
      </w:r>
      <w:r>
        <w:rPr>
          <w:rFonts w:ascii="Times New Roman" w:cs="Times New Roman" w:eastAsia="Times New Roman" w:hAnsi="Times New Roman"/>
          <w:sz w:val="13"/>
          <w:szCs w:val="13"/>
          <w:i w:val="1"/>
          <w:iCs w:val="1"/>
          <w:color w:val="auto"/>
        </w:rPr>
        <w:t>Simplifying the Accounting for Income Taxes (Topic 740)</w:t>
      </w:r>
      <w:r>
        <w:rPr>
          <w:rFonts w:ascii="Times New Roman" w:cs="Times New Roman" w:eastAsia="Times New Roman" w:hAnsi="Times New Roman"/>
          <w:sz w:val="13"/>
          <w:szCs w:val="13"/>
          <w:color w:val="auto"/>
        </w:rPr>
        <w:t>. The amendments in the updated guidance simplify the accounting for income taxes by removing certain exceptions and improving consistent application of other areas of the topic by clarifying the guidance. The amendments in this update are effective for the Company for fiscal years beginning after December 15, 2021 and interim periods within fiscal years beginning after December 15, 2022. Early adoption is permitted. The Company is currently evaluating the impact and timing of adopting ASU No. 2019-12.</w:t>
      </w:r>
    </w:p>
    <w:p>
      <w:pPr>
        <w:spacing w:after="0" w:line="20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Recently Adopted Accounting Pronouncements</w:t>
      </w:r>
    </w:p>
    <w:p>
      <w:pPr>
        <w:spacing w:after="0" w:line="85" w:lineRule="exact"/>
        <w:rPr>
          <w:sz w:val="20"/>
          <w:szCs w:val="20"/>
          <w:color w:val="auto"/>
        </w:rPr>
      </w:pPr>
    </w:p>
    <w:p>
      <w:pPr>
        <w:ind w:left="1680" w:right="719" w:firstLine="316"/>
        <w:spacing w:after="0" w:line="275" w:lineRule="auto"/>
        <w:rPr>
          <w:sz w:val="20"/>
          <w:szCs w:val="20"/>
          <w:color w:val="auto"/>
        </w:rPr>
      </w:pPr>
      <w:r>
        <w:rPr>
          <w:rFonts w:ascii="Times New Roman" w:cs="Times New Roman" w:eastAsia="Times New Roman" w:hAnsi="Times New Roman"/>
          <w:sz w:val="12"/>
          <w:szCs w:val="12"/>
          <w:color w:val="auto"/>
        </w:rPr>
        <w:t>On February 1, 2019, the Company adopted ASU No. 2018-02</w:t>
      </w:r>
      <w:r>
        <w:rPr>
          <w:rFonts w:ascii="Times New Roman" w:cs="Times New Roman" w:eastAsia="Times New Roman" w:hAnsi="Times New Roman"/>
          <w:sz w:val="12"/>
          <w:szCs w:val="12"/>
          <w:i w:val="1"/>
          <w:iCs w:val="1"/>
          <w:color w:val="auto"/>
        </w:rPr>
        <w:t>, Reclassification of Certain Tax Effects from Accumulated Other Comprehensive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Income</w:t>
      </w:r>
      <w:r>
        <w:rPr>
          <w:rFonts w:ascii="Times New Roman" w:cs="Times New Roman" w:eastAsia="Times New Roman" w:hAnsi="Times New Roman"/>
          <w:sz w:val="12"/>
          <w:szCs w:val="12"/>
          <w:color w:val="auto"/>
        </w:rPr>
        <w:t>. Under existing U.S. GAAP, the effects of changes in tax rates and laws on deferred tax balances are recorded as a component of income tax</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expense in the period in which the law was enacted. When deferred tax balances related to items originally recorded in accumulated other comprehensive income are adjusted, certain tax effects become stranded in accumulated other comprehensive income. The amendments in ASU</w:t>
      </w:r>
    </w:p>
    <w:p>
      <w:pPr>
        <w:spacing w:after="0" w:line="2" w:lineRule="exact"/>
        <w:rPr>
          <w:sz w:val="20"/>
          <w:szCs w:val="20"/>
          <w:color w:val="auto"/>
        </w:rPr>
      </w:pPr>
    </w:p>
    <w:p>
      <w:pPr>
        <w:ind w:left="1680" w:right="579"/>
        <w:spacing w:after="0" w:line="253" w:lineRule="auto"/>
        <w:rPr>
          <w:sz w:val="20"/>
          <w:szCs w:val="20"/>
          <w:color w:val="auto"/>
        </w:rPr>
      </w:pPr>
      <w:r>
        <w:rPr>
          <w:rFonts w:ascii="Times New Roman" w:cs="Times New Roman" w:eastAsia="Times New Roman" w:hAnsi="Times New Roman"/>
          <w:sz w:val="13"/>
          <w:szCs w:val="13"/>
          <w:color w:val="auto"/>
        </w:rPr>
        <w:t>No. 2018-02 allow a reclassification from accumulated other comprehensive income to retained earnings for stranded tax effects resulting from the 2017 Tax Cuts and Jobs Act. The amendments in ASU No. 2018-02 also require certain disclosures about stranded tax effects. The adoption of the guidance did not have a material impact on the Company’s consolidated financial statements.</w:t>
      </w:r>
    </w:p>
    <w:p>
      <w:pPr>
        <w:spacing w:after="0" w:line="134" w:lineRule="exact"/>
        <w:rPr>
          <w:sz w:val="20"/>
          <w:szCs w:val="20"/>
          <w:color w:val="auto"/>
        </w:rPr>
      </w:pPr>
    </w:p>
    <w:p>
      <w:pPr>
        <w:ind w:left="1680" w:right="579" w:firstLine="316"/>
        <w:spacing w:after="0" w:line="264" w:lineRule="auto"/>
        <w:rPr>
          <w:sz w:val="20"/>
          <w:szCs w:val="20"/>
          <w:color w:val="auto"/>
        </w:rPr>
      </w:pPr>
      <w:r>
        <w:rPr>
          <w:rFonts w:ascii="Times New Roman" w:cs="Times New Roman" w:eastAsia="Times New Roman" w:hAnsi="Times New Roman"/>
          <w:sz w:val="13"/>
          <w:szCs w:val="13"/>
          <w:color w:val="auto"/>
        </w:rPr>
        <w:t xml:space="preserve">On February 1, 2019, the Company adopted Accounting Standards Update No. 2016-02, </w:t>
      </w:r>
      <w:r>
        <w:rPr>
          <w:rFonts w:ascii="Times New Roman" w:cs="Times New Roman" w:eastAsia="Times New Roman" w:hAnsi="Times New Roman"/>
          <w:sz w:val="13"/>
          <w:szCs w:val="13"/>
          <w:i w:val="1"/>
          <w:iCs w:val="1"/>
          <w:color w:val="auto"/>
        </w:rPr>
        <w:t>Leases</w:t>
      </w:r>
      <w:r>
        <w:rPr>
          <w:rFonts w:ascii="Times New Roman" w:cs="Times New Roman" w:eastAsia="Times New Roman" w:hAnsi="Times New Roman"/>
          <w:sz w:val="13"/>
          <w:szCs w:val="13"/>
          <w:color w:val="auto"/>
        </w:rPr>
        <w:t xml:space="preserve"> (“Topic 842” or “ASC 842”) (ASU 2016-02) on a modified basis using the optional transition method, and accordingly, has not restated comparative periods. Balances and related disclosures for fiscal 2019 continue to be presented in accordance with ASC 840, </w:t>
      </w:r>
      <w:r>
        <w:rPr>
          <w:rFonts w:ascii="Times New Roman" w:cs="Times New Roman" w:eastAsia="Times New Roman" w:hAnsi="Times New Roman"/>
          <w:sz w:val="13"/>
          <w:szCs w:val="13"/>
          <w:i w:val="1"/>
          <w:iCs w:val="1"/>
          <w:color w:val="auto"/>
        </w:rPr>
        <w:t>Leases</w:t>
      </w:r>
      <w:r>
        <w:rPr>
          <w:rFonts w:ascii="Times New Roman" w:cs="Times New Roman" w:eastAsia="Times New Roman" w:hAnsi="Times New Roman"/>
          <w:sz w:val="13"/>
          <w:szCs w:val="13"/>
          <w:color w:val="auto"/>
        </w:rPr>
        <w:t>. Results and disclosures for fiscal 2020 are presented under ASC 842.</w:t>
      </w:r>
    </w:p>
    <w:p>
      <w:pPr>
        <w:spacing w:after="0" w:line="129" w:lineRule="exact"/>
        <w:rPr>
          <w:sz w:val="20"/>
          <w:szCs w:val="20"/>
          <w:color w:val="auto"/>
        </w:rPr>
      </w:pPr>
    </w:p>
    <w:p>
      <w:pPr>
        <w:ind w:left="1680" w:right="579" w:firstLine="316"/>
        <w:spacing w:after="0" w:line="254" w:lineRule="auto"/>
        <w:rPr>
          <w:sz w:val="20"/>
          <w:szCs w:val="20"/>
          <w:color w:val="auto"/>
        </w:rPr>
      </w:pPr>
      <w:r>
        <w:rPr>
          <w:rFonts w:ascii="Times New Roman" w:cs="Times New Roman" w:eastAsia="Times New Roman" w:hAnsi="Times New Roman"/>
          <w:sz w:val="13"/>
          <w:szCs w:val="13"/>
          <w:color w:val="auto"/>
        </w:rPr>
        <w:t>The Company elected the package of practical expedients permitted under the transition guidance, which allowed the Company to carryforward its historical lease classification, the assessment on whether a contract was or contains a lease, and the initial direct costs for any leases that existed prior to February 1, 2019, the adoption date. The Company elected the use of the hindsight practical expedient in determining the lease term and assessing the likelihood that the lease renewal or termination option will be exercised. The Company also elected to combine lease and non-lease components and to keep leases with an initial term of 12 months or less off the balance sheets and recognize the associated lease payments in the consolidated statements of operations on a straight-line basis over the lease term.</w:t>
      </w:r>
    </w:p>
    <w:p>
      <w:pPr>
        <w:spacing w:after="0" w:line="136" w:lineRule="exact"/>
        <w:rPr>
          <w:sz w:val="20"/>
          <w:szCs w:val="20"/>
          <w:color w:val="auto"/>
        </w:rPr>
      </w:pPr>
    </w:p>
    <w:p>
      <w:pPr>
        <w:ind w:left="1680" w:right="639" w:firstLine="316"/>
        <w:spacing w:after="0" w:line="263" w:lineRule="auto"/>
        <w:rPr>
          <w:sz w:val="20"/>
          <w:szCs w:val="20"/>
          <w:color w:val="auto"/>
        </w:rPr>
      </w:pPr>
      <w:r>
        <w:rPr>
          <w:rFonts w:ascii="Times New Roman" w:cs="Times New Roman" w:eastAsia="Times New Roman" w:hAnsi="Times New Roman"/>
          <w:sz w:val="13"/>
          <w:szCs w:val="13"/>
          <w:color w:val="auto"/>
        </w:rPr>
        <w:t>Upon adoption, the Company recognized total ROU assets of $16.5 million, with corresponding operating lease liabilities of $18.3 million on the consolidated balance sheet. The ROU assets include adjustments for prepayments and accrued lease incentive liabilities. The adoption did not impact beginning accumulated deficit or the prior year consolidated statement of operations and statement of cash flows.</w:t>
      </w:r>
    </w:p>
    <w:p>
      <w:pPr>
        <w:spacing w:after="0" w:line="1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Recently Adopted Accounting Pronouncements (Unaudited)</w:t>
      </w:r>
    </w:p>
    <w:p>
      <w:pPr>
        <w:spacing w:after="0" w:line="85" w:lineRule="exact"/>
        <w:rPr>
          <w:sz w:val="20"/>
          <w:szCs w:val="20"/>
          <w:color w:val="auto"/>
        </w:rPr>
      </w:pPr>
    </w:p>
    <w:p>
      <w:pPr>
        <w:ind w:left="1680" w:right="599" w:firstLine="316"/>
        <w:spacing w:after="0" w:line="264" w:lineRule="auto"/>
        <w:rPr>
          <w:sz w:val="20"/>
          <w:szCs w:val="20"/>
          <w:color w:val="auto"/>
        </w:rPr>
      </w:pPr>
      <w:r>
        <w:rPr>
          <w:rFonts w:ascii="Times New Roman" w:cs="Times New Roman" w:eastAsia="Times New Roman" w:hAnsi="Times New Roman"/>
          <w:sz w:val="13"/>
          <w:szCs w:val="13"/>
          <w:color w:val="auto"/>
        </w:rPr>
        <w:t>In August 2018, the FASB issued ASU No. 2018-13</w:t>
      </w:r>
      <w:r>
        <w:rPr>
          <w:rFonts w:ascii="Times New Roman" w:cs="Times New Roman" w:eastAsia="Times New Roman" w:hAnsi="Times New Roman"/>
          <w:sz w:val="13"/>
          <w:szCs w:val="13"/>
          <w:i w:val="1"/>
          <w:iCs w:val="1"/>
          <w:color w:val="auto"/>
        </w:rPr>
        <w:t>, Fair Value Measurement (Topic 820)</w:t>
      </w:r>
      <w:r>
        <w:rPr>
          <w:rFonts w:ascii="Times New Roman" w:cs="Times New Roman" w:eastAsia="Times New Roman" w:hAnsi="Times New Roman"/>
          <w:sz w:val="13"/>
          <w:szCs w:val="13"/>
          <w:color w:val="auto"/>
        </w:rPr>
        <w:t>, which amends disclosure requirements for fair value measurements by requiring new disclosures, modifying existing requirements, and eliminating others. On February 1, 2020, the Company adopted ASU 2018-13. The adoption of the standard did not have a material impact on the Company’s unaudited interim consolidated financial statements.</w:t>
      </w:r>
    </w:p>
    <w:p>
      <w:pPr>
        <w:spacing w:after="0" w:line="8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F-18</w:t>
      </w:r>
    </w:p>
    <w:p>
      <w:pPr>
        <w:sectPr>
          <w:pgSz w:w="11900" w:h="16838" w:orient="portrait"/>
          <w:cols w:equalWidth="0" w:num="1">
            <w:col w:w="10159"/>
          </w:cols>
          <w:pgMar w:left="300" w:top="367" w:right="1440" w:bottom="1440" w:gutter="0" w:footer="0" w:header="0"/>
        </w:sectPr>
      </w:pPr>
    </w:p>
    <w:bookmarkStart w:id="182" w:name="page183"/>
    <w:bookmarkEnd w:id="18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Note 3. Fair Value Measurements</w:t>
      </w:r>
    </w:p>
    <w:p>
      <w:pPr>
        <w:spacing w:after="0" w:line="250" w:lineRule="exact"/>
        <w:rPr>
          <w:sz w:val="20"/>
          <w:szCs w:val="20"/>
          <w:color w:val="auto"/>
        </w:rPr>
      </w:pPr>
    </w:p>
    <w:p>
      <w:pPr>
        <w:ind w:left="1680" w:right="919" w:firstLine="316"/>
        <w:spacing w:after="0" w:line="277" w:lineRule="auto"/>
        <w:rPr>
          <w:sz w:val="20"/>
          <w:szCs w:val="20"/>
          <w:color w:val="auto"/>
        </w:rPr>
      </w:pPr>
      <w:r>
        <w:rPr>
          <w:rFonts w:ascii="Times New Roman" w:cs="Times New Roman" w:eastAsia="Times New Roman" w:hAnsi="Times New Roman"/>
          <w:sz w:val="13"/>
          <w:szCs w:val="13"/>
          <w:color w:val="auto"/>
        </w:rPr>
        <w:t>The following table summarizes, for assets and liabilities measured at fair value, the respective fair value and classification by level of input within the fair value hierarchy (in thousands):</w:t>
      </w:r>
    </w:p>
    <w:p>
      <w:pPr>
        <w:spacing w:after="0" w:line="136"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tcPr>
          <w:p>
            <w:pPr>
              <w:jc w:val="center"/>
              <w:ind w:right="17"/>
              <w:spacing w:after="0"/>
              <w:rPr>
                <w:sz w:val="20"/>
                <w:szCs w:val="20"/>
                <w:color w:val="auto"/>
              </w:rPr>
            </w:pPr>
            <w:r>
              <w:rPr>
                <w:rFonts w:ascii="Times New Roman" w:cs="Times New Roman" w:eastAsia="Times New Roman" w:hAnsi="Times New Roman"/>
                <w:sz w:val="10"/>
                <w:szCs w:val="10"/>
                <w:b w:val="1"/>
                <w:bCs w:val="1"/>
                <w:color w:val="auto"/>
              </w:rPr>
              <w:t>As of July 31, 2020</w:t>
            </w: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6"/>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57"/>
              <w:spacing w:after="0" w:line="97" w:lineRule="exact"/>
              <w:rPr>
                <w:sz w:val="20"/>
                <w:szCs w:val="20"/>
                <w:color w:val="auto"/>
              </w:rPr>
            </w:pPr>
            <w:r>
              <w:rPr>
                <w:rFonts w:ascii="Times New Roman" w:cs="Times New Roman" w:eastAsia="Times New Roman" w:hAnsi="Times New Roman"/>
                <w:sz w:val="10"/>
                <w:szCs w:val="10"/>
                <w:b w:val="1"/>
                <w:bCs w:val="1"/>
                <w:color w:val="auto"/>
              </w:rPr>
              <w:t>Level 1</w:t>
            </w: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59"/>
              <w:spacing w:after="0" w:line="97" w:lineRule="exact"/>
              <w:rPr>
                <w:sz w:val="20"/>
                <w:szCs w:val="20"/>
                <w:color w:val="auto"/>
              </w:rPr>
            </w:pPr>
            <w:r>
              <w:rPr>
                <w:rFonts w:ascii="Times New Roman" w:cs="Times New Roman" w:eastAsia="Times New Roman" w:hAnsi="Times New Roman"/>
                <w:sz w:val="10"/>
                <w:szCs w:val="10"/>
                <w:b w:val="1"/>
                <w:bCs w:val="1"/>
                <w:color w:val="auto"/>
              </w:rPr>
              <w:t>Level 2</w:t>
            </w: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ind w:left="40"/>
              <w:spacing w:after="0" w:line="97" w:lineRule="exact"/>
              <w:rPr>
                <w:sz w:val="20"/>
                <w:szCs w:val="20"/>
                <w:color w:val="auto"/>
              </w:rPr>
            </w:pPr>
            <w:r>
              <w:rPr>
                <w:rFonts w:ascii="Times New Roman" w:cs="Times New Roman" w:eastAsia="Times New Roman" w:hAnsi="Times New Roman"/>
                <w:sz w:val="10"/>
                <w:szCs w:val="10"/>
                <w:b w:val="1"/>
                <w:bCs w:val="1"/>
                <w:color w:val="auto"/>
              </w:rPr>
              <w:t>Level 3</w:t>
            </w: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7"/>
              <w:spacing w:after="0" w:line="97" w:lineRule="exact"/>
              <w:rPr>
                <w:sz w:val="20"/>
                <w:szCs w:val="20"/>
                <w:color w:val="auto"/>
              </w:rPr>
            </w:pPr>
            <w:r>
              <w:rPr>
                <w:rFonts w:ascii="Times New Roman" w:cs="Times New Roman" w:eastAsia="Times New Roman" w:hAnsi="Times New Roman"/>
                <w:sz w:val="10"/>
                <w:szCs w:val="10"/>
                <w:b w:val="1"/>
                <w:bCs w:val="1"/>
                <w:color w:val="auto"/>
              </w:rPr>
              <w:t>Total</w:t>
            </w:r>
          </w:p>
        </w:tc>
        <w:tc>
          <w:tcPr>
            <w:tcW w:w="4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gridSpan w:val="4"/>
          </w:tcPr>
          <w:p>
            <w:pPr>
              <w:jc w:val="center"/>
              <w:ind w:right="17"/>
              <w:spacing w:after="0" w:line="97" w:lineRule="exact"/>
              <w:rPr>
                <w:sz w:val="20"/>
                <w:szCs w:val="20"/>
                <w:color w:val="auto"/>
              </w:rPr>
            </w:pPr>
            <w:r>
              <w:rPr>
                <w:rFonts w:ascii="Times New Roman" w:cs="Times New Roman" w:eastAsia="Times New Roman" w:hAnsi="Times New Roman"/>
                <w:sz w:val="10"/>
                <w:szCs w:val="10"/>
                <w:b w:val="1"/>
                <w:bCs w:val="1"/>
                <w:color w:val="auto"/>
                <w:w w:val="99"/>
              </w:rPr>
              <w:t>(unaudited)</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55"/>
        </w:trPr>
        <w:tc>
          <w:tcPr>
            <w:tcW w:w="20" w:type="dxa"/>
            <w:vAlign w:val="bottom"/>
          </w:tcPr>
          <w:p>
            <w:pPr>
              <w:spacing w:after="0"/>
              <w:rPr>
                <w:sz w:val="13"/>
                <w:szCs w:val="13"/>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3"/>
                <w:szCs w:val="13"/>
                <w:color w:val="auto"/>
              </w:rPr>
              <w:t>Cash equivalents</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Money market funds</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434,911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434,911</w:t>
            </w:r>
          </w:p>
        </w:tc>
        <w:tc>
          <w:tcPr>
            <w:tcW w:w="40" w:type="dxa"/>
            <w:vAlign w:val="bottom"/>
            <w:shd w:val="clear" w:color="auto" w:fill="CCEEFF"/>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33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cash equivalents</w:t>
            </w:r>
          </w:p>
        </w:tc>
        <w:tc>
          <w:tcPr>
            <w:tcW w:w="14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434,911</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434,911</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Marketable securities</w:t>
            </w: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3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U.S. treasury bonds</w:t>
            </w:r>
          </w:p>
        </w:tc>
        <w:tc>
          <w:tcPr>
            <w:tcW w:w="14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6,406</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6,406</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3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 marketable securities</w:t>
            </w:r>
          </w:p>
        </w:tc>
        <w:tc>
          <w:tcPr>
            <w:tcW w:w="14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6,406</w:t>
            </w:r>
          </w:p>
        </w:tc>
        <w:tc>
          <w:tcPr>
            <w:tcW w:w="2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6,406</w:t>
            </w:r>
          </w:p>
        </w:tc>
        <w:tc>
          <w:tcPr>
            <w:tcW w:w="40" w:type="dxa"/>
            <w:vAlign w:val="bottom"/>
            <w:shd w:val="clear" w:color="auto" w:fill="CCEEFF"/>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33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assets</w:t>
            </w:r>
          </w:p>
        </w:tc>
        <w:tc>
          <w:tcPr>
            <w:tcW w:w="146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441,317</w:t>
            </w:r>
          </w:p>
        </w:tc>
        <w:tc>
          <w:tcPr>
            <w:tcW w:w="2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441,317</w:t>
            </w:r>
          </w:p>
        </w:tc>
        <w:tc>
          <w:tcPr>
            <w:tcW w:w="40" w:type="dxa"/>
            <w:vAlign w:val="bottom"/>
          </w:tcPr>
          <w:p>
            <w:pPr>
              <w:spacing w:after="0"/>
              <w:rPr>
                <w:sz w:val="14"/>
                <w:szCs w:val="14"/>
                <w:color w:val="auto"/>
              </w:rPr>
            </w:pPr>
          </w:p>
        </w:tc>
      </w:tr>
      <w:tr>
        <w:trPr>
          <w:trHeight w:val="271"/>
        </w:trPr>
        <w:tc>
          <w:tcPr>
            <w:tcW w:w="2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4"/>
          </w:tcPr>
          <w:p>
            <w:pPr>
              <w:jc w:val="center"/>
              <w:ind w:right="17"/>
              <w:spacing w:after="0"/>
              <w:rPr>
                <w:sz w:val="20"/>
                <w:szCs w:val="20"/>
                <w:color w:val="auto"/>
              </w:rPr>
            </w:pPr>
            <w:r>
              <w:rPr>
                <w:rFonts w:ascii="Times New Roman" w:cs="Times New Roman" w:eastAsia="Times New Roman" w:hAnsi="Times New Roman"/>
                <w:sz w:val="10"/>
                <w:szCs w:val="10"/>
                <w:b w:val="1"/>
                <w:bCs w:val="1"/>
                <w:color w:val="auto"/>
              </w:rPr>
              <w:t>January 31, 2020</w:t>
            </w:r>
          </w:p>
        </w:tc>
        <w:tc>
          <w:tcPr>
            <w:tcW w:w="2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r>
      <w:tr>
        <w:trPr>
          <w:trHeight w:val="96"/>
        </w:trPr>
        <w:tc>
          <w:tcPr>
            <w:tcW w:w="20" w:type="dxa"/>
            <w:vAlign w:val="bottom"/>
          </w:tcPr>
          <w:p>
            <w:pPr>
              <w:spacing w:after="0"/>
              <w:rPr>
                <w:sz w:val="8"/>
                <w:szCs w:val="8"/>
                <w:color w:val="auto"/>
              </w:rPr>
            </w:pPr>
          </w:p>
        </w:tc>
        <w:tc>
          <w:tcPr>
            <w:tcW w:w="3360" w:type="dxa"/>
            <w:vAlign w:val="bottom"/>
            <w:tcBorders>
              <w:bottom w:val="single" w:sz="8" w:color="CCEEFF"/>
            </w:tcBorders>
          </w:tcPr>
          <w:p>
            <w:pPr>
              <w:spacing w:after="0"/>
              <w:rPr>
                <w:sz w:val="8"/>
                <w:szCs w:val="8"/>
                <w:color w:val="auto"/>
              </w:rPr>
            </w:pPr>
          </w:p>
        </w:tc>
        <w:tc>
          <w:tcPr>
            <w:tcW w:w="146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57"/>
              <w:spacing w:after="0" w:line="97" w:lineRule="exact"/>
              <w:rPr>
                <w:sz w:val="20"/>
                <w:szCs w:val="20"/>
                <w:color w:val="auto"/>
              </w:rPr>
            </w:pPr>
            <w:r>
              <w:rPr>
                <w:rFonts w:ascii="Times New Roman" w:cs="Times New Roman" w:eastAsia="Times New Roman" w:hAnsi="Times New Roman"/>
                <w:sz w:val="10"/>
                <w:szCs w:val="10"/>
                <w:b w:val="1"/>
                <w:bCs w:val="1"/>
                <w:color w:val="auto"/>
              </w:rPr>
              <w:t>Level 1</w:t>
            </w:r>
          </w:p>
        </w:tc>
        <w:tc>
          <w:tcPr>
            <w:tcW w:w="28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59"/>
              <w:spacing w:after="0" w:line="97" w:lineRule="exact"/>
              <w:rPr>
                <w:sz w:val="20"/>
                <w:szCs w:val="20"/>
                <w:color w:val="auto"/>
              </w:rPr>
            </w:pPr>
            <w:r>
              <w:rPr>
                <w:rFonts w:ascii="Times New Roman" w:cs="Times New Roman" w:eastAsia="Times New Roman" w:hAnsi="Times New Roman"/>
                <w:sz w:val="10"/>
                <w:szCs w:val="10"/>
                <w:b w:val="1"/>
                <w:bCs w:val="1"/>
                <w:color w:val="auto"/>
              </w:rPr>
              <w:t>Level 2</w:t>
            </w:r>
          </w:p>
        </w:tc>
        <w:tc>
          <w:tcPr>
            <w:tcW w:w="28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ind w:left="40"/>
              <w:spacing w:after="0" w:line="97" w:lineRule="exact"/>
              <w:rPr>
                <w:sz w:val="20"/>
                <w:szCs w:val="20"/>
                <w:color w:val="auto"/>
              </w:rPr>
            </w:pPr>
            <w:r>
              <w:rPr>
                <w:rFonts w:ascii="Times New Roman" w:cs="Times New Roman" w:eastAsia="Times New Roman" w:hAnsi="Times New Roman"/>
                <w:sz w:val="10"/>
                <w:szCs w:val="10"/>
                <w:b w:val="1"/>
                <w:bCs w:val="1"/>
                <w:color w:val="auto"/>
              </w:rPr>
              <w:t>Level 3</w:t>
            </w:r>
          </w:p>
        </w:tc>
        <w:tc>
          <w:tcPr>
            <w:tcW w:w="28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7"/>
              <w:spacing w:after="0" w:line="97" w:lineRule="exact"/>
              <w:rPr>
                <w:sz w:val="20"/>
                <w:szCs w:val="20"/>
                <w:color w:val="auto"/>
              </w:rPr>
            </w:pPr>
            <w:r>
              <w:rPr>
                <w:rFonts w:ascii="Times New Roman" w:cs="Times New Roman" w:eastAsia="Times New Roman" w:hAnsi="Times New Roman"/>
                <w:sz w:val="10"/>
                <w:szCs w:val="10"/>
                <w:b w:val="1"/>
                <w:bCs w:val="1"/>
                <w:color w:val="auto"/>
              </w:rPr>
              <w:t>Total</w:t>
            </w:r>
          </w:p>
        </w:tc>
        <w:tc>
          <w:tcPr>
            <w:tcW w:w="40" w:type="dxa"/>
            <w:vAlign w:val="bottom"/>
            <w:tcBorders>
              <w:bottom w:val="single" w:sz="8" w:color="CCEEFF"/>
            </w:tcBorders>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Assets</w:t>
            </w:r>
          </w:p>
        </w:tc>
        <w:tc>
          <w:tcPr>
            <w:tcW w:w="1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5"/>
        </w:trPr>
        <w:tc>
          <w:tcPr>
            <w:tcW w:w="20" w:type="dxa"/>
            <w:vAlign w:val="bottom"/>
          </w:tcPr>
          <w:p>
            <w:pPr>
              <w:spacing w:after="0"/>
              <w:rPr>
                <w:sz w:val="13"/>
                <w:szCs w:val="13"/>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3"/>
                <w:szCs w:val="13"/>
                <w:color w:val="auto"/>
              </w:rPr>
              <w:t>Cash equivalents</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Money market funds</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40" w:type="dxa"/>
            <w:vAlign w:val="bottom"/>
            <w:shd w:val="clear" w:color="auto" w:fill="CCEEFF"/>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33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cash equivalents</w:t>
            </w:r>
          </w:p>
        </w:tc>
        <w:tc>
          <w:tcPr>
            <w:tcW w:w="14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Marketable securities</w:t>
            </w: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3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U.S. treasury bonds</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17,590</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17,590</w:t>
            </w:r>
          </w:p>
        </w:tc>
        <w:tc>
          <w:tcPr>
            <w:tcW w:w="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Commercial paper</w:t>
            </w: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16,452</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16,452</w:t>
            </w:r>
          </w:p>
        </w:tc>
        <w:tc>
          <w:tcPr>
            <w:tcW w:w="4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3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Corporate bonds</w:t>
            </w:r>
          </w:p>
        </w:tc>
        <w:tc>
          <w:tcPr>
            <w:tcW w:w="14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11,246</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11,246</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3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 marketable securities</w:t>
            </w:r>
          </w:p>
        </w:tc>
        <w:tc>
          <w:tcPr>
            <w:tcW w:w="14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17,590</w:t>
            </w:r>
          </w:p>
        </w:tc>
        <w:tc>
          <w:tcPr>
            <w:tcW w:w="2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27,698</w:t>
            </w:r>
          </w:p>
        </w:tc>
        <w:tc>
          <w:tcPr>
            <w:tcW w:w="2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45,288</w:t>
            </w:r>
          </w:p>
        </w:tc>
        <w:tc>
          <w:tcPr>
            <w:tcW w:w="40" w:type="dxa"/>
            <w:vAlign w:val="bottom"/>
            <w:shd w:val="clear" w:color="auto" w:fill="CCEEFF"/>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33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assets</w:t>
            </w:r>
          </w:p>
        </w:tc>
        <w:tc>
          <w:tcPr>
            <w:tcW w:w="146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18,200</w:t>
            </w:r>
          </w:p>
        </w:tc>
        <w:tc>
          <w:tcPr>
            <w:tcW w:w="2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27,698</w:t>
            </w:r>
          </w:p>
        </w:tc>
        <w:tc>
          <w:tcPr>
            <w:tcW w:w="2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45,898</w:t>
            </w:r>
          </w:p>
        </w:tc>
        <w:tc>
          <w:tcPr>
            <w:tcW w:w="40" w:type="dxa"/>
            <w:vAlign w:val="bottom"/>
          </w:tcPr>
          <w:p>
            <w:pPr>
              <w:spacing w:after="0"/>
              <w:rPr>
                <w:sz w:val="14"/>
                <w:szCs w:val="14"/>
                <w:color w:val="auto"/>
              </w:rPr>
            </w:pPr>
          </w:p>
        </w:tc>
      </w:tr>
      <w:tr>
        <w:trPr>
          <w:trHeight w:val="271"/>
        </w:trPr>
        <w:tc>
          <w:tcPr>
            <w:tcW w:w="2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4"/>
          </w:tcPr>
          <w:p>
            <w:pPr>
              <w:jc w:val="center"/>
              <w:ind w:right="17"/>
              <w:spacing w:after="0"/>
              <w:rPr>
                <w:sz w:val="20"/>
                <w:szCs w:val="20"/>
                <w:color w:val="auto"/>
              </w:rPr>
            </w:pPr>
            <w:r>
              <w:rPr>
                <w:rFonts w:ascii="Times New Roman" w:cs="Times New Roman" w:eastAsia="Times New Roman" w:hAnsi="Times New Roman"/>
                <w:sz w:val="10"/>
                <w:szCs w:val="10"/>
                <w:b w:val="1"/>
                <w:bCs w:val="1"/>
                <w:color w:val="auto"/>
              </w:rPr>
              <w:t>January 31, 2019</w:t>
            </w:r>
          </w:p>
        </w:tc>
        <w:tc>
          <w:tcPr>
            <w:tcW w:w="2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r>
      <w:tr>
        <w:trPr>
          <w:trHeight w:val="96"/>
        </w:trPr>
        <w:tc>
          <w:tcPr>
            <w:tcW w:w="20" w:type="dxa"/>
            <w:vAlign w:val="bottom"/>
          </w:tcPr>
          <w:p>
            <w:pPr>
              <w:spacing w:after="0"/>
              <w:rPr>
                <w:sz w:val="8"/>
                <w:szCs w:val="8"/>
                <w:color w:val="auto"/>
              </w:rPr>
            </w:pPr>
          </w:p>
        </w:tc>
        <w:tc>
          <w:tcPr>
            <w:tcW w:w="3360" w:type="dxa"/>
            <w:vAlign w:val="bottom"/>
            <w:tcBorders>
              <w:bottom w:val="single" w:sz="8" w:color="CCEEFF"/>
            </w:tcBorders>
          </w:tcPr>
          <w:p>
            <w:pPr>
              <w:spacing w:after="0"/>
              <w:rPr>
                <w:sz w:val="8"/>
                <w:szCs w:val="8"/>
                <w:color w:val="auto"/>
              </w:rPr>
            </w:pPr>
          </w:p>
        </w:tc>
        <w:tc>
          <w:tcPr>
            <w:tcW w:w="146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57"/>
              <w:spacing w:after="0" w:line="97" w:lineRule="exact"/>
              <w:rPr>
                <w:sz w:val="20"/>
                <w:szCs w:val="20"/>
                <w:color w:val="auto"/>
              </w:rPr>
            </w:pPr>
            <w:r>
              <w:rPr>
                <w:rFonts w:ascii="Times New Roman" w:cs="Times New Roman" w:eastAsia="Times New Roman" w:hAnsi="Times New Roman"/>
                <w:sz w:val="10"/>
                <w:szCs w:val="10"/>
                <w:b w:val="1"/>
                <w:bCs w:val="1"/>
                <w:color w:val="auto"/>
              </w:rPr>
              <w:t>Level 1</w:t>
            </w:r>
          </w:p>
        </w:tc>
        <w:tc>
          <w:tcPr>
            <w:tcW w:w="28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59"/>
              <w:spacing w:after="0" w:line="97" w:lineRule="exact"/>
              <w:rPr>
                <w:sz w:val="20"/>
                <w:szCs w:val="20"/>
                <w:color w:val="auto"/>
              </w:rPr>
            </w:pPr>
            <w:r>
              <w:rPr>
                <w:rFonts w:ascii="Times New Roman" w:cs="Times New Roman" w:eastAsia="Times New Roman" w:hAnsi="Times New Roman"/>
                <w:sz w:val="10"/>
                <w:szCs w:val="10"/>
                <w:b w:val="1"/>
                <w:bCs w:val="1"/>
                <w:color w:val="auto"/>
              </w:rPr>
              <w:t>Level 2</w:t>
            </w:r>
          </w:p>
        </w:tc>
        <w:tc>
          <w:tcPr>
            <w:tcW w:w="28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ind w:left="40"/>
              <w:spacing w:after="0" w:line="97" w:lineRule="exact"/>
              <w:rPr>
                <w:sz w:val="20"/>
                <w:szCs w:val="20"/>
                <w:color w:val="auto"/>
              </w:rPr>
            </w:pPr>
            <w:r>
              <w:rPr>
                <w:rFonts w:ascii="Times New Roman" w:cs="Times New Roman" w:eastAsia="Times New Roman" w:hAnsi="Times New Roman"/>
                <w:sz w:val="10"/>
                <w:szCs w:val="10"/>
                <w:b w:val="1"/>
                <w:bCs w:val="1"/>
                <w:color w:val="auto"/>
              </w:rPr>
              <w:t>Level 3</w:t>
            </w:r>
          </w:p>
        </w:tc>
        <w:tc>
          <w:tcPr>
            <w:tcW w:w="28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7"/>
              <w:spacing w:after="0" w:line="97" w:lineRule="exact"/>
              <w:rPr>
                <w:sz w:val="20"/>
                <w:szCs w:val="20"/>
                <w:color w:val="auto"/>
              </w:rPr>
            </w:pPr>
            <w:r>
              <w:rPr>
                <w:rFonts w:ascii="Times New Roman" w:cs="Times New Roman" w:eastAsia="Times New Roman" w:hAnsi="Times New Roman"/>
                <w:sz w:val="10"/>
                <w:szCs w:val="10"/>
                <w:b w:val="1"/>
                <w:bCs w:val="1"/>
                <w:color w:val="auto"/>
              </w:rPr>
              <w:t>Total</w:t>
            </w:r>
          </w:p>
        </w:tc>
        <w:tc>
          <w:tcPr>
            <w:tcW w:w="40" w:type="dxa"/>
            <w:vAlign w:val="bottom"/>
            <w:tcBorders>
              <w:bottom w:val="single" w:sz="8" w:color="CCEEFF"/>
            </w:tcBorders>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Assets</w:t>
            </w:r>
          </w:p>
        </w:tc>
        <w:tc>
          <w:tcPr>
            <w:tcW w:w="1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5"/>
        </w:trPr>
        <w:tc>
          <w:tcPr>
            <w:tcW w:w="20" w:type="dxa"/>
            <w:vAlign w:val="bottom"/>
          </w:tcPr>
          <w:p>
            <w:pPr>
              <w:spacing w:after="0"/>
              <w:rPr>
                <w:sz w:val="13"/>
                <w:szCs w:val="13"/>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3"/>
                <w:szCs w:val="13"/>
                <w:color w:val="auto"/>
              </w:rPr>
              <w:t>Cash equivalents</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Money market funds</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22,787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22,787</w:t>
            </w:r>
          </w:p>
        </w:tc>
        <w:tc>
          <w:tcPr>
            <w:tcW w:w="40" w:type="dxa"/>
            <w:vAlign w:val="bottom"/>
            <w:shd w:val="clear" w:color="auto" w:fill="CCEEFF"/>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33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cash equivalents</w:t>
            </w:r>
          </w:p>
        </w:tc>
        <w:tc>
          <w:tcPr>
            <w:tcW w:w="14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22,787</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22,787</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Marketable securities</w:t>
            </w: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3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U.S. treasury bonds</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9,530</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9,530</w:t>
            </w:r>
          </w:p>
        </w:tc>
        <w:tc>
          <w:tcPr>
            <w:tcW w:w="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Commercial paper</w:t>
            </w: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38,498</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38,498</w:t>
            </w:r>
          </w:p>
        </w:tc>
        <w:tc>
          <w:tcPr>
            <w:tcW w:w="4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3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Corporate bonds</w:t>
            </w:r>
          </w:p>
        </w:tc>
        <w:tc>
          <w:tcPr>
            <w:tcW w:w="14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16,161</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16,161</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3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 marketable securities</w:t>
            </w:r>
          </w:p>
        </w:tc>
        <w:tc>
          <w:tcPr>
            <w:tcW w:w="14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9,530</w:t>
            </w:r>
          </w:p>
        </w:tc>
        <w:tc>
          <w:tcPr>
            <w:tcW w:w="2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54,659</w:t>
            </w:r>
          </w:p>
        </w:tc>
        <w:tc>
          <w:tcPr>
            <w:tcW w:w="2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64,189</w:t>
            </w:r>
          </w:p>
        </w:tc>
        <w:tc>
          <w:tcPr>
            <w:tcW w:w="40" w:type="dxa"/>
            <w:vAlign w:val="bottom"/>
            <w:shd w:val="clear" w:color="auto" w:fill="CCEEFF"/>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33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assets</w:t>
            </w:r>
          </w:p>
        </w:tc>
        <w:tc>
          <w:tcPr>
            <w:tcW w:w="146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32,317</w:t>
            </w:r>
          </w:p>
        </w:tc>
        <w:tc>
          <w:tcPr>
            <w:tcW w:w="2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54,659</w:t>
            </w:r>
          </w:p>
        </w:tc>
        <w:tc>
          <w:tcPr>
            <w:tcW w:w="2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86,976</w:t>
            </w:r>
          </w:p>
        </w:tc>
        <w:tc>
          <w:tcPr>
            <w:tcW w:w="4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3"/>
                <w:szCs w:val="13"/>
                <w:color w:val="auto"/>
              </w:rPr>
              <w:t>Redeemable convertible preferred stock warrant liability</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ind w:left="340"/>
              <w:spacing w:after="0"/>
              <w:rPr>
                <w:sz w:val="20"/>
                <w:szCs w:val="20"/>
                <w:color w:val="auto"/>
              </w:rPr>
            </w:pPr>
            <w:r>
              <w:rPr>
                <w:rFonts w:ascii="Times New Roman" w:cs="Times New Roman" w:eastAsia="Times New Roman" w:hAnsi="Times New Roman"/>
                <w:sz w:val="13"/>
                <w:szCs w:val="13"/>
                <w:color w:val="auto"/>
                <w:w w:val="91"/>
              </w:rPr>
              <w:t>94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liabilities</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w w:val="91"/>
              </w:rPr>
              <w:t>94</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40" w:type="dxa"/>
            <w:vAlign w:val="bottom"/>
            <w:shd w:val="clear" w:color="auto" w:fill="CCEEFF"/>
          </w:tcPr>
          <w:p>
            <w:pPr>
              <w:spacing w:after="0"/>
              <w:rPr>
                <w:sz w:val="14"/>
                <w:szCs w:val="14"/>
                <w:color w:val="auto"/>
              </w:rPr>
            </w:pPr>
          </w:p>
        </w:tc>
      </w:tr>
      <w:tr>
        <w:trPr>
          <w:trHeight w:val="271"/>
        </w:trPr>
        <w:tc>
          <w:tcPr>
            <w:tcW w:w="2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146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F-19</w:t>
            </w:r>
          </w:p>
        </w:tc>
        <w:tc>
          <w:tcPr>
            <w:tcW w:w="8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r>
    </w:tbl>
    <w:p>
      <w:pPr>
        <w:sectPr>
          <w:pgSz w:w="11900" w:h="16838" w:orient="portrait"/>
          <w:cols w:equalWidth="0" w:num="1">
            <w:col w:w="10159"/>
          </w:cols>
          <w:pgMar w:left="300" w:top="367" w:right="1440" w:bottom="1440" w:gutter="0" w:footer="0" w:header="0"/>
        </w:sectPr>
      </w:pPr>
    </w:p>
    <w:bookmarkStart w:id="183" w:name="page184"/>
    <w:bookmarkEnd w:id="18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799" w:firstLine="316"/>
        <w:spacing w:after="0" w:line="277" w:lineRule="auto"/>
        <w:rPr>
          <w:sz w:val="20"/>
          <w:szCs w:val="20"/>
          <w:color w:val="auto"/>
        </w:rPr>
      </w:pPr>
      <w:r>
        <w:rPr>
          <w:rFonts w:ascii="Times New Roman" w:cs="Times New Roman" w:eastAsia="Times New Roman" w:hAnsi="Times New Roman"/>
          <w:sz w:val="13"/>
          <w:szCs w:val="13"/>
          <w:color w:val="auto"/>
        </w:rPr>
        <w:t>There were no transfers of financial assets or liabilities into or out of Level 1, Level 2, or Level 3 during the years ended January 31, 2019 and 2020 or the six months ended July 31, 2020 (unaudited).</w:t>
      </w:r>
    </w:p>
    <w:p>
      <w:pPr>
        <w:spacing w:after="0" w:line="12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3"/>
          <w:szCs w:val="13"/>
          <w:color w:val="auto"/>
        </w:rPr>
        <w:t>The following table summarizes the change in the redeemable convertible preferred stock warrant liability (in thousands):</w:t>
      </w:r>
    </w:p>
    <w:p>
      <w:pPr>
        <w:spacing w:after="0" w:line="176"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7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Amount</w:t>
            </w:r>
          </w:p>
        </w:tc>
      </w:tr>
      <w:tr>
        <w:trPr>
          <w:trHeight w:val="145"/>
        </w:trPr>
        <w:tc>
          <w:tcPr>
            <w:tcW w:w="20" w:type="dxa"/>
            <w:vAlign w:val="bottom"/>
          </w:tcPr>
          <w:p>
            <w:pPr>
              <w:spacing w:after="0"/>
              <w:rPr>
                <w:sz w:val="12"/>
                <w:szCs w:val="12"/>
                <w:color w:val="auto"/>
              </w:rPr>
            </w:pPr>
          </w:p>
        </w:tc>
        <w:tc>
          <w:tcPr>
            <w:tcW w:w="742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Balance as of February 1, 2018</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59</w:t>
            </w:r>
          </w:p>
        </w:tc>
        <w:tc>
          <w:tcPr>
            <w:tcW w:w="80" w:type="dxa"/>
            <w:vAlign w:val="bottom"/>
            <w:tcBorders>
              <w:top w:val="single" w:sz="8" w:color="CCEEFF"/>
            </w:tcBorders>
            <w:shd w:val="clear" w:color="auto" w:fill="CCEEFF"/>
          </w:tcPr>
          <w:p>
            <w:pPr>
              <w:spacing w:after="0"/>
              <w:rPr>
                <w:sz w:val="12"/>
                <w:szCs w:val="12"/>
                <w:color w:val="auto"/>
              </w:rPr>
            </w:pPr>
          </w:p>
        </w:tc>
      </w:tr>
      <w:tr>
        <w:trPr>
          <w:trHeight w:val="155"/>
        </w:trPr>
        <w:tc>
          <w:tcPr>
            <w:tcW w:w="20" w:type="dxa"/>
            <w:vAlign w:val="bottom"/>
          </w:tcPr>
          <w:p>
            <w:pPr>
              <w:spacing w:after="0"/>
              <w:rPr>
                <w:sz w:val="13"/>
                <w:szCs w:val="13"/>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3"/>
                <w:szCs w:val="13"/>
                <w:color w:val="auto"/>
              </w:rPr>
              <w:t>Adjustment resulting from change in fair value recognized in the consolidated statement of operations</w:t>
            </w: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as of January 31, 2019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3"/>
                <w:szCs w:val="13"/>
                <w:color w:val="auto"/>
              </w:rPr>
              <w:t>Adjustment resulting from change in fair value recognized in the consolidated statement of operations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Exercise of redeemable convertible preferred stock warrants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(211)</w:t>
            </w:r>
          </w:p>
        </w:tc>
      </w:tr>
      <w:tr>
        <w:trPr>
          <w:trHeight w:val="164"/>
        </w:trPr>
        <w:tc>
          <w:tcPr>
            <w:tcW w:w="7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Balance as of January 31, 2020</w:t>
            </w:r>
          </w:p>
        </w:tc>
        <w:tc>
          <w:tcPr>
            <w:tcW w:w="2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r>
    </w:tbl>
    <w:p>
      <w:pPr>
        <w:spacing w:after="0" w:line="15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following table summarizes the Company’s investments in marketable securities on the consolidated balance sheets (in thousands):</w:t>
      </w:r>
    </w:p>
    <w:p>
      <w:pPr>
        <w:spacing w:after="0" w:line="176"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rPr>
              <w:t>As of July 31, 2020</w:t>
            </w: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59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Amortized</w:t>
            </w: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gridSpan w:val="2"/>
          </w:tcPr>
          <w:p>
            <w:pPr>
              <w:jc w:val="center"/>
              <w:ind w:right="300"/>
              <w:spacing w:after="0" w:line="80" w:lineRule="exact"/>
              <w:rPr>
                <w:sz w:val="20"/>
                <w:szCs w:val="20"/>
                <w:color w:val="auto"/>
              </w:rPr>
            </w:pPr>
            <w:r>
              <w:rPr>
                <w:rFonts w:ascii="Times New Roman" w:cs="Times New Roman" w:eastAsia="Times New Roman" w:hAnsi="Times New Roman"/>
                <w:sz w:val="9"/>
                <w:szCs w:val="9"/>
                <w:b w:val="1"/>
                <w:bCs w:val="1"/>
                <w:color w:val="auto"/>
              </w:rPr>
              <w:t>Gross</w:t>
            </w:r>
          </w:p>
        </w:tc>
        <w:tc>
          <w:tcPr>
            <w:tcW w:w="20" w:type="dxa"/>
            <w:vAlign w:val="bottom"/>
          </w:tcPr>
          <w:p>
            <w:pPr>
              <w:spacing w:after="0"/>
              <w:rPr>
                <w:sz w:val="6"/>
                <w:szCs w:val="6"/>
                <w:color w:val="auto"/>
              </w:rPr>
            </w:pPr>
          </w:p>
        </w:tc>
        <w:tc>
          <w:tcPr>
            <w:tcW w:w="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Estimated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gridSpan w:val="3"/>
          </w:tcPr>
          <w:p>
            <w:pPr>
              <w:jc w:val="center"/>
              <w:ind w:right="180"/>
              <w:spacing w:after="0" w:line="107"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20" w:type="dxa"/>
            <w:vAlign w:val="bottom"/>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118"/>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rPr>
              <w:t>Gains</w:t>
            </w:r>
          </w:p>
        </w:tc>
        <w:tc>
          <w:tcPr>
            <w:tcW w:w="20" w:type="dxa"/>
            <w:vAlign w:val="bottom"/>
          </w:tcPr>
          <w:p>
            <w:pPr>
              <w:spacing w:after="0"/>
              <w:rPr>
                <w:sz w:val="10"/>
                <w:szCs w:val="10"/>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gridSpan w:val="4"/>
          </w:tcPr>
          <w:p>
            <w:pPr>
              <w:jc w:val="center"/>
              <w:spacing w:after="0" w:line="97"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U.S. treasury bonds</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8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marketable securities</w:t>
            </w:r>
          </w:p>
        </w:tc>
        <w:tc>
          <w:tcPr>
            <w:tcW w:w="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6,400</w:t>
            </w:r>
          </w:p>
        </w:tc>
        <w:tc>
          <w:tcPr>
            <w:tcW w:w="1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6,406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rPr>
              <w:t>January 31, 2020</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59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Amortized</w:t>
            </w: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gridSpan w:val="2"/>
          </w:tcPr>
          <w:p>
            <w:pPr>
              <w:jc w:val="center"/>
              <w:ind w:right="300"/>
              <w:spacing w:after="0" w:line="80" w:lineRule="exact"/>
              <w:rPr>
                <w:sz w:val="20"/>
                <w:szCs w:val="20"/>
                <w:color w:val="auto"/>
              </w:rPr>
            </w:pPr>
            <w:r>
              <w:rPr>
                <w:rFonts w:ascii="Times New Roman" w:cs="Times New Roman" w:eastAsia="Times New Roman" w:hAnsi="Times New Roman"/>
                <w:sz w:val="9"/>
                <w:szCs w:val="9"/>
                <w:b w:val="1"/>
                <w:bCs w:val="1"/>
                <w:color w:val="auto"/>
              </w:rPr>
              <w:t>Gross</w:t>
            </w:r>
          </w:p>
        </w:tc>
        <w:tc>
          <w:tcPr>
            <w:tcW w:w="20" w:type="dxa"/>
            <w:vAlign w:val="bottom"/>
          </w:tcPr>
          <w:p>
            <w:pPr>
              <w:spacing w:after="0"/>
              <w:rPr>
                <w:sz w:val="6"/>
                <w:szCs w:val="6"/>
                <w:color w:val="auto"/>
              </w:rPr>
            </w:pPr>
          </w:p>
        </w:tc>
        <w:tc>
          <w:tcPr>
            <w:tcW w:w="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Estimated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gridSpan w:val="3"/>
          </w:tcPr>
          <w:p>
            <w:pPr>
              <w:jc w:val="center"/>
              <w:ind w:right="180"/>
              <w:spacing w:after="0" w:line="107"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20" w:type="dxa"/>
            <w:vAlign w:val="bottom"/>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118"/>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rPr>
              <w:t>Gains</w:t>
            </w:r>
          </w:p>
        </w:tc>
        <w:tc>
          <w:tcPr>
            <w:tcW w:w="20" w:type="dxa"/>
            <w:vAlign w:val="bottom"/>
          </w:tcPr>
          <w:p>
            <w:pPr>
              <w:spacing w:after="0"/>
              <w:rPr>
                <w:sz w:val="10"/>
                <w:szCs w:val="10"/>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92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Commercial paper</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16,452</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16,452</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3"/>
                <w:szCs w:val="13"/>
                <w:color w:val="auto"/>
              </w:rPr>
              <w:t>U.S. treasury bonds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17,571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17,590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Corporate bonds</w:t>
            </w: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11,237</w:t>
            </w: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11,246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marketable securities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45,260</w:t>
            </w:r>
          </w:p>
        </w:tc>
        <w:tc>
          <w:tcPr>
            <w:tcW w:w="1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45,288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rPr>
              <w:t>January 31, 2019</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59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Amortized</w:t>
            </w: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gridSpan w:val="2"/>
          </w:tcPr>
          <w:p>
            <w:pPr>
              <w:jc w:val="center"/>
              <w:ind w:right="300"/>
              <w:spacing w:after="0" w:line="80" w:lineRule="exact"/>
              <w:rPr>
                <w:sz w:val="20"/>
                <w:szCs w:val="20"/>
                <w:color w:val="auto"/>
              </w:rPr>
            </w:pPr>
            <w:r>
              <w:rPr>
                <w:rFonts w:ascii="Times New Roman" w:cs="Times New Roman" w:eastAsia="Times New Roman" w:hAnsi="Times New Roman"/>
                <w:sz w:val="9"/>
                <w:szCs w:val="9"/>
                <w:b w:val="1"/>
                <w:bCs w:val="1"/>
                <w:color w:val="auto"/>
              </w:rPr>
              <w:t>Gross</w:t>
            </w:r>
          </w:p>
        </w:tc>
        <w:tc>
          <w:tcPr>
            <w:tcW w:w="20" w:type="dxa"/>
            <w:vAlign w:val="bottom"/>
          </w:tcPr>
          <w:p>
            <w:pPr>
              <w:spacing w:after="0"/>
              <w:rPr>
                <w:sz w:val="6"/>
                <w:szCs w:val="6"/>
                <w:color w:val="auto"/>
              </w:rPr>
            </w:pPr>
          </w:p>
        </w:tc>
        <w:tc>
          <w:tcPr>
            <w:tcW w:w="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Estimated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gridSpan w:val="3"/>
          </w:tcPr>
          <w:p>
            <w:pPr>
              <w:jc w:val="center"/>
              <w:ind w:right="180"/>
              <w:spacing w:after="0" w:line="107"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20" w:type="dxa"/>
            <w:vAlign w:val="bottom"/>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118"/>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rPr>
              <w:t>Gains</w:t>
            </w:r>
          </w:p>
        </w:tc>
        <w:tc>
          <w:tcPr>
            <w:tcW w:w="20" w:type="dxa"/>
            <w:vAlign w:val="bottom"/>
          </w:tcPr>
          <w:p>
            <w:pPr>
              <w:spacing w:after="0"/>
              <w:rPr>
                <w:sz w:val="10"/>
                <w:szCs w:val="10"/>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92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U.S. treasury bonds</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9,529</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w:t>
            </w: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9,530</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3"/>
                <w:szCs w:val="13"/>
                <w:color w:val="auto"/>
              </w:rPr>
              <w:t>Commercial paper</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38,498</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38,498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Corporate bonds</w:t>
            </w: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16,139</w:t>
            </w: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16,161</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marketable securities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64,166</w:t>
            </w:r>
          </w:p>
        </w:tc>
        <w:tc>
          <w:tcPr>
            <w:tcW w:w="1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64,189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1680" w:right="639" w:firstLine="316"/>
        <w:spacing w:after="0" w:line="254" w:lineRule="auto"/>
        <w:rPr>
          <w:sz w:val="20"/>
          <w:szCs w:val="20"/>
          <w:color w:val="auto"/>
        </w:rPr>
      </w:pPr>
      <w:r>
        <w:rPr>
          <w:rFonts w:ascii="Times New Roman" w:cs="Times New Roman" w:eastAsia="Times New Roman" w:hAnsi="Times New Roman"/>
          <w:sz w:val="13"/>
          <w:szCs w:val="13"/>
          <w:color w:val="auto"/>
        </w:rPr>
        <w:t>In January 2020 and June 2020, the Company issued convertible notes to a trust affiliated with the Company’s CEO. The fair value of the convertible notes at issuance on January 30, 2020 and June 26, 2020 (unaudited) was $203.0 million and $112.0 million, respectively. There were no significant changes in fair value between January 30, 2020 and January 31, 2020. At July 31, 2020 (unaudited), the fair value of the convertible notes issued in January 2020 and in June 2020 was $239.5 million and $121.3 million, respectively. The Company considers the fair values of the convertible notes to be Level 3 measurements as the fair value is estimated using significant unobservable inputs. The fair value of the convertible notes was measured using a binomial lattice model. Inputs used to determine the estimated fair value of the convertible notes include equity</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F-20</w:t>
      </w:r>
    </w:p>
    <w:p>
      <w:pPr>
        <w:sectPr>
          <w:pgSz w:w="11900" w:h="16838" w:orient="portrait"/>
          <w:cols w:equalWidth="0" w:num="1">
            <w:col w:w="10159"/>
          </w:cols>
          <w:pgMar w:left="300" w:top="367" w:right="1440" w:bottom="1440" w:gutter="0" w:footer="0" w:header="0"/>
        </w:sectPr>
      </w:pPr>
    </w:p>
    <w:bookmarkStart w:id="184" w:name="page185"/>
    <w:bookmarkEnd w:id="18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jc w:val="both"/>
        <w:ind w:left="1680" w:right="679"/>
        <w:spacing w:after="0" w:line="263" w:lineRule="auto"/>
        <w:rPr>
          <w:sz w:val="20"/>
          <w:szCs w:val="20"/>
          <w:color w:val="auto"/>
        </w:rPr>
      </w:pPr>
      <w:r>
        <w:rPr>
          <w:rFonts w:ascii="Times New Roman" w:cs="Times New Roman" w:eastAsia="Times New Roman" w:hAnsi="Times New Roman"/>
          <w:sz w:val="13"/>
          <w:szCs w:val="13"/>
          <w:color w:val="auto"/>
        </w:rPr>
        <w:t>volatility of comparable companies, risk-free interest rate, and estimated fair value of the Company’s common stock. Certain unobservable inputs used in the fair value measurement of the convertible notes include assumptions related to future liquidity events. See Note 5, “Convertible Notes—Related Party,” for further discussion.</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Note 4. Balance Sheet Components</w:t>
      </w:r>
    </w:p>
    <w:p>
      <w:pPr>
        <w:spacing w:after="0" w:line="15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Property and Equipment, Net</w:t>
      </w:r>
    </w:p>
    <w:p>
      <w:pPr>
        <w:spacing w:after="0" w:line="8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Property and equipment, net, consisted of the following (in thousands):</w:t>
      </w:r>
    </w:p>
    <w:p>
      <w:pPr>
        <w:spacing w:after="0" w:line="168"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6"/>
            <w:vMerge w:val="restart"/>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As of January 31,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56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6"/>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gridSpan w:val="2"/>
            <w:vMerge w:val="restart"/>
          </w:tcPr>
          <w:p>
            <w:pPr>
              <w:jc w:val="center"/>
              <w:ind w:right="180"/>
              <w:spacing w:after="0" w:line="107" w:lineRule="exact"/>
              <w:rPr>
                <w:sz w:val="20"/>
                <w:szCs w:val="20"/>
                <w:color w:val="auto"/>
              </w:rPr>
            </w:pPr>
            <w:r>
              <w:rPr>
                <w:rFonts w:ascii="Times New Roman" w:cs="Times New Roman" w:eastAsia="Times New Roman" w:hAnsi="Times New Roman"/>
                <w:sz w:val="10"/>
                <w:szCs w:val="10"/>
                <w:b w:val="1"/>
                <w:bCs w:val="1"/>
                <w:color w:val="auto"/>
              </w:rPr>
              <w:t>July 31,</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60" w:type="dxa"/>
            <w:vAlign w:val="bottom"/>
            <w:tcBorders>
              <w:top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10"/>
                <w:szCs w:val="10"/>
                <w:b w:val="1"/>
                <w:bCs w:val="1"/>
                <w:color w:val="auto"/>
              </w:rPr>
              <w:t>2019</w:t>
            </w:r>
          </w:p>
        </w:tc>
        <w:tc>
          <w:tcPr>
            <w:tcW w:w="1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40" w:type="dxa"/>
            <w:vAlign w:val="bottom"/>
            <w:tcBorders>
              <w:top w:val="single" w:sz="8" w:color="auto"/>
            </w:tcBorders>
            <w:vMerge w:val="restart"/>
          </w:tcPr>
          <w:p>
            <w:pPr>
              <w:jc w:val="right"/>
              <w:ind w:right="117"/>
              <w:spacing w:after="0"/>
              <w:rPr>
                <w:sz w:val="20"/>
                <w:szCs w:val="20"/>
                <w:color w:val="auto"/>
              </w:rPr>
            </w:pPr>
            <w:r>
              <w:rPr>
                <w:rFonts w:ascii="Times New Roman" w:cs="Times New Roman" w:eastAsia="Times New Roman" w:hAnsi="Times New Roman"/>
                <w:sz w:val="10"/>
                <w:szCs w:val="10"/>
                <w:b w:val="1"/>
                <w:bCs w:val="1"/>
                <w:color w:val="auto"/>
              </w:rPr>
              <w:t>2020</w:t>
            </w: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gridSpan w:val="2"/>
          </w:tcPr>
          <w:p>
            <w:pPr>
              <w:jc w:val="center"/>
              <w:spacing w:after="0" w:line="97" w:lineRule="exact"/>
              <w:rPr>
                <w:sz w:val="20"/>
                <w:szCs w:val="20"/>
                <w:color w:val="auto"/>
              </w:rPr>
            </w:pPr>
            <w:r>
              <w:rPr>
                <w:rFonts w:ascii="Times New Roman" w:cs="Times New Roman" w:eastAsia="Times New Roman" w:hAnsi="Times New Roman"/>
                <w:sz w:val="10"/>
                <w:szCs w:val="10"/>
                <w:b w:val="1"/>
                <w:bCs w:val="1"/>
                <w:color w:val="auto"/>
                <w:w w:val="99"/>
              </w:rPr>
              <w:t>(unaudited)</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Desktop and other computer equipment</w:t>
            </w:r>
          </w:p>
        </w:tc>
        <w:tc>
          <w:tcPr>
            <w:tcW w:w="1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2,255</w:t>
            </w:r>
          </w:p>
        </w:tc>
        <w:tc>
          <w:tcPr>
            <w:tcW w:w="1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2,530</w:t>
            </w:r>
          </w:p>
        </w:tc>
        <w:tc>
          <w:tcPr>
            <w:tcW w:w="14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Furniture and fixtures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Leasehold improvements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8,704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12,047</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13,211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Capitalized internal-use software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8,919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9,341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10,306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Construction in progress</w:t>
            </w: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3,871</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21,331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6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gross property and equipment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21,568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29,646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Less: Accumulated depreciation and amortization</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(17,469)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(19,546)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(21,091)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property and equipment, net</w:t>
            </w:r>
          </w:p>
        </w:tc>
        <w:tc>
          <w:tcPr>
            <w:tcW w:w="2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4,099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28,526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1680" w:right="1099" w:firstLine="316"/>
        <w:spacing w:after="0" w:line="277" w:lineRule="auto"/>
        <w:rPr>
          <w:sz w:val="20"/>
          <w:szCs w:val="20"/>
          <w:color w:val="auto"/>
        </w:rPr>
      </w:pPr>
      <w:r>
        <w:rPr>
          <w:rFonts w:ascii="Times New Roman" w:cs="Times New Roman" w:eastAsia="Times New Roman" w:hAnsi="Times New Roman"/>
          <w:sz w:val="13"/>
          <w:szCs w:val="13"/>
          <w:color w:val="auto"/>
        </w:rPr>
        <w:t>Depreciation and amortization expense for the years ended January 31, 2019 and 2020 and the six months ended July 31, 2019 and 2020 (unaudited) was $2.9 million, $2.2 million, $1.2 million, and $1.5 million, respectively.</w:t>
      </w:r>
    </w:p>
    <w:p>
      <w:pPr>
        <w:spacing w:after="0" w:line="1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changes in the carrying value of capitalized internal-use software costs for the periods presented below are as follows (in thousands):</w:t>
      </w:r>
    </w:p>
    <w:p>
      <w:pPr>
        <w:sectPr>
          <w:pgSz w:w="11900" w:h="16838" w:orient="portrait"/>
          <w:cols w:equalWidth="0" w:num="1">
            <w:col w:w="10159"/>
          </w:cols>
          <w:pgMar w:left="300" w:top="367" w:right="1440" w:bottom="1440" w:gutter="0" w:footer="0" w:header="0"/>
        </w:sectPr>
      </w:pPr>
    </w:p>
    <w:p>
      <w:pPr>
        <w:spacing w:after="0" w:line="28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Balance as of February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-86360</wp:posOffset>
            </wp:positionV>
            <wp:extent cx="5022850" cy="1047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022850" cy="104775"/>
                    </a:xfrm>
                    <a:prstGeom prst="rect">
                      <a:avLst/>
                    </a:prstGeom>
                    <a:noFill/>
                  </pic:spPr>
                </pic:pic>
              </a:graphicData>
            </a:graphic>
          </wp:anchor>
        </w:drawing>
      </w:r>
    </w:p>
    <w:p>
      <w:pPr>
        <w:ind w:left="1680"/>
        <w:spacing w:after="0"/>
        <w:rPr>
          <w:sz w:val="20"/>
          <w:szCs w:val="20"/>
          <w:color w:val="auto"/>
        </w:rPr>
      </w:pPr>
      <w:r>
        <w:rPr>
          <w:rFonts w:ascii="Times New Roman" w:cs="Times New Roman" w:eastAsia="Times New Roman" w:hAnsi="Times New Roman"/>
          <w:sz w:val="12"/>
          <w:szCs w:val="12"/>
          <w:color w:val="auto"/>
        </w:rPr>
        <w:t>Capitalization of internal-use software costs</w:t>
      </w:r>
    </w:p>
    <w:p>
      <w:pPr>
        <w:spacing w:after="0" w:line="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Amortization of internal-use software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-93980</wp:posOffset>
            </wp:positionV>
            <wp:extent cx="5022850" cy="984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022850" cy="98425"/>
                    </a:xfrm>
                    <a:prstGeom prst="rect">
                      <a:avLst/>
                    </a:prstGeom>
                    <a:noFill/>
                  </pic:spPr>
                </pic:pic>
              </a:graphicData>
            </a:graphic>
          </wp:anchor>
        </w:drawing>
      </w:r>
    </w:p>
    <w:p>
      <w:pPr>
        <w:ind w:left="1680"/>
        <w:spacing w:after="0"/>
        <w:rPr>
          <w:sz w:val="20"/>
          <w:szCs w:val="20"/>
          <w:color w:val="auto"/>
        </w:rPr>
      </w:pPr>
      <w:r>
        <w:rPr>
          <w:rFonts w:ascii="Times New Roman" w:cs="Times New Roman" w:eastAsia="Times New Roman" w:hAnsi="Times New Roman"/>
          <w:sz w:val="13"/>
          <w:szCs w:val="13"/>
          <w:color w:val="auto"/>
        </w:rPr>
        <w:t>Balance as of January 31, 2019</w:t>
      </w:r>
    </w:p>
    <w:p>
      <w:pPr>
        <w:spacing w:after="0" w:line="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2"/>
          <w:szCs w:val="12"/>
          <w:color w:val="auto"/>
        </w:rPr>
        <w:t>Capitalization of internal-use software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-86360</wp:posOffset>
            </wp:positionV>
            <wp:extent cx="5022850" cy="984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022850" cy="98425"/>
                    </a:xfrm>
                    <a:prstGeom prst="rect">
                      <a:avLst/>
                    </a:prstGeom>
                    <a:noFill/>
                  </pic:spPr>
                </pic:pic>
              </a:graphicData>
            </a:graphic>
          </wp:anchor>
        </w:drawing>
      </w:r>
    </w:p>
    <w:p>
      <w:pPr>
        <w:ind w:left="1680"/>
        <w:spacing w:after="0"/>
        <w:rPr>
          <w:sz w:val="20"/>
          <w:szCs w:val="20"/>
          <w:color w:val="auto"/>
        </w:rPr>
      </w:pPr>
      <w:r>
        <w:rPr>
          <w:rFonts w:ascii="Times New Roman" w:cs="Times New Roman" w:eastAsia="Times New Roman" w:hAnsi="Times New Roman"/>
          <w:sz w:val="13"/>
          <w:szCs w:val="13"/>
          <w:color w:val="auto"/>
        </w:rPr>
        <w:t>Amortization of internal-use software costs</w:t>
      </w:r>
    </w:p>
    <w:p>
      <w:pPr>
        <w:spacing w:after="0" w:line="1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Balance as of 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-86360</wp:posOffset>
            </wp:positionV>
            <wp:extent cx="5022850" cy="984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022850" cy="984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101"/>
        <w:spacing w:after="0"/>
        <w:rPr>
          <w:sz w:val="20"/>
          <w:szCs w:val="20"/>
          <w:color w:val="auto"/>
        </w:rPr>
      </w:pPr>
      <w:r>
        <w:rPr>
          <w:rFonts w:ascii="Times New Roman" w:cs="Times New Roman" w:eastAsia="Times New Roman" w:hAnsi="Times New Roman"/>
          <w:sz w:val="10"/>
          <w:szCs w:val="10"/>
          <w:b w:val="1"/>
          <w:bCs w:val="1"/>
          <w:color w:val="auto"/>
        </w:rPr>
        <w:t>Amount</w:t>
      </w:r>
    </w:p>
    <w:p>
      <w:pPr>
        <w:spacing w:after="0" w:line="19" w:lineRule="exact"/>
        <w:rPr>
          <w:sz w:val="20"/>
          <w:szCs w:val="20"/>
          <w:color w:val="auto"/>
        </w:rPr>
      </w:pPr>
    </w:p>
    <w:p>
      <w:pPr>
        <w:ind w:left="261" w:hanging="261"/>
        <w:spacing w:after="0"/>
        <w:tabs>
          <w:tab w:leader="none" w:pos="261"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1,801</w:t>
      </w:r>
    </w:p>
    <w:p>
      <w:pPr>
        <w:spacing w:after="0" w:line="4"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color w:val="auto"/>
        </w:rPr>
        <w:t>597</w:t>
      </w:r>
    </w:p>
    <w:p>
      <w:pPr>
        <w:spacing w:after="0" w:line="6"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3"/>
          <w:szCs w:val="13"/>
          <w:color w:val="auto"/>
        </w:rPr>
        <w:t>(1,357)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351155" cy="63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51155" cy="6350"/>
                    </a:xfrm>
                    <a:prstGeom prst="rect">
                      <a:avLst/>
                    </a:prstGeom>
                    <a:noFill/>
                  </pic:spPr>
                </pic:pic>
              </a:graphicData>
            </a:graphic>
          </wp:anchor>
        </w:drawing>
      </w:r>
    </w:p>
    <w:p>
      <w:pPr>
        <w:jc w:val="right"/>
        <w:ind w:right="639"/>
        <w:spacing w:after="0"/>
        <w:rPr>
          <w:sz w:val="20"/>
          <w:szCs w:val="20"/>
          <w:color w:val="auto"/>
        </w:rPr>
      </w:pPr>
      <w:r>
        <w:rPr>
          <w:rFonts w:ascii="Times New Roman" w:cs="Times New Roman" w:eastAsia="Times New Roman" w:hAnsi="Times New Roman"/>
          <w:sz w:val="13"/>
          <w:szCs w:val="13"/>
          <w:color w:val="auto"/>
        </w:rPr>
        <w:t>1,041</w:t>
      </w:r>
    </w:p>
    <w:p>
      <w:pPr>
        <w:spacing w:after="0" w:line="18"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color w:val="auto"/>
        </w:rPr>
        <w:t>423</w:t>
      </w:r>
    </w:p>
    <w:p>
      <w:pPr>
        <w:spacing w:after="0" w:line="6"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3"/>
          <w:szCs w:val="13"/>
          <w:color w:val="auto"/>
        </w:rPr>
        <w:t>(653)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351155" cy="63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51155" cy="6350"/>
                    </a:xfrm>
                    <a:prstGeom prst="rect">
                      <a:avLst/>
                    </a:prstGeom>
                    <a:noFill/>
                  </pic:spPr>
                </pic:pic>
              </a:graphicData>
            </a:graphic>
          </wp:anchor>
        </w:drawing>
      </w:r>
    </w:p>
    <w:p>
      <w:pPr>
        <w:ind w:left="361" w:hanging="361"/>
        <w:spacing w:after="0"/>
        <w:tabs>
          <w:tab w:leader="none" w:pos="361"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811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351155" cy="63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5115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24130</wp:posOffset>
            </wp:positionV>
            <wp:extent cx="351155" cy="63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51155" cy="6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39" w:space="720"/>
            <w:col w:w="1200"/>
          </w:cols>
          <w:pgMar w:left="300" w:top="367" w:right="1440" w:bottom="1440" w:gutter="0" w:footer="0" w:header="0"/>
          <w:type w:val="continuous"/>
        </w:sectPr>
      </w:pPr>
    </w:p>
    <w:p>
      <w:pPr>
        <w:spacing w:after="0" w:line="7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Prepaid Expenses and Other Current Assets</w:t>
      </w:r>
    </w:p>
    <w:p>
      <w:pPr>
        <w:spacing w:after="0" w:line="8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Prepaid expenses and other current assets consisted of the following (in thousands):</w:t>
      </w:r>
    </w:p>
    <w:p>
      <w:pPr>
        <w:spacing w:after="0" w:line="168"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4"/>
            <w:vMerge w:val="restart"/>
          </w:tcPr>
          <w:p>
            <w:pPr>
              <w:jc w:val="right"/>
              <w:ind w:right="298"/>
              <w:spacing w:after="0"/>
              <w:rPr>
                <w:sz w:val="20"/>
                <w:szCs w:val="20"/>
                <w:color w:val="auto"/>
              </w:rPr>
            </w:pPr>
            <w:r>
              <w:rPr>
                <w:rFonts w:ascii="Times New Roman" w:cs="Times New Roman" w:eastAsia="Times New Roman" w:hAnsi="Times New Roman"/>
                <w:sz w:val="10"/>
                <w:szCs w:val="10"/>
                <w:b w:val="1"/>
                <w:bCs w:val="1"/>
                <w:color w:val="auto"/>
              </w:rPr>
              <w:t>As of January 31,</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gridSpan w:val="4"/>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gridSpan w:val="2"/>
            <w:vMerge w:val="restart"/>
          </w:tcPr>
          <w:p>
            <w:pPr>
              <w:jc w:val="center"/>
              <w:ind w:right="120"/>
              <w:spacing w:after="0" w:line="107" w:lineRule="exact"/>
              <w:rPr>
                <w:sz w:val="20"/>
                <w:szCs w:val="20"/>
                <w:color w:val="auto"/>
              </w:rPr>
            </w:pPr>
            <w:r>
              <w:rPr>
                <w:rFonts w:ascii="Times New Roman" w:cs="Times New Roman" w:eastAsia="Times New Roman" w:hAnsi="Times New Roman"/>
                <w:sz w:val="10"/>
                <w:szCs w:val="10"/>
                <w:b w:val="1"/>
                <w:bCs w:val="1"/>
                <w:color w:val="auto"/>
              </w:rPr>
              <w:t>July 31,</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2019</w:t>
            </w: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vMerge w:val="restart"/>
          </w:tcPr>
          <w:p>
            <w:pPr>
              <w:jc w:val="right"/>
              <w:ind w:right="178"/>
              <w:spacing w:after="0"/>
              <w:rPr>
                <w:sz w:val="20"/>
                <w:szCs w:val="20"/>
                <w:color w:val="auto"/>
              </w:rPr>
            </w:pPr>
            <w:r>
              <w:rPr>
                <w:rFonts w:ascii="Times New Roman" w:cs="Times New Roman" w:eastAsia="Times New Roman" w:hAnsi="Times New Roman"/>
                <w:sz w:val="10"/>
                <w:szCs w:val="10"/>
                <w:b w:val="1"/>
                <w:bCs w:val="1"/>
                <w:color w:val="auto"/>
              </w:rPr>
              <w:t>2020</w:t>
            </w: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0"/>
                <w:szCs w:val="10"/>
                <w:b w:val="1"/>
                <w:bCs w:val="1"/>
                <w:color w:val="auto"/>
                <w:w w:val="99"/>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jc w:val="center"/>
              <w:ind w:right="42"/>
              <w:spacing w:after="0" w:line="97"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Prepaid expenses</w:t>
            </w:r>
          </w:p>
        </w:tc>
        <w:tc>
          <w:tcPr>
            <w:tcW w:w="23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7,460</w:t>
            </w:r>
          </w:p>
        </w:tc>
        <w:tc>
          <w:tcPr>
            <w:tcW w:w="32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10,479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10,733</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Deferred contract acquisition costs, current</w:t>
            </w:r>
          </w:p>
        </w:tc>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current assets</w:t>
            </w:r>
          </w:p>
        </w:tc>
        <w:tc>
          <w:tcPr>
            <w:tcW w:w="22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1,338</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3,496</w:t>
            </w:r>
          </w:p>
        </w:tc>
        <w:tc>
          <w:tcPr>
            <w:tcW w:w="1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prepaid expenses and other current assets</w:t>
            </w:r>
          </w:p>
        </w:tc>
        <w:tc>
          <w:tcPr>
            <w:tcW w:w="2260" w:type="dxa"/>
            <w:vAlign w:val="bottom"/>
          </w:tcPr>
          <w:p>
            <w:pPr>
              <w:spacing w:after="0"/>
              <w:rPr>
                <w:sz w:val="14"/>
                <w:szCs w:val="14"/>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9,595</w:t>
            </w:r>
          </w:p>
        </w:tc>
        <w:tc>
          <w:tcPr>
            <w:tcW w:w="180" w:type="dxa"/>
            <w:vAlign w:val="bottom"/>
          </w:tcPr>
          <w:p>
            <w:pPr>
              <w:spacing w:after="0"/>
              <w:rPr>
                <w:sz w:val="14"/>
                <w:szCs w:val="14"/>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16,667</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17,507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2380" w:type="dxa"/>
            <w:vAlign w:val="bottom"/>
            <w:gridSpan w:val="2"/>
          </w:tcPr>
          <w:p>
            <w:pPr>
              <w:jc w:val="right"/>
              <w:ind w:right="1526"/>
              <w:spacing w:after="0"/>
              <w:rPr>
                <w:sz w:val="20"/>
                <w:szCs w:val="20"/>
                <w:color w:val="auto"/>
              </w:rPr>
            </w:pPr>
            <w:r>
              <w:rPr>
                <w:rFonts w:ascii="Times New Roman" w:cs="Times New Roman" w:eastAsia="Times New Roman" w:hAnsi="Times New Roman"/>
                <w:sz w:val="13"/>
                <w:szCs w:val="13"/>
                <w:color w:val="auto"/>
              </w:rPr>
              <w:t>F-21</w:t>
            </w: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67" w:right="1440" w:bottom="1440" w:gutter="0" w:footer="0" w:header="0"/>
          <w:type w:val="continuous"/>
        </w:sectPr>
      </w:pPr>
    </w:p>
    <w:bookmarkStart w:id="185" w:name="page186"/>
    <w:bookmarkEnd w:id="18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Accrued Expenses and Other Current Liabilities</w:t>
      </w:r>
    </w:p>
    <w:p>
      <w:pPr>
        <w:spacing w:after="0" w:line="8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Accrued expenses and other current liabilities consisted of the following (in thousands):</w:t>
      </w:r>
    </w:p>
    <w:p>
      <w:pPr>
        <w:spacing w:after="0" w:line="168"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4"/>
            <w:vMerge w:val="restart"/>
          </w:tcPr>
          <w:p>
            <w:pPr>
              <w:jc w:val="right"/>
              <w:ind w:right="37"/>
              <w:spacing w:after="0"/>
              <w:rPr>
                <w:sz w:val="20"/>
                <w:szCs w:val="20"/>
                <w:color w:val="auto"/>
              </w:rPr>
            </w:pPr>
            <w:r>
              <w:rPr>
                <w:rFonts w:ascii="Times New Roman" w:cs="Times New Roman" w:eastAsia="Times New Roman" w:hAnsi="Times New Roman"/>
                <w:sz w:val="10"/>
                <w:szCs w:val="10"/>
                <w:b w:val="1"/>
                <w:bCs w:val="1"/>
                <w:color w:val="auto"/>
              </w:rPr>
              <w:t>As of January 31,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4"/>
                <w:szCs w:val="4"/>
                <w:color w:val="auto"/>
              </w:rPr>
            </w:pPr>
          </w:p>
        </w:tc>
        <w:tc>
          <w:tcPr>
            <w:tcW w:w="6160" w:type="dxa"/>
            <w:vAlign w:val="bottom"/>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tcBorders>
              <w:bottom w:val="single" w:sz="8" w:color="auto"/>
            </w:tcBorders>
            <w:gridSpan w:val="4"/>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gridSpan w:val="2"/>
            <w:vMerge w:val="restart"/>
          </w:tcPr>
          <w:p>
            <w:pPr>
              <w:jc w:val="center"/>
              <w:ind w:right="120"/>
              <w:spacing w:after="0" w:line="107" w:lineRule="exact"/>
              <w:rPr>
                <w:sz w:val="20"/>
                <w:szCs w:val="20"/>
                <w:color w:val="auto"/>
              </w:rPr>
            </w:pPr>
            <w:r>
              <w:rPr>
                <w:rFonts w:ascii="Times New Roman" w:cs="Times New Roman" w:eastAsia="Times New Roman" w:hAnsi="Times New Roman"/>
                <w:sz w:val="10"/>
                <w:szCs w:val="10"/>
                <w:b w:val="1"/>
                <w:bCs w:val="1"/>
                <w:color w:val="auto"/>
              </w:rPr>
              <w:t>July 31,</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3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2019</w:t>
            </w: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vMerge w:val="restart"/>
          </w:tcPr>
          <w:p>
            <w:pPr>
              <w:jc w:val="right"/>
              <w:ind w:right="37"/>
              <w:spacing w:after="0"/>
              <w:rPr>
                <w:sz w:val="20"/>
                <w:szCs w:val="20"/>
                <w:color w:val="auto"/>
              </w:rPr>
            </w:pPr>
            <w:r>
              <w:rPr>
                <w:rFonts w:ascii="Times New Roman" w:cs="Times New Roman" w:eastAsia="Times New Roman" w:hAnsi="Times New Roman"/>
                <w:sz w:val="10"/>
                <w:szCs w:val="10"/>
                <w:b w:val="1"/>
                <w:bCs w:val="1"/>
                <w:color w:val="auto"/>
              </w:rPr>
              <w:t>2020</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3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9"/>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Borders>
              <w:top w:val="single" w:sz="8" w:color="auto"/>
            </w:tcBorders>
            <w:gridSpan w:val="2"/>
          </w:tcPr>
          <w:p>
            <w:pPr>
              <w:jc w:val="center"/>
              <w:spacing w:after="0" w:line="97"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Accrued payroll liabilities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$2,342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2,663</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3"/>
                <w:szCs w:val="13"/>
                <w:color w:val="auto"/>
              </w:rPr>
              <w:t>Accrued taxes for fringe benefits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2,291</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Accrued advertising expenses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1,627</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3"/>
                <w:szCs w:val="13"/>
                <w:color w:val="auto"/>
              </w:rPr>
              <w:t>Accrued property and equipment</w:t>
            </w:r>
          </w:p>
        </w:tc>
        <w:tc>
          <w:tcPr>
            <w:tcW w:w="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liabilities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2,978</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9,339</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10,192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1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accrued expenses and other current liabilities</w:t>
            </w:r>
          </w:p>
        </w:tc>
        <w:tc>
          <w:tcPr>
            <w:tcW w:w="20" w:type="dxa"/>
            <w:vAlign w:val="bottom"/>
            <w:tcBorders>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u w:val="single" w:color="auto"/>
                <w:color w:val="auto"/>
                <w:w w:val="89"/>
              </w:rPr>
              <w:t>$</w:t>
            </w:r>
            <w:r>
              <w:rPr>
                <w:rFonts w:ascii="Times New Roman" w:cs="Times New Roman" w:eastAsia="Times New Roman" w:hAnsi="Times New Roman"/>
                <w:sz w:val="13"/>
                <w:szCs w:val="13"/>
                <w:color w:val="auto"/>
                <w:w w:val="89"/>
              </w:rPr>
              <w:t>7,930</w:t>
            </w:r>
          </w:p>
        </w:tc>
        <w:tc>
          <w:tcPr>
            <w:tcW w:w="20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18,241</w:t>
            </w: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23,368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Note 5. Convertible Notes—Related Party</w:t>
      </w:r>
    </w:p>
    <w:p>
      <w:pPr>
        <w:spacing w:after="0" w:line="85" w:lineRule="exact"/>
        <w:rPr>
          <w:sz w:val="20"/>
          <w:szCs w:val="20"/>
          <w:color w:val="auto"/>
        </w:rPr>
      </w:pPr>
    </w:p>
    <w:p>
      <w:pPr>
        <w:ind w:left="1680" w:right="739" w:firstLine="316"/>
        <w:spacing w:after="0" w:line="277" w:lineRule="auto"/>
        <w:rPr>
          <w:sz w:val="20"/>
          <w:szCs w:val="20"/>
          <w:color w:val="auto"/>
        </w:rPr>
      </w:pPr>
      <w:r>
        <w:rPr>
          <w:rFonts w:ascii="Times New Roman" w:cs="Times New Roman" w:eastAsia="Times New Roman" w:hAnsi="Times New Roman"/>
          <w:sz w:val="13"/>
          <w:szCs w:val="13"/>
          <w:color w:val="auto"/>
        </w:rPr>
        <w:t>In January 2020 and June 2020 (unaudited), the Company issued convertible promissory notes (collectively, “Convertible Notes”), as discussed below.</w:t>
      </w:r>
    </w:p>
    <w:p>
      <w:pPr>
        <w:spacing w:after="0" w:line="19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January 2020 Note</w:t>
      </w:r>
    </w:p>
    <w:p>
      <w:pPr>
        <w:spacing w:after="0" w:line="87" w:lineRule="exact"/>
        <w:rPr>
          <w:sz w:val="20"/>
          <w:szCs w:val="20"/>
          <w:color w:val="auto"/>
        </w:rPr>
      </w:pPr>
    </w:p>
    <w:p>
      <w:pPr>
        <w:ind w:left="1680" w:right="739" w:firstLine="316"/>
        <w:spacing w:after="0" w:line="280" w:lineRule="auto"/>
        <w:rPr>
          <w:sz w:val="20"/>
          <w:szCs w:val="20"/>
          <w:color w:val="auto"/>
        </w:rPr>
      </w:pPr>
      <w:r>
        <w:rPr>
          <w:rFonts w:ascii="Times New Roman" w:cs="Times New Roman" w:eastAsia="Times New Roman" w:hAnsi="Times New Roman"/>
          <w:sz w:val="12"/>
          <w:szCs w:val="12"/>
          <w:color w:val="auto"/>
        </w:rPr>
        <w:t>In January 2020, the Company issued a 3.5% unsecured senior mandatory convertible promissory note due in 2025 (“January 2020 Convertible Note”) in a private placement to an entity affiliated with the Company’s CEO. The January 2020 Convertible Note with a principal amount of</w:t>
      </w:r>
    </w:p>
    <w:p>
      <w:pPr>
        <w:ind w:left="1680" w:right="559"/>
        <w:spacing w:after="0" w:line="251" w:lineRule="auto"/>
        <w:rPr>
          <w:sz w:val="20"/>
          <w:szCs w:val="20"/>
          <w:color w:val="auto"/>
        </w:rPr>
      </w:pPr>
      <w:r>
        <w:rPr>
          <w:rFonts w:ascii="Times New Roman" w:cs="Times New Roman" w:eastAsia="Times New Roman" w:hAnsi="Times New Roman"/>
          <w:sz w:val="13"/>
          <w:szCs w:val="13"/>
          <w:color w:val="auto"/>
        </w:rPr>
        <w:t>$300 million is a senior, unsecured obligation of the Company. The January 2020 Convertible Note does not contain any financial covenants or place any dividend restrictions on the Company. The January 2020 Convertible Note matures, and would be converted, on January 30, 2025 (“January 2020 Convertible Note Maturity Date”) unless earlier converted as discussed below or redeemed in connection with the Company’s bankruptcy, insolvency, or other similar events. The January 2020 Convertible Note bears interest at a fixed rate of 3.5% per annum that will be compounded annually and payable in-kind, resulting in an aggregate $356.3 million being due on settlement (the “January 2020 Convertible Note Settlement Amount”).</w:t>
      </w:r>
    </w:p>
    <w:p>
      <w:pPr>
        <w:spacing w:after="0" w:line="137" w:lineRule="exact"/>
        <w:rPr>
          <w:sz w:val="20"/>
          <w:szCs w:val="20"/>
          <w:color w:val="auto"/>
        </w:rPr>
      </w:pPr>
    </w:p>
    <w:p>
      <w:pPr>
        <w:ind w:left="1680" w:right="639" w:firstLine="316"/>
        <w:spacing w:after="0" w:line="254" w:lineRule="auto"/>
        <w:rPr>
          <w:sz w:val="20"/>
          <w:szCs w:val="20"/>
          <w:color w:val="auto"/>
        </w:rPr>
      </w:pPr>
      <w:r>
        <w:rPr>
          <w:rFonts w:ascii="Times New Roman" w:cs="Times New Roman" w:eastAsia="Times New Roman" w:hAnsi="Times New Roman"/>
          <w:sz w:val="13"/>
          <w:szCs w:val="13"/>
          <w:color w:val="auto"/>
        </w:rPr>
        <w:t>The initial conversion rate is 31.6649 shares of the Company’s Class B common stock per $1,000 of the January 2020 Convertible Note Settlement Amount, which equates to a conversion price of $31.58 of the January 2020 Convertible Note Settlement Amount per share. The initial conversion rate is subject to standard anti-dilution adjustments. The holder of the January 2020 Convertible Note is not entitled to convert the January 2020 Convertible Note at any time. The January 2020 Convertible Note is convertible at the option of the Company at any time until the close of business on the second scheduled trading day prior to the January 2020 Convertible Note Maturity Date during any calendar quarter beginning after the date of a public listing of the Company’s Class A common stock on any national securities exchange under the following circumstances:</w:t>
      </w:r>
    </w:p>
    <w:p>
      <w:pPr>
        <w:spacing w:after="0" w:line="69" w:lineRule="exact"/>
        <w:rPr>
          <w:sz w:val="20"/>
          <w:szCs w:val="20"/>
          <w:color w:val="auto"/>
        </w:rPr>
      </w:pPr>
    </w:p>
    <w:p>
      <w:pPr>
        <w:ind w:left="2380" w:right="699" w:hanging="381"/>
        <w:spacing w:after="0" w:line="277" w:lineRule="auto"/>
        <w:tabs>
          <w:tab w:leader="none" w:pos="238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closing price of the Company’s Class A common stock for at least 20 trading days in the 30 consecutive trading days ending on the last trading day of the immediately preceding calendar quarter equals or exceeds the conversion price (initially $31.58); or</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occurrence of specified corporate events as described in the January 2020 Convertible Note.</w:t>
      </w:r>
    </w:p>
    <w:p>
      <w:pPr>
        <w:spacing w:after="0" w:line="161" w:lineRule="exact"/>
        <w:rPr>
          <w:sz w:val="20"/>
          <w:szCs w:val="20"/>
          <w:color w:val="auto"/>
        </w:rPr>
      </w:pPr>
    </w:p>
    <w:p>
      <w:pPr>
        <w:ind w:left="1680" w:right="619" w:firstLine="316"/>
        <w:spacing w:after="0" w:line="256" w:lineRule="auto"/>
        <w:rPr>
          <w:sz w:val="20"/>
          <w:szCs w:val="20"/>
          <w:color w:val="auto"/>
        </w:rPr>
      </w:pPr>
      <w:r>
        <w:rPr>
          <w:rFonts w:ascii="Times New Roman" w:cs="Times New Roman" w:eastAsia="Times New Roman" w:hAnsi="Times New Roman"/>
          <w:sz w:val="13"/>
          <w:szCs w:val="13"/>
          <w:color w:val="auto"/>
        </w:rPr>
        <w:t>If the January 2020 Convertible Note is outstanding as of the January 2020 Convertible Note Maturity Date and a public listing of the Company’s common stock has occurred, the January 2020 Convertible Note will automatically convert into an number of shares of Class A common stock of the Company at a conversion rate equal to the greater of (i) the initial conversion rate per $1,000 of the January 2020 Convertible Note Settlement Amount, subject to standard anti-dilution adjustments, and (ii) the lesser of (a) $1,000 divided by the volume-weighted average price of the Company’s Class A common stock for the 20 trading days ending on the last</w:t>
      </w:r>
    </w:p>
    <w:p>
      <w:pPr>
        <w:spacing w:after="0" w:line="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F-22</w:t>
      </w:r>
    </w:p>
    <w:p>
      <w:pPr>
        <w:sectPr>
          <w:pgSz w:w="11900" w:h="16838" w:orient="portrait"/>
          <w:cols w:equalWidth="0" w:num="1">
            <w:col w:w="10159"/>
          </w:cols>
          <w:pgMar w:left="300" w:top="367" w:right="1440" w:bottom="1440" w:gutter="0" w:footer="0" w:header="0"/>
        </w:sectPr>
      </w:pPr>
    </w:p>
    <w:bookmarkStart w:id="186" w:name="page187"/>
    <w:bookmarkEnd w:id="18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79"/>
        <w:spacing w:after="0" w:line="253" w:lineRule="auto"/>
        <w:rPr>
          <w:sz w:val="20"/>
          <w:szCs w:val="20"/>
          <w:color w:val="auto"/>
        </w:rPr>
      </w:pPr>
      <w:r>
        <w:rPr>
          <w:rFonts w:ascii="Times New Roman" w:cs="Times New Roman" w:eastAsia="Times New Roman" w:hAnsi="Times New Roman"/>
          <w:sz w:val="13"/>
          <w:szCs w:val="13"/>
          <w:color w:val="auto"/>
        </w:rPr>
        <w:t>trading day immediately preceding the January 2020 Convertible Note Maturity Date and (b) 50.6638 shares per each $1,000 of the January 2020 Convertible Note Settlement Amount, subject to standard anti-dilution adjustments. In the event that a public listing of the Company’s common stock has not occurred by the close of business on the second day prior to the January 2020 Convertible Note Maturity Date, the January 2020 Convertible Note shall convert into shares of the capital stock of the Company’s most recent equity financing, at the lesser of (i) 50.6638 shares per each $1,000 of the January 2020 Convertible Note Settlement Amount, subject to standard anti-dilution adjustments, and (ii) $1,000 divided by the price per share at which such capital stock was sold in the most recent equity financing per each $1,000 of the January 2020 Convertible Note Settlement Amount of the January 2020 Convertible Note.</w:t>
      </w:r>
    </w:p>
    <w:p>
      <w:pPr>
        <w:spacing w:after="0" w:line="138" w:lineRule="exact"/>
        <w:rPr>
          <w:sz w:val="20"/>
          <w:szCs w:val="20"/>
          <w:color w:val="auto"/>
        </w:rPr>
      </w:pPr>
    </w:p>
    <w:p>
      <w:pPr>
        <w:ind w:left="1680" w:right="559" w:firstLine="316"/>
        <w:spacing w:after="0" w:line="254" w:lineRule="auto"/>
        <w:rPr>
          <w:sz w:val="20"/>
          <w:szCs w:val="20"/>
          <w:color w:val="auto"/>
        </w:rPr>
      </w:pPr>
      <w:r>
        <w:rPr>
          <w:rFonts w:ascii="Times New Roman" w:cs="Times New Roman" w:eastAsia="Times New Roman" w:hAnsi="Times New Roman"/>
          <w:sz w:val="13"/>
          <w:szCs w:val="13"/>
          <w:color w:val="auto"/>
        </w:rPr>
        <w:t>The January 2020 Convertible Note was initially measured and recorded at fair value based on a binomial lattice model, including assumptions associated with the probability of future liquidity events. The excess $97.0 million of the proceeds received from the issuance of the January 2020 Convertible Note over the fair value of the January 2020 Convertible Note was recorded as a capital contribution in additional paid-in capital. The difference between the par value of the January 2020 Convertible Note and the carrying amount represents the debt discount that is amortized to interest expense at an effective interest rate over the term of the January 2020 Convertible Note. Debt issuance costs for the January 2020 Convertible Note were not material.</w:t>
      </w:r>
    </w:p>
    <w:p>
      <w:pPr>
        <w:spacing w:after="0" w:line="21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June 2020 Note (Unaudited)</w:t>
      </w:r>
    </w:p>
    <w:p>
      <w:pPr>
        <w:spacing w:after="0" w:line="87" w:lineRule="exact"/>
        <w:rPr>
          <w:sz w:val="20"/>
          <w:szCs w:val="20"/>
          <w:color w:val="auto"/>
        </w:rPr>
      </w:pPr>
    </w:p>
    <w:p>
      <w:pPr>
        <w:ind w:left="1680" w:right="679" w:firstLine="316"/>
        <w:spacing w:after="0" w:line="253" w:lineRule="auto"/>
        <w:rPr>
          <w:sz w:val="20"/>
          <w:szCs w:val="20"/>
          <w:color w:val="auto"/>
        </w:rPr>
      </w:pPr>
      <w:r>
        <w:rPr>
          <w:rFonts w:ascii="Times New Roman" w:cs="Times New Roman" w:eastAsia="Times New Roman" w:hAnsi="Times New Roman"/>
          <w:sz w:val="13"/>
          <w:szCs w:val="13"/>
          <w:color w:val="auto"/>
        </w:rPr>
        <w:t>In June 2020, the Company issued a 3.5% unsecured senior mandatory convertible promissory note due in 2025 (“June 2020 Convertible Note”) in a private placement to an entity affiliated with the Company’s CEO. The June 2020 Convertible Note with a principal amount of $150 million is a senior, unsecured obligation of the Company. The June 2020 Convertible Note does not contain any financial covenants or place any dividend restrictions on the Company. The June 2020 Convertible Note matures, and would be converted, on June 26, 2025 (“June 2020 Convertible Note Maturity Date”) unless earlier converted as discussed below or redeemed in connection with the Company’s bankruptcy, insolvency, or other similar events. The June 2020 Convertible Note bears interest at a fixed rate of 3.5% per annum that will be compounded annually and payable in-kind, resulting in an aggregate $178.2 million being due on settlement (the “June 2020 Convertible Note Settlement Amount”).</w:t>
      </w:r>
    </w:p>
    <w:p>
      <w:pPr>
        <w:spacing w:after="0" w:line="138" w:lineRule="exact"/>
        <w:rPr>
          <w:sz w:val="20"/>
          <w:szCs w:val="20"/>
          <w:color w:val="auto"/>
        </w:rPr>
      </w:pPr>
    </w:p>
    <w:p>
      <w:pPr>
        <w:ind w:left="1680" w:right="639" w:firstLine="316"/>
        <w:spacing w:after="0" w:line="254" w:lineRule="auto"/>
        <w:rPr>
          <w:sz w:val="20"/>
          <w:szCs w:val="20"/>
          <w:color w:val="auto"/>
        </w:rPr>
      </w:pPr>
      <w:r>
        <w:rPr>
          <w:rFonts w:ascii="Times New Roman" w:cs="Times New Roman" w:eastAsia="Times New Roman" w:hAnsi="Times New Roman"/>
          <w:sz w:val="13"/>
          <w:szCs w:val="13"/>
          <w:color w:val="auto"/>
        </w:rPr>
        <w:t>The initial conversion rate is 32.1658 shares of the Company’s Class B common stock per $1,000 of the June 2020 Convertible Note Settlement Amount, which equates to a conversion price of $31.09 of the June 2020 Convertible Note Settlement Amount per share. The initial conversion rate is subject to standard anti-dilution adjustments. The holder of the June 2020 Convertible Note is not entitled to convert the June 2020 Convertible Note at any time. The June 2020 Convertible Note is convertible at the option of the Company at any time until the close of business on the second scheduled trading day prior to the June 2020 Convertible Note Maturity Date during any calendar quarter beginning after the date of a public listing of the Company’s Class A common stock on any national securities exchange under the following circumstances:</w:t>
      </w:r>
    </w:p>
    <w:p>
      <w:pPr>
        <w:spacing w:after="0" w:line="69" w:lineRule="exact"/>
        <w:rPr>
          <w:sz w:val="20"/>
          <w:szCs w:val="20"/>
          <w:color w:val="auto"/>
        </w:rPr>
      </w:pPr>
    </w:p>
    <w:p>
      <w:pPr>
        <w:ind w:left="2380" w:right="699" w:hanging="381"/>
        <w:spacing w:after="0" w:line="277" w:lineRule="auto"/>
        <w:tabs>
          <w:tab w:leader="none" w:pos="238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closing price of the Company’s Class A common stock for at least 20 trading days in the 30 consecutive trading days ending on the last trading day of the immediately preceding calendar quarter equals or exceeds the conversion price (initially $31.09); or</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occurrence of specified corporate events as described in the June 2020 Convertible Note.</w:t>
      </w:r>
    </w:p>
    <w:p>
      <w:pPr>
        <w:spacing w:after="0" w:line="161" w:lineRule="exact"/>
        <w:rPr>
          <w:sz w:val="20"/>
          <w:szCs w:val="20"/>
          <w:color w:val="auto"/>
        </w:rPr>
      </w:pPr>
    </w:p>
    <w:p>
      <w:pPr>
        <w:ind w:left="1680" w:right="699" w:firstLine="316"/>
        <w:spacing w:after="0" w:line="252" w:lineRule="auto"/>
        <w:rPr>
          <w:sz w:val="20"/>
          <w:szCs w:val="20"/>
          <w:color w:val="auto"/>
        </w:rPr>
      </w:pPr>
      <w:r>
        <w:rPr>
          <w:rFonts w:ascii="Times New Roman" w:cs="Times New Roman" w:eastAsia="Times New Roman" w:hAnsi="Times New Roman"/>
          <w:sz w:val="13"/>
          <w:szCs w:val="13"/>
          <w:color w:val="auto"/>
        </w:rPr>
        <w:t>If the June 2020 Convertible Note is outstanding as of the June 2020 Convertible Note Maturity Date and a public listing of the Company’s common stock has occurred, the June 2020 Convertible Note will automatically convert into an number of shares of Class A common stock of the Company at a conversion rate equal to the greater of (i) the initial conversion rate per $1,000 of the June 2020 Convertible Note Settlement Amount, subject to standard anti-dilution adjustments, and (ii) the lesser of (a) $1,000 divided by the volume-weighted average price of the Company’s Class A common stock for the 20 trading days ending on the last trading day immediately preceding the June 2020 Convertible Note Maturity Date and</w:t>
      </w:r>
    </w:p>
    <w:p>
      <w:pPr>
        <w:spacing w:after="0" w:line="3" w:lineRule="exact"/>
        <w:rPr>
          <w:sz w:val="20"/>
          <w:szCs w:val="20"/>
          <w:color w:val="auto"/>
        </w:rPr>
      </w:pPr>
    </w:p>
    <w:p>
      <w:pPr>
        <w:ind w:left="1880" w:hanging="191"/>
        <w:spacing w:after="0"/>
        <w:tabs>
          <w:tab w:leader="none" w:pos="188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51.4653 shares per each $1,000 of the June 2020 Convertible Note Settlement Amount, subject to standard anti-dilution adjustments. In the event</w:t>
      </w:r>
    </w:p>
    <w:p>
      <w:pPr>
        <w:spacing w:after="0" w:line="100" w:lineRule="exact"/>
        <w:rPr>
          <w:rFonts w:ascii="Times New Roman" w:cs="Times New Roman" w:eastAsia="Times New Roman" w:hAnsi="Times New Roman"/>
          <w:sz w:val="13"/>
          <w:szCs w:val="13"/>
          <w:color w:val="auto"/>
        </w:rPr>
      </w:pPr>
    </w:p>
    <w:p>
      <w:pPr>
        <w:ind w:left="55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F-23</w:t>
      </w:r>
    </w:p>
    <w:p>
      <w:pPr>
        <w:sectPr>
          <w:pgSz w:w="11900" w:h="16838" w:orient="portrait"/>
          <w:cols w:equalWidth="0" w:num="1">
            <w:col w:w="10159"/>
          </w:cols>
          <w:pgMar w:left="300" w:top="368" w:right="1440" w:bottom="1440" w:gutter="0" w:footer="0" w:header="0"/>
        </w:sectPr>
      </w:pPr>
    </w:p>
    <w:bookmarkStart w:id="187" w:name="page188"/>
    <w:bookmarkEnd w:id="18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79"/>
        <w:spacing w:after="0" w:line="256" w:lineRule="auto"/>
        <w:rPr>
          <w:sz w:val="20"/>
          <w:szCs w:val="20"/>
          <w:color w:val="auto"/>
        </w:rPr>
      </w:pPr>
      <w:r>
        <w:rPr>
          <w:rFonts w:ascii="Times New Roman" w:cs="Times New Roman" w:eastAsia="Times New Roman" w:hAnsi="Times New Roman"/>
          <w:sz w:val="13"/>
          <w:szCs w:val="13"/>
          <w:color w:val="auto"/>
        </w:rPr>
        <w:t>that a public listing of the Company’s common stock has not occurred by the close of business on the second day prior to the June 2020 Convertible Note Maturity Date, the June 2020 Convertible Note shall convert into shares of the capital stock of the Company’s most recent equity financing, at the lesser of (i) 51.4653 shares per each $1,000 of the June 2020 Convertible Note Settlement Amount, subject to standard anti-dilution adjustments, and (ii) $1,000 divided by the price per share at which such capital stock was sold in the most recent equity financing per each $1,000 of the June 2020 Convertible Note Settlement Amount of the June 2020 Convertible Note.</w:t>
      </w:r>
    </w:p>
    <w:p>
      <w:pPr>
        <w:spacing w:after="0" w:line="133" w:lineRule="exact"/>
        <w:rPr>
          <w:sz w:val="20"/>
          <w:szCs w:val="20"/>
          <w:color w:val="auto"/>
        </w:rPr>
      </w:pPr>
    </w:p>
    <w:p>
      <w:pPr>
        <w:ind w:left="1680" w:right="699" w:firstLine="316"/>
        <w:spacing w:after="0" w:line="254" w:lineRule="auto"/>
        <w:rPr>
          <w:sz w:val="20"/>
          <w:szCs w:val="20"/>
          <w:color w:val="auto"/>
        </w:rPr>
      </w:pPr>
      <w:r>
        <w:rPr>
          <w:rFonts w:ascii="Times New Roman" w:cs="Times New Roman" w:eastAsia="Times New Roman" w:hAnsi="Times New Roman"/>
          <w:sz w:val="13"/>
          <w:szCs w:val="13"/>
          <w:color w:val="auto"/>
        </w:rPr>
        <w:t>The June 2020 Convertible Note was initially measured and recorded at fair value based on a binomial lattice model, including assumptions associated with the probability of future liquidity events. The excess $38.0 million of the proceeds received from the issuance of the June 2020 Convertible Note over the fair value of the June 2020 Convertible Note was recorded as a capital contribution in additional paid-in capital. The difference between the par value of the June 2020 Convertible Note and the carrying amount represents the debt discount that is amortized to interest expense at an effective interest rate over the term of the June 2020 Convertible Note. Debt issuance costs for the June 2020 Convertible Note were not material.</w:t>
      </w:r>
    </w:p>
    <w:p>
      <w:pPr>
        <w:spacing w:after="0" w:line="13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net carrying amount of the January 2020 Convertible Note was as follows (in thousands):</w:t>
      </w:r>
    </w:p>
    <w:p>
      <w:pPr>
        <w:spacing w:after="0" w:line="168"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40" w:type="dxa"/>
            <w:vAlign w:val="bottom"/>
            <w:gridSpan w:val="5"/>
          </w:tcPr>
          <w:p>
            <w:pPr>
              <w:ind w:left="40"/>
              <w:spacing w:after="0"/>
              <w:rPr>
                <w:sz w:val="20"/>
                <w:szCs w:val="20"/>
                <w:color w:val="auto"/>
              </w:rPr>
            </w:pPr>
            <w:r>
              <w:rPr>
                <w:rFonts w:ascii="Times New Roman" w:cs="Times New Roman" w:eastAsia="Times New Roman" w:hAnsi="Times New Roman"/>
                <w:sz w:val="10"/>
                <w:szCs w:val="10"/>
                <w:b w:val="1"/>
                <w:bCs w:val="1"/>
                <w:color w:val="auto"/>
              </w:rPr>
              <w:t>As of January 31,</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As of July 31,</w:t>
            </w:r>
          </w:p>
        </w:tc>
      </w:tr>
      <w:tr>
        <w:trPr>
          <w:trHeight w:val="123"/>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2020</w:t>
            </w: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9"/>
              </w:rPr>
              <w:t>2020</w:t>
            </w:r>
          </w:p>
        </w:tc>
        <w:tc>
          <w:tcPr>
            <w:tcW w:w="40" w:type="dxa"/>
            <w:vAlign w:val="bottom"/>
          </w:tcPr>
          <w:p>
            <w:pPr>
              <w:spacing w:after="0"/>
              <w:rPr>
                <w:sz w:val="10"/>
                <w:szCs w:val="10"/>
                <w:color w:val="auto"/>
              </w:rPr>
            </w:pPr>
          </w:p>
        </w:tc>
      </w:tr>
      <w:tr>
        <w:trPr>
          <w:trHeight w:val="96"/>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jc w:val="center"/>
              <w:ind w:right="80"/>
              <w:spacing w:after="0" w:line="97"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40" w:type="dxa"/>
            <w:vAlign w:val="bottom"/>
          </w:tcPr>
          <w:p>
            <w:pPr>
              <w:spacing w:after="0"/>
              <w:rPr>
                <w:sz w:val="8"/>
                <w:szCs w:val="8"/>
                <w:color w:val="auto"/>
              </w:rPr>
            </w:pPr>
          </w:p>
        </w:tc>
      </w:tr>
      <w:tr>
        <w:trPr>
          <w:trHeight w:val="155"/>
        </w:trPr>
        <w:tc>
          <w:tcPr>
            <w:tcW w:w="20" w:type="dxa"/>
            <w:vAlign w:val="bottom"/>
          </w:tcPr>
          <w:p>
            <w:pPr>
              <w:spacing w:after="0"/>
              <w:rPr>
                <w:sz w:val="13"/>
                <w:szCs w:val="13"/>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Principal</w:t>
            </w:r>
          </w:p>
        </w:tc>
        <w:tc>
          <w:tcPr>
            <w:tcW w:w="1000" w:type="dxa"/>
            <w:vAlign w:val="bottom"/>
            <w:gridSpan w:val="3"/>
            <w:shd w:val="clear" w:color="auto" w:fill="CCEEFF"/>
          </w:tcPr>
          <w:p>
            <w:pPr>
              <w:jc w:val="right"/>
              <w:ind w:right="18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9"/>
              </w:rPr>
              <w:t>300,000</w:t>
            </w:r>
          </w:p>
        </w:tc>
        <w:tc>
          <w:tcPr>
            <w:tcW w:w="60" w:type="dxa"/>
            <w:vAlign w:val="bottom"/>
            <w:shd w:val="clear" w:color="auto" w:fill="CCEEFF"/>
          </w:tcPr>
          <w:p>
            <w:pPr>
              <w:spacing w:after="0"/>
              <w:rPr>
                <w:sz w:val="13"/>
                <w:szCs w:val="13"/>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4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3"/>
                <w:szCs w:val="13"/>
                <w:color w:val="auto"/>
              </w:rPr>
              <w:t>Unamortized discount</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gridSpan w:val="4"/>
          </w:tcPr>
          <w:p>
            <w:pPr>
              <w:ind w:left="160"/>
              <w:spacing w:after="0"/>
              <w:rPr>
                <w:sz w:val="20"/>
                <w:szCs w:val="20"/>
                <w:color w:val="auto"/>
              </w:rPr>
            </w:pPr>
            <w:r>
              <w:rPr>
                <w:rFonts w:ascii="Times New Roman" w:cs="Times New Roman" w:eastAsia="Times New Roman" w:hAnsi="Times New Roman"/>
                <w:sz w:val="13"/>
                <w:szCs w:val="13"/>
                <w:color w:val="auto"/>
              </w:rPr>
              <w:t>(96,932)</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(87,991)</w:t>
            </w:r>
          </w:p>
        </w:tc>
        <w:tc>
          <w:tcPr>
            <w:tcW w:w="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Accrued interest expense</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gridSpan w:val="2"/>
            <w:shd w:val="clear" w:color="auto" w:fill="CCEEFF"/>
          </w:tcPr>
          <w:p>
            <w:pPr>
              <w:jc w:val="center"/>
              <w:ind w:left="75"/>
              <w:spacing w:after="0"/>
              <w:rPr>
                <w:sz w:val="20"/>
                <w:szCs w:val="20"/>
                <w:color w:val="auto"/>
              </w:rPr>
            </w:pPr>
            <w:r>
              <w:rPr>
                <w:rFonts w:ascii="Times New Roman" w:cs="Times New Roman" w:eastAsia="Times New Roman" w:hAnsi="Times New Roman"/>
                <w:sz w:val="13"/>
                <w:szCs w:val="13"/>
                <w:color w:val="auto"/>
                <w:w w:val="91"/>
              </w:rPr>
              <w:t>29</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5,265</w:t>
            </w:r>
          </w:p>
        </w:tc>
        <w:tc>
          <w:tcPr>
            <w:tcW w:w="40" w:type="dxa"/>
            <w:vAlign w:val="bottom"/>
            <w:shd w:val="clear" w:color="auto" w:fill="CCEEFF"/>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5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carrying amount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3"/>
                <w:szCs w:val="13"/>
                <w:color w:val="auto"/>
                <w:w w:val="99"/>
              </w:rPr>
              <w:t>203,097</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217,274</w:t>
            </w:r>
          </w:p>
        </w:tc>
        <w:tc>
          <w:tcPr>
            <w:tcW w:w="40" w:type="dxa"/>
            <w:vAlign w:val="bottom"/>
          </w:tcPr>
          <w:p>
            <w:pPr>
              <w:spacing w:after="0"/>
              <w:rPr>
                <w:sz w:val="14"/>
                <w:szCs w:val="14"/>
                <w:color w:val="auto"/>
              </w:rPr>
            </w:pPr>
          </w:p>
        </w:tc>
      </w:tr>
      <w:tr>
        <w:trPr>
          <w:trHeight w:val="319"/>
        </w:trPr>
        <w:tc>
          <w:tcPr>
            <w:tcW w:w="20" w:type="dxa"/>
            <w:vAlign w:val="bottom"/>
          </w:tcPr>
          <w:p>
            <w:pPr>
              <w:spacing w:after="0"/>
              <w:rPr>
                <w:sz w:val="24"/>
                <w:szCs w:val="24"/>
                <w:color w:val="auto"/>
              </w:rPr>
            </w:pPr>
          </w:p>
        </w:tc>
        <w:tc>
          <w:tcPr>
            <w:tcW w:w="514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The net carrying amount of the June 2020 Convertible Note was as follows (in thousands):</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5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As of July 31,</w:t>
            </w:r>
          </w:p>
        </w:tc>
      </w:tr>
      <w:tr>
        <w:trPr>
          <w:trHeight w:val="123"/>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2020</w:t>
            </w:r>
          </w:p>
        </w:tc>
        <w:tc>
          <w:tcPr>
            <w:tcW w:w="40" w:type="dxa"/>
            <w:vAlign w:val="bottom"/>
          </w:tcPr>
          <w:p>
            <w:pPr>
              <w:spacing w:after="0"/>
              <w:rPr>
                <w:sz w:val="10"/>
                <w:szCs w:val="10"/>
                <w:color w:val="auto"/>
              </w:rPr>
            </w:pPr>
          </w:p>
        </w:tc>
      </w:tr>
      <w:tr>
        <w:trPr>
          <w:trHeight w:val="96"/>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jc w:val="center"/>
              <w:ind w:right="100"/>
              <w:spacing w:after="0" w:line="97" w:lineRule="exact"/>
              <w:rPr>
                <w:sz w:val="20"/>
                <w:szCs w:val="20"/>
                <w:color w:val="auto"/>
              </w:rPr>
            </w:pPr>
            <w:r>
              <w:rPr>
                <w:rFonts w:ascii="Times New Roman" w:cs="Times New Roman" w:eastAsia="Times New Roman" w:hAnsi="Times New Roman"/>
                <w:sz w:val="10"/>
                <w:szCs w:val="10"/>
                <w:b w:val="1"/>
                <w:bCs w:val="1"/>
                <w:color w:val="auto"/>
                <w:w w:val="99"/>
              </w:rPr>
              <w:t>(unaudited)</w:t>
            </w:r>
          </w:p>
        </w:tc>
        <w:tc>
          <w:tcPr>
            <w:tcW w:w="40" w:type="dxa"/>
            <w:vAlign w:val="bottom"/>
          </w:tcPr>
          <w:p>
            <w:pPr>
              <w:spacing w:after="0"/>
              <w:rPr>
                <w:sz w:val="8"/>
                <w:szCs w:val="8"/>
                <w:color w:val="auto"/>
              </w:rPr>
            </w:pPr>
          </w:p>
        </w:tc>
      </w:tr>
      <w:tr>
        <w:trPr>
          <w:trHeight w:val="155"/>
        </w:trPr>
        <w:tc>
          <w:tcPr>
            <w:tcW w:w="20" w:type="dxa"/>
            <w:vAlign w:val="bottom"/>
          </w:tcPr>
          <w:p>
            <w:pPr>
              <w:spacing w:after="0"/>
              <w:rPr>
                <w:sz w:val="13"/>
                <w:szCs w:val="13"/>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Principal</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150,000</w:t>
            </w:r>
          </w:p>
        </w:tc>
        <w:tc>
          <w:tcPr>
            <w:tcW w:w="4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3"/>
                <w:szCs w:val="13"/>
                <w:color w:val="auto"/>
              </w:rPr>
              <w:t>Unamortized discount</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(37,305)</w:t>
            </w:r>
          </w:p>
        </w:tc>
        <w:tc>
          <w:tcPr>
            <w:tcW w:w="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Accrued interest expense</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w:t>
            </w:r>
          </w:p>
        </w:tc>
        <w:tc>
          <w:tcPr>
            <w:tcW w:w="40" w:type="dxa"/>
            <w:vAlign w:val="bottom"/>
            <w:shd w:val="clear" w:color="auto" w:fill="CCEEFF"/>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5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carrying amount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113,198</w:t>
            </w:r>
          </w:p>
        </w:tc>
        <w:tc>
          <w:tcPr>
            <w:tcW w:w="40" w:type="dxa"/>
            <w:vAlign w:val="bottom"/>
          </w:tcPr>
          <w:p>
            <w:pPr>
              <w:spacing w:after="0"/>
              <w:rPr>
                <w:sz w:val="14"/>
                <w:szCs w:val="14"/>
                <w:color w:val="auto"/>
              </w:rPr>
            </w:pPr>
          </w:p>
        </w:tc>
      </w:tr>
      <w:tr>
        <w:trPr>
          <w:trHeight w:val="319"/>
        </w:trPr>
        <w:tc>
          <w:tcPr>
            <w:tcW w:w="20" w:type="dxa"/>
            <w:vAlign w:val="bottom"/>
          </w:tcPr>
          <w:p>
            <w:pPr>
              <w:spacing w:after="0"/>
              <w:rPr>
                <w:sz w:val="24"/>
                <w:szCs w:val="24"/>
                <w:color w:val="auto"/>
              </w:rPr>
            </w:pPr>
          </w:p>
        </w:tc>
        <w:tc>
          <w:tcPr>
            <w:tcW w:w="514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Interest expense related to the Convertible Notes was as follows (in thousands):</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5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center"/>
              <w:ind w:left="228"/>
              <w:spacing w:after="0"/>
              <w:rPr>
                <w:sz w:val="20"/>
                <w:szCs w:val="20"/>
                <w:color w:val="auto"/>
              </w:rPr>
            </w:pPr>
            <w:r>
              <w:rPr>
                <w:rFonts w:ascii="Times New Roman" w:cs="Times New Roman" w:eastAsia="Times New Roman" w:hAnsi="Times New Roman"/>
                <w:sz w:val="10"/>
                <w:szCs w:val="10"/>
                <w:b w:val="1"/>
                <w:bCs w:val="1"/>
                <w:color w:val="auto"/>
                <w:w w:val="97"/>
              </w:rPr>
              <w:t>Year Ended</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gridSpan w:val="5"/>
          </w:tcPr>
          <w:p>
            <w:pPr>
              <w:ind w:left="40"/>
              <w:spacing w:after="0"/>
              <w:rPr>
                <w:sz w:val="20"/>
                <w:szCs w:val="20"/>
                <w:color w:val="auto"/>
              </w:rPr>
            </w:pPr>
            <w:r>
              <w:rPr>
                <w:rFonts w:ascii="Times New Roman" w:cs="Times New Roman" w:eastAsia="Times New Roman" w:hAnsi="Times New Roman"/>
                <w:sz w:val="10"/>
                <w:szCs w:val="10"/>
                <w:b w:val="1"/>
                <w:bCs w:val="1"/>
                <w:color w:val="auto"/>
              </w:rPr>
              <w:t>Six Months Ended</w:t>
            </w:r>
          </w:p>
        </w:tc>
      </w:tr>
      <w:tr>
        <w:trPr>
          <w:trHeight w:val="123"/>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January 31, 2020</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5"/>
          </w:tcPr>
          <w:p>
            <w:pPr>
              <w:ind w:left="160"/>
              <w:spacing w:after="0"/>
              <w:rPr>
                <w:sz w:val="20"/>
                <w:szCs w:val="20"/>
                <w:color w:val="auto"/>
              </w:rPr>
            </w:pPr>
            <w:r>
              <w:rPr>
                <w:rFonts w:ascii="Times New Roman" w:cs="Times New Roman" w:eastAsia="Times New Roman" w:hAnsi="Times New Roman"/>
                <w:sz w:val="10"/>
                <w:szCs w:val="10"/>
                <w:b w:val="1"/>
                <w:bCs w:val="1"/>
                <w:color w:val="auto"/>
              </w:rPr>
              <w:t>July 31, 2020</w:t>
            </w:r>
          </w:p>
        </w:tc>
      </w:tr>
      <w:tr>
        <w:trPr>
          <w:trHeight w:val="96"/>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900" w:type="dxa"/>
            <w:vAlign w:val="bottom"/>
            <w:tcBorders>
              <w:top w:val="single" w:sz="8" w:color="auto"/>
            </w:tcBorders>
            <w:gridSpan w:val="2"/>
          </w:tcPr>
          <w:p>
            <w:pPr>
              <w:jc w:val="right"/>
              <w:ind w:right="320"/>
              <w:spacing w:after="0" w:line="97" w:lineRule="exact"/>
              <w:rPr>
                <w:sz w:val="20"/>
                <w:szCs w:val="20"/>
                <w:color w:val="auto"/>
              </w:rPr>
            </w:pPr>
            <w:r>
              <w:rPr>
                <w:rFonts w:ascii="Times New Roman" w:cs="Times New Roman" w:eastAsia="Times New Roman" w:hAnsi="Times New Roman"/>
                <w:sz w:val="10"/>
                <w:szCs w:val="10"/>
                <w:b w:val="1"/>
                <w:bCs w:val="1"/>
                <w:color w:val="auto"/>
                <w:w w:val="99"/>
              </w:rPr>
              <w:t>(unaudited)</w:t>
            </w:r>
          </w:p>
        </w:tc>
        <w:tc>
          <w:tcPr>
            <w:tcW w:w="40" w:type="dxa"/>
            <w:vAlign w:val="bottom"/>
          </w:tcPr>
          <w:p>
            <w:pPr>
              <w:spacing w:after="0"/>
              <w:rPr>
                <w:sz w:val="8"/>
                <w:szCs w:val="8"/>
                <w:color w:val="auto"/>
              </w:rPr>
            </w:pPr>
          </w:p>
        </w:tc>
      </w:tr>
      <w:tr>
        <w:trPr>
          <w:trHeight w:val="155"/>
        </w:trPr>
        <w:tc>
          <w:tcPr>
            <w:tcW w:w="20" w:type="dxa"/>
            <w:vAlign w:val="bottom"/>
          </w:tcPr>
          <w:p>
            <w:pPr>
              <w:spacing w:after="0"/>
              <w:rPr>
                <w:sz w:val="13"/>
                <w:szCs w:val="13"/>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of debt discount</w:t>
            </w:r>
          </w:p>
        </w:tc>
        <w:tc>
          <w:tcPr>
            <w:tcW w:w="70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1"/>
              </w:rPr>
              <w:t>49</w:t>
            </w:r>
          </w:p>
        </w:tc>
        <w:tc>
          <w:tcPr>
            <w:tcW w:w="300" w:type="dxa"/>
            <w:vAlign w:val="bottom"/>
            <w:gridSpan w:val="2"/>
            <w:shd w:val="clear" w:color="auto" w:fill="CCEEFF"/>
          </w:tcPr>
          <w:p>
            <w:pPr>
              <w:jc w:val="center"/>
              <w:ind w:left="7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9,609</w:t>
            </w:r>
          </w:p>
        </w:tc>
        <w:tc>
          <w:tcPr>
            <w:tcW w:w="4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3"/>
                <w:szCs w:val="13"/>
                <w:color w:val="auto"/>
              </w:rPr>
              <w:t>Contractual interest expense</w:t>
            </w:r>
          </w:p>
        </w:tc>
        <w:tc>
          <w:tcPr>
            <w:tcW w:w="14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w w:val="91"/>
              </w:rPr>
              <w:t>29</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5,739</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interest expense</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48"/>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1"/>
              </w:rPr>
              <w:t>78</w:t>
            </w:r>
          </w:p>
        </w:tc>
        <w:tc>
          <w:tcPr>
            <w:tcW w:w="300" w:type="dxa"/>
            <w:vAlign w:val="bottom"/>
            <w:gridSpan w:val="2"/>
            <w:shd w:val="clear" w:color="auto" w:fill="CCEEFF"/>
          </w:tcPr>
          <w:p>
            <w:pPr>
              <w:jc w:val="center"/>
              <w:ind w:left="7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15,348</w:t>
            </w:r>
          </w:p>
        </w:tc>
        <w:tc>
          <w:tcPr>
            <w:tcW w:w="40" w:type="dxa"/>
            <w:vAlign w:val="bottom"/>
            <w:shd w:val="clear" w:color="auto" w:fill="CCEEFF"/>
          </w:tcPr>
          <w:p>
            <w:pPr>
              <w:spacing w:after="0"/>
              <w:rPr>
                <w:sz w:val="13"/>
                <w:szCs w:val="13"/>
                <w:color w:val="auto"/>
              </w:rPr>
            </w:pPr>
          </w:p>
        </w:tc>
      </w:tr>
      <w:tr>
        <w:trPr>
          <w:trHeight w:val="29"/>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2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Note 6. Debt</w:t>
      </w:r>
    </w:p>
    <w:p>
      <w:pPr>
        <w:spacing w:after="0" w:line="85" w:lineRule="exact"/>
        <w:rPr>
          <w:sz w:val="20"/>
          <w:szCs w:val="20"/>
          <w:color w:val="auto"/>
        </w:rPr>
      </w:pPr>
    </w:p>
    <w:p>
      <w:pPr>
        <w:ind w:left="1680" w:right="559" w:firstLine="316"/>
        <w:spacing w:after="0" w:line="258" w:lineRule="auto"/>
        <w:rPr>
          <w:sz w:val="20"/>
          <w:szCs w:val="20"/>
          <w:color w:val="auto"/>
        </w:rPr>
      </w:pPr>
      <w:r>
        <w:rPr>
          <w:rFonts w:ascii="Times New Roman" w:cs="Times New Roman" w:eastAsia="Times New Roman" w:hAnsi="Times New Roman"/>
          <w:sz w:val="13"/>
          <w:szCs w:val="13"/>
          <w:color w:val="auto"/>
        </w:rPr>
        <w:t>In April 2020, the Company entered into a five-year $40.0 million term loan agreement with Silicon Valley Bank. The agreement provides for a senior secured term loan facility, in an aggregate principal amount of up to $40.0 million to be used for the construction of the Company’s new corporate headquarters. Interest will accrue on any outstanding balance at a floating rate per annum equal to the prime rate (per the Wall Street Journal) plus an applicable margin equal to either (a) 0% if the Company’s unrestricted cash at the lender is equal to or less</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F-24</w:t>
      </w:r>
    </w:p>
    <w:p>
      <w:pPr>
        <w:sectPr>
          <w:pgSz w:w="11900" w:h="16838" w:orient="portrait"/>
          <w:cols w:equalWidth="0" w:num="1">
            <w:col w:w="10159"/>
          </w:cols>
          <w:pgMar w:left="300" w:top="367" w:right="1440" w:bottom="1440" w:gutter="0" w:footer="0" w:header="0"/>
        </w:sectPr>
      </w:pPr>
    </w:p>
    <w:bookmarkStart w:id="188" w:name="page189"/>
    <w:bookmarkEnd w:id="18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879"/>
        <w:spacing w:after="0" w:line="277" w:lineRule="auto"/>
        <w:rPr>
          <w:sz w:val="20"/>
          <w:szCs w:val="20"/>
          <w:color w:val="auto"/>
        </w:rPr>
      </w:pPr>
      <w:r>
        <w:rPr>
          <w:rFonts w:ascii="Times New Roman" w:cs="Times New Roman" w:eastAsia="Times New Roman" w:hAnsi="Times New Roman"/>
          <w:sz w:val="13"/>
          <w:szCs w:val="13"/>
          <w:color w:val="auto"/>
        </w:rPr>
        <w:t>than $80.0. million, or (b) (0.5)% if the Company’s unrestricted cash at the lender is between $80.0 million and $100.0 million, or (c) (1.0)% if the Company’s unrestricted cash balance at the lender is equal to or greater than $100.0 million. Interest shall be payable monthly.</w:t>
      </w:r>
    </w:p>
    <w:p>
      <w:pPr>
        <w:spacing w:after="0" w:line="120" w:lineRule="exact"/>
        <w:rPr>
          <w:sz w:val="20"/>
          <w:szCs w:val="20"/>
          <w:color w:val="auto"/>
        </w:rPr>
      </w:pPr>
    </w:p>
    <w:p>
      <w:pPr>
        <w:ind w:left="1680" w:right="579" w:firstLine="316"/>
        <w:spacing w:after="0" w:line="254" w:lineRule="auto"/>
        <w:rPr>
          <w:sz w:val="20"/>
          <w:szCs w:val="20"/>
          <w:color w:val="auto"/>
        </w:rPr>
      </w:pPr>
      <w:r>
        <w:rPr>
          <w:rFonts w:ascii="Times New Roman" w:cs="Times New Roman" w:eastAsia="Times New Roman" w:hAnsi="Times New Roman"/>
          <w:sz w:val="13"/>
          <w:szCs w:val="13"/>
          <w:color w:val="auto"/>
        </w:rPr>
        <w:t>The Credit Agreement contains certain customary affirmative and negative covenants, including maintaining Remaining Month Liquidity (“RML”) of at least six at all times, with an unrestricted cash bank of $60 million. RML is defined as the ratio of (i) unrestricted cash at Silicon Valley Bank, plus (ii) the aggregate amount of unrestricted cash held by the Company in deposit accounts in which Silicon Valley Bank obtains control, divided by (iii) the average monthly burn on a trailing six-month basis (unaudited). Other negative covenants include a limit on the Company’s ability to incur additional indebtedness, dispose of assets, engage in certain merger or acquisition transactions, pay dividends or make distributions, and certain other restrictions on the Company’s activities each defined specifically in the agreement (unaudited).</w:t>
      </w:r>
    </w:p>
    <w:p>
      <w:pPr>
        <w:spacing w:after="0" w:line="136" w:lineRule="exact"/>
        <w:rPr>
          <w:sz w:val="20"/>
          <w:szCs w:val="20"/>
          <w:color w:val="auto"/>
        </w:rPr>
      </w:pPr>
    </w:p>
    <w:p>
      <w:pPr>
        <w:ind w:left="1680" w:right="599" w:firstLine="316"/>
        <w:spacing w:after="0" w:line="277" w:lineRule="auto"/>
        <w:rPr>
          <w:sz w:val="20"/>
          <w:szCs w:val="20"/>
          <w:color w:val="auto"/>
        </w:rPr>
      </w:pPr>
      <w:r>
        <w:rPr>
          <w:rFonts w:ascii="Times New Roman" w:cs="Times New Roman" w:eastAsia="Times New Roman" w:hAnsi="Times New Roman"/>
          <w:sz w:val="13"/>
          <w:szCs w:val="13"/>
          <w:color w:val="auto"/>
        </w:rPr>
        <w:t>As of July 31, 2020 (unaudited), $3.0 million was drawn and outstanding under this term loan. As of July 31, 2020 (unaudited), the Company was in compliance with all financial covenants related to the term loan.</w:t>
      </w:r>
    </w:p>
    <w:p>
      <w:pPr>
        <w:spacing w:after="0" w:line="1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net carrying amount of the term loan was as follows (in thousands):</w:t>
      </w:r>
    </w:p>
    <w:p>
      <w:pPr>
        <w:spacing w:after="0" w:line="168"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As of</w:t>
            </w:r>
          </w:p>
        </w:tc>
      </w:tr>
      <w:tr>
        <w:trPr>
          <w:trHeight w:val="123"/>
        </w:trPr>
        <w:tc>
          <w:tcPr>
            <w:tcW w:w="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72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July 31, 2020</w:t>
            </w:r>
          </w:p>
        </w:tc>
      </w:tr>
      <w:tr>
        <w:trPr>
          <w:trHeight w:val="96"/>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2880" w:type="dxa"/>
            <w:vAlign w:val="bottom"/>
          </w:tcPr>
          <w:p>
            <w:pPr>
              <w:spacing w:after="0"/>
              <w:rPr>
                <w:sz w:val="8"/>
                <w:szCs w:val="8"/>
                <w:color w:val="auto"/>
              </w:rPr>
            </w:pPr>
          </w:p>
        </w:tc>
        <w:tc>
          <w:tcPr>
            <w:tcW w:w="640" w:type="dxa"/>
            <w:vAlign w:val="bottom"/>
            <w:tcBorders>
              <w:top w:val="single" w:sz="8" w:color="auto"/>
            </w:tcBorders>
            <w:gridSpan w:val="2"/>
          </w:tcPr>
          <w:p>
            <w:pPr>
              <w:jc w:val="center"/>
              <w:spacing w:after="0" w:line="97"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80" w:type="dxa"/>
            <w:vAlign w:val="bottom"/>
          </w:tcPr>
          <w:p>
            <w:pPr>
              <w:spacing w:after="0"/>
              <w:rPr>
                <w:sz w:val="8"/>
                <w:szCs w:val="8"/>
                <w:color w:val="auto"/>
              </w:rPr>
            </w:pPr>
          </w:p>
        </w:tc>
      </w:tr>
      <w:tr>
        <w:trPr>
          <w:trHeight w:val="155"/>
        </w:trPr>
        <w:tc>
          <w:tcPr>
            <w:tcW w:w="20" w:type="dxa"/>
            <w:vAlign w:val="bottom"/>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Principal</w:t>
            </w:r>
          </w:p>
        </w:tc>
        <w:tc>
          <w:tcPr>
            <w:tcW w:w="302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3"/>
                <w:szCs w:val="13"/>
                <w:color w:val="auto"/>
              </w:rPr>
              <w:t>Unamortized issuance costs</w:t>
            </w:r>
          </w:p>
        </w:tc>
        <w:tc>
          <w:tcPr>
            <w:tcW w:w="2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(80)</w:t>
            </w:r>
          </w:p>
        </w:tc>
      </w:tr>
      <w:tr>
        <w:trPr>
          <w:trHeight w:val="164"/>
        </w:trPr>
        <w:tc>
          <w:tcPr>
            <w:tcW w:w="20" w:type="dxa"/>
            <w:vAlign w:val="bottom"/>
          </w:tcPr>
          <w:p>
            <w:pPr>
              <w:spacing w:after="0"/>
              <w:rPr>
                <w:sz w:val="14"/>
                <w:szCs w:val="14"/>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carrying amount</w:t>
            </w:r>
          </w:p>
        </w:tc>
        <w:tc>
          <w:tcPr>
            <w:tcW w:w="2880" w:type="dxa"/>
            <w:vAlign w:val="bottom"/>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2,920</w:t>
            </w:r>
          </w:p>
        </w:tc>
        <w:tc>
          <w:tcPr>
            <w:tcW w:w="80" w:type="dxa"/>
            <w:vAlign w:val="bottom"/>
            <w:shd w:val="clear" w:color="auto" w:fill="CCEEFF"/>
          </w:tcPr>
          <w:p>
            <w:pPr>
              <w:spacing w:after="0"/>
              <w:rPr>
                <w:sz w:val="14"/>
                <w:szCs w:val="14"/>
                <w:color w:val="auto"/>
              </w:rPr>
            </w:pPr>
          </w:p>
        </w:tc>
      </w:tr>
      <w:tr>
        <w:trPr>
          <w:trHeight w:val="165"/>
        </w:trPr>
        <w:tc>
          <w:tcPr>
            <w:tcW w:w="4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Term loan, current</w:t>
            </w:r>
          </w:p>
        </w:tc>
        <w:tc>
          <w:tcPr>
            <w:tcW w:w="2880" w:type="dxa"/>
            <w:vAlign w:val="bottom"/>
          </w:tcPr>
          <w:p>
            <w:pPr>
              <w:spacing w:after="0"/>
              <w:rPr>
                <w:sz w:val="14"/>
                <w:szCs w:val="14"/>
                <w:color w:val="auto"/>
              </w:rPr>
            </w:pP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Term loan, noncurrent</w:t>
            </w:r>
          </w:p>
        </w:tc>
        <w:tc>
          <w:tcPr>
            <w:tcW w:w="302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2,870</w:t>
            </w:r>
          </w:p>
        </w:tc>
        <w:tc>
          <w:tcPr>
            <w:tcW w:w="80" w:type="dxa"/>
            <w:vAlign w:val="bottom"/>
            <w:shd w:val="clear" w:color="auto" w:fill="CCEEFF"/>
          </w:tcPr>
          <w:p>
            <w:pPr>
              <w:spacing w:after="0"/>
              <w:rPr>
                <w:sz w:val="13"/>
                <w:szCs w:val="13"/>
                <w:color w:val="auto"/>
              </w:rPr>
            </w:pPr>
          </w:p>
        </w:tc>
      </w:tr>
    </w:tbl>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Note 7. Commitments and Contingencies</w:t>
      </w:r>
    </w:p>
    <w:p>
      <w:pPr>
        <w:spacing w:after="0" w:line="15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Standby Letters of Credit</w:t>
      </w:r>
    </w:p>
    <w:p>
      <w:pPr>
        <w:spacing w:after="0" w:line="87" w:lineRule="exact"/>
        <w:rPr>
          <w:sz w:val="20"/>
          <w:szCs w:val="20"/>
          <w:color w:val="auto"/>
        </w:rPr>
      </w:pPr>
    </w:p>
    <w:p>
      <w:pPr>
        <w:ind w:left="1680" w:right="639" w:firstLine="316"/>
        <w:spacing w:after="0" w:line="256" w:lineRule="auto"/>
        <w:rPr>
          <w:sz w:val="20"/>
          <w:szCs w:val="20"/>
          <w:color w:val="auto"/>
        </w:rPr>
      </w:pPr>
      <w:r>
        <w:rPr>
          <w:rFonts w:ascii="Times New Roman" w:cs="Times New Roman" w:eastAsia="Times New Roman" w:hAnsi="Times New Roman"/>
          <w:sz w:val="13"/>
          <w:szCs w:val="13"/>
          <w:color w:val="auto"/>
        </w:rPr>
        <w:t>As of January 31, 2019 and 2020 and July 31, 2020 (unaudited), the Company had several letters of credit outstanding related to its operating leases totaling $2.8 million, $4.7 million, and $21.7 million, respectively. The letters of credit expire at various dates between 2021 to 2023 as of January 31, 2020 and between 2021 and 2034 as of July 31, 2020 (unaudited). All standby letters of credit are included in restricted cash, noncurrent as of January 31, 2019 and 2020. Approximately $1.2 million of the standby letters of credit were included in restricted cash, noncurrent as of July 31, 2020 (unaudited).</w:t>
      </w:r>
    </w:p>
    <w:p>
      <w:pPr>
        <w:spacing w:after="0" w:line="2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Purchase Commitments</w:t>
      </w:r>
    </w:p>
    <w:p>
      <w:pPr>
        <w:spacing w:after="0" w:line="87" w:lineRule="exact"/>
        <w:rPr>
          <w:sz w:val="20"/>
          <w:szCs w:val="20"/>
          <w:color w:val="auto"/>
        </w:rPr>
      </w:pPr>
    </w:p>
    <w:p>
      <w:pPr>
        <w:ind w:left="1680" w:right="579" w:firstLine="316"/>
        <w:spacing w:after="0" w:line="258" w:lineRule="auto"/>
        <w:rPr>
          <w:sz w:val="20"/>
          <w:szCs w:val="20"/>
          <w:color w:val="auto"/>
        </w:rPr>
      </w:pPr>
      <w:r>
        <w:rPr>
          <w:rFonts w:ascii="Times New Roman" w:cs="Times New Roman" w:eastAsia="Times New Roman" w:hAnsi="Times New Roman"/>
          <w:sz w:val="13"/>
          <w:szCs w:val="13"/>
          <w:color w:val="auto"/>
        </w:rPr>
        <w:t>In December 2018, the Company entered into a 27-month contract with Amazon Web Services for hosting-related services. Pursuant to the terms of the contract, the Company is required to spend a minimum of $9.0 million within the first year and an additional minimum of $11.0 million within the second year. As of January 31, 2020 and July 31, 2020 (unaudited), the Company had $9.2 million and $1.0 million, respectively, remaining on the commitment.</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Indemnification Agreements</w:t>
      </w:r>
    </w:p>
    <w:p>
      <w:pPr>
        <w:spacing w:after="0" w:line="87" w:lineRule="exact"/>
        <w:rPr>
          <w:sz w:val="20"/>
          <w:szCs w:val="20"/>
          <w:color w:val="auto"/>
        </w:rPr>
      </w:pPr>
    </w:p>
    <w:p>
      <w:pPr>
        <w:ind w:left="1680" w:right="619" w:firstLine="316"/>
        <w:spacing w:after="0" w:line="263" w:lineRule="auto"/>
        <w:rPr>
          <w:sz w:val="20"/>
          <w:szCs w:val="20"/>
          <w:color w:val="auto"/>
        </w:rPr>
      </w:pPr>
      <w:r>
        <w:rPr>
          <w:rFonts w:ascii="Times New Roman" w:cs="Times New Roman" w:eastAsia="Times New Roman" w:hAnsi="Times New Roman"/>
          <w:sz w:val="13"/>
          <w:szCs w:val="13"/>
          <w:color w:val="auto"/>
        </w:rPr>
        <w:t>The Company has entered into indemnification agreements with its directors and officers that may require the Company to indemnify its directors and officers against any liabilities that may arise by reason of their status or service as directors or officers, other than liabilities arising from willful misconduct of the individual.</w:t>
      </w:r>
    </w:p>
    <w:p>
      <w:pPr>
        <w:spacing w:after="0" w:line="129" w:lineRule="exact"/>
        <w:rPr>
          <w:sz w:val="20"/>
          <w:szCs w:val="20"/>
          <w:color w:val="auto"/>
        </w:rPr>
      </w:pPr>
    </w:p>
    <w:p>
      <w:pPr>
        <w:ind w:left="1680" w:right="759" w:firstLine="316"/>
        <w:spacing w:after="0" w:line="277" w:lineRule="auto"/>
        <w:rPr>
          <w:sz w:val="20"/>
          <w:szCs w:val="20"/>
          <w:color w:val="auto"/>
        </w:rPr>
      </w:pPr>
      <w:r>
        <w:rPr>
          <w:rFonts w:ascii="Times New Roman" w:cs="Times New Roman" w:eastAsia="Times New Roman" w:hAnsi="Times New Roman"/>
          <w:sz w:val="13"/>
          <w:szCs w:val="13"/>
          <w:color w:val="auto"/>
        </w:rPr>
        <w:t>Additionally, in the ordinary course of business, the Company enters into agreements of varying scope and terms pursuant to which it agrees to indemnify customers, vendors, lessors, business partners, and other parties</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F-25</w:t>
      </w:r>
    </w:p>
    <w:p>
      <w:pPr>
        <w:sectPr>
          <w:pgSz w:w="11900" w:h="16838" w:orient="portrait"/>
          <w:cols w:equalWidth="0" w:num="1">
            <w:col w:w="10159"/>
          </w:cols>
          <w:pgMar w:left="300" w:top="367" w:right="1440" w:bottom="1440" w:gutter="0" w:footer="0" w:header="0"/>
        </w:sectPr>
      </w:pPr>
    </w:p>
    <w:bookmarkStart w:id="189" w:name="page190"/>
    <w:bookmarkEnd w:id="18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719"/>
        <w:spacing w:after="0" w:line="286" w:lineRule="auto"/>
        <w:rPr>
          <w:sz w:val="20"/>
          <w:szCs w:val="20"/>
          <w:color w:val="auto"/>
        </w:rPr>
      </w:pPr>
      <w:r>
        <w:rPr>
          <w:rFonts w:ascii="Times New Roman" w:cs="Times New Roman" w:eastAsia="Times New Roman" w:hAnsi="Times New Roman"/>
          <w:sz w:val="12"/>
          <w:szCs w:val="12"/>
          <w:color w:val="auto"/>
        </w:rPr>
        <w:t>with respect to certain matters, including, but not limited to, losses arising out of the breach of such agreements, services to be provided by the Company, or from intellectual property infringement claims made by third parties. For the years ended January 31, 2019 and 2020 and the six months ended July 31, 2020 (unaudited), no demands have been made upon the Company to provide indemnification under such agreements, and there are no claims that the Company is aware of that could have a material adverse effect on its financial position, results of operations, or cash flows.</w:t>
      </w:r>
    </w:p>
    <w:p>
      <w:pPr>
        <w:spacing w:after="0" w:line="19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Contingencies</w:t>
      </w:r>
    </w:p>
    <w:p>
      <w:pPr>
        <w:spacing w:after="0" w:line="87" w:lineRule="exact"/>
        <w:rPr>
          <w:sz w:val="20"/>
          <w:szCs w:val="20"/>
          <w:color w:val="auto"/>
        </w:rPr>
      </w:pPr>
    </w:p>
    <w:p>
      <w:pPr>
        <w:ind w:left="1680" w:right="639" w:firstLine="316"/>
        <w:spacing w:after="0" w:line="263" w:lineRule="auto"/>
        <w:rPr>
          <w:sz w:val="20"/>
          <w:szCs w:val="20"/>
          <w:color w:val="auto"/>
        </w:rPr>
      </w:pPr>
      <w:r>
        <w:rPr>
          <w:rFonts w:ascii="Times New Roman" w:cs="Times New Roman" w:eastAsia="Times New Roman" w:hAnsi="Times New Roman"/>
          <w:sz w:val="13"/>
          <w:szCs w:val="13"/>
          <w:color w:val="auto"/>
        </w:rPr>
        <w:t>From time to time in the normal course of business, the Company may be subject to various claims and other legal matters arising in the ordinary course of business. As of January 31, 2019 and 2020 and July 31, 2020 (unaudited), the Company believes that none of its current legal proceedings would have a material adverse effect on its financial position, results of operations, or cash flows.</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Note 8. Leases</w:t>
      </w:r>
    </w:p>
    <w:p>
      <w:pPr>
        <w:spacing w:after="0" w:line="85" w:lineRule="exact"/>
        <w:rPr>
          <w:sz w:val="20"/>
          <w:szCs w:val="20"/>
          <w:color w:val="auto"/>
        </w:rPr>
      </w:pPr>
    </w:p>
    <w:p>
      <w:pPr>
        <w:ind w:left="1680" w:right="679" w:firstLine="316"/>
        <w:spacing w:after="0" w:line="277" w:lineRule="auto"/>
        <w:rPr>
          <w:sz w:val="20"/>
          <w:szCs w:val="20"/>
          <w:color w:val="auto"/>
        </w:rPr>
      </w:pPr>
      <w:r>
        <w:rPr>
          <w:rFonts w:ascii="Times New Roman" w:cs="Times New Roman" w:eastAsia="Times New Roman" w:hAnsi="Times New Roman"/>
          <w:sz w:val="13"/>
          <w:szCs w:val="13"/>
          <w:color w:val="auto"/>
        </w:rPr>
        <w:t>The Company leases real estate facilities under non-cancelable operating leases with various expiration dates through fiscal 2024. The Company has no lease agreements that are classified as finance leases.</w:t>
      </w:r>
    </w:p>
    <w:p>
      <w:pPr>
        <w:spacing w:after="0" w:line="1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components of lease costs, lease term, and discount rate for operating leases are as follows:</w:t>
      </w:r>
    </w:p>
    <w:p>
      <w:pPr>
        <w:spacing w:after="0" w:line="168"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Year Ended</w:t>
            </w:r>
          </w:p>
        </w:tc>
      </w:tr>
      <w:tr>
        <w:trPr>
          <w:trHeight w:val="123"/>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3120" w:type="dxa"/>
            <w:vAlign w:val="bottom"/>
            <w:gridSpan w:val="4"/>
          </w:tcPr>
          <w:p>
            <w:pPr>
              <w:ind w:left="2220"/>
              <w:spacing w:after="0"/>
              <w:rPr>
                <w:sz w:val="20"/>
                <w:szCs w:val="20"/>
                <w:color w:val="auto"/>
              </w:rPr>
            </w:pPr>
            <w:r>
              <w:rPr>
                <w:rFonts w:ascii="Times New Roman" w:cs="Times New Roman" w:eastAsia="Times New Roman" w:hAnsi="Times New Roman"/>
                <w:sz w:val="10"/>
                <w:szCs w:val="10"/>
                <w:b w:val="1"/>
                <w:bCs w:val="1"/>
                <w:color w:val="auto"/>
              </w:rPr>
              <w:t>January 31, 2020</w:t>
            </w:r>
          </w:p>
        </w:tc>
      </w:tr>
      <w:tr>
        <w:trPr>
          <w:trHeight w:val="145"/>
        </w:trPr>
        <w:tc>
          <w:tcPr>
            <w:tcW w:w="20" w:type="dxa"/>
            <w:vAlign w:val="bottom"/>
          </w:tcPr>
          <w:p>
            <w:pPr>
              <w:spacing w:after="0"/>
              <w:rPr>
                <w:sz w:val="12"/>
                <w:szCs w:val="12"/>
                <w:color w:val="auto"/>
              </w:rPr>
            </w:pPr>
          </w:p>
        </w:tc>
        <w:tc>
          <w:tcPr>
            <w:tcW w:w="478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Operating lease costs (in thousands)</w:t>
            </w:r>
          </w:p>
        </w:tc>
        <w:tc>
          <w:tcPr>
            <w:tcW w:w="2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8,306</w:t>
            </w:r>
          </w:p>
        </w:tc>
        <w:tc>
          <w:tcPr>
            <w:tcW w:w="140" w:type="dxa"/>
            <w:vAlign w:val="bottom"/>
            <w:tcBorders>
              <w:top w:val="single" w:sz="8" w:color="CCEEFF"/>
            </w:tcBorders>
            <w:shd w:val="clear" w:color="auto" w:fill="CCEEFF"/>
          </w:tcPr>
          <w:p>
            <w:pPr>
              <w:spacing w:after="0"/>
              <w:rPr>
                <w:sz w:val="12"/>
                <w:szCs w:val="12"/>
                <w:color w:val="auto"/>
              </w:rPr>
            </w:pPr>
          </w:p>
        </w:tc>
      </w:tr>
      <w:tr>
        <w:trPr>
          <w:trHeight w:val="155"/>
        </w:trPr>
        <w:tc>
          <w:tcPr>
            <w:tcW w:w="20" w:type="dxa"/>
            <w:vAlign w:val="bottom"/>
          </w:tcPr>
          <w:p>
            <w:pPr>
              <w:spacing w:after="0"/>
              <w:rPr>
                <w:sz w:val="13"/>
                <w:szCs w:val="13"/>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3"/>
                <w:szCs w:val="13"/>
                <w:color w:val="auto"/>
              </w:rPr>
              <w:t>Short-term lease costs (in thousands)</w:t>
            </w:r>
          </w:p>
        </w:tc>
        <w:tc>
          <w:tcPr>
            <w:tcW w:w="2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1,979</w:t>
            </w:r>
          </w:p>
        </w:tc>
        <w:tc>
          <w:tcPr>
            <w:tcW w:w="1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Variable lease costs (in thousands)</w:t>
            </w:r>
          </w:p>
        </w:tc>
        <w:tc>
          <w:tcPr>
            <w:tcW w:w="2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40" w:type="dxa"/>
            <w:vAlign w:val="bottom"/>
            <w:shd w:val="clear" w:color="auto" w:fill="CCEEFF"/>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47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lease costs</w:t>
            </w:r>
          </w:p>
        </w:tc>
        <w:tc>
          <w:tcPr>
            <w:tcW w:w="2220" w:type="dxa"/>
            <w:vAlign w:val="bottom"/>
          </w:tcPr>
          <w:p>
            <w:pPr>
              <w:spacing w:after="0"/>
              <w:rPr>
                <w:sz w:val="14"/>
                <w:szCs w:val="14"/>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10,407</w:t>
            </w:r>
          </w:p>
        </w:tc>
        <w:tc>
          <w:tcPr>
            <w:tcW w:w="14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Weighted-average remaining lease term (in years)</w:t>
            </w:r>
          </w:p>
        </w:tc>
        <w:tc>
          <w:tcPr>
            <w:tcW w:w="2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140" w:type="dxa"/>
            <w:vAlign w:val="bottom"/>
            <w:shd w:val="clear" w:color="auto" w:fill="CCEEFF"/>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3"/>
                <w:szCs w:val="13"/>
                <w:color w:val="auto"/>
              </w:rPr>
              <w:t>Weighted-average discount rate</w:t>
            </w: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3.4%</w:t>
            </w:r>
          </w:p>
        </w:tc>
      </w:tr>
    </w:tbl>
    <w:p>
      <w:pPr>
        <w:spacing w:after="0" w:line="13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Supplemental cash flow information related to operating leases are as follows (in thousands):</w:t>
      </w:r>
    </w:p>
    <w:p>
      <w:pPr>
        <w:spacing w:after="0" w:line="176"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0"/>
          <w:szCs w:val="10"/>
          <w:b w:val="1"/>
          <w:bCs w:val="1"/>
          <w:color w:val="auto"/>
        </w:rPr>
        <w:t>Year Ended</w:t>
      </w:r>
    </w:p>
    <w:p>
      <w:pPr>
        <w:jc w:val="center"/>
        <w:ind w:left="6900"/>
        <w:spacing w:after="0"/>
        <w:rPr>
          <w:sz w:val="20"/>
          <w:szCs w:val="20"/>
          <w:color w:val="auto"/>
        </w:rPr>
      </w:pPr>
      <w:r>
        <w:rPr>
          <w:rFonts w:ascii="Times New Roman" w:cs="Times New Roman" w:eastAsia="Times New Roman" w:hAnsi="Times New Roman"/>
          <w:sz w:val="10"/>
          <w:szCs w:val="10"/>
          <w:b w:val="1"/>
          <w:bCs w:val="1"/>
          <w:color w:val="auto"/>
        </w:rPr>
        <w:t>January 31, 2020</w:t>
      </w:r>
    </w:p>
    <w:tbl>
      <w:tblPr>
        <w:tblLayout w:type="fixed"/>
        <w:tblInd w:w="168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554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Cash paid for amounts included in the measurement of operating lease liabilities</w:t>
            </w:r>
          </w:p>
        </w:tc>
        <w:tc>
          <w:tcPr>
            <w:tcW w:w="14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8,203</w:t>
            </w:r>
          </w:p>
        </w:tc>
        <w:tc>
          <w:tcPr>
            <w:tcW w:w="40" w:type="dxa"/>
            <w:vAlign w:val="bottom"/>
            <w:tcBorders>
              <w:top w:val="single" w:sz="8" w:color="CCEEFF"/>
            </w:tcBorders>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3"/>
                <w:szCs w:val="13"/>
                <w:color w:val="auto"/>
              </w:rPr>
              <w:t>Right-of-use assets obtained in exchange for new operating lease liabilities</w:t>
            </w:r>
          </w:p>
        </w:tc>
        <w:tc>
          <w:tcPr>
            <w:tcW w:w="1720" w:type="dxa"/>
            <w:vAlign w:val="bottom"/>
            <w:gridSpan w:val="2"/>
          </w:tcPr>
          <w:p>
            <w:pPr>
              <w:jc w:val="right"/>
              <w:ind w:right="206"/>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11,739</w:t>
            </w:r>
          </w:p>
        </w:tc>
        <w:tc>
          <w:tcPr>
            <w:tcW w:w="40" w:type="dxa"/>
            <w:vAlign w:val="bottom"/>
          </w:tcPr>
          <w:p>
            <w:pPr>
              <w:spacing w:after="0"/>
              <w:rPr>
                <w:sz w:val="14"/>
                <w:szCs w:val="14"/>
                <w:color w:val="auto"/>
              </w:rPr>
            </w:pPr>
          </w:p>
        </w:tc>
      </w:tr>
    </w:tbl>
    <w:p>
      <w:pPr>
        <w:spacing w:after="0" w:line="130" w:lineRule="exact"/>
        <w:rPr>
          <w:sz w:val="20"/>
          <w:szCs w:val="20"/>
          <w:color w:val="auto"/>
        </w:rPr>
      </w:pPr>
    </w:p>
    <w:p>
      <w:pPr>
        <w:jc w:val="both"/>
        <w:ind w:left="1680" w:right="619" w:firstLine="316"/>
        <w:spacing w:after="0" w:line="277" w:lineRule="auto"/>
        <w:rPr>
          <w:sz w:val="20"/>
          <w:szCs w:val="20"/>
          <w:color w:val="auto"/>
        </w:rPr>
      </w:pPr>
      <w:r>
        <w:rPr>
          <w:rFonts w:ascii="Times New Roman" w:cs="Times New Roman" w:eastAsia="Times New Roman" w:hAnsi="Times New Roman"/>
          <w:sz w:val="13"/>
          <w:szCs w:val="13"/>
          <w:color w:val="auto"/>
        </w:rPr>
        <w:t>As of January 31, 2020, the total remaining operating lease payments included in the measurement of operating lease liabilities was as follows (in thousands):</w:t>
      </w:r>
    </w:p>
    <w:p>
      <w:pPr>
        <w:spacing w:after="0" w:line="136" w:lineRule="exact"/>
        <w:rPr>
          <w:sz w:val="20"/>
          <w:szCs w:val="20"/>
          <w:color w:val="auto"/>
        </w:rPr>
      </w:pPr>
    </w:p>
    <w:tbl>
      <w:tblPr>
        <w:tblLayout w:type="fixed"/>
        <w:tblInd w:w="1680" w:type="dxa"/>
        <w:tblCellMar>
          <w:top w:w="0" w:type="dxa"/>
          <w:left w:w="0" w:type="dxa"/>
          <w:bottom w:w="0" w:type="dxa"/>
          <w:right w:w="0" w:type="dxa"/>
        </w:tblCellMar>
      </w:tblPr>
      <w:tr>
        <w:trPr>
          <w:trHeight w:val="143"/>
        </w:trPr>
        <w:tc>
          <w:tcPr>
            <w:tcW w:w="64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Year Ending January 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Operating Lease Payments</w:t>
            </w:r>
          </w:p>
        </w:tc>
      </w:tr>
      <w:tr>
        <w:trPr>
          <w:trHeight w:val="134"/>
        </w:trPr>
        <w:tc>
          <w:tcPr>
            <w:tcW w:w="20" w:type="dxa"/>
            <w:vAlign w:val="bottom"/>
          </w:tcPr>
          <w:p>
            <w:pPr>
              <w:spacing w:after="0"/>
              <w:rPr>
                <w:sz w:val="11"/>
                <w:szCs w:val="11"/>
                <w:color w:val="auto"/>
              </w:rPr>
            </w:pPr>
          </w:p>
        </w:tc>
        <w:tc>
          <w:tcPr>
            <w:tcW w:w="1100" w:type="dxa"/>
            <w:vAlign w:val="bottom"/>
            <w:tcBorders>
              <w:top w:val="single" w:sz="8" w:color="auto"/>
            </w:tcBorders>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2021</w:t>
            </w:r>
          </w:p>
        </w:tc>
        <w:tc>
          <w:tcPr>
            <w:tcW w:w="52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12,156</w:t>
            </w:r>
          </w:p>
        </w:tc>
        <w:tc>
          <w:tcPr>
            <w:tcW w:w="100" w:type="dxa"/>
            <w:vAlign w:val="bottom"/>
            <w:tcBorders>
              <w:top w:val="single" w:sz="8" w:color="CCEEFF"/>
            </w:tcBorders>
            <w:shd w:val="clear" w:color="auto" w:fill="CCEEFF"/>
          </w:tcPr>
          <w:p>
            <w:pPr>
              <w:spacing w:after="0"/>
              <w:rPr>
                <w:sz w:val="11"/>
                <w:szCs w:val="11"/>
                <w:color w:val="auto"/>
              </w:rPr>
            </w:pPr>
          </w:p>
        </w:tc>
      </w:tr>
      <w:tr>
        <w:trPr>
          <w:trHeight w:val="155"/>
        </w:trPr>
        <w:tc>
          <w:tcPr>
            <w:tcW w:w="20" w:type="dxa"/>
            <w:vAlign w:val="bottom"/>
          </w:tcPr>
          <w:p>
            <w:pPr>
              <w:spacing w:after="0"/>
              <w:rPr>
                <w:sz w:val="13"/>
                <w:szCs w:val="13"/>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3"/>
                <w:szCs w:val="13"/>
                <w:color w:val="auto"/>
              </w:rPr>
              <w:t>2022</w:t>
            </w:r>
          </w:p>
        </w:tc>
        <w:tc>
          <w:tcPr>
            <w:tcW w:w="5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7,924</w:t>
            </w:r>
          </w:p>
        </w:tc>
        <w:tc>
          <w:tcPr>
            <w:tcW w:w="10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2023</w:t>
            </w:r>
          </w:p>
        </w:tc>
        <w:tc>
          <w:tcPr>
            <w:tcW w:w="5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2,294</w:t>
            </w:r>
          </w:p>
        </w:tc>
        <w:tc>
          <w:tcPr>
            <w:tcW w:w="10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3"/>
                <w:szCs w:val="13"/>
                <w:color w:val="auto"/>
              </w:rPr>
              <w:t>2024</w:t>
            </w:r>
          </w:p>
        </w:tc>
        <w:tc>
          <w:tcPr>
            <w:tcW w:w="5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w:t>
            </w:r>
          </w:p>
        </w:tc>
        <w:tc>
          <w:tcPr>
            <w:tcW w:w="10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2025 and thereafter</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4"/>
        </w:trPr>
        <w:tc>
          <w:tcPr>
            <w:tcW w:w="20" w:type="dxa"/>
            <w:vAlign w:val="bottom"/>
          </w:tcPr>
          <w:p>
            <w:pPr>
              <w:spacing w:after="0"/>
              <w:rPr>
                <w:sz w:val="13"/>
                <w:szCs w:val="13"/>
                <w:color w:val="auto"/>
              </w:rPr>
            </w:pPr>
          </w:p>
        </w:tc>
        <w:tc>
          <w:tcPr>
            <w:tcW w:w="63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Total undiscounted operating lease payments</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22,852</w:t>
            </w:r>
          </w:p>
        </w:tc>
        <w:tc>
          <w:tcPr>
            <w:tcW w:w="10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Less: imputed interest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(767)</w:t>
            </w:r>
          </w:p>
        </w:tc>
      </w:tr>
      <w:tr>
        <w:trPr>
          <w:trHeight w:val="164"/>
        </w:trPr>
        <w:tc>
          <w:tcPr>
            <w:tcW w:w="20" w:type="dxa"/>
            <w:vAlign w:val="bottom"/>
          </w:tcPr>
          <w:p>
            <w:pPr>
              <w:spacing w:after="0"/>
              <w:rPr>
                <w:sz w:val="14"/>
                <w:szCs w:val="14"/>
                <w:color w:val="auto"/>
              </w:rPr>
            </w:pPr>
          </w:p>
        </w:tc>
        <w:tc>
          <w:tcPr>
            <w:tcW w:w="63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Total operating lease liabilities</w:t>
            </w:r>
          </w:p>
        </w:tc>
        <w:tc>
          <w:tcPr>
            <w:tcW w:w="2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22,085</w:t>
            </w:r>
          </w:p>
        </w:tc>
        <w:tc>
          <w:tcPr>
            <w:tcW w:w="100" w:type="dxa"/>
            <w:vAlign w:val="bottom"/>
          </w:tcPr>
          <w:p>
            <w:pPr>
              <w:spacing w:after="0"/>
              <w:rPr>
                <w:sz w:val="14"/>
                <w:szCs w:val="14"/>
                <w:color w:val="auto"/>
              </w:rPr>
            </w:pPr>
          </w:p>
        </w:tc>
      </w:tr>
    </w:tbl>
    <w:p>
      <w:pPr>
        <w:spacing w:after="0" w:line="152" w:lineRule="exact"/>
        <w:rPr>
          <w:sz w:val="20"/>
          <w:szCs w:val="20"/>
          <w:color w:val="auto"/>
        </w:rPr>
      </w:pPr>
    </w:p>
    <w:p>
      <w:pPr>
        <w:ind w:left="1680" w:right="799" w:firstLine="316"/>
        <w:spacing w:after="0" w:line="277" w:lineRule="auto"/>
        <w:rPr>
          <w:sz w:val="20"/>
          <w:szCs w:val="20"/>
          <w:color w:val="auto"/>
        </w:rPr>
      </w:pPr>
      <w:r>
        <w:rPr>
          <w:rFonts w:ascii="Times New Roman" w:cs="Times New Roman" w:eastAsia="Times New Roman" w:hAnsi="Times New Roman"/>
          <w:sz w:val="13"/>
          <w:szCs w:val="13"/>
          <w:color w:val="auto"/>
        </w:rPr>
        <w:t>The Company has an additional operating lease arrangement for office space in San Francisco, for which the lease commencement had not yet occurred as of January 31, 2020. As part of the agreement, the Company was</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F-26</w:t>
      </w:r>
    </w:p>
    <w:p>
      <w:pPr>
        <w:sectPr>
          <w:pgSz w:w="11900" w:h="16838" w:orient="portrait"/>
          <w:cols w:equalWidth="0" w:num="1">
            <w:col w:w="10159"/>
          </w:cols>
          <w:pgMar w:left="300" w:top="367" w:right="1440" w:bottom="1440" w:gutter="0" w:footer="0" w:header="0"/>
        </w:sectPr>
      </w:pPr>
    </w:p>
    <w:bookmarkStart w:id="190" w:name="page191"/>
    <w:bookmarkEnd w:id="19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99"/>
        <w:spacing w:after="0" w:line="254" w:lineRule="auto"/>
        <w:rPr>
          <w:sz w:val="20"/>
          <w:szCs w:val="20"/>
          <w:color w:val="auto"/>
        </w:rPr>
      </w:pPr>
      <w:r>
        <w:rPr>
          <w:rFonts w:ascii="Times New Roman" w:cs="Times New Roman" w:eastAsia="Times New Roman" w:hAnsi="Times New Roman"/>
          <w:sz w:val="13"/>
          <w:szCs w:val="13"/>
          <w:color w:val="auto"/>
        </w:rPr>
        <w:t>required to issue a $17.0 million letter of credit upon access to the office space, which occurred in the three months ended July 31, 2020 (unaudited). This lease commenced in the three months ended July 31, 2020, with a lease expiration date of October 2033 (unaudited). The Company expects to start making recurring rental payments under the lease in the fourth quarter of fiscal 2021. The Company participated in the construction of the office space and has incurred construction costs to prepare the office space for its use, which will be partially reimbursed by the landlord (unaudited). The future minimum payments and capital commitments related to this lease, which include tenant improvement allowances of $26.6 million, totaled $466.0 million as of January 31, 2020.</w:t>
      </w:r>
    </w:p>
    <w:p>
      <w:pPr>
        <w:spacing w:after="0" w:line="136" w:lineRule="exact"/>
        <w:rPr>
          <w:sz w:val="20"/>
          <w:szCs w:val="20"/>
          <w:color w:val="auto"/>
        </w:rPr>
      </w:pPr>
    </w:p>
    <w:p>
      <w:pPr>
        <w:ind w:left="1680" w:right="559" w:firstLine="316"/>
        <w:spacing w:after="0" w:line="279" w:lineRule="auto"/>
        <w:rPr>
          <w:sz w:val="20"/>
          <w:szCs w:val="20"/>
          <w:color w:val="auto"/>
        </w:rPr>
      </w:pPr>
      <w:r>
        <w:rPr>
          <w:rFonts w:ascii="Times New Roman" w:cs="Times New Roman" w:eastAsia="Times New Roman" w:hAnsi="Times New Roman"/>
          <w:sz w:val="12"/>
          <w:szCs w:val="12"/>
          <w:color w:val="auto"/>
        </w:rPr>
        <w:t>Subsequent to January 31, 2020, the Company incurred a delay associated with the construction of the office space and as a result, expects to incur a total of approximately $457.4 million of future minimum payments and capital commitments as of July 31, 2020 (unaudited), with recurring rental payments under the lease to commence in the second quarter of fiscal 2022. Additionally, in April 2020, the Company amended the lease arrangement to include additional space, for which future minimum payments total $3.9 million (unaudited). During the three months ended July 31, 2020 (unaudited), the first two phases of this lease commenced, and as a result, the Company recognized total ROU assets of $125.7 million, with corresponding operating lease liabilities of $124.0 million, on the consolidated balance sheet as of the respective commencement dates of these two phases.</w:t>
      </w:r>
    </w:p>
    <w:p>
      <w:pPr>
        <w:spacing w:after="0" w:line="123" w:lineRule="exact"/>
        <w:rPr>
          <w:sz w:val="20"/>
          <w:szCs w:val="20"/>
          <w:color w:val="auto"/>
        </w:rPr>
      </w:pPr>
    </w:p>
    <w:p>
      <w:pPr>
        <w:ind w:left="1680" w:right="799" w:firstLine="316"/>
        <w:spacing w:after="0" w:line="320" w:lineRule="auto"/>
        <w:rPr>
          <w:sz w:val="20"/>
          <w:szCs w:val="20"/>
          <w:color w:val="auto"/>
        </w:rPr>
      </w:pPr>
      <w:r>
        <w:rPr>
          <w:rFonts w:ascii="Times New Roman" w:cs="Times New Roman" w:eastAsia="Times New Roman" w:hAnsi="Times New Roman"/>
          <w:sz w:val="12"/>
          <w:szCs w:val="12"/>
          <w:color w:val="auto"/>
        </w:rPr>
        <w:t>In March 2020, the Company entered into an agreement with a construction company related to the build-out of the Company’s new corporate headquarters. The contract value is $57.7 million, and as of July 31, 2020 (unaudited), $45.7 million remains outstanding under this agreement.</w:t>
      </w:r>
    </w:p>
    <w:p>
      <w:pPr>
        <w:spacing w:after="0" w:line="17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Disclosures for Fiscal 2019 (Prior to Adoption of ASC 842)</w:t>
      </w:r>
    </w:p>
    <w:p>
      <w:pPr>
        <w:spacing w:after="0" w:line="8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Rent expense was $5.8 million for the year ended January 31, 2019.</w:t>
      </w:r>
    </w:p>
    <w:p>
      <w:pPr>
        <w:spacing w:after="0" w:line="161" w:lineRule="exact"/>
        <w:rPr>
          <w:sz w:val="20"/>
          <w:szCs w:val="20"/>
          <w:color w:val="auto"/>
        </w:rPr>
      </w:pPr>
    </w:p>
    <w:p>
      <w:pPr>
        <w:ind w:left="1680" w:right="859" w:firstLine="316"/>
        <w:spacing w:after="0" w:line="277" w:lineRule="auto"/>
        <w:rPr>
          <w:sz w:val="20"/>
          <w:szCs w:val="20"/>
          <w:color w:val="auto"/>
        </w:rPr>
      </w:pPr>
      <w:r>
        <w:rPr>
          <w:rFonts w:ascii="Times New Roman" w:cs="Times New Roman" w:eastAsia="Times New Roman" w:hAnsi="Times New Roman"/>
          <w:sz w:val="13"/>
          <w:szCs w:val="13"/>
          <w:color w:val="auto"/>
        </w:rPr>
        <w:t>The following is a schedule of the future minimum lease payments required under non-cancelable operating leases as of January 31, 2019 (in thousands):</w:t>
      </w:r>
    </w:p>
    <w:p>
      <w:pPr>
        <w:spacing w:after="0" w:line="127"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Year Ending January 31,</w:t>
            </w:r>
          </w:p>
        </w:tc>
        <w:tc>
          <w:tcPr>
            <w:tcW w:w="5920" w:type="dxa"/>
            <w:vAlign w:val="bottom"/>
          </w:tcPr>
          <w:p>
            <w:pPr>
              <w:spacing w:after="0"/>
              <w:rPr>
                <w:sz w:val="10"/>
                <w:szCs w:val="10"/>
                <w:color w:val="auto"/>
              </w:rPr>
            </w:pPr>
          </w:p>
        </w:tc>
        <w:tc>
          <w:tcPr>
            <w:tcW w:w="880" w:type="dxa"/>
            <w:vAlign w:val="bottom"/>
            <w:gridSpan w:val="3"/>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Minimum Lease</w:t>
            </w:r>
          </w:p>
        </w:tc>
        <w:tc>
          <w:tcPr>
            <w:tcW w:w="0" w:type="dxa"/>
            <w:vAlign w:val="bottom"/>
          </w:tcPr>
          <w:p>
            <w:pPr>
              <w:spacing w:after="0"/>
              <w:rPr>
                <w:sz w:val="1"/>
                <w:szCs w:val="1"/>
                <w:color w:val="auto"/>
              </w:rPr>
            </w:pPr>
          </w:p>
        </w:tc>
      </w:tr>
      <w:tr>
        <w:trPr>
          <w:trHeight w:val="134"/>
        </w:trPr>
        <w:tc>
          <w:tcPr>
            <w:tcW w:w="1120" w:type="dxa"/>
            <w:vAlign w:val="bottom"/>
            <w:gridSpan w:val="2"/>
            <w:vMerge w:val="continue"/>
          </w:tcPr>
          <w:p>
            <w:pPr>
              <w:spacing w:after="0"/>
              <w:rPr>
                <w:sz w:val="11"/>
                <w:szCs w:val="11"/>
                <w:color w:val="auto"/>
              </w:rPr>
            </w:pPr>
          </w:p>
        </w:tc>
        <w:tc>
          <w:tcPr>
            <w:tcW w:w="5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80"/>
              <w:spacing w:after="0" w:line="114" w:lineRule="exact"/>
              <w:rPr>
                <w:sz w:val="20"/>
                <w:szCs w:val="20"/>
                <w:color w:val="auto"/>
              </w:rPr>
            </w:pPr>
            <w:r>
              <w:rPr>
                <w:rFonts w:ascii="Times New Roman" w:cs="Times New Roman" w:eastAsia="Times New Roman" w:hAnsi="Times New Roman"/>
                <w:sz w:val="10"/>
                <w:szCs w:val="10"/>
                <w:b w:val="1"/>
                <w:bCs w:val="1"/>
                <w:color w:val="auto"/>
              </w:rPr>
              <w:t>Payments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00" w:type="dxa"/>
            <w:vAlign w:val="bottom"/>
            <w:tcBorders>
              <w:top w:val="single" w:sz="8" w:color="auto"/>
            </w:tcBorders>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2020</w:t>
            </w:r>
          </w:p>
        </w:tc>
        <w:tc>
          <w:tcPr>
            <w:tcW w:w="59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8,708</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3"/>
                <w:szCs w:val="13"/>
                <w:color w:val="auto"/>
              </w:rPr>
              <w:t>2021</w:t>
            </w:r>
          </w:p>
        </w:tc>
        <w:tc>
          <w:tcPr>
            <w:tcW w:w="5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10,699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2022</w:t>
            </w:r>
          </w:p>
        </w:tc>
        <w:tc>
          <w:tcPr>
            <w:tcW w:w="5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6,899</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3"/>
                <w:szCs w:val="13"/>
                <w:color w:val="auto"/>
              </w:rPr>
              <w:t>2023</w:t>
            </w:r>
          </w:p>
        </w:tc>
        <w:tc>
          <w:tcPr>
            <w:tcW w:w="5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2024</w:t>
            </w:r>
          </w:p>
        </w:tc>
        <w:tc>
          <w:tcPr>
            <w:tcW w:w="59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1,748</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1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w:t>
            </w:r>
          </w:p>
        </w:tc>
        <w:tc>
          <w:tcPr>
            <w:tcW w:w="5920" w:type="dxa"/>
            <w:vAlign w:val="bottom"/>
          </w:tcPr>
          <w:p>
            <w:pPr>
              <w:spacing w:after="0"/>
              <w:rPr>
                <w:sz w:val="14"/>
                <w:szCs w:val="14"/>
                <w:color w:val="auto"/>
              </w:rPr>
            </w:pPr>
          </w:p>
        </w:tc>
        <w:tc>
          <w:tcPr>
            <w:tcW w:w="1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29,802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40" w:type="dxa"/>
            <w:vAlign w:val="bottom"/>
            <w:gridSpan w:val="2"/>
          </w:tcPr>
          <w:p>
            <w:pPr>
              <w:jc w:val="right"/>
              <w:ind w:right="3027"/>
              <w:spacing w:after="0"/>
              <w:rPr>
                <w:sz w:val="20"/>
                <w:szCs w:val="20"/>
                <w:color w:val="auto"/>
              </w:rPr>
            </w:pPr>
            <w:r>
              <w:rPr>
                <w:rFonts w:ascii="Times New Roman" w:cs="Times New Roman" w:eastAsia="Times New Roman" w:hAnsi="Times New Roman"/>
                <w:sz w:val="13"/>
                <w:szCs w:val="13"/>
                <w:color w:val="auto"/>
              </w:rPr>
              <w:t>F-27</w:t>
            </w: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67" w:right="1440" w:bottom="1440" w:gutter="0" w:footer="0" w:header="0"/>
        </w:sectPr>
      </w:pPr>
    </w:p>
    <w:bookmarkStart w:id="191" w:name="page192"/>
    <w:bookmarkEnd w:id="19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Note 9. Net Loss per Share</w:t>
      </w:r>
    </w:p>
    <w:p>
      <w:pPr>
        <w:spacing w:after="0" w:line="8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following table presents the calculation of basic and diluted net loss per share (in thousands, except per share data):</w:t>
      </w:r>
    </w:p>
    <w:p>
      <w:pPr>
        <w:spacing w:after="0" w:line="168"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4"/>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6"/>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Six Months Ended</w:t>
            </w:r>
          </w:p>
        </w:tc>
      </w:tr>
      <w:tr>
        <w:trPr>
          <w:trHeight w:val="123"/>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January 31,</w:t>
            </w:r>
          </w:p>
        </w:tc>
        <w:tc>
          <w:tcPr>
            <w:tcW w:w="4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July 31,</w:t>
            </w: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6"/>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22"/>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9"/>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42"/>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9"/>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4"/>
          </w:tcPr>
          <w:p>
            <w:pPr>
              <w:jc w:val="center"/>
              <w:ind w:left="262"/>
              <w:spacing w:after="0" w:line="97"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55"/>
        </w:trPr>
        <w:tc>
          <w:tcPr>
            <w:tcW w:w="20" w:type="dxa"/>
            <w:vAlign w:val="bottom"/>
          </w:tcPr>
          <w:p>
            <w:pPr>
              <w:spacing w:after="0"/>
              <w:rPr>
                <w:sz w:val="13"/>
                <w:szCs w:val="13"/>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Numerator:</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(50,928)</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98"/>
              </w:rPr>
              <w:t>(118,589)</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8"/>
              <w:spacing w:after="0"/>
              <w:rPr>
                <w:sz w:val="20"/>
                <w:szCs w:val="20"/>
                <w:color w:val="auto"/>
              </w:rPr>
            </w:pPr>
            <w:r>
              <w:rPr>
                <w:rFonts w:ascii="Times New Roman" w:cs="Times New Roman" w:eastAsia="Times New Roman" w:hAnsi="Times New Roman"/>
                <w:sz w:val="13"/>
                <w:szCs w:val="13"/>
                <w:color w:val="auto"/>
              </w:rPr>
              <w:t>(30,541)</w:t>
            </w: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(76,911)</w:t>
            </w:r>
          </w:p>
        </w:tc>
      </w:tr>
      <w:tr>
        <w:trPr>
          <w:trHeight w:val="165"/>
        </w:trPr>
        <w:tc>
          <w:tcPr>
            <w:tcW w:w="20" w:type="dxa"/>
            <w:vAlign w:val="bottom"/>
          </w:tcPr>
          <w:p>
            <w:pPr>
              <w:spacing w:after="0"/>
              <w:rPr>
                <w:sz w:val="14"/>
                <w:szCs w:val="14"/>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Denominator:</w:t>
            </w:r>
          </w:p>
        </w:tc>
        <w:tc>
          <w:tcPr>
            <w:tcW w:w="3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Weighted-average shares used in calculating net loss per share, basic and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7"/>
        </w:trPr>
        <w:tc>
          <w:tcPr>
            <w:tcW w:w="20" w:type="dxa"/>
            <w:vAlign w:val="bottom"/>
          </w:tcPr>
          <w:p>
            <w:pPr>
              <w:spacing w:after="0"/>
              <w:rPr>
                <w:sz w:val="15"/>
                <w:szCs w:val="15"/>
                <w:color w:val="auto"/>
              </w:rPr>
            </w:pPr>
          </w:p>
        </w:tc>
        <w:tc>
          <w:tcPr>
            <w:tcW w:w="4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diluted</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65,214</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70,335</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68,197</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76,015</w:t>
            </w:r>
          </w:p>
        </w:tc>
        <w:tc>
          <w:tcPr>
            <w:tcW w:w="80" w:type="dxa"/>
            <w:vAlign w:val="bottom"/>
          </w:tcPr>
          <w:p>
            <w:pPr>
              <w:spacing w:after="0"/>
              <w:rPr>
                <w:sz w:val="15"/>
                <w:szCs w:val="15"/>
                <w:color w:val="auto"/>
              </w:rPr>
            </w:pPr>
          </w:p>
        </w:tc>
      </w:tr>
      <w:tr>
        <w:trPr>
          <w:trHeight w:val="165"/>
        </w:trPr>
        <w:tc>
          <w:tcPr>
            <w:tcW w:w="20" w:type="dxa"/>
            <w:vAlign w:val="bottom"/>
          </w:tcPr>
          <w:p>
            <w:pPr>
              <w:spacing w:after="0"/>
              <w:rPr>
                <w:sz w:val="14"/>
                <w:szCs w:val="14"/>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 per share, basic and diluted</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(0.78)</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(1.69)</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3"/>
                <w:szCs w:val="13"/>
                <w:color w:val="auto"/>
              </w:rPr>
              <w:t>(0.45)</w:t>
            </w: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(1.01)</w:t>
            </w:r>
          </w:p>
        </w:tc>
      </w:tr>
      <w:tr>
        <w:trPr>
          <w:trHeight w:val="29"/>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52" w:lineRule="exact"/>
        <w:rPr>
          <w:sz w:val="20"/>
          <w:szCs w:val="20"/>
          <w:color w:val="auto"/>
        </w:rPr>
      </w:pPr>
    </w:p>
    <w:p>
      <w:pPr>
        <w:ind w:left="1680" w:right="859" w:firstLine="316"/>
        <w:spacing w:after="0" w:line="277" w:lineRule="auto"/>
        <w:rPr>
          <w:sz w:val="20"/>
          <w:szCs w:val="20"/>
          <w:color w:val="auto"/>
        </w:rPr>
      </w:pPr>
      <w:r>
        <w:rPr>
          <w:rFonts w:ascii="Times New Roman" w:cs="Times New Roman" w:eastAsia="Times New Roman" w:hAnsi="Times New Roman"/>
          <w:sz w:val="13"/>
          <w:szCs w:val="13"/>
          <w:color w:val="auto"/>
        </w:rPr>
        <w:t>The potential shares of common stock that were excluded from the computation of diluted net loss per share for the period presented because including them would have been anti-dilutive are as follows (in thousands):</w:t>
      </w:r>
    </w:p>
    <w:p>
      <w:pPr>
        <w:spacing w:after="0" w:line="127"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100" w:type="dxa"/>
            <w:vAlign w:val="bottom"/>
            <w:gridSpan w:val="3"/>
          </w:tcPr>
          <w:p>
            <w:pPr>
              <w:ind w:left="54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5"/>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Six Months Ended</w:t>
            </w:r>
          </w:p>
        </w:tc>
      </w:tr>
      <w:tr>
        <w:trPr>
          <w:trHeight w:val="123"/>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1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0"/>
                <w:szCs w:val="10"/>
                <w:b w:val="1"/>
                <w:bCs w:val="1"/>
                <w:color w:val="auto"/>
              </w:rPr>
              <w:t>January 31,</w:t>
            </w: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Borders>
              <w:bottom w:val="single" w:sz="8" w:color="auto"/>
            </w:tcBorders>
            <w:gridSpan w:val="3"/>
          </w:tcPr>
          <w:p>
            <w:pPr>
              <w:jc w:val="center"/>
              <w:ind w:left="464"/>
              <w:spacing w:after="0"/>
              <w:rPr>
                <w:sz w:val="20"/>
                <w:szCs w:val="20"/>
                <w:color w:val="auto"/>
              </w:rPr>
            </w:pPr>
            <w:r>
              <w:rPr>
                <w:rFonts w:ascii="Times New Roman" w:cs="Times New Roman" w:eastAsia="Times New Roman" w:hAnsi="Times New Roman"/>
                <w:sz w:val="10"/>
                <w:szCs w:val="10"/>
                <w:b w:val="1"/>
                <w:bCs w:val="1"/>
                <w:color w:val="auto"/>
              </w:rPr>
              <w:t>July 31,</w:t>
            </w:r>
          </w:p>
        </w:tc>
        <w:tc>
          <w:tcPr>
            <w:tcW w:w="5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6"/>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740" w:type="dxa"/>
            <w:vAlign w:val="bottom"/>
            <w:tcBorders>
              <w:bottom w:val="single" w:sz="8" w:color="auto"/>
            </w:tcBorders>
          </w:tcPr>
          <w:p>
            <w:pPr>
              <w:jc w:val="right"/>
              <w:ind w:right="220"/>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217"/>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100" w:type="dxa"/>
            <w:vAlign w:val="bottom"/>
          </w:tcPr>
          <w:p>
            <w:pPr>
              <w:spacing w:after="0"/>
              <w:rPr>
                <w:sz w:val="8"/>
                <w:szCs w:val="8"/>
                <w:color w:val="auto"/>
              </w:rPr>
            </w:pPr>
          </w:p>
        </w:tc>
        <w:tc>
          <w:tcPr>
            <w:tcW w:w="760" w:type="dxa"/>
            <w:vAlign w:val="bottom"/>
            <w:tcBorders>
              <w:bottom w:val="single" w:sz="8" w:color="auto"/>
            </w:tcBorders>
          </w:tcPr>
          <w:p>
            <w:pPr>
              <w:jc w:val="right"/>
              <w:ind w:right="224"/>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217"/>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4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3"/>
          </w:tcPr>
          <w:p>
            <w:pPr>
              <w:jc w:val="center"/>
              <w:ind w:left="484"/>
              <w:spacing w:after="0" w:line="97"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55"/>
        </w:trPr>
        <w:tc>
          <w:tcPr>
            <w:tcW w:w="2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Redeemable convertible preferred stock</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73,547</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73,577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73,547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73,577</w:t>
            </w:r>
          </w:p>
        </w:tc>
        <w:tc>
          <w:tcPr>
            <w:tcW w:w="4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Stock options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33,878</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34,517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38,184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33,024</w:t>
            </w:r>
          </w:p>
        </w:tc>
        <w:tc>
          <w:tcPr>
            <w:tcW w:w="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Restricted stock units</w:t>
            </w:r>
          </w:p>
        </w:tc>
        <w:tc>
          <w:tcPr>
            <w:tcW w:w="11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3,451</w:t>
            </w:r>
          </w:p>
        </w:tc>
        <w:tc>
          <w:tcPr>
            <w:tcW w:w="4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Early exercised stock options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768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w:t>
            </w:r>
          </w:p>
        </w:tc>
        <w:tc>
          <w:tcPr>
            <w:tcW w:w="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Redeemable convertible preferred stock warrants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r>
      <w:tr>
        <w:trPr>
          <w:trHeight w:val="164"/>
        </w:trPr>
        <w:tc>
          <w:tcPr>
            <w:tcW w:w="20" w:type="dxa"/>
            <w:vAlign w:val="bottom"/>
          </w:tcPr>
          <w:p>
            <w:pPr>
              <w:spacing w:after="0"/>
              <w:rPr>
                <w:sz w:val="14"/>
                <w:szCs w:val="14"/>
                <w:color w:val="auto"/>
              </w:rPr>
            </w:pPr>
          </w:p>
        </w:tc>
        <w:tc>
          <w:tcPr>
            <w:tcW w:w="4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108,243</w:t>
            </w:r>
          </w:p>
        </w:tc>
        <w:tc>
          <w:tcPr>
            <w:tcW w:w="1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109,578</w:t>
            </w:r>
          </w:p>
        </w:tc>
        <w:tc>
          <w:tcPr>
            <w:tcW w:w="10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112,536</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110,887</w:t>
            </w:r>
          </w:p>
        </w:tc>
        <w:tc>
          <w:tcPr>
            <w:tcW w:w="40" w:type="dxa"/>
            <w:vAlign w:val="bottom"/>
          </w:tcPr>
          <w:p>
            <w:pPr>
              <w:spacing w:after="0"/>
              <w:rPr>
                <w:sz w:val="14"/>
                <w:szCs w:val="14"/>
                <w:color w:val="auto"/>
              </w:rPr>
            </w:pPr>
          </w:p>
        </w:tc>
      </w:tr>
    </w:tbl>
    <w:p>
      <w:pPr>
        <w:spacing w:after="0" w:line="152" w:lineRule="exact"/>
        <w:rPr>
          <w:sz w:val="20"/>
          <w:szCs w:val="20"/>
          <w:color w:val="auto"/>
        </w:rPr>
      </w:pPr>
    </w:p>
    <w:p>
      <w:pPr>
        <w:ind w:left="1680" w:right="699" w:firstLine="316"/>
        <w:spacing w:after="0" w:line="263" w:lineRule="auto"/>
        <w:rPr>
          <w:sz w:val="20"/>
          <w:szCs w:val="20"/>
          <w:color w:val="auto"/>
        </w:rPr>
      </w:pPr>
      <w:r>
        <w:rPr>
          <w:rFonts w:ascii="Times New Roman" w:cs="Times New Roman" w:eastAsia="Times New Roman" w:hAnsi="Times New Roman"/>
          <w:sz w:val="13"/>
          <w:szCs w:val="13"/>
          <w:color w:val="auto"/>
        </w:rPr>
        <w:t>Additionally, zero, 18,051,810, zero, and 27,220,504 shares of the Company’s Class B common stock underlying the conversion option in the Convertible Notes are not considered in the calculation of diluted net loss per share as the effect would be anti-dilutive for the years ended January 31, 2019 and 2020 and the six months ended July 31, 2019 and 2020 (unaudited).</w:t>
      </w:r>
    </w:p>
    <w:p>
      <w:pPr>
        <w:spacing w:after="0" w:line="20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Unaudited Pro Forma Net Loss per Share</w:t>
      </w:r>
    </w:p>
    <w:p>
      <w:pPr>
        <w:spacing w:after="0" w:line="87" w:lineRule="exact"/>
        <w:rPr>
          <w:sz w:val="20"/>
          <w:szCs w:val="20"/>
          <w:color w:val="auto"/>
        </w:rPr>
      </w:pPr>
    </w:p>
    <w:p>
      <w:pPr>
        <w:ind w:left="1680" w:right="559" w:firstLine="316"/>
        <w:spacing w:after="0" w:line="263" w:lineRule="auto"/>
        <w:rPr>
          <w:sz w:val="20"/>
          <w:szCs w:val="20"/>
          <w:color w:val="auto"/>
        </w:rPr>
      </w:pPr>
      <w:r>
        <w:rPr>
          <w:rFonts w:ascii="Times New Roman" w:cs="Times New Roman" w:eastAsia="Times New Roman" w:hAnsi="Times New Roman"/>
          <w:sz w:val="13"/>
          <w:szCs w:val="13"/>
          <w:color w:val="auto"/>
        </w:rPr>
        <w:t>Unaudited pro forma net loss per share for the year ended January 31, 2020 and the six months ended July 31, 2020 have been computed assuming the conversion of all redeemable convertible preferred stock and the exercise of redeemable convertible preferred stock warrants as of the beginning of the period or the original date of issuance or exercise, if later.</w:t>
      </w:r>
    </w:p>
    <w:p>
      <w:pPr>
        <w:spacing w:after="0" w:line="8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F-28</w:t>
      </w:r>
    </w:p>
    <w:p>
      <w:pPr>
        <w:sectPr>
          <w:pgSz w:w="11900" w:h="16838" w:orient="portrait"/>
          <w:cols w:equalWidth="0" w:num="1">
            <w:col w:w="10159"/>
          </w:cols>
          <w:pgMar w:left="300" w:top="367" w:right="1440" w:bottom="1440" w:gutter="0" w:footer="0" w:header="0"/>
        </w:sectPr>
      </w:pPr>
    </w:p>
    <w:bookmarkStart w:id="192" w:name="page193"/>
    <w:bookmarkEnd w:id="19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following table presents the calculation of pro forma basic and diluted net loss per share (in thousands, except per share data):</w:t>
      </w:r>
    </w:p>
    <w:p>
      <w:pPr>
        <w:spacing w:after="0" w:line="168"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1180" w:type="dxa"/>
            <w:vAlign w:val="bottom"/>
            <w:gridSpan w:val="4"/>
          </w:tcPr>
          <w:p>
            <w:pPr>
              <w:ind w:left="280"/>
              <w:spacing w:after="0"/>
              <w:rPr>
                <w:sz w:val="20"/>
                <w:szCs w:val="20"/>
                <w:color w:val="auto"/>
              </w:rPr>
            </w:pPr>
            <w:r>
              <w:rPr>
                <w:rFonts w:ascii="Times New Roman" w:cs="Times New Roman" w:eastAsia="Times New Roman" w:hAnsi="Times New Roman"/>
                <w:sz w:val="10"/>
                <w:szCs w:val="10"/>
                <w:b w:val="1"/>
                <w:bCs w:val="1"/>
                <w:color w:val="auto"/>
              </w:rPr>
              <w:t>Six Months Ended</w:t>
            </w:r>
          </w:p>
        </w:tc>
      </w:tr>
      <w:tr>
        <w:trPr>
          <w:trHeight w:val="123"/>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January 31, 2020</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July 31, 2020</w:t>
            </w:r>
          </w:p>
        </w:tc>
      </w:tr>
      <w:tr>
        <w:trPr>
          <w:trHeight w:val="135"/>
        </w:trPr>
        <w:tc>
          <w:tcPr>
            <w:tcW w:w="20" w:type="dxa"/>
            <w:vAlign w:val="bottom"/>
          </w:tcPr>
          <w:p>
            <w:pPr>
              <w:spacing w:after="0"/>
              <w:rPr>
                <w:sz w:val="11"/>
                <w:szCs w:val="11"/>
                <w:color w:val="auto"/>
              </w:rPr>
            </w:pPr>
          </w:p>
        </w:tc>
        <w:tc>
          <w:tcPr>
            <w:tcW w:w="5140" w:type="dxa"/>
            <w:vAlign w:val="bottom"/>
            <w:tcBorders>
              <w:top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Numerator:</w:t>
            </w:r>
          </w:p>
        </w:tc>
        <w:tc>
          <w:tcPr>
            <w:tcW w:w="4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55"/>
        </w:trPr>
        <w:tc>
          <w:tcPr>
            <w:tcW w:w="20" w:type="dxa"/>
            <w:vAlign w:val="bottom"/>
          </w:tcPr>
          <w:p>
            <w:pPr>
              <w:spacing w:after="0"/>
              <w:rPr>
                <w:sz w:val="13"/>
                <w:szCs w:val="13"/>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(118,589)</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(76,911)</w:t>
            </w:r>
          </w:p>
        </w:tc>
      </w:tr>
      <w:tr>
        <w:trPr>
          <w:trHeight w:val="155"/>
        </w:trPr>
        <w:tc>
          <w:tcPr>
            <w:tcW w:w="20" w:type="dxa"/>
            <w:vAlign w:val="bottom"/>
          </w:tcPr>
          <w:p>
            <w:pPr>
              <w:spacing w:after="0"/>
              <w:rPr>
                <w:sz w:val="13"/>
                <w:szCs w:val="13"/>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fair value of redeemable convertible preferred stock warrant liability</w:t>
            </w: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64"/>
        </w:trPr>
        <w:tc>
          <w:tcPr>
            <w:tcW w:w="5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Pro forma net loss</w:t>
            </w:r>
          </w:p>
        </w:tc>
        <w:tc>
          <w:tcPr>
            <w:tcW w:w="4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(118,472)</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(76,911)</w:t>
            </w:r>
          </w:p>
        </w:tc>
        <w:tc>
          <w:tcPr>
            <w:tcW w:w="8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Denominator:</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3"/>
                <w:szCs w:val="13"/>
                <w:color w:val="auto"/>
              </w:rPr>
              <w:t>Weighted-average shares used in calculating net loss per share, basic and diluted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70,335</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76,015</w:t>
            </w: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 forma adjustment to reflect conversion of redeemable convertible preferred stock</w:t>
            </w:r>
          </w:p>
        </w:tc>
        <w:tc>
          <w:tcPr>
            <w:tcW w:w="4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73,552</w:t>
            </w: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73,577</w:t>
            </w:r>
          </w:p>
        </w:tc>
        <w:tc>
          <w:tcPr>
            <w:tcW w:w="80" w:type="dxa"/>
            <w:vAlign w:val="bottom"/>
            <w:shd w:val="clear" w:color="auto" w:fill="CCEEFF"/>
          </w:tcPr>
          <w:p>
            <w:pPr>
              <w:spacing w:after="0"/>
              <w:rPr>
                <w:sz w:val="13"/>
                <w:szCs w:val="13"/>
                <w:color w:val="auto"/>
              </w:rPr>
            </w:pPr>
          </w:p>
        </w:tc>
      </w:tr>
      <w:tr>
        <w:trPr>
          <w:trHeight w:val="164"/>
        </w:trPr>
        <w:tc>
          <w:tcPr>
            <w:tcW w:w="5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Weighted-average shares used in computing pro forma net loss per share, basic and diluted</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143,887</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149,592</w:t>
            </w:r>
          </w:p>
        </w:tc>
        <w:tc>
          <w:tcPr>
            <w:tcW w:w="8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 forma net loss per share, basic and diluted</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(0.82)</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(0.51)</w:t>
            </w:r>
          </w:p>
        </w:tc>
      </w:tr>
      <w:tr>
        <w:trPr>
          <w:trHeight w:val="29"/>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Note 10. Series 1 Redeemable Convertible Preferred Stock and Series A–Series E Redeemable Convertible Preferred Stock</w:t>
      </w:r>
    </w:p>
    <w:p>
      <w:pPr>
        <w:spacing w:after="0" w:line="85" w:lineRule="exact"/>
        <w:rPr>
          <w:sz w:val="20"/>
          <w:szCs w:val="20"/>
          <w:color w:val="auto"/>
        </w:rPr>
      </w:pPr>
    </w:p>
    <w:p>
      <w:pPr>
        <w:ind w:left="1680" w:right="739" w:firstLine="316"/>
        <w:spacing w:after="0" w:line="277" w:lineRule="auto"/>
        <w:rPr>
          <w:sz w:val="20"/>
          <w:szCs w:val="20"/>
          <w:color w:val="auto"/>
        </w:rPr>
      </w:pPr>
      <w:r>
        <w:rPr>
          <w:rFonts w:ascii="Times New Roman" w:cs="Times New Roman" w:eastAsia="Times New Roman" w:hAnsi="Times New Roman"/>
          <w:sz w:val="13"/>
          <w:szCs w:val="13"/>
          <w:color w:val="auto"/>
        </w:rPr>
        <w:t>There are eleven authorized series of redeemable convertible preferred stock that total 151,101,040 shares. There have been no shares issued of Series A-1, Series B-1, Series C-1, Series D-1, or Series E-1 redeemable convertible preferred stock.</w:t>
      </w:r>
    </w:p>
    <w:p>
      <w:pPr>
        <w:spacing w:after="0" w:line="120" w:lineRule="exact"/>
        <w:rPr>
          <w:sz w:val="20"/>
          <w:szCs w:val="20"/>
          <w:color w:val="auto"/>
        </w:rPr>
      </w:pPr>
    </w:p>
    <w:p>
      <w:pPr>
        <w:ind w:left="1680" w:right="979" w:firstLine="316"/>
        <w:spacing w:after="0" w:line="277" w:lineRule="auto"/>
        <w:rPr>
          <w:sz w:val="20"/>
          <w:szCs w:val="20"/>
          <w:color w:val="auto"/>
        </w:rPr>
      </w:pPr>
      <w:r>
        <w:rPr>
          <w:rFonts w:ascii="Times New Roman" w:cs="Times New Roman" w:eastAsia="Times New Roman" w:hAnsi="Times New Roman"/>
          <w:sz w:val="13"/>
          <w:szCs w:val="13"/>
          <w:color w:val="auto"/>
        </w:rPr>
        <w:t>In fiscal 2010, one of the Company’s founders exchanged 1,560,000 shares of vested common stock and cash of less than $0.1 million into 1,560,000 shares of Series 1 redeemable convertible preferred stock.</w:t>
      </w:r>
    </w:p>
    <w:p>
      <w:pPr>
        <w:spacing w:after="0" w:line="120" w:lineRule="exact"/>
        <w:rPr>
          <w:sz w:val="20"/>
          <w:szCs w:val="20"/>
          <w:color w:val="auto"/>
        </w:rPr>
      </w:pPr>
    </w:p>
    <w:p>
      <w:pPr>
        <w:ind w:left="1680" w:right="679" w:firstLine="316"/>
        <w:spacing w:after="0" w:line="277" w:lineRule="auto"/>
        <w:rPr>
          <w:sz w:val="20"/>
          <w:szCs w:val="20"/>
          <w:color w:val="auto"/>
        </w:rPr>
      </w:pPr>
      <w:r>
        <w:rPr>
          <w:rFonts w:ascii="Times New Roman" w:cs="Times New Roman" w:eastAsia="Times New Roman" w:hAnsi="Times New Roman"/>
          <w:sz w:val="13"/>
          <w:szCs w:val="13"/>
          <w:color w:val="auto"/>
        </w:rPr>
        <w:t>The following table summarizes the Company’s redeemable convertible preferred stock as of January 31, 2020 and July 31, 2020 (unaudited) (in thousands, except per share amounts):</w:t>
      </w:r>
    </w:p>
    <w:p>
      <w:pPr>
        <w:spacing w:after="0" w:line="127"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720" w:type="dxa"/>
            <w:vAlign w:val="bottom"/>
            <w:vMerge w:val="restart"/>
          </w:tcPr>
          <w:p>
            <w:pPr>
              <w:jc w:val="right"/>
              <w:ind w:right="157"/>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8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Shares Issued</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39"/>
              <w:spacing w:after="0"/>
              <w:rPr>
                <w:sz w:val="20"/>
                <w:szCs w:val="20"/>
                <w:color w:val="auto"/>
              </w:rPr>
            </w:pPr>
            <w:r>
              <w:rPr>
                <w:rFonts w:ascii="Times New Roman" w:cs="Times New Roman" w:eastAsia="Times New Roman" w:hAnsi="Times New Roman"/>
                <w:sz w:val="10"/>
                <w:szCs w:val="10"/>
                <w:b w:val="1"/>
                <w:bCs w:val="1"/>
                <w:color w:val="auto"/>
                <w:w w:val="99"/>
              </w:rPr>
              <w:t>Original</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jc w:val="right"/>
              <w:ind w:right="97"/>
              <w:spacing w:after="0"/>
              <w:rPr>
                <w:sz w:val="20"/>
                <w:szCs w:val="20"/>
                <w:color w:val="auto"/>
              </w:rPr>
            </w:pPr>
            <w:r>
              <w:rPr>
                <w:rFonts w:ascii="Times New Roman" w:cs="Times New Roman" w:eastAsia="Times New Roman" w:hAnsi="Times New Roman"/>
                <w:sz w:val="10"/>
                <w:szCs w:val="10"/>
                <w:b w:val="1"/>
                <w:bCs w:val="1"/>
                <w:color w:val="auto"/>
              </w:rPr>
              <w:t>Carrying</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Liquidation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w w:val="98"/>
              </w:rPr>
              <w:t>and</w:t>
            </w:r>
          </w:p>
        </w:tc>
        <w:tc>
          <w:tcPr>
            <w:tcW w:w="280" w:type="dxa"/>
            <w:vAlign w:val="bottom"/>
          </w:tcPr>
          <w:p>
            <w:pPr>
              <w:spacing w:after="0"/>
              <w:rPr>
                <w:sz w:val="9"/>
                <w:szCs w:val="9"/>
                <w:color w:val="auto"/>
              </w:rPr>
            </w:pPr>
          </w:p>
        </w:tc>
        <w:tc>
          <w:tcPr>
            <w:tcW w:w="680" w:type="dxa"/>
            <w:vAlign w:val="bottom"/>
            <w:gridSpan w:val="2"/>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Issuance Price</w:t>
            </w: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0"/>
                <w:szCs w:val="10"/>
                <w:b w:val="1"/>
                <w:bCs w:val="1"/>
                <w:color w:val="auto"/>
              </w:rPr>
              <w:t>Authorized</w:t>
            </w:r>
          </w:p>
        </w:tc>
        <w:tc>
          <w:tcPr>
            <w:tcW w:w="28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Outstanding</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39"/>
              <w:spacing w:after="0"/>
              <w:rPr>
                <w:sz w:val="20"/>
                <w:szCs w:val="20"/>
                <w:color w:val="auto"/>
              </w:rPr>
            </w:pPr>
            <w:r>
              <w:rPr>
                <w:rFonts w:ascii="Times New Roman" w:cs="Times New Roman" w:eastAsia="Times New Roman" w:hAnsi="Times New Roman"/>
                <w:sz w:val="10"/>
                <w:szCs w:val="10"/>
                <w:b w:val="1"/>
                <w:bCs w:val="1"/>
                <w:color w:val="auto"/>
              </w:rPr>
              <w:t>Per Share</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ind w:right="177"/>
              <w:spacing w:after="0"/>
              <w:rPr>
                <w:sz w:val="20"/>
                <w:szCs w:val="20"/>
                <w:color w:val="auto"/>
              </w:rPr>
            </w:pPr>
            <w:r>
              <w:rPr>
                <w:rFonts w:ascii="Times New Roman" w:cs="Times New Roman" w:eastAsia="Times New Roman" w:hAnsi="Times New Roman"/>
                <w:sz w:val="10"/>
                <w:szCs w:val="10"/>
                <w:b w:val="1"/>
                <w:bCs w:val="1"/>
                <w:color w:val="auto"/>
              </w:rPr>
              <w:t>Value</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Preference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2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Series 1</w:t>
            </w:r>
          </w:p>
        </w:tc>
        <w:tc>
          <w:tcPr>
            <w:tcW w:w="72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1,560</w:t>
            </w:r>
          </w:p>
        </w:tc>
        <w:tc>
          <w:tcPr>
            <w:tcW w:w="2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1,560</w:t>
            </w: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5</w:t>
            </w: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Series A</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20,771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20,771</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0.51</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10,416</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10,512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A-1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20,771</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Series B</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10,478</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28,404</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28,375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B-1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11,000</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Series C</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20,186</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85,980</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86,112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C-1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21,000</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Series D</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14,353</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74,845</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D-1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Series E</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6,230</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8.19</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50,931</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E-1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7,000</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151,101</w:t>
            </w:r>
          </w:p>
        </w:tc>
        <w:tc>
          <w:tcPr>
            <w:tcW w:w="28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73,577</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250,581</w:t>
            </w:r>
          </w:p>
        </w:tc>
        <w:tc>
          <w:tcPr>
            <w:tcW w:w="2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250,999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67945</wp:posOffset>
            </wp:positionV>
            <wp:extent cx="548005" cy="63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48005" cy="6350"/>
                    </a:xfrm>
                    <a:prstGeom prst="rect">
                      <a:avLst/>
                    </a:prstGeom>
                    <a:noFill/>
                  </pic:spPr>
                </pic:pic>
              </a:graphicData>
            </a:graphic>
          </wp:anchor>
        </w:drawing>
      </w:r>
    </w:p>
    <w:p>
      <w:pPr>
        <w:spacing w:after="0" w:line="111" w:lineRule="exact"/>
        <w:rPr>
          <w:sz w:val="20"/>
          <w:szCs w:val="20"/>
          <w:color w:val="auto"/>
        </w:rPr>
      </w:pPr>
    </w:p>
    <w:p>
      <w:pPr>
        <w:ind w:left="1680"/>
        <w:spacing w:after="0"/>
        <w:tabs>
          <w:tab w:leader="none" w:pos="2000" w:val="left"/>
        </w:tabs>
        <w:rPr>
          <w:sz w:val="20"/>
          <w:szCs w:val="20"/>
          <w:color w:val="auto"/>
        </w:rPr>
      </w:pPr>
      <w:r>
        <w:rPr>
          <w:rFonts w:ascii="Times New Roman" w:cs="Times New Roman" w:eastAsia="Times New Roman" w:hAnsi="Times New Roman"/>
          <w:sz w:val="10"/>
          <w:szCs w:val="10"/>
          <w:color w:val="auto"/>
        </w:rPr>
        <w:t>Note:</w:t>
        <w:tab/>
        <w:t>Certain figures may not sum due to rounding.</w:t>
      </w:r>
    </w:p>
    <w:p>
      <w:pPr>
        <w:spacing w:after="0" w:line="10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F-29</w:t>
      </w:r>
    </w:p>
    <w:p>
      <w:pPr>
        <w:sectPr>
          <w:pgSz w:w="11900" w:h="16838" w:orient="portrait"/>
          <w:cols w:equalWidth="0" w:num="1">
            <w:col w:w="10159"/>
          </w:cols>
          <w:pgMar w:left="300" w:top="367" w:right="1440" w:bottom="1440" w:gutter="0" w:footer="0" w:header="0"/>
        </w:sectPr>
      </w:pPr>
    </w:p>
    <w:bookmarkStart w:id="193" w:name="page194"/>
    <w:bookmarkEnd w:id="19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799" w:firstLine="316"/>
        <w:spacing w:after="0" w:line="277" w:lineRule="auto"/>
        <w:rPr>
          <w:sz w:val="20"/>
          <w:szCs w:val="20"/>
          <w:color w:val="auto"/>
        </w:rPr>
      </w:pPr>
      <w:r>
        <w:rPr>
          <w:rFonts w:ascii="Times New Roman" w:cs="Times New Roman" w:eastAsia="Times New Roman" w:hAnsi="Times New Roman"/>
          <w:sz w:val="13"/>
          <w:szCs w:val="13"/>
          <w:color w:val="auto"/>
        </w:rPr>
        <w:t>The following table summarizes the Company’s redeemable convertible preferred stock as of January 31, 2019 (in thousands, except per share amounts):</w:t>
      </w:r>
    </w:p>
    <w:p>
      <w:pPr>
        <w:spacing w:after="0" w:line="134"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820" w:type="dxa"/>
            <w:vAlign w:val="bottom"/>
            <w:vMerge w:val="restart"/>
          </w:tcPr>
          <w:p>
            <w:pPr>
              <w:jc w:val="right"/>
              <w:ind w:right="197"/>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4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Shares Issued</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39"/>
              <w:spacing w:after="0"/>
              <w:rPr>
                <w:sz w:val="20"/>
                <w:szCs w:val="20"/>
                <w:color w:val="auto"/>
              </w:rPr>
            </w:pPr>
            <w:r>
              <w:rPr>
                <w:rFonts w:ascii="Times New Roman" w:cs="Times New Roman" w:eastAsia="Times New Roman" w:hAnsi="Times New Roman"/>
                <w:sz w:val="10"/>
                <w:szCs w:val="10"/>
                <w:b w:val="1"/>
                <w:bCs w:val="1"/>
                <w:color w:val="auto"/>
              </w:rPr>
              <w:t>Original</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97"/>
              <w:spacing w:after="0"/>
              <w:rPr>
                <w:sz w:val="20"/>
                <w:szCs w:val="20"/>
                <w:color w:val="auto"/>
              </w:rPr>
            </w:pPr>
            <w:r>
              <w:rPr>
                <w:rFonts w:ascii="Times New Roman" w:cs="Times New Roman" w:eastAsia="Times New Roman" w:hAnsi="Times New Roman"/>
                <w:sz w:val="10"/>
                <w:szCs w:val="10"/>
                <w:b w:val="1"/>
                <w:bCs w:val="1"/>
                <w:color w:val="auto"/>
              </w:rPr>
              <w:t>Carrying</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Liquidation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and</w:t>
            </w:r>
          </w:p>
        </w:tc>
        <w:tc>
          <w:tcPr>
            <w:tcW w:w="220" w:type="dxa"/>
            <w:vAlign w:val="bottom"/>
          </w:tcPr>
          <w:p>
            <w:pPr>
              <w:spacing w:after="0"/>
              <w:rPr>
                <w:sz w:val="9"/>
                <w:szCs w:val="9"/>
                <w:color w:val="auto"/>
              </w:rPr>
            </w:pPr>
          </w:p>
        </w:tc>
        <w:tc>
          <w:tcPr>
            <w:tcW w:w="680" w:type="dxa"/>
            <w:vAlign w:val="bottom"/>
            <w:gridSpan w:val="2"/>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Issuance Price</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0"/>
                <w:szCs w:val="10"/>
                <w:b w:val="1"/>
                <w:bCs w:val="1"/>
                <w:color w:val="auto"/>
              </w:rPr>
              <w:t>Authorized</w:t>
            </w:r>
          </w:p>
        </w:tc>
        <w:tc>
          <w:tcPr>
            <w:tcW w:w="24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Outstanding</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Per Share</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157"/>
              <w:spacing w:after="0"/>
              <w:rPr>
                <w:sz w:val="20"/>
                <w:szCs w:val="20"/>
                <w:color w:val="auto"/>
              </w:rPr>
            </w:pPr>
            <w:r>
              <w:rPr>
                <w:rFonts w:ascii="Times New Roman" w:cs="Times New Roman" w:eastAsia="Times New Roman" w:hAnsi="Times New Roman"/>
                <w:sz w:val="10"/>
                <w:szCs w:val="10"/>
                <w:b w:val="1"/>
                <w:bCs w:val="1"/>
                <w:color w:val="auto"/>
              </w:rPr>
              <w:t>Value</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Preference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6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Series 1</w:t>
            </w:r>
          </w:p>
        </w:tc>
        <w:tc>
          <w:tcPr>
            <w:tcW w:w="82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1,560</w:t>
            </w:r>
          </w:p>
        </w:tc>
        <w:tc>
          <w:tcPr>
            <w:tcW w:w="2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1,560</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5</w:t>
            </w:r>
          </w:p>
        </w:tc>
        <w:tc>
          <w:tcPr>
            <w:tcW w:w="2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Series A</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20,771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20,771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0.51</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10,416</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10,512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A-1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20,771</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Series B</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10,447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28,193</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28,292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B-1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11,000</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Series C</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20,186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85,980</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86,112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C-1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21,000</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Series D</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14,353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74,845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D-1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Series E</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6,230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8.19</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50,931</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E-1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7,000</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151,101</w:t>
            </w:r>
          </w:p>
        </w:tc>
        <w:tc>
          <w:tcPr>
            <w:tcW w:w="24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73,547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250,370</w:t>
            </w:r>
          </w:p>
        </w:tc>
        <w:tc>
          <w:tcPr>
            <w:tcW w:w="2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250,916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67945</wp:posOffset>
            </wp:positionV>
            <wp:extent cx="548005" cy="63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48005" cy="6350"/>
                    </a:xfrm>
                    <a:prstGeom prst="rect">
                      <a:avLst/>
                    </a:prstGeom>
                    <a:noFill/>
                  </pic:spPr>
                </pic:pic>
              </a:graphicData>
            </a:graphic>
          </wp:anchor>
        </w:drawing>
      </w:r>
    </w:p>
    <w:p>
      <w:pPr>
        <w:spacing w:after="0" w:line="111" w:lineRule="exact"/>
        <w:rPr>
          <w:sz w:val="20"/>
          <w:szCs w:val="20"/>
          <w:color w:val="auto"/>
        </w:rPr>
      </w:pPr>
    </w:p>
    <w:p>
      <w:pPr>
        <w:ind w:left="1680"/>
        <w:spacing w:after="0"/>
        <w:tabs>
          <w:tab w:leader="none" w:pos="2000" w:val="left"/>
        </w:tabs>
        <w:rPr>
          <w:sz w:val="20"/>
          <w:szCs w:val="20"/>
          <w:color w:val="auto"/>
        </w:rPr>
      </w:pPr>
      <w:r>
        <w:rPr>
          <w:rFonts w:ascii="Times New Roman" w:cs="Times New Roman" w:eastAsia="Times New Roman" w:hAnsi="Times New Roman"/>
          <w:sz w:val="10"/>
          <w:szCs w:val="10"/>
          <w:color w:val="auto"/>
        </w:rPr>
        <w:t>Note:</w:t>
        <w:tab/>
        <w:t>Certain figures may not sum due to rounding.</w:t>
      </w:r>
    </w:p>
    <w:p>
      <w:pPr>
        <w:spacing w:after="0" w:line="14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rights, preferences, and privileges of the above redeemable convertible preferred stock are as follows:</w:t>
      </w:r>
    </w:p>
    <w:p>
      <w:pPr>
        <w:spacing w:after="0" w:line="23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Series 1 Redeemable Convertible Preferred Stock</w:t>
      </w:r>
    </w:p>
    <w:p>
      <w:pPr>
        <w:spacing w:after="0" w:line="15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Conversion Rights</w:t>
      </w:r>
    </w:p>
    <w:p>
      <w:pPr>
        <w:spacing w:after="0" w:line="87" w:lineRule="exact"/>
        <w:rPr>
          <w:sz w:val="20"/>
          <w:szCs w:val="20"/>
          <w:color w:val="auto"/>
        </w:rPr>
      </w:pPr>
    </w:p>
    <w:p>
      <w:pPr>
        <w:ind w:left="1680" w:right="559" w:firstLine="316"/>
        <w:spacing w:after="0" w:line="254" w:lineRule="auto"/>
        <w:rPr>
          <w:sz w:val="20"/>
          <w:szCs w:val="20"/>
          <w:color w:val="auto"/>
        </w:rPr>
      </w:pPr>
      <w:r>
        <w:rPr>
          <w:rFonts w:ascii="Times New Roman" w:cs="Times New Roman" w:eastAsia="Times New Roman" w:hAnsi="Times New Roman"/>
          <w:sz w:val="13"/>
          <w:szCs w:val="13"/>
          <w:color w:val="auto"/>
        </w:rPr>
        <w:t>Each share of Series 1 redeemable convertible preferred stock is convertible, at the option of the holder, at any time, into shares of Class B common stock determined by dividing $1.00 by the conversion price, which is initially $1.00. Effective immediately upon the purchase by an investor of Series 1 redeemable convertible preferred stock in connection with a future equity financing, each share of Series 1 preferred stock shall automatically convert into shares of the series of preferred stock of the Company issued in the next equity financing (defined as an event where at least $1 million worth of new preferred stock is issued) at the conversion ratio (the inverse of the ratio at which a share of subsequent preferred stock is convertible into common stock of the Company).</w:t>
      </w:r>
    </w:p>
    <w:p>
      <w:pPr>
        <w:spacing w:after="0" w:line="136" w:lineRule="exact"/>
        <w:rPr>
          <w:sz w:val="20"/>
          <w:szCs w:val="20"/>
          <w:color w:val="auto"/>
        </w:rPr>
      </w:pPr>
    </w:p>
    <w:p>
      <w:pPr>
        <w:ind w:left="1680" w:right="559" w:firstLine="316"/>
        <w:spacing w:after="0" w:line="252" w:lineRule="auto"/>
        <w:rPr>
          <w:sz w:val="20"/>
          <w:szCs w:val="20"/>
          <w:color w:val="auto"/>
        </w:rPr>
      </w:pPr>
      <w:r>
        <w:rPr>
          <w:rFonts w:ascii="Times New Roman" w:cs="Times New Roman" w:eastAsia="Times New Roman" w:hAnsi="Times New Roman"/>
          <w:sz w:val="13"/>
          <w:szCs w:val="13"/>
          <w:color w:val="auto"/>
        </w:rPr>
        <w:t>Each share of Series 1 redeemable convertible preferred stock will automatically convert into shares of Class B common stock at the then effective conversion price for each such share immediately upon the earlier of (i) the Company’s sale of its common stock in a firm commitment of an underwritten initial public offering pursuant to a registration statement under the Securities Act of 1933, as amended, which results in aggregate gross proceeds to the Company of $75 million (net of underwriting discounts and commissions), (ii) the date specified by the written consent or agreement of the holders of a majority of the then outstanding shares of Series 1 redeemable convertible preferred stock, voting together as a single class,</w:t>
      </w:r>
    </w:p>
    <w:p>
      <w:pPr>
        <w:spacing w:after="0" w:line="3" w:lineRule="exact"/>
        <w:rPr>
          <w:sz w:val="20"/>
          <w:szCs w:val="20"/>
          <w:color w:val="auto"/>
        </w:rPr>
      </w:pPr>
    </w:p>
    <w:p>
      <w:pPr>
        <w:ind w:left="1680" w:right="699" w:firstLine="9"/>
        <w:spacing w:after="0" w:line="252" w:lineRule="auto"/>
        <w:tabs>
          <w:tab w:leader="none" w:pos="1906"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immediately following the approval of a liquidation transaction (as defined in the Company’s Amended and Restated Certificate of Incorporation) by the holders of a majority of the then-outstanding shares of common stock, or (iv) the date on which all shares of redeemable convertible preferred stock are automatically converted into shares of common stock pursuant to the vote or written consent of the holders of the majority of the then-outstanding shares of Series A and Series B redeemable convertible preferred stock, voting together as a single class.</w:t>
      </w:r>
    </w:p>
    <w:p>
      <w:pPr>
        <w:spacing w:after="0" w:line="20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Dividends</w:t>
      </w:r>
    </w:p>
    <w:p>
      <w:pPr>
        <w:spacing w:after="0" w:line="87" w:lineRule="exact"/>
        <w:rPr>
          <w:sz w:val="20"/>
          <w:szCs w:val="20"/>
          <w:color w:val="auto"/>
        </w:rPr>
      </w:pPr>
    </w:p>
    <w:p>
      <w:pPr>
        <w:ind w:left="1680" w:right="639" w:firstLine="316"/>
        <w:spacing w:after="0" w:line="277" w:lineRule="auto"/>
        <w:rPr>
          <w:sz w:val="20"/>
          <w:szCs w:val="20"/>
          <w:color w:val="auto"/>
        </w:rPr>
      </w:pPr>
      <w:r>
        <w:rPr>
          <w:rFonts w:ascii="Times New Roman" w:cs="Times New Roman" w:eastAsia="Times New Roman" w:hAnsi="Times New Roman"/>
          <w:sz w:val="13"/>
          <w:szCs w:val="13"/>
          <w:color w:val="auto"/>
        </w:rPr>
        <w:t>Subject to the dividends that the holders of the outstanding shares of redeemable convertible preferred stock are entitled to receive, the holders of Series 1 redeemable convertible preferred stock shall be entitled to receive</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F-30</w:t>
      </w:r>
    </w:p>
    <w:p>
      <w:pPr>
        <w:sectPr>
          <w:pgSz w:w="11900" w:h="16838" w:orient="portrait"/>
          <w:cols w:equalWidth="0" w:num="1">
            <w:col w:w="10159"/>
          </w:cols>
          <w:pgMar w:left="300" w:top="367" w:right="1440" w:bottom="1440" w:gutter="0" w:footer="0" w:header="0"/>
        </w:sectPr>
      </w:pPr>
    </w:p>
    <w:bookmarkStart w:id="194" w:name="page195"/>
    <w:bookmarkEnd w:id="19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719"/>
        <w:spacing w:after="0" w:line="263" w:lineRule="auto"/>
        <w:rPr>
          <w:sz w:val="20"/>
          <w:szCs w:val="20"/>
          <w:color w:val="auto"/>
        </w:rPr>
      </w:pPr>
      <w:r>
        <w:rPr>
          <w:rFonts w:ascii="Times New Roman" w:cs="Times New Roman" w:eastAsia="Times New Roman" w:hAnsi="Times New Roman"/>
          <w:sz w:val="13"/>
          <w:szCs w:val="13"/>
          <w:color w:val="auto"/>
        </w:rPr>
        <w:t>noncumulative dividends, when and as declared by the Board, on a pro rata basis with the holders of common stock, based on the number of shares of common stock held by each (assuming conversion of all the Series 1 redeemable convertible preferred stock into common stock). As of January 31, 2019 and 2020 and July 31, 2020 (unaudited), no dividends have been declared.</w:t>
      </w:r>
    </w:p>
    <w:p>
      <w:pPr>
        <w:spacing w:after="0" w:line="20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Liquidation Rights</w:t>
      </w:r>
    </w:p>
    <w:p>
      <w:pPr>
        <w:spacing w:after="0" w:line="87" w:lineRule="exact"/>
        <w:rPr>
          <w:sz w:val="20"/>
          <w:szCs w:val="20"/>
          <w:color w:val="auto"/>
        </w:rPr>
      </w:pPr>
    </w:p>
    <w:p>
      <w:pPr>
        <w:jc w:val="both"/>
        <w:ind w:left="1680" w:right="619" w:firstLine="316"/>
        <w:spacing w:after="0" w:line="256" w:lineRule="auto"/>
        <w:rPr>
          <w:sz w:val="20"/>
          <w:szCs w:val="20"/>
          <w:color w:val="auto"/>
        </w:rPr>
      </w:pPr>
      <w:r>
        <w:rPr>
          <w:rFonts w:ascii="Times New Roman" w:cs="Times New Roman" w:eastAsia="Times New Roman" w:hAnsi="Times New Roman"/>
          <w:sz w:val="13"/>
          <w:szCs w:val="13"/>
          <w:color w:val="auto"/>
        </w:rPr>
        <w:t>Upon liquidation, dissolution or winding up of the Company, the holder of the Series 1 redeemable convertible preferred stock shall be entitled to receive after the payment of the liquidation preference of redeemable convertible preferred stock, all remaining assets available for distribution, if any, to be distributed ratably among the holders of the Series 1 redeemable convertible preferred stock and common stock. If available assets are insufficient to pay the full liquidation preference, the available assets will be distributed pro rata to the holders of the redeemable convertible preferred stock based on the preferential amount each holder is entitled to receive.</w:t>
      </w:r>
    </w:p>
    <w:p>
      <w:pPr>
        <w:spacing w:after="0" w:line="2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Voting</w:t>
      </w:r>
    </w:p>
    <w:p>
      <w:pPr>
        <w:spacing w:after="0" w:line="87" w:lineRule="exact"/>
        <w:rPr>
          <w:sz w:val="20"/>
          <w:szCs w:val="20"/>
          <w:color w:val="auto"/>
        </w:rPr>
      </w:pPr>
    </w:p>
    <w:p>
      <w:pPr>
        <w:ind w:left="1680" w:right="719" w:firstLine="316"/>
        <w:spacing w:after="0" w:line="286" w:lineRule="auto"/>
        <w:rPr>
          <w:sz w:val="20"/>
          <w:szCs w:val="20"/>
          <w:color w:val="auto"/>
        </w:rPr>
      </w:pPr>
      <w:r>
        <w:rPr>
          <w:rFonts w:ascii="Times New Roman" w:cs="Times New Roman" w:eastAsia="Times New Roman" w:hAnsi="Times New Roman"/>
          <w:sz w:val="12"/>
          <w:szCs w:val="12"/>
          <w:color w:val="auto"/>
        </w:rPr>
        <w:t>The holder of each share of Series 1 redeemable convertible preferred stock has the right to 100 votes for each share of Class B common stock into which such preferred stock could then be converted. Such holder has voting rights and powers equal to those of the holders of common stock and the holders of Series 1 redeemable convertible preferred stock and common stock shall vote together as a single class on all matters. The holder of shares of Series 1 redeemable convertible preferred stock does not have the right to vote as redeemable convertible preferred stock on any matters.</w:t>
      </w:r>
    </w:p>
    <w:p>
      <w:pPr>
        <w:spacing w:after="0" w:line="19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Redemption</w:t>
      </w:r>
    </w:p>
    <w:p>
      <w:pPr>
        <w:spacing w:after="0" w:line="87" w:lineRule="exact"/>
        <w:rPr>
          <w:sz w:val="20"/>
          <w:szCs w:val="20"/>
          <w:color w:val="auto"/>
        </w:rPr>
      </w:pPr>
    </w:p>
    <w:p>
      <w:pPr>
        <w:ind w:left="1680" w:right="879" w:firstLine="316"/>
        <w:spacing w:after="0" w:line="277" w:lineRule="auto"/>
        <w:rPr>
          <w:sz w:val="20"/>
          <w:szCs w:val="20"/>
          <w:color w:val="auto"/>
        </w:rPr>
      </w:pPr>
      <w:r>
        <w:rPr>
          <w:rFonts w:ascii="Times New Roman" w:cs="Times New Roman" w:eastAsia="Times New Roman" w:hAnsi="Times New Roman"/>
          <w:sz w:val="13"/>
          <w:szCs w:val="13"/>
          <w:color w:val="auto"/>
        </w:rPr>
        <w:t>While Series 1 redeemable convertible preferred stock does not have mandatory redemption provisions, it is contingently redeemable upon a deemed liquidation event.</w:t>
      </w:r>
    </w:p>
    <w:p>
      <w:pPr>
        <w:spacing w:after="0" w:line="19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Classification of Series 1 Redeemable Convertible Preferred Stock</w:t>
      </w:r>
    </w:p>
    <w:p>
      <w:pPr>
        <w:spacing w:after="0" w:line="87" w:lineRule="exact"/>
        <w:rPr>
          <w:sz w:val="20"/>
          <w:szCs w:val="20"/>
          <w:color w:val="auto"/>
        </w:rPr>
      </w:pPr>
    </w:p>
    <w:p>
      <w:pPr>
        <w:ind w:left="1680" w:right="579" w:firstLine="316"/>
        <w:spacing w:after="0" w:line="263" w:lineRule="auto"/>
        <w:rPr>
          <w:sz w:val="20"/>
          <w:szCs w:val="20"/>
          <w:color w:val="auto"/>
        </w:rPr>
      </w:pPr>
      <w:r>
        <w:rPr>
          <w:rFonts w:ascii="Times New Roman" w:cs="Times New Roman" w:eastAsia="Times New Roman" w:hAnsi="Times New Roman"/>
          <w:sz w:val="13"/>
          <w:szCs w:val="13"/>
          <w:color w:val="auto"/>
        </w:rPr>
        <w:t>The deemed liquidation preference provisions of the Series 1 redeemable convertible preferred stock are considered contingent redemption provisions that are not solely within the Company’s control. Accordingly, the Series 1 redeemable convertible preferred stock has been presented outside of permanent equity in the mezzanine section of the consolidated balance sheets.</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Series A–Series E Redeemable Convertible Preferred Stock</w:t>
      </w:r>
    </w:p>
    <w:p>
      <w:pPr>
        <w:spacing w:after="0" w:line="15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Conversion Rights</w:t>
      </w:r>
    </w:p>
    <w:p>
      <w:pPr>
        <w:spacing w:after="0" w:line="87" w:lineRule="exact"/>
        <w:rPr>
          <w:sz w:val="20"/>
          <w:szCs w:val="20"/>
          <w:color w:val="auto"/>
        </w:rPr>
      </w:pPr>
    </w:p>
    <w:p>
      <w:pPr>
        <w:ind w:left="1680" w:right="599" w:firstLine="316"/>
        <w:spacing w:after="0" w:line="252" w:lineRule="auto"/>
        <w:rPr>
          <w:sz w:val="20"/>
          <w:szCs w:val="20"/>
          <w:color w:val="auto"/>
        </w:rPr>
      </w:pPr>
      <w:r>
        <w:rPr>
          <w:rFonts w:ascii="Times New Roman" w:cs="Times New Roman" w:eastAsia="Times New Roman" w:hAnsi="Times New Roman"/>
          <w:sz w:val="13"/>
          <w:szCs w:val="13"/>
          <w:color w:val="auto"/>
        </w:rPr>
        <w:t>Each share of Series A and Series A-1 redeemable convertible preferred stock is convertible, at the option of the holder, at any time, into shares of common stock determined by dividing $0.51 by the conversion price. Each share of Series B and Series B-1 redeemable convertible preferred stock is convertible, at the option of the holder, at any time, into shares of common stock determined by dividing $2.71 by the conversion price. Each share of Series C and Series C-1 redeemable convertible preferred stock is convertible, at the option of the holder, at any time, into shares of common stock determined by dividing $4.27 by the conversion price. Each share of Series D and Series D-1 redeemable convertible preferred stock is convertible, at the option of the holder, at any time, into shares of common stock determined by dividing $5.23 by the conversion price. Each share of Series E and Series E-1 redeemable convertible preferred stock is convertible, at the option of the holder, at any time, into shares of common stock determined by dividing $8.19 by the conversion price. The initial conversion price per share of the redeemable convertible preferred stock is the original issue price. The</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F-31</w:t>
      </w:r>
    </w:p>
    <w:p>
      <w:pPr>
        <w:sectPr>
          <w:pgSz w:w="11900" w:h="16838" w:orient="portrait"/>
          <w:cols w:equalWidth="0" w:num="1">
            <w:col w:w="10159"/>
          </w:cols>
          <w:pgMar w:left="300" w:top="367" w:right="1440" w:bottom="1440" w:gutter="0" w:footer="0" w:header="0"/>
        </w:sectPr>
      </w:pPr>
    </w:p>
    <w:bookmarkStart w:id="195" w:name="page196"/>
    <w:bookmarkEnd w:id="19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conversion price is subject to adjustments such as stock splits, common stock dividends, combinations, subdivisions, recapitalizations, or the like.</w:t>
      </w:r>
    </w:p>
    <w:p>
      <w:pPr>
        <w:spacing w:after="0" w:line="161" w:lineRule="exact"/>
        <w:rPr>
          <w:sz w:val="20"/>
          <w:szCs w:val="20"/>
          <w:color w:val="auto"/>
        </w:rPr>
      </w:pPr>
    </w:p>
    <w:p>
      <w:pPr>
        <w:ind w:left="1680" w:right="579" w:firstLine="316"/>
        <w:spacing w:after="0" w:line="253" w:lineRule="auto"/>
        <w:rPr>
          <w:sz w:val="20"/>
          <w:szCs w:val="20"/>
          <w:color w:val="auto"/>
        </w:rPr>
      </w:pPr>
      <w:r>
        <w:rPr>
          <w:rFonts w:ascii="Times New Roman" w:cs="Times New Roman" w:eastAsia="Times New Roman" w:hAnsi="Times New Roman"/>
          <w:sz w:val="13"/>
          <w:szCs w:val="13"/>
          <w:color w:val="auto"/>
        </w:rPr>
        <w:t>Each share of Series A, Series B, Series C, Series D, and Series E redeemable convertible preferred stock and each share of Series A-1, Series B-1, Series C-1, Series D-1, and Series E-1 will automatically convert into one share of Class B common stock or Class A common stock, respectively, at the then effective conversion price for each such share immediately upon the earlier of (i) the Company’s sale of its common stock in a firm commitment of an underwritten initial public offering pursuant to a registration statement under the Securities Act of 1933, as amended, which results in aggregate gross proceeds to the Company of $100 million (net of underwriting discounts and commissions) or (ii) the date specified by the written consent or agreement of the holders of a majority of the then outstanding shares of Series A, Series B, Series C, Series D, and Series E redeemable convertible preferred stock, voting together as a single class.</w:t>
      </w:r>
    </w:p>
    <w:p>
      <w:pPr>
        <w:spacing w:after="0" w:line="21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Dividends</w:t>
      </w:r>
    </w:p>
    <w:p>
      <w:pPr>
        <w:spacing w:after="0" w:line="87" w:lineRule="exact"/>
        <w:rPr>
          <w:sz w:val="20"/>
          <w:szCs w:val="20"/>
          <w:color w:val="auto"/>
        </w:rPr>
      </w:pPr>
    </w:p>
    <w:p>
      <w:pPr>
        <w:ind w:left="1680" w:right="579" w:firstLine="316"/>
        <w:spacing w:after="0" w:line="278" w:lineRule="auto"/>
        <w:rPr>
          <w:sz w:val="20"/>
          <w:szCs w:val="20"/>
          <w:color w:val="auto"/>
        </w:rPr>
      </w:pPr>
      <w:r>
        <w:rPr>
          <w:rFonts w:ascii="Times New Roman" w:cs="Times New Roman" w:eastAsia="Times New Roman" w:hAnsi="Times New Roman"/>
          <w:sz w:val="12"/>
          <w:szCs w:val="12"/>
          <w:color w:val="auto"/>
        </w:rPr>
        <w:t>The holders of the outstanding shares of redeemable convertible preferred stock are entitled to receive, when and if declared by the Board of Directors, a noncumulative dividend at the annual rate of $0.04 per share for Series A and Series A-1, $0.22 per share for Series B and Series B-1, $0.34 per share for Series C and Series C-1, $0.42 per share for Series D and Series D-1, and $0.65 per share for Series E and Series E-1. Such dividends are payable in preference to any dividends for common stock or Series 1 redeemable convertible preferred stock declared by the Board of Directors. After payments of such dividends, any additional dividends shall be distributed among holders of Series A - E redeemable convertible preferred stock, Series 1 redeemable convertible preferred stock, and common stock pro rata based on the number of shares held by each holder (assuming conversion of all such stock into common stock). No dividends have been declared as of January 31, 2019 and 2020 and July 31, 2020 (unaudited).</w:t>
      </w:r>
    </w:p>
    <w:p>
      <w:pPr>
        <w:spacing w:after="0" w:line="19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Liquidation Rights</w:t>
      </w:r>
    </w:p>
    <w:p>
      <w:pPr>
        <w:spacing w:after="0" w:line="87" w:lineRule="exact"/>
        <w:rPr>
          <w:sz w:val="20"/>
          <w:szCs w:val="20"/>
          <w:color w:val="auto"/>
        </w:rPr>
      </w:pPr>
    </w:p>
    <w:p>
      <w:pPr>
        <w:ind w:left="1680" w:right="599" w:firstLine="316"/>
        <w:spacing w:after="0" w:line="251" w:lineRule="auto"/>
        <w:rPr>
          <w:sz w:val="20"/>
          <w:szCs w:val="20"/>
          <w:color w:val="auto"/>
        </w:rPr>
      </w:pPr>
      <w:r>
        <w:rPr>
          <w:rFonts w:ascii="Times New Roman" w:cs="Times New Roman" w:eastAsia="Times New Roman" w:hAnsi="Times New Roman"/>
          <w:sz w:val="13"/>
          <w:szCs w:val="13"/>
          <w:color w:val="auto"/>
        </w:rPr>
        <w:t>Upon liquidation, dissolution, or winding up of the Company, the holders of the redeemable convertible preferred stock shall be entitled to receive, prior and in preference to any distribution of any of the assets or surplus funds of the Company to the holders of shares of common stock or Series 1 redeemable convertible preferred stock, an amount equal to $0.51 per share for Series A and Series A-1, $2.71 per share for Series B and Series B-1, $4.27 per share for Series C and Series C-1, $5.23 per share for Series D and Series D-1, and $8.19 per share for Series E and Series E-1, plus any declared but unpaid dividends on such shares (“liquidation preference”). After the payment of the liquidation preference, all remaining assets available for distribution, if any, shall be distributed ratably among the holders of the Series A - E redeemable convertible preferred stock, Series 1 redeemable convertible preferred stock, and common stock. If the assets of the Company are insufficient to permit payments of the full amounts described above, then the assets shall be distributed ratably among the holders of the redeemable convertible preferred stock in proportion to the full amounts they would otherwise be entitled to receive. After payment to the holders of redeemable convertible preferred stock of the full amounts they are entitled to receive, the entire remaining assets of the Company shall be distributed ratably among the holders of Series 1 redeemable convertible preferred stock and common stock.</w:t>
      </w:r>
    </w:p>
    <w:p>
      <w:pPr>
        <w:spacing w:after="0" w:line="21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Voting</w:t>
      </w:r>
    </w:p>
    <w:p>
      <w:pPr>
        <w:spacing w:after="0" w:line="8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holders of each share of Series A, Series B, Series C or Series D redeemable convertible preferred stock have the right to one hundred</w:t>
      </w:r>
    </w:p>
    <w:p>
      <w:pPr>
        <w:spacing w:after="0" w:line="18" w:lineRule="exact"/>
        <w:rPr>
          <w:sz w:val="20"/>
          <w:szCs w:val="20"/>
          <w:color w:val="auto"/>
        </w:rPr>
      </w:pPr>
    </w:p>
    <w:p>
      <w:pPr>
        <w:ind w:left="1680" w:right="599" w:firstLine="9"/>
        <w:spacing w:after="0" w:line="251" w:lineRule="auto"/>
        <w:tabs>
          <w:tab w:leader="none" w:pos="1992"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votes for each share of Class B common stock into which such Series A, Series B, Series C, Series D or Series E redeemable convertible preferred stock could then be converted. The holders of each share of Series A-1, Series B-1, Series C-1, Series D-1 or Series E-1 redeemable convertible preferred stock shall have the right to one (1) vote for each share of Class A common stock into which such Series could then be converted. Such holder has voting rights and powers equal to those of the holders of common stock. The holders of a majority of the outstanding shares of Series A redeemable convertible preferred</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F-32</w:t>
      </w:r>
    </w:p>
    <w:p>
      <w:pPr>
        <w:sectPr>
          <w:pgSz w:w="11900" w:h="16838" w:orient="portrait"/>
          <w:cols w:equalWidth="0" w:num="1">
            <w:col w:w="10159"/>
          </w:cols>
          <w:pgMar w:left="300" w:top="367" w:right="1440" w:bottom="1440" w:gutter="0" w:footer="0" w:header="0"/>
        </w:sectPr>
      </w:pPr>
    </w:p>
    <w:bookmarkStart w:id="196" w:name="page197"/>
    <w:bookmarkEnd w:id="19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39"/>
        <w:spacing w:after="0" w:line="254" w:lineRule="auto"/>
        <w:rPr>
          <w:sz w:val="20"/>
          <w:szCs w:val="20"/>
          <w:color w:val="auto"/>
        </w:rPr>
      </w:pPr>
      <w:r>
        <w:rPr>
          <w:rFonts w:ascii="Times New Roman" w:cs="Times New Roman" w:eastAsia="Times New Roman" w:hAnsi="Times New Roman"/>
          <w:sz w:val="13"/>
          <w:szCs w:val="13"/>
          <w:color w:val="auto"/>
        </w:rPr>
        <w:t>stock, voting as a separate class, are entitled to elect one member of the Board of Directors. The holders of a majority of the voting power of the then outstanding shares of common stock, voting as a separate class, are entitled to elect one member of the Board of Directors. The holders of a majority of the voting power of the then outstanding shares of common stock and Series 1 redeemable convertible preferred stock, voting together as a single class, are entitled to elect two members to the Board of Directors. The holders of a majority of the voting power of the then outstanding shares of common stock, Series 1 redeemable convertible preferred stock, and Series A-E redeemable convertible preferred stock, voting together as a single class, are entitled to elect the remaining members to the Board of Directors.</w:t>
      </w:r>
    </w:p>
    <w:p>
      <w:pPr>
        <w:spacing w:after="0" w:line="21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Redemption</w:t>
      </w:r>
    </w:p>
    <w:p>
      <w:pPr>
        <w:spacing w:after="0" w:line="87" w:lineRule="exact"/>
        <w:rPr>
          <w:sz w:val="20"/>
          <w:szCs w:val="20"/>
          <w:color w:val="auto"/>
        </w:rPr>
      </w:pPr>
    </w:p>
    <w:p>
      <w:pPr>
        <w:ind w:left="1680" w:right="659" w:firstLine="316"/>
        <w:spacing w:after="0" w:line="277" w:lineRule="auto"/>
        <w:rPr>
          <w:sz w:val="20"/>
          <w:szCs w:val="20"/>
          <w:color w:val="auto"/>
        </w:rPr>
      </w:pPr>
      <w:r>
        <w:rPr>
          <w:rFonts w:ascii="Times New Roman" w:cs="Times New Roman" w:eastAsia="Times New Roman" w:hAnsi="Times New Roman"/>
          <w:sz w:val="13"/>
          <w:szCs w:val="13"/>
          <w:color w:val="auto"/>
        </w:rPr>
        <w:t>While Series A, Series B, Series C, Series D, and Series E redeemable convertible preferred stock do not have mandatory redemption provisions, they are contingently redeemable upon a deemed liquidation event.</w:t>
      </w:r>
    </w:p>
    <w:p>
      <w:pPr>
        <w:spacing w:after="0" w:line="19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Classification of Series A-E Redeemable Convertible Preferred Stock</w:t>
      </w:r>
    </w:p>
    <w:p>
      <w:pPr>
        <w:spacing w:after="0" w:line="87" w:lineRule="exact"/>
        <w:rPr>
          <w:sz w:val="20"/>
          <w:szCs w:val="20"/>
          <w:color w:val="auto"/>
        </w:rPr>
      </w:pPr>
    </w:p>
    <w:p>
      <w:pPr>
        <w:ind w:left="1680" w:right="659" w:firstLine="316"/>
        <w:spacing w:after="0" w:line="258" w:lineRule="auto"/>
        <w:rPr>
          <w:sz w:val="20"/>
          <w:szCs w:val="20"/>
          <w:color w:val="auto"/>
        </w:rPr>
      </w:pPr>
      <w:r>
        <w:rPr>
          <w:rFonts w:ascii="Times New Roman" w:cs="Times New Roman" w:eastAsia="Times New Roman" w:hAnsi="Times New Roman"/>
          <w:sz w:val="13"/>
          <w:szCs w:val="13"/>
          <w:color w:val="auto"/>
        </w:rPr>
        <w:t>The deemed liquidation preference provisions of the Series A, Series B, Series C, Series D, and Series E redeemable convertible preferred stock are considered contingent redemption provisions that are not solely within the Company’s control. Accordingly, the Series A, Series B, Series C, Series D, and Series E redeemable convertible preferred stock have been presented outside of permanent equity in the mezzanine section of the consolidated balance sheets.</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Series B Redeemable Convertible Preferred Stock Warrants</w:t>
      </w:r>
    </w:p>
    <w:p>
      <w:pPr>
        <w:spacing w:after="0" w:line="87" w:lineRule="exact"/>
        <w:rPr>
          <w:sz w:val="20"/>
          <w:szCs w:val="20"/>
          <w:color w:val="auto"/>
        </w:rPr>
      </w:pPr>
    </w:p>
    <w:p>
      <w:pPr>
        <w:ind w:left="1680" w:right="599" w:firstLine="316"/>
        <w:spacing w:after="0" w:line="258" w:lineRule="auto"/>
        <w:rPr>
          <w:sz w:val="20"/>
          <w:szCs w:val="20"/>
          <w:color w:val="auto"/>
        </w:rPr>
      </w:pPr>
      <w:r>
        <w:rPr>
          <w:rFonts w:ascii="Times New Roman" w:cs="Times New Roman" w:eastAsia="Times New Roman" w:hAnsi="Times New Roman"/>
          <w:sz w:val="13"/>
          <w:szCs w:val="13"/>
          <w:color w:val="auto"/>
        </w:rPr>
        <w:t>In connection with the revision and extension of the Company’s corporate headquarters office lease agreement in November 2012, the Company issued fully exercisable redeemable convertible preferred stock warrants to purchase 36,928 shares of the Company’s Series B redeemable convertible preferred stock at a price of $2.71. The change in fair value of the redeemable convertible preferred stock warrant liability was less than $0.1 million for both years ended January 31, 2019 and 2020.</w:t>
      </w:r>
    </w:p>
    <w:p>
      <w:pPr>
        <w:spacing w:after="0" w:line="133" w:lineRule="exact"/>
        <w:rPr>
          <w:sz w:val="20"/>
          <w:szCs w:val="20"/>
          <w:color w:val="auto"/>
        </w:rPr>
      </w:pPr>
    </w:p>
    <w:p>
      <w:pPr>
        <w:ind w:left="1680" w:right="599" w:firstLine="316"/>
        <w:spacing w:after="0" w:line="258" w:lineRule="auto"/>
        <w:rPr>
          <w:sz w:val="20"/>
          <w:szCs w:val="20"/>
          <w:color w:val="auto"/>
        </w:rPr>
      </w:pPr>
      <w:r>
        <w:rPr>
          <w:rFonts w:ascii="Times New Roman" w:cs="Times New Roman" w:eastAsia="Times New Roman" w:hAnsi="Times New Roman"/>
          <w:sz w:val="13"/>
          <w:szCs w:val="13"/>
          <w:color w:val="auto"/>
        </w:rPr>
        <w:t>In November 2019, the redeemable convertible preferred stock warrants were net exercised, under which the number of issuable shares was reduced by the number of shares with an aggregate fair value equal to the exercise price of the warrant, resulting in 6,322 shares surrendered and 30,606 shares of Series B redeemable convertible preferred stock issued. There were no redeemable convertible preferred stock warrants outstanding as of January 31, 2020.</w:t>
      </w:r>
    </w:p>
    <w:p>
      <w:pPr>
        <w:spacing w:after="0" w:line="20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Note 11. Stockholders’ Deficit</w:t>
      </w:r>
    </w:p>
    <w:p>
      <w:pPr>
        <w:spacing w:after="0" w:line="15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Common Stock</w:t>
      </w:r>
    </w:p>
    <w:p>
      <w:pPr>
        <w:spacing w:after="0" w:line="87" w:lineRule="exact"/>
        <w:rPr>
          <w:sz w:val="20"/>
          <w:szCs w:val="20"/>
          <w:color w:val="auto"/>
        </w:rPr>
      </w:pPr>
    </w:p>
    <w:p>
      <w:pPr>
        <w:ind w:left="1680" w:right="659" w:firstLine="316"/>
        <w:spacing w:after="0" w:line="254" w:lineRule="auto"/>
        <w:rPr>
          <w:sz w:val="20"/>
          <w:szCs w:val="20"/>
          <w:color w:val="auto"/>
        </w:rPr>
      </w:pPr>
      <w:r>
        <w:rPr>
          <w:rFonts w:ascii="Times New Roman" w:cs="Times New Roman" w:eastAsia="Times New Roman" w:hAnsi="Times New Roman"/>
          <w:sz w:val="13"/>
          <w:szCs w:val="13"/>
          <w:color w:val="auto"/>
        </w:rPr>
        <w:t>There are two classes of common stock that total 540,000,000 authorized shares: 270,000,000 authorized shares of Class A common stock and 270,000,000 authorized shares of Class B common stock. The rights of the holders of Class A common stock and Class B common stock are identical, except with respect to voting and conversion. Each share of Class A common stock is entitled to one vote per share. Each share of Class B common stock is entitled to 100 votes per share and is convertible into one share of Class A common stock. There are 15,498,109 shares of Class A common stock and 61,189,400 shares of Class B common stock issued and outstanding as of January 31, 2020. There are 16,863,570 shares of Class A common stock and 60,874,637 shares of Class B common stock issued and outstanding as of July 31, 2020 (unaudited).</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F-33</w:t>
      </w:r>
    </w:p>
    <w:p>
      <w:pPr>
        <w:sectPr>
          <w:pgSz w:w="11900" w:h="16838" w:orient="portrait"/>
          <w:cols w:equalWidth="0" w:num="1">
            <w:col w:w="10159"/>
          </w:cols>
          <w:pgMar w:left="300" w:top="367" w:right="1440" w:bottom="1440" w:gutter="0" w:footer="0" w:header="0"/>
        </w:sectPr>
      </w:pPr>
    </w:p>
    <w:bookmarkStart w:id="197" w:name="page198"/>
    <w:bookmarkEnd w:id="19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Common Stock Reserved for Future Issuance</w:t>
      </w:r>
    </w:p>
    <w:p>
      <w:pPr>
        <w:spacing w:after="0" w:line="8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Company had reserved the following shares of common stock for future issuance for the periods below (in thousands):</w:t>
      </w:r>
    </w:p>
    <w:p>
      <w:pPr>
        <w:spacing w:after="0" w:line="168"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1280" w:type="dxa"/>
            <w:vAlign w:val="bottom"/>
            <w:gridSpan w:val="3"/>
            <w:vMerge w:val="restart"/>
          </w:tcPr>
          <w:p>
            <w:pPr>
              <w:jc w:val="right"/>
              <w:ind w:right="195"/>
              <w:spacing w:after="0"/>
              <w:rPr>
                <w:sz w:val="20"/>
                <w:szCs w:val="20"/>
                <w:color w:val="auto"/>
              </w:rPr>
            </w:pPr>
            <w:r>
              <w:rPr>
                <w:rFonts w:ascii="Times New Roman" w:cs="Times New Roman" w:eastAsia="Times New Roman" w:hAnsi="Times New Roman"/>
                <w:sz w:val="10"/>
                <w:szCs w:val="10"/>
                <w:b w:val="1"/>
                <w:bCs w:val="1"/>
                <w:color w:val="auto"/>
              </w:rPr>
              <w:t>As of January 31,</w:t>
            </w:r>
          </w:p>
        </w:tc>
        <w:tc>
          <w:tcPr>
            <w:tcW w:w="120" w:type="dxa"/>
            <w:vAlign w:val="bottom"/>
          </w:tcPr>
          <w:p>
            <w:pPr>
              <w:spacing w:after="0"/>
              <w:rPr>
                <w:sz w:val="10"/>
                <w:szCs w:val="10"/>
                <w:color w:val="auto"/>
              </w:rPr>
            </w:pPr>
          </w:p>
        </w:tc>
        <w:tc>
          <w:tcPr>
            <w:tcW w:w="66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4"/>
                <w:szCs w:val="4"/>
                <w:color w:val="auto"/>
              </w:rPr>
            </w:pPr>
          </w:p>
        </w:tc>
        <w:tc>
          <w:tcPr>
            <w:tcW w:w="5840" w:type="dxa"/>
            <w:vAlign w:val="bottom"/>
          </w:tcPr>
          <w:p>
            <w:pPr>
              <w:spacing w:after="0"/>
              <w:rPr>
                <w:sz w:val="4"/>
                <w:szCs w:val="4"/>
                <w:color w:val="auto"/>
              </w:rPr>
            </w:pPr>
          </w:p>
        </w:tc>
        <w:tc>
          <w:tcPr>
            <w:tcW w:w="1280" w:type="dxa"/>
            <w:vAlign w:val="bottom"/>
            <w:tcBorders>
              <w:bottom w:val="single" w:sz="8" w:color="auto"/>
            </w:tcBorders>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gridSpan w:val="2"/>
            <w:vMerge w:val="restart"/>
          </w:tcPr>
          <w:p>
            <w:pPr>
              <w:jc w:val="center"/>
              <w:ind w:right="40"/>
              <w:spacing w:after="0" w:line="107" w:lineRule="exact"/>
              <w:rPr>
                <w:sz w:val="20"/>
                <w:szCs w:val="20"/>
                <w:color w:val="auto"/>
              </w:rPr>
            </w:pPr>
            <w:r>
              <w:rPr>
                <w:rFonts w:ascii="Times New Roman" w:cs="Times New Roman" w:eastAsia="Times New Roman" w:hAnsi="Times New Roman"/>
                <w:sz w:val="10"/>
                <w:szCs w:val="10"/>
                <w:b w:val="1"/>
                <w:bCs w:val="1"/>
                <w:color w:val="auto"/>
              </w:rPr>
              <w:t>July 31,</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580" w:type="dxa"/>
            <w:vAlign w:val="bottom"/>
            <w:vMerge w:val="restart"/>
          </w:tcPr>
          <w:p>
            <w:pPr>
              <w:jc w:val="right"/>
              <w:ind w:right="137"/>
              <w:spacing w:after="0"/>
              <w:rPr>
                <w:sz w:val="20"/>
                <w:szCs w:val="20"/>
                <w:color w:val="auto"/>
              </w:rPr>
            </w:pPr>
            <w:r>
              <w:rPr>
                <w:rFonts w:ascii="Times New Roman" w:cs="Times New Roman" w:eastAsia="Times New Roman" w:hAnsi="Times New Roman"/>
                <w:sz w:val="10"/>
                <w:szCs w:val="10"/>
                <w:b w:val="1"/>
                <w:bCs w:val="1"/>
                <w:color w:val="auto"/>
              </w:rPr>
              <w:t>2019</w:t>
            </w:r>
          </w:p>
        </w:tc>
        <w:tc>
          <w:tcPr>
            <w:tcW w:w="700" w:type="dxa"/>
            <w:vAlign w:val="bottom"/>
            <w:gridSpan w:val="2"/>
            <w:vMerge w:val="restart"/>
          </w:tcPr>
          <w:p>
            <w:pPr>
              <w:jc w:val="right"/>
              <w:ind w:right="115"/>
              <w:spacing w:after="0"/>
              <w:rPr>
                <w:sz w:val="20"/>
                <w:szCs w:val="20"/>
                <w:color w:val="auto"/>
              </w:rPr>
            </w:pPr>
            <w:r>
              <w:rPr>
                <w:rFonts w:ascii="Times New Roman" w:cs="Times New Roman" w:eastAsia="Times New Roman" w:hAnsi="Times New Roman"/>
                <w:sz w:val="10"/>
                <w:szCs w:val="10"/>
                <w:b w:val="1"/>
                <w:bCs w:val="1"/>
                <w:color w:val="auto"/>
              </w:rPr>
              <w:t>2020</w:t>
            </w:r>
          </w:p>
        </w:tc>
        <w:tc>
          <w:tcPr>
            <w:tcW w:w="1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740" w:type="dxa"/>
            <w:vAlign w:val="bottom"/>
            <w:gridSpan w:val="2"/>
          </w:tcPr>
          <w:p>
            <w:pPr>
              <w:jc w:val="center"/>
              <w:ind w:left="37"/>
              <w:spacing w:after="0"/>
              <w:rPr>
                <w:sz w:val="20"/>
                <w:szCs w:val="20"/>
                <w:color w:val="auto"/>
              </w:rPr>
            </w:pPr>
            <w:r>
              <w:rPr>
                <w:rFonts w:ascii="Times New Roman" w:cs="Times New Roman" w:eastAsia="Times New Roman" w:hAnsi="Times New Roman"/>
                <w:sz w:val="10"/>
                <w:szCs w:val="10"/>
                <w:b w:val="1"/>
                <w:bCs w:val="1"/>
                <w:color w:val="auto"/>
                <w:w w:val="99"/>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Borders>
              <w:top w:val="single" w:sz="8" w:color="auto"/>
            </w:tcBorders>
          </w:tcPr>
          <w:p>
            <w:pPr>
              <w:jc w:val="center"/>
              <w:spacing w:after="0" w:line="97"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Conversion of Series 1 redeemable convertible preferred stock</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Conversion of Series A redeemable convertible preferred stock</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20,771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20,771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20,771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Conversion of Series B redeemable convertible preferred stock</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10,447</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10,478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10,478</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Warrants to purchase Series B redeemable convertible preferred stock</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Conversion of Series C redeemable convertible preferred stock</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20,186</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20,186</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20,186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Conversion of Series D redeemable convertible preferred stock</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14,353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14,353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14,353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Conversion of Series E redeemable convertible preferred stock</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6,230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6,230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6,230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Common stock options issued and outstanding</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33,878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34,517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33,024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RSUs issued and outstanding</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Shares available for future grants</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4,787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110,210</w:t>
            </w:r>
          </w:p>
        </w:tc>
        <w:tc>
          <w:tcPr>
            <w:tcW w:w="12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112,973</w:t>
            </w:r>
          </w:p>
        </w:tc>
        <w:tc>
          <w:tcPr>
            <w:tcW w:w="12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116,322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Stock Plans</w:t>
      </w:r>
    </w:p>
    <w:p>
      <w:pPr>
        <w:spacing w:after="0" w:line="87" w:lineRule="exact"/>
        <w:rPr>
          <w:sz w:val="20"/>
          <w:szCs w:val="20"/>
          <w:color w:val="auto"/>
        </w:rPr>
      </w:pPr>
    </w:p>
    <w:p>
      <w:pPr>
        <w:ind w:left="1680" w:right="699" w:firstLine="316"/>
        <w:spacing w:after="0" w:line="263" w:lineRule="auto"/>
        <w:rPr>
          <w:sz w:val="20"/>
          <w:szCs w:val="20"/>
          <w:color w:val="auto"/>
        </w:rPr>
      </w:pPr>
      <w:r>
        <w:rPr>
          <w:rFonts w:ascii="Times New Roman" w:cs="Times New Roman" w:eastAsia="Times New Roman" w:hAnsi="Times New Roman"/>
          <w:sz w:val="13"/>
          <w:szCs w:val="13"/>
          <w:color w:val="auto"/>
        </w:rPr>
        <w:t>The Company has a 2009 Stock Plan (the “2009 Plan”) and a 2012 Stock Plan (the “2012 Plan”). Both plans were initially established to grant stock options to employees and consultants of the Company to assist in attracting, retaining, and motivating employees and consultants and to provide incentives to promote the success of the Company’s business.</w:t>
      </w:r>
    </w:p>
    <w:p>
      <w:pPr>
        <w:spacing w:after="0" w:line="129" w:lineRule="exact"/>
        <w:rPr>
          <w:sz w:val="20"/>
          <w:szCs w:val="20"/>
          <w:color w:val="auto"/>
        </w:rPr>
      </w:pPr>
    </w:p>
    <w:p>
      <w:pPr>
        <w:ind w:left="1680" w:right="619" w:firstLine="316"/>
        <w:spacing w:after="0" w:line="254" w:lineRule="auto"/>
        <w:rPr>
          <w:sz w:val="20"/>
          <w:szCs w:val="20"/>
          <w:color w:val="auto"/>
        </w:rPr>
      </w:pPr>
      <w:r>
        <w:rPr>
          <w:rFonts w:ascii="Times New Roman" w:cs="Times New Roman" w:eastAsia="Times New Roman" w:hAnsi="Times New Roman"/>
          <w:sz w:val="13"/>
          <w:szCs w:val="13"/>
          <w:color w:val="auto"/>
        </w:rPr>
        <w:t>Options granted under both plans may be either incentive stock options (“ISOs”) or nonqualified stock options (“NSOs”). ISOs may be granted only to Company employees (including officers and directors who are also employees). NSOs may be granted to Company employees and consultants. Restricted stock may also be granted under the 2012 Plan. Options under the 2012 Plan may be granted for periods of up to 10 years. The exercise price of an ISO and NSO shall not be less than 100% of the estimated fair value of the shares on the date of grant as determined by the Board of Directors. Options granted generally vest over four years and vest at a rate of 25% upon the first anniversary of the vesting commencement date and 1/48 per month thereafter.</w:t>
      </w:r>
    </w:p>
    <w:p>
      <w:pPr>
        <w:spacing w:after="0" w:line="136" w:lineRule="exact"/>
        <w:rPr>
          <w:sz w:val="20"/>
          <w:szCs w:val="20"/>
          <w:color w:val="auto"/>
        </w:rPr>
      </w:pPr>
    </w:p>
    <w:p>
      <w:pPr>
        <w:ind w:left="1680" w:right="699" w:firstLine="316"/>
        <w:spacing w:after="0" w:line="277" w:lineRule="auto"/>
        <w:rPr>
          <w:sz w:val="20"/>
          <w:szCs w:val="20"/>
          <w:color w:val="auto"/>
        </w:rPr>
      </w:pPr>
      <w:r>
        <w:rPr>
          <w:rFonts w:ascii="Times New Roman" w:cs="Times New Roman" w:eastAsia="Times New Roman" w:hAnsi="Times New Roman"/>
          <w:sz w:val="13"/>
          <w:szCs w:val="13"/>
          <w:color w:val="auto"/>
        </w:rPr>
        <w:t>The Company has also issued RSUs pursuant to the 2012 Plan. RSUs granted vest over four years, and vest at either a rate of 25% upon the first anniversary of the vesting commencement date and continued vesting quarterly thereafter, or vest quarterly over the service period.</w:t>
      </w:r>
    </w:p>
    <w:p>
      <w:pPr>
        <w:spacing w:after="0" w:line="120" w:lineRule="exact"/>
        <w:rPr>
          <w:sz w:val="20"/>
          <w:szCs w:val="20"/>
          <w:color w:val="auto"/>
        </w:rPr>
      </w:pPr>
    </w:p>
    <w:p>
      <w:pPr>
        <w:ind w:left="1680" w:right="639" w:firstLine="316"/>
        <w:spacing w:after="0" w:line="277" w:lineRule="auto"/>
        <w:rPr>
          <w:sz w:val="20"/>
          <w:szCs w:val="20"/>
          <w:color w:val="auto"/>
        </w:rPr>
      </w:pPr>
      <w:r>
        <w:rPr>
          <w:rFonts w:ascii="Times New Roman" w:cs="Times New Roman" w:eastAsia="Times New Roman" w:hAnsi="Times New Roman"/>
          <w:sz w:val="13"/>
          <w:szCs w:val="13"/>
          <w:color w:val="auto"/>
        </w:rPr>
        <w:t>Shares of common stock purchased under both plans are subject to certain restrictions and repurchase rights, including the right of first refusal by the Company for sale or transfer of shares to outside parties.</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F-34</w:t>
      </w:r>
    </w:p>
    <w:p>
      <w:pPr>
        <w:sectPr>
          <w:pgSz w:w="11900" w:h="16838" w:orient="portrait"/>
          <w:cols w:equalWidth="0" w:num="1">
            <w:col w:w="10159"/>
          </w:cols>
          <w:pgMar w:left="300" w:top="368" w:right="1440" w:bottom="1440" w:gutter="0" w:footer="0" w:header="0"/>
        </w:sectPr>
      </w:pPr>
    </w:p>
    <w:bookmarkStart w:id="198" w:name="page199"/>
    <w:bookmarkEnd w:id="19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Stock Options</w:t>
      </w:r>
    </w:p>
    <w:p>
      <w:pPr>
        <w:spacing w:after="0" w:line="8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Option activity under the Company’s combined stock plans is set forth below (in thousands, except years and per share data):</w:t>
      </w:r>
    </w:p>
    <w:p>
      <w:pPr>
        <w:spacing w:after="0" w:line="168"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8"/>
              </w:rPr>
              <w:t>Weighted-</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Weighted-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60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Average</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Number of</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jc w:val="center"/>
              <w:ind w:right="280"/>
              <w:spacing w:after="0" w:line="107" w:lineRule="exact"/>
              <w:rPr>
                <w:sz w:val="20"/>
                <w:szCs w:val="20"/>
                <w:color w:val="auto"/>
              </w:rPr>
            </w:pPr>
            <w:r>
              <w:rPr>
                <w:rFonts w:ascii="Times New Roman" w:cs="Times New Roman" w:eastAsia="Times New Roman" w:hAnsi="Times New Roman"/>
                <w:sz w:val="10"/>
                <w:szCs w:val="10"/>
                <w:b w:val="1"/>
                <w:bCs w:val="1"/>
                <w:color w:val="auto"/>
              </w:rPr>
              <w:t>Average</w:t>
            </w:r>
          </w:p>
        </w:tc>
        <w:tc>
          <w:tcPr>
            <w:tcW w:w="60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Remaining</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Aggregate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jc w:val="center"/>
              <w:ind w:right="280"/>
              <w:spacing w:after="0" w:line="107" w:lineRule="exact"/>
              <w:rPr>
                <w:sz w:val="20"/>
                <w:szCs w:val="20"/>
                <w:color w:val="auto"/>
              </w:rPr>
            </w:pPr>
            <w:r>
              <w:rPr>
                <w:rFonts w:ascii="Times New Roman" w:cs="Times New Roman" w:eastAsia="Times New Roman" w:hAnsi="Times New Roman"/>
                <w:sz w:val="10"/>
                <w:szCs w:val="10"/>
                <w:b w:val="1"/>
                <w:bCs w:val="1"/>
                <w:color w:val="auto"/>
                <w:w w:val="99"/>
              </w:rPr>
              <w:t>Exercise</w:t>
            </w:r>
          </w:p>
        </w:tc>
        <w:tc>
          <w:tcPr>
            <w:tcW w:w="60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Contractual</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Price</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(in years)</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Intrinsic Value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66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Balances at January 31, 2019</w:t>
            </w:r>
          </w:p>
        </w:tc>
        <w:tc>
          <w:tcPr>
            <w:tcW w:w="56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33,878</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1.51</w:t>
            </w:r>
          </w:p>
        </w:tc>
        <w:tc>
          <w:tcPr>
            <w:tcW w:w="1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7.4</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74,127</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3"/>
                <w:szCs w:val="13"/>
                <w:color w:val="auto"/>
              </w:rPr>
              <w:t>Options canceled</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(1,985)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Options granted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11,080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3"/>
                <w:szCs w:val="13"/>
                <w:color w:val="auto"/>
              </w:rPr>
              <w:t>Options exercised</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(8,456)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Balances at January 31, 2020</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34,517</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362,046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3"/>
                <w:szCs w:val="13"/>
                <w:color w:val="auto"/>
              </w:rPr>
              <w:t>Options granted (unaudited)</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13.04</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Options exercised (unaudited)</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(1,030)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3"/>
                <w:szCs w:val="13"/>
                <w:color w:val="auto"/>
              </w:rPr>
              <w:t>Options canceled (unaudited)</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(480)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Balances at July 31, 2020 (unaudited)</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33,024</w:t>
            </w:r>
          </w:p>
        </w:tc>
        <w:tc>
          <w:tcPr>
            <w:tcW w:w="1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452,471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Vested and exercisable at January 31, 2020</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15,998</w:t>
            </w:r>
          </w:p>
        </w:tc>
        <w:tc>
          <w:tcPr>
            <w:tcW w:w="14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2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187,152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Vested and expected to vest at January 31, 2020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35,911</w:t>
            </w:r>
          </w:p>
        </w:tc>
        <w:tc>
          <w:tcPr>
            <w:tcW w:w="1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376,307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Vested and exercisable at July 31, 2020 (unaudited)</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18,509</w:t>
            </w:r>
          </w:p>
        </w:tc>
        <w:tc>
          <w:tcPr>
            <w:tcW w:w="14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2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271,630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Vested and expected to vest at July 31, 2020 (unaudited)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33,860</w:t>
            </w:r>
          </w:p>
        </w:tc>
        <w:tc>
          <w:tcPr>
            <w:tcW w:w="1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463,504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1680" w:right="659" w:firstLine="316"/>
        <w:spacing w:after="0" w:line="277" w:lineRule="auto"/>
        <w:rPr>
          <w:sz w:val="20"/>
          <w:szCs w:val="20"/>
          <w:color w:val="auto"/>
        </w:rPr>
      </w:pPr>
      <w:r>
        <w:rPr>
          <w:rFonts w:ascii="Times New Roman" w:cs="Times New Roman" w:eastAsia="Times New Roman" w:hAnsi="Times New Roman"/>
          <w:sz w:val="13"/>
          <w:szCs w:val="13"/>
          <w:color w:val="auto"/>
        </w:rPr>
        <w:t>The weighted-average grant-date fair value of options granted and the total intrinsic value of options exercised during the periods presented were as follows:</w:t>
      </w:r>
    </w:p>
    <w:p>
      <w:pPr>
        <w:spacing w:after="0" w:line="127"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4"/>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4"/>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Six Months Ended</w:t>
            </w:r>
          </w:p>
        </w:tc>
      </w:tr>
      <w:tr>
        <w:trPr>
          <w:trHeight w:val="123"/>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January 31,</w:t>
            </w: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2"/>
          </w:tcPr>
          <w:p>
            <w:pPr>
              <w:jc w:val="center"/>
              <w:ind w:left="304"/>
              <w:spacing w:after="0"/>
              <w:rPr>
                <w:sz w:val="20"/>
                <w:szCs w:val="20"/>
                <w:color w:val="auto"/>
              </w:rPr>
            </w:pPr>
            <w:r>
              <w:rPr>
                <w:rFonts w:ascii="Times New Roman" w:cs="Times New Roman" w:eastAsia="Times New Roman" w:hAnsi="Times New Roman"/>
                <w:sz w:val="10"/>
                <w:szCs w:val="10"/>
                <w:b w:val="1"/>
                <w:bCs w:val="1"/>
                <w:color w:val="auto"/>
              </w:rPr>
              <w:t>July 31,</w:t>
            </w:r>
          </w:p>
        </w:tc>
        <w:tc>
          <w:tcPr>
            <w:tcW w:w="5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6"/>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43"/>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80"/>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84"/>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200"/>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4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gridSpan w:val="3"/>
          </w:tcPr>
          <w:p>
            <w:pPr>
              <w:jc w:val="center"/>
              <w:ind w:right="60"/>
              <w:spacing w:after="0" w:line="97"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40" w:type="dxa"/>
            <w:vAlign w:val="bottom"/>
          </w:tcPr>
          <w:p>
            <w:pPr>
              <w:spacing w:after="0"/>
              <w:rPr>
                <w:sz w:val="8"/>
                <w:szCs w:val="8"/>
                <w:color w:val="auto"/>
              </w:rPr>
            </w:pPr>
          </w:p>
        </w:tc>
      </w:tr>
      <w:tr>
        <w:trPr>
          <w:trHeight w:val="155"/>
        </w:trPr>
        <w:tc>
          <w:tcPr>
            <w:tcW w:w="20" w:type="dxa"/>
            <w:vAlign w:val="bottom"/>
          </w:tcPr>
          <w:p>
            <w:pPr>
              <w:spacing w:after="0"/>
              <w:rPr>
                <w:sz w:val="13"/>
                <w:szCs w:val="13"/>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Weighted-average grant-date fair value per share</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3"/>
                <w:szCs w:val="13"/>
                <w:color w:val="auto"/>
              </w:rPr>
              <w:t>2.88</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6.77</w:t>
            </w:r>
          </w:p>
        </w:tc>
        <w:tc>
          <w:tcPr>
            <w:tcW w:w="40" w:type="dxa"/>
            <w:vAlign w:val="bottom"/>
            <w:shd w:val="clear" w:color="auto" w:fill="CCEEFF"/>
          </w:tcPr>
          <w:p>
            <w:pPr>
              <w:spacing w:after="0"/>
              <w:rPr>
                <w:sz w:val="13"/>
                <w:szCs w:val="13"/>
                <w:color w:val="auto"/>
              </w:rPr>
            </w:pPr>
          </w:p>
        </w:tc>
      </w:tr>
      <w:tr>
        <w:trPr>
          <w:trHeight w:val="167"/>
        </w:trPr>
        <w:tc>
          <w:tcPr>
            <w:tcW w:w="20" w:type="dxa"/>
            <w:vAlign w:val="bottom"/>
          </w:tcPr>
          <w:p>
            <w:pPr>
              <w:spacing w:after="0"/>
              <w:rPr>
                <w:sz w:val="14"/>
                <w:szCs w:val="14"/>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3"/>
                <w:szCs w:val="13"/>
                <w:color w:val="auto"/>
              </w:rPr>
              <w:t>Aggregate intrinsic value of options exercised (in thousands)</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6,113</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41,270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13"/>
                <w:szCs w:val="13"/>
                <w:color w:val="auto"/>
              </w:rPr>
              <w:t>7,602</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12,353</w:t>
            </w:r>
          </w:p>
        </w:tc>
        <w:tc>
          <w:tcPr>
            <w:tcW w:w="40" w:type="dxa"/>
            <w:vAlign w:val="bottom"/>
          </w:tcPr>
          <w:p>
            <w:pPr>
              <w:spacing w:after="0"/>
              <w:rPr>
                <w:sz w:val="14"/>
                <w:szCs w:val="14"/>
                <w:color w:val="auto"/>
              </w:rPr>
            </w:pPr>
          </w:p>
        </w:tc>
      </w:tr>
    </w:tbl>
    <w:p>
      <w:pPr>
        <w:spacing w:after="0" w:line="20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Early Exercise of Employee Options</w:t>
      </w:r>
    </w:p>
    <w:p>
      <w:pPr>
        <w:spacing w:after="0" w:line="87" w:lineRule="exact"/>
        <w:rPr>
          <w:sz w:val="20"/>
          <w:szCs w:val="20"/>
          <w:color w:val="auto"/>
        </w:rPr>
      </w:pPr>
    </w:p>
    <w:p>
      <w:pPr>
        <w:ind w:left="1680" w:right="639" w:firstLine="316"/>
        <w:spacing w:after="0" w:line="254" w:lineRule="auto"/>
        <w:rPr>
          <w:sz w:val="20"/>
          <w:szCs w:val="20"/>
          <w:color w:val="auto"/>
        </w:rPr>
      </w:pPr>
      <w:r>
        <w:rPr>
          <w:rFonts w:ascii="Times New Roman" w:cs="Times New Roman" w:eastAsia="Times New Roman" w:hAnsi="Times New Roman"/>
          <w:sz w:val="13"/>
          <w:szCs w:val="13"/>
          <w:color w:val="auto"/>
        </w:rPr>
        <w:t>The 2009 Plan and 2012 Plan allow for the early exercise of stock options. The consideration received for an early exercise of an option is considered to be a deposit of the exercise price, and the related dollar amount is recorded as a liability and reflected in accrued expenses and other current liabilities and other liabilities in the consolidated balance sheets. This liability is reclassified to additional paid-in capital as the awards vest. If a stock option is early exercised, the unvested shares may be repurchased by the Company in case of employment termination at the price paid by the purchaser for such shares. Shares that were subject to repurchase totaled 781,386, 1,393,024, and 835,488 as of January 31, 2019 and 2020 and July 31, 2020 (unaudited), respectively.</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F-35</w:t>
      </w:r>
    </w:p>
    <w:p>
      <w:pPr>
        <w:sectPr>
          <w:pgSz w:w="11900" w:h="16838" w:orient="portrait"/>
          <w:cols w:equalWidth="0" w:num="1">
            <w:col w:w="10159"/>
          </w:cols>
          <w:pgMar w:left="300" w:top="367" w:right="1440" w:bottom="1440" w:gutter="0" w:footer="0" w:header="0"/>
        </w:sectPr>
      </w:pPr>
    </w:p>
    <w:bookmarkStart w:id="199" w:name="page200"/>
    <w:bookmarkEnd w:id="19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Determination of Fair Values</w:t>
      </w:r>
    </w:p>
    <w:p>
      <w:pPr>
        <w:spacing w:after="0" w:line="8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assumptions used in the Black-Scholes pricing model for stock-based compensation for the periods below were as follows:</w:t>
      </w:r>
    </w:p>
    <w:p>
      <w:pPr>
        <w:spacing w:after="0" w:line="176"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440" w:type="dxa"/>
            <w:vAlign w:val="bottom"/>
            <w:gridSpan w:val="6"/>
          </w:tcPr>
          <w:p>
            <w:pPr>
              <w:jc w:val="right"/>
              <w:ind w:right="960"/>
              <w:spacing w:after="0"/>
              <w:rPr>
                <w:sz w:val="20"/>
                <w:szCs w:val="20"/>
                <w:color w:val="auto"/>
              </w:rPr>
            </w:pPr>
            <w:r>
              <w:rPr>
                <w:rFonts w:ascii="Times New Roman" w:cs="Times New Roman" w:eastAsia="Times New Roman" w:hAnsi="Times New Roman"/>
                <w:sz w:val="10"/>
                <w:szCs w:val="10"/>
                <w:b w:val="1"/>
                <w:bCs w:val="1"/>
                <w:color w:val="auto"/>
              </w:rPr>
              <w:t>Year Ended January 31,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gridSpan w:val="9"/>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Six Months Ended July 31,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680" w:type="dxa"/>
            <w:vAlign w:val="bottom"/>
            <w:tcBorders>
              <w:bottom w:val="single" w:sz="8" w:color="CCEEFF"/>
            </w:tcBorders>
          </w:tcPr>
          <w:p>
            <w:pPr>
              <w:spacing w:after="0"/>
              <w:rPr>
                <w:sz w:val="8"/>
                <w:szCs w:val="8"/>
                <w:color w:val="auto"/>
              </w:rPr>
            </w:pPr>
          </w:p>
        </w:tc>
        <w:tc>
          <w:tcPr>
            <w:tcW w:w="680" w:type="dxa"/>
            <w:vAlign w:val="bottom"/>
            <w:tcBorders>
              <w:top w:val="single" w:sz="8" w:color="auto"/>
              <w:bottom w:val="single" w:sz="8" w:color="auto"/>
            </w:tcBorders>
          </w:tcPr>
          <w:p>
            <w:pPr>
              <w:jc w:val="right"/>
              <w:ind w:right="180"/>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520" w:type="dxa"/>
            <w:vAlign w:val="bottom"/>
            <w:tcBorders>
              <w:top w:val="single" w:sz="8" w:color="auto"/>
              <w:bottom w:val="single" w:sz="8" w:color="CCEEFF"/>
            </w:tcBorders>
          </w:tcPr>
          <w:p>
            <w:pPr>
              <w:spacing w:after="0"/>
              <w:rPr>
                <w:sz w:val="8"/>
                <w:szCs w:val="8"/>
                <w:color w:val="auto"/>
              </w:rPr>
            </w:pPr>
          </w:p>
        </w:tc>
        <w:tc>
          <w:tcPr>
            <w:tcW w:w="680" w:type="dxa"/>
            <w:vAlign w:val="bottom"/>
            <w:tcBorders>
              <w:top w:val="single" w:sz="8" w:color="auto"/>
              <w:bottom w:val="single" w:sz="8" w:color="auto"/>
            </w:tcBorders>
            <w:gridSpan w:val="2"/>
          </w:tcPr>
          <w:p>
            <w:pPr>
              <w:jc w:val="right"/>
              <w:ind w:right="157"/>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20" w:type="dxa"/>
            <w:vAlign w:val="bottom"/>
            <w:tcBorders>
              <w:top w:val="single" w:sz="8" w:color="auto"/>
              <w:bottom w:val="single" w:sz="8" w:color="auto"/>
            </w:tcBorders>
          </w:tcPr>
          <w:p>
            <w:pPr>
              <w:spacing w:after="0"/>
              <w:rPr>
                <w:sz w:val="8"/>
                <w:szCs w:val="8"/>
                <w:color w:val="auto"/>
              </w:rPr>
            </w:pPr>
          </w:p>
        </w:tc>
        <w:tc>
          <w:tcPr>
            <w:tcW w:w="540" w:type="dxa"/>
            <w:vAlign w:val="bottom"/>
            <w:tcBorders>
              <w:bottom w:val="single" w:sz="8" w:color="CCEEFF"/>
            </w:tcBorders>
          </w:tcPr>
          <w:p>
            <w:pPr>
              <w:spacing w:after="0"/>
              <w:rPr>
                <w:sz w:val="8"/>
                <w:szCs w:val="8"/>
                <w:color w:val="auto"/>
              </w:rPr>
            </w:pPr>
          </w:p>
        </w:tc>
        <w:tc>
          <w:tcPr>
            <w:tcW w:w="2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38"/>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60" w:type="dxa"/>
            <w:vAlign w:val="bottom"/>
            <w:tcBorders>
              <w:top w:val="single" w:sz="8" w:color="auto"/>
              <w:bottom w:val="single" w:sz="8" w:color="auto"/>
            </w:tcBorders>
          </w:tcPr>
          <w:p>
            <w:pPr>
              <w:spacing w:after="0"/>
              <w:rPr>
                <w:sz w:val="8"/>
                <w:szCs w:val="8"/>
                <w:color w:val="auto"/>
              </w:rPr>
            </w:pPr>
          </w:p>
        </w:tc>
        <w:tc>
          <w:tcPr>
            <w:tcW w:w="240" w:type="dxa"/>
            <w:vAlign w:val="bottom"/>
            <w:tcBorders>
              <w:top w:val="single" w:sz="8" w:color="auto"/>
              <w:bottom w:val="single" w:sz="8" w:color="CCEEFF"/>
            </w:tcBorders>
          </w:tcPr>
          <w:p>
            <w:pPr>
              <w:spacing w:after="0"/>
              <w:rPr>
                <w:sz w:val="8"/>
                <w:szCs w:val="8"/>
                <w:color w:val="auto"/>
              </w:rPr>
            </w:pPr>
          </w:p>
        </w:tc>
        <w:tc>
          <w:tcPr>
            <w:tcW w:w="140" w:type="dxa"/>
            <w:vAlign w:val="bottom"/>
            <w:tcBorders>
              <w:top w:val="single" w:sz="8" w:color="auto"/>
              <w:bottom w:val="single" w:sz="8" w:color="CCEEFF"/>
            </w:tcBorders>
          </w:tcPr>
          <w:p>
            <w:pPr>
              <w:spacing w:after="0"/>
              <w:rPr>
                <w:sz w:val="8"/>
                <w:szCs w:val="8"/>
                <w:color w:val="auto"/>
              </w:rPr>
            </w:pPr>
          </w:p>
        </w:tc>
        <w:tc>
          <w:tcPr>
            <w:tcW w:w="8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CCEEFF"/>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58"/>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10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6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Risk-free interest rate</w:t>
            </w:r>
          </w:p>
        </w:tc>
        <w:tc>
          <w:tcPr>
            <w:tcW w:w="1200" w:type="dxa"/>
            <w:vAlign w:val="bottom"/>
            <w:gridSpan w:val="2"/>
            <w:shd w:val="clear" w:color="auto" w:fill="CCEEFF"/>
          </w:tcPr>
          <w:p>
            <w:pPr>
              <w:jc w:val="right"/>
              <w:ind w:right="420"/>
              <w:spacing w:after="0" w:line="145" w:lineRule="exact"/>
              <w:rPr>
                <w:sz w:val="20"/>
                <w:szCs w:val="20"/>
                <w:color w:val="auto"/>
              </w:rPr>
            </w:pPr>
            <w:r>
              <w:rPr>
                <w:rFonts w:ascii="Times New Roman" w:cs="Times New Roman" w:eastAsia="Times New Roman" w:hAnsi="Times New Roman"/>
                <w:sz w:val="13"/>
                <w:szCs w:val="13"/>
                <w:color w:val="auto"/>
              </w:rPr>
              <w:t>2.8% -3.1%</w:t>
            </w:r>
          </w:p>
        </w:tc>
        <w:tc>
          <w:tcPr>
            <w:tcW w:w="1240" w:type="dxa"/>
            <w:vAlign w:val="bottom"/>
            <w:gridSpan w:val="4"/>
            <w:shd w:val="clear" w:color="auto" w:fill="CCEEFF"/>
          </w:tcPr>
          <w:p>
            <w:pPr>
              <w:jc w:val="right"/>
              <w:ind w:right="440"/>
              <w:spacing w:after="0" w:line="145" w:lineRule="exact"/>
              <w:rPr>
                <w:sz w:val="20"/>
                <w:szCs w:val="20"/>
                <w:color w:val="auto"/>
              </w:rPr>
            </w:pPr>
            <w:r>
              <w:rPr>
                <w:rFonts w:ascii="Times New Roman" w:cs="Times New Roman" w:eastAsia="Times New Roman" w:hAnsi="Times New Roman"/>
                <w:sz w:val="13"/>
                <w:szCs w:val="13"/>
                <w:color w:val="auto"/>
              </w:rPr>
              <w:t>1.8% - 2.6%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3"/>
                <w:szCs w:val="13"/>
                <w:color w:val="auto"/>
              </w:rPr>
              <w:t>1.9% - 2.6%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3"/>
                <w:szCs w:val="13"/>
                <w:color w:val="auto"/>
              </w:rPr>
              <w:t>Expected term</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color w:val="auto"/>
              </w:rPr>
              <w:t>8 years</w:t>
            </w:r>
          </w:p>
        </w:tc>
        <w:tc>
          <w:tcPr>
            <w:tcW w:w="200" w:type="dxa"/>
            <w:vAlign w:val="bottom"/>
          </w:tcPr>
          <w:p>
            <w:pPr>
              <w:spacing w:after="0"/>
              <w:rPr>
                <w:sz w:val="13"/>
                <w:szCs w:val="13"/>
                <w:color w:val="auto"/>
              </w:rPr>
            </w:pPr>
          </w:p>
        </w:tc>
        <w:tc>
          <w:tcPr>
            <w:tcW w:w="1040" w:type="dxa"/>
            <w:vAlign w:val="bottom"/>
            <w:gridSpan w:val="3"/>
          </w:tcPr>
          <w:p>
            <w:pPr>
              <w:jc w:val="right"/>
              <w:ind w:right="540"/>
              <w:spacing w:after="0"/>
              <w:rPr>
                <w:sz w:val="20"/>
                <w:szCs w:val="20"/>
                <w:color w:val="auto"/>
              </w:rPr>
            </w:pPr>
            <w:r>
              <w:rPr>
                <w:rFonts w:ascii="Times New Roman" w:cs="Times New Roman" w:eastAsia="Times New Roman" w:hAnsi="Times New Roman"/>
                <w:sz w:val="13"/>
                <w:szCs w:val="13"/>
                <w:color w:val="auto"/>
              </w:rPr>
              <w:t>8 years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8 years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8 years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Dividend yield</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10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3"/>
                <w:szCs w:val="13"/>
                <w:color w:val="auto"/>
              </w:rPr>
              <w:t>Expected volatility</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41.6% -46.6%</w:t>
            </w:r>
          </w:p>
        </w:tc>
        <w:tc>
          <w:tcPr>
            <w:tcW w:w="1240" w:type="dxa"/>
            <w:vAlign w:val="bottom"/>
            <w:gridSpan w:val="4"/>
          </w:tcPr>
          <w:p>
            <w:pPr>
              <w:jc w:val="right"/>
              <w:ind w:right="440"/>
              <w:spacing w:after="0"/>
              <w:rPr>
                <w:sz w:val="20"/>
                <w:szCs w:val="20"/>
                <w:color w:val="auto"/>
              </w:rPr>
            </w:pPr>
            <w:r>
              <w:rPr>
                <w:rFonts w:ascii="Times New Roman" w:cs="Times New Roman" w:eastAsia="Times New Roman" w:hAnsi="Times New Roman"/>
                <w:sz w:val="13"/>
                <w:szCs w:val="13"/>
                <w:color w:val="auto"/>
                <w:w w:val="99"/>
              </w:rPr>
              <w:t>44.8% - 46.3%</w:t>
            </w:r>
          </w:p>
        </w:tc>
        <w:tc>
          <w:tcPr>
            <w:tcW w:w="94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45.1% - 46.3%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3680" w:type="dxa"/>
            <w:vAlign w:val="bottom"/>
          </w:tcPr>
          <w:p>
            <w:pPr>
              <w:ind w:left="300"/>
              <w:spacing w:after="0"/>
              <w:rPr>
                <w:sz w:val="20"/>
                <w:szCs w:val="20"/>
                <w:color w:val="auto"/>
              </w:rPr>
            </w:pPr>
            <w:r>
              <w:rPr>
                <w:rFonts w:ascii="Times New Roman" w:cs="Times New Roman" w:eastAsia="Times New Roman" w:hAnsi="Times New Roman"/>
                <w:sz w:val="13"/>
                <w:szCs w:val="13"/>
                <w:b w:val="1"/>
                <w:bCs w:val="1"/>
                <w:i w:val="1"/>
                <w:iCs w:val="1"/>
                <w:color w:val="auto"/>
              </w:rPr>
              <w:t>Restricted Stock Units</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88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The Company’s RSU activity is set forth below (in thousands, except per share data):</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gridSpan w:val="4"/>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rPr>
              <w:t>Weighted-</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40" w:type="dxa"/>
            <w:vAlign w:val="bottom"/>
            <w:gridSpan w:val="4"/>
            <w:vMerge w:val="restart"/>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Number of</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3"/>
          </w:tcPr>
          <w:p>
            <w:pPr>
              <w:jc w:val="center"/>
              <w:ind w:right="480"/>
              <w:spacing w:after="0" w:line="107" w:lineRule="exact"/>
              <w:rPr>
                <w:sz w:val="20"/>
                <w:szCs w:val="20"/>
                <w:color w:val="auto"/>
              </w:rPr>
            </w:pPr>
            <w:r>
              <w:rPr>
                <w:rFonts w:ascii="Times New Roman" w:cs="Times New Roman" w:eastAsia="Times New Roman" w:hAnsi="Times New Roman"/>
                <w:sz w:val="10"/>
                <w:szCs w:val="10"/>
                <w:b w:val="1"/>
                <w:bCs w:val="1"/>
                <w:color w:val="auto"/>
              </w:rPr>
              <w:t>Average</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Aggregate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40" w:type="dxa"/>
            <w:vAlign w:val="bottom"/>
            <w:gridSpan w:val="4"/>
            <w:vMerge w:val="continue"/>
          </w:tcPr>
          <w:p>
            <w:pPr>
              <w:spacing w:after="0"/>
              <w:rPr>
                <w:sz w:val="9"/>
                <w:szCs w:val="9"/>
                <w:color w:val="auto"/>
              </w:rPr>
            </w:pPr>
          </w:p>
        </w:tc>
        <w:tc>
          <w:tcPr>
            <w:tcW w:w="940" w:type="dxa"/>
            <w:vAlign w:val="bottom"/>
            <w:gridSpan w:val="5"/>
          </w:tcPr>
          <w:p>
            <w:pPr>
              <w:jc w:val="center"/>
              <w:ind w:right="400"/>
              <w:spacing w:after="0" w:line="107" w:lineRule="exact"/>
              <w:rPr>
                <w:sz w:val="20"/>
                <w:szCs w:val="20"/>
                <w:color w:val="auto"/>
              </w:rPr>
            </w:pPr>
            <w:r>
              <w:rPr>
                <w:rFonts w:ascii="Times New Roman" w:cs="Times New Roman" w:eastAsia="Times New Roman" w:hAnsi="Times New Roman"/>
                <w:sz w:val="10"/>
                <w:szCs w:val="10"/>
                <w:b w:val="1"/>
                <w:bCs w:val="1"/>
                <w:color w:val="auto"/>
              </w:rPr>
              <w:t>Grant Date</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3"/>
          </w:tcPr>
          <w:p>
            <w:pPr>
              <w:jc w:val="right"/>
              <w:ind w:right="6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0" w:type="dxa"/>
            <w:vAlign w:val="bottom"/>
          </w:tcPr>
          <w:p>
            <w:pPr>
              <w:spacing w:after="0"/>
              <w:rPr>
                <w:sz w:val="10"/>
                <w:szCs w:val="10"/>
                <w:color w:val="auto"/>
              </w:rPr>
            </w:pPr>
          </w:p>
        </w:tc>
        <w:tc>
          <w:tcPr>
            <w:tcW w:w="920" w:type="dxa"/>
            <w:vAlign w:val="bottom"/>
            <w:gridSpan w:val="4"/>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840" w:type="dxa"/>
            <w:vAlign w:val="bottom"/>
            <w:gridSpan w:val="6"/>
          </w:tcPr>
          <w:p>
            <w:pPr>
              <w:ind w:left="140"/>
              <w:spacing w:after="0"/>
              <w:rPr>
                <w:sz w:val="20"/>
                <w:szCs w:val="20"/>
                <w:color w:val="auto"/>
              </w:rPr>
            </w:pPr>
            <w:r>
              <w:rPr>
                <w:rFonts w:ascii="Times New Roman" w:cs="Times New Roman" w:eastAsia="Times New Roman" w:hAnsi="Times New Roman"/>
                <w:sz w:val="10"/>
                <w:szCs w:val="10"/>
                <w:b w:val="1"/>
                <w:bCs w:val="1"/>
                <w:color w:val="auto"/>
              </w:rPr>
              <w:t>Intrinsic Value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68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Unvested RSUs at January 31, 2019</w:t>
            </w:r>
          </w:p>
        </w:tc>
        <w:tc>
          <w:tcPr>
            <w:tcW w:w="6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CCEEFF"/>
            </w:tcBorders>
            <w:gridSpan w:val="2"/>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3"/>
                <w:szCs w:val="13"/>
                <w:color w:val="auto"/>
              </w:rPr>
              <w:t>RSUs granted</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10.10</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Unvested RSUs at January 31, 2020</w:t>
            </w: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10.10</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3"/>
                <w:szCs w:val="13"/>
                <w:color w:val="auto"/>
              </w:rPr>
              <w:t>RSUs granted (unaudited)</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3,504</w:t>
            </w: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13.80</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RSUs vested (unaudited)</w:t>
            </w: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40" w:type="dxa"/>
            <w:vAlign w:val="bottom"/>
            <w:gridSpan w:val="4"/>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(84)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13.29</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3"/>
                <w:szCs w:val="13"/>
                <w:color w:val="auto"/>
              </w:rPr>
              <w:t>RSUs cancelled/forfeited (unaudited)</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3"/>
          </w:tcPr>
          <w:p>
            <w:pPr>
              <w:jc w:val="right"/>
              <w:ind w:right="520"/>
              <w:spacing w:after="0"/>
              <w:rPr>
                <w:sz w:val="20"/>
                <w:szCs w:val="20"/>
                <w:color w:val="auto"/>
              </w:rPr>
            </w:pPr>
            <w:r>
              <w:rPr>
                <w:rFonts w:ascii="Times New Roman" w:cs="Times New Roman" w:eastAsia="Times New Roman" w:hAnsi="Times New Roman"/>
                <w:sz w:val="13"/>
                <w:szCs w:val="13"/>
                <w:color w:val="auto"/>
              </w:rPr>
              <w:t>(60)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13.33</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Unvested RSUs at July 31, 2020 (unaudited)</w:t>
            </w: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3,451</w:t>
            </w:r>
          </w:p>
        </w:tc>
        <w:tc>
          <w:tcPr>
            <w:tcW w:w="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13.72</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56,140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3"/>
                <w:szCs w:val="13"/>
                <w:color w:val="auto"/>
              </w:rPr>
              <w:t>RSUs vested, not yet settled at July 31, 2020 (unaudited)</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13.04</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RSUs outstanding at July 31, 2020 (unaudited)</w:t>
            </w:r>
          </w:p>
        </w:tc>
        <w:tc>
          <w:tcPr>
            <w:tcW w:w="6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3,500</w:t>
            </w: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13.71</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56,946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Stock-Based Compensation Expense</w:t>
      </w:r>
    </w:p>
    <w:p>
      <w:pPr>
        <w:spacing w:after="0" w:line="87" w:lineRule="exact"/>
        <w:rPr>
          <w:sz w:val="20"/>
          <w:szCs w:val="20"/>
          <w:color w:val="auto"/>
        </w:rPr>
      </w:pPr>
    </w:p>
    <w:p>
      <w:pPr>
        <w:ind w:left="1680" w:right="699" w:firstLine="316"/>
        <w:spacing w:after="0" w:line="277" w:lineRule="auto"/>
        <w:rPr>
          <w:sz w:val="20"/>
          <w:szCs w:val="20"/>
          <w:color w:val="auto"/>
        </w:rPr>
      </w:pPr>
      <w:r>
        <w:rPr>
          <w:rFonts w:ascii="Times New Roman" w:cs="Times New Roman" w:eastAsia="Times New Roman" w:hAnsi="Times New Roman"/>
          <w:sz w:val="13"/>
          <w:szCs w:val="13"/>
          <w:color w:val="auto"/>
        </w:rPr>
        <w:t>Stock-based compensation for stock-based awards to employees and non-employees in the Company’s consolidated statements of operations for the periods below were as follows (in thousands):</w:t>
      </w:r>
    </w:p>
    <w:p>
      <w:pPr>
        <w:spacing w:after="0" w:line="127"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00" w:type="dxa"/>
            <w:vAlign w:val="bottom"/>
            <w:gridSpan w:val="4"/>
          </w:tcPr>
          <w:p>
            <w:pPr>
              <w:jc w:val="right"/>
              <w:ind w:right="218"/>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5"/>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Six Months</w:t>
            </w:r>
          </w:p>
        </w:tc>
      </w:tr>
      <w:tr>
        <w:trPr>
          <w:trHeight w:val="123"/>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00" w:type="dxa"/>
            <w:vAlign w:val="bottom"/>
            <w:gridSpan w:val="4"/>
          </w:tcPr>
          <w:p>
            <w:pPr>
              <w:jc w:val="right"/>
              <w:ind w:right="218"/>
              <w:spacing w:after="0"/>
              <w:rPr>
                <w:sz w:val="20"/>
                <w:szCs w:val="20"/>
                <w:color w:val="auto"/>
              </w:rPr>
            </w:pPr>
            <w:r>
              <w:rPr>
                <w:rFonts w:ascii="Times New Roman" w:cs="Times New Roman" w:eastAsia="Times New Roman" w:hAnsi="Times New Roman"/>
                <w:sz w:val="10"/>
                <w:szCs w:val="10"/>
                <w:b w:val="1"/>
                <w:bCs w:val="1"/>
                <w:color w:val="auto"/>
              </w:rPr>
              <w:t>January 31,</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5"/>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Ended July 31,</w:t>
            </w:r>
          </w:p>
        </w:tc>
      </w:tr>
      <w:tr>
        <w:trPr>
          <w:trHeight w:val="96"/>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00" w:type="dxa"/>
            <w:vAlign w:val="bottom"/>
            <w:tcBorders>
              <w:top w:val="single" w:sz="8" w:color="auto"/>
              <w:bottom w:val="single" w:sz="8" w:color="auto"/>
            </w:tcBorders>
          </w:tcPr>
          <w:p>
            <w:pPr>
              <w:jc w:val="right"/>
              <w:ind w:right="20"/>
              <w:spacing w:after="0" w:line="97" w:lineRule="exact"/>
              <w:rPr>
                <w:sz w:val="20"/>
                <w:szCs w:val="20"/>
                <w:color w:val="auto"/>
              </w:rPr>
            </w:pPr>
            <w:r>
              <w:rPr>
                <w:rFonts w:ascii="Times New Roman" w:cs="Times New Roman" w:eastAsia="Times New Roman" w:hAnsi="Times New Roman"/>
                <w:sz w:val="10"/>
                <w:szCs w:val="10"/>
                <w:b w:val="1"/>
                <w:bCs w:val="1"/>
                <w:color w:val="auto"/>
                <w:w w:val="99"/>
              </w:rPr>
              <w:t>2019</w:t>
            </w:r>
          </w:p>
        </w:tc>
        <w:tc>
          <w:tcPr>
            <w:tcW w:w="26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60" w:type="dxa"/>
            <w:vAlign w:val="bottom"/>
            <w:tcBorders>
              <w:top w:val="single" w:sz="8" w:color="auto"/>
              <w:bottom w:val="single" w:sz="8" w:color="auto"/>
            </w:tcBorders>
          </w:tcPr>
          <w:p>
            <w:pPr>
              <w:jc w:val="right"/>
              <w:ind w:right="58"/>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26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41"/>
              <w:spacing w:after="0" w:line="97" w:lineRule="exact"/>
              <w:rPr>
                <w:sz w:val="20"/>
                <w:szCs w:val="20"/>
                <w:color w:val="auto"/>
              </w:rPr>
            </w:pPr>
            <w:r>
              <w:rPr>
                <w:rFonts w:ascii="Times New Roman" w:cs="Times New Roman" w:eastAsia="Times New Roman" w:hAnsi="Times New Roman"/>
                <w:sz w:val="10"/>
                <w:szCs w:val="10"/>
                <w:b w:val="1"/>
                <w:bCs w:val="1"/>
                <w:color w:val="auto"/>
                <w:w w:val="89"/>
              </w:rPr>
              <w:t>2019</w:t>
            </w:r>
          </w:p>
        </w:tc>
        <w:tc>
          <w:tcPr>
            <w:tcW w:w="26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38"/>
              <w:spacing w:after="0" w:line="97" w:lineRule="exact"/>
              <w:rPr>
                <w:sz w:val="20"/>
                <w:szCs w:val="20"/>
                <w:color w:val="auto"/>
              </w:rPr>
            </w:pPr>
            <w:r>
              <w:rPr>
                <w:rFonts w:ascii="Times New Roman" w:cs="Times New Roman" w:eastAsia="Times New Roman" w:hAnsi="Times New Roman"/>
                <w:sz w:val="10"/>
                <w:szCs w:val="10"/>
                <w:b w:val="1"/>
                <w:bCs w:val="1"/>
                <w:color w:val="auto"/>
                <w:w w:val="89"/>
              </w:rPr>
              <w:t>2020</w:t>
            </w:r>
          </w:p>
        </w:tc>
        <w:tc>
          <w:tcPr>
            <w:tcW w:w="4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4"/>
          </w:tcPr>
          <w:p>
            <w:pPr>
              <w:jc w:val="center"/>
              <w:ind w:right="38"/>
              <w:spacing w:after="0" w:line="97"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40" w:type="dxa"/>
            <w:vAlign w:val="bottom"/>
          </w:tcPr>
          <w:p>
            <w:pPr>
              <w:spacing w:after="0"/>
              <w:rPr>
                <w:sz w:val="8"/>
                <w:szCs w:val="8"/>
                <w:color w:val="auto"/>
              </w:rPr>
            </w:pPr>
          </w:p>
        </w:tc>
      </w:tr>
      <w:tr>
        <w:trPr>
          <w:trHeight w:val="155"/>
        </w:trPr>
        <w:tc>
          <w:tcPr>
            <w:tcW w:w="20" w:type="dxa"/>
            <w:vAlign w:val="bottom"/>
          </w:tcPr>
          <w:p>
            <w:pPr>
              <w:spacing w:after="0"/>
              <w:rPr>
                <w:sz w:val="13"/>
                <w:szCs w:val="13"/>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revenues</w:t>
            </w:r>
          </w:p>
        </w:tc>
        <w:tc>
          <w:tcPr>
            <w:tcW w:w="1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4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16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5,160</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24,869</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1,882</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4,737</w:t>
            </w:r>
          </w:p>
        </w:tc>
        <w:tc>
          <w:tcPr>
            <w:tcW w:w="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640" w:type="dxa"/>
            <w:vAlign w:val="bottom"/>
            <w:tcBorders>
              <w:right w:val="single" w:sz="8" w:color="CCEEFF"/>
            </w:tcBorders>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2,108</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10,177</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961</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2,621</w:t>
            </w:r>
          </w:p>
        </w:tc>
        <w:tc>
          <w:tcPr>
            <w:tcW w:w="4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640" w:type="dxa"/>
            <w:vAlign w:val="bottom"/>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1,242</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13,237</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572</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1,900</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3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 stock-based compensation expense</w:t>
            </w:r>
          </w:p>
        </w:tc>
        <w:tc>
          <w:tcPr>
            <w:tcW w:w="1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8,547</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u w:val="single" w:color="auto"/>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48,386</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u w:val="single" w:color="auto"/>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3,428</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u w:val="single" w:color="auto"/>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9,358</w:t>
            </w:r>
          </w:p>
        </w:tc>
        <w:tc>
          <w:tcPr>
            <w:tcW w:w="40" w:type="dxa"/>
            <w:vAlign w:val="bottom"/>
            <w:shd w:val="clear" w:color="auto" w:fill="CCEEFF"/>
          </w:tcPr>
          <w:p>
            <w:pPr>
              <w:spacing w:after="0"/>
              <w:rPr>
                <w:sz w:val="13"/>
                <w:szCs w:val="13"/>
                <w:color w:val="auto"/>
              </w:rPr>
            </w:pPr>
          </w:p>
        </w:tc>
      </w:tr>
      <w:tr>
        <w:trPr>
          <w:trHeight w:val="29"/>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64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52" w:lineRule="exact"/>
        <w:rPr>
          <w:sz w:val="20"/>
          <w:szCs w:val="20"/>
          <w:color w:val="auto"/>
        </w:rPr>
      </w:pPr>
    </w:p>
    <w:p>
      <w:pPr>
        <w:jc w:val="both"/>
        <w:ind w:left="1680" w:right="779" w:firstLine="316"/>
        <w:spacing w:after="0" w:line="277" w:lineRule="auto"/>
        <w:rPr>
          <w:sz w:val="20"/>
          <w:szCs w:val="20"/>
          <w:color w:val="auto"/>
        </w:rPr>
      </w:pPr>
      <w:r>
        <w:rPr>
          <w:rFonts w:ascii="Times New Roman" w:cs="Times New Roman" w:eastAsia="Times New Roman" w:hAnsi="Times New Roman"/>
          <w:sz w:val="13"/>
          <w:szCs w:val="13"/>
          <w:color w:val="auto"/>
        </w:rPr>
        <w:t>The stock-based compensation expense related to options granted to non-employees for the years ended January 31, 2019 and 2020 and the six months ended July 31, 2019 and 2020 (unaudited) was not material.</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F-36</w:t>
      </w:r>
    </w:p>
    <w:p>
      <w:pPr>
        <w:sectPr>
          <w:pgSz w:w="11900" w:h="16838" w:orient="portrait"/>
          <w:cols w:equalWidth="0" w:num="1">
            <w:col w:w="10159"/>
          </w:cols>
          <w:pgMar w:left="300" w:top="367" w:right="1440" w:bottom="1440" w:gutter="0" w:footer="0" w:header="0"/>
        </w:sectPr>
      </w:pPr>
    </w:p>
    <w:bookmarkStart w:id="200" w:name="page201"/>
    <w:bookmarkEnd w:id="20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Total unrecognized compensation costs related to unvested awards not yet recognized under all equity compensation plans was as follows:</w:t>
      </w:r>
    </w:p>
    <w:p>
      <w:pPr>
        <w:spacing w:after="0" w:line="176"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00" w:type="dxa"/>
            <w:vAlign w:val="bottom"/>
            <w:gridSpan w:val="4"/>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As of July 31, 2020 (unaudited)</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43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80" w:type="dxa"/>
            <w:vAlign w:val="bottom"/>
            <w:tcBorders>
              <w:top w:val="single" w:sz="8" w:color="auto"/>
            </w:tcBorders>
            <w:vMerge w:val="restart"/>
          </w:tcPr>
          <w:p>
            <w:pPr>
              <w:jc w:val="center"/>
              <w:ind w:right="63"/>
              <w:spacing w:after="0"/>
              <w:rPr>
                <w:sz w:val="20"/>
                <w:szCs w:val="20"/>
                <w:color w:val="auto"/>
              </w:rPr>
            </w:pPr>
            <w:r>
              <w:rPr>
                <w:rFonts w:ascii="Times New Roman" w:cs="Times New Roman" w:eastAsia="Times New Roman" w:hAnsi="Times New Roman"/>
                <w:sz w:val="10"/>
                <w:szCs w:val="10"/>
                <w:b w:val="1"/>
                <w:bCs w:val="1"/>
                <w:color w:val="auto"/>
              </w:rPr>
              <w:t>Unrecognized</w:t>
            </w:r>
          </w:p>
        </w:tc>
        <w:tc>
          <w:tcPr>
            <w:tcW w:w="10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tcPr>
          <w:p>
            <w:pPr>
              <w:jc w:val="center"/>
              <w:spacing w:after="0" w:line="80" w:lineRule="exact"/>
              <w:rPr>
                <w:sz w:val="20"/>
                <w:szCs w:val="20"/>
                <w:color w:val="auto"/>
              </w:rPr>
            </w:pPr>
            <w:r>
              <w:rPr>
                <w:rFonts w:ascii="Times New Roman" w:cs="Times New Roman" w:eastAsia="Times New Roman" w:hAnsi="Times New Roman"/>
                <w:sz w:val="9"/>
                <w:szCs w:val="9"/>
                <w:b w:val="1"/>
                <w:bCs w:val="1"/>
                <w:color w:val="auto"/>
              </w:rPr>
              <w:t>Weighted-Average</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tcPr>
          <w:p>
            <w:pPr>
              <w:jc w:val="center"/>
              <w:ind w:right="40"/>
              <w:spacing w:after="0" w:line="107" w:lineRule="exact"/>
              <w:rPr>
                <w:sz w:val="20"/>
                <w:szCs w:val="20"/>
                <w:color w:val="auto"/>
              </w:rPr>
            </w:pPr>
            <w:r>
              <w:rPr>
                <w:rFonts w:ascii="Times New Roman" w:cs="Times New Roman" w:eastAsia="Times New Roman" w:hAnsi="Times New Roman"/>
                <w:sz w:val="10"/>
                <w:szCs w:val="10"/>
                <w:b w:val="1"/>
                <w:bCs w:val="1"/>
                <w:color w:val="auto"/>
              </w:rPr>
              <w:t>Expected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jc w:val="center"/>
              <w:ind w:right="83"/>
              <w:spacing w:after="0" w:line="107" w:lineRule="exact"/>
              <w:rPr>
                <w:sz w:val="20"/>
                <w:szCs w:val="20"/>
                <w:color w:val="auto"/>
              </w:rPr>
            </w:pPr>
            <w:r>
              <w:rPr>
                <w:rFonts w:ascii="Times New Roman" w:cs="Times New Roman" w:eastAsia="Times New Roman" w:hAnsi="Times New Roman"/>
                <w:sz w:val="10"/>
                <w:szCs w:val="10"/>
                <w:b w:val="1"/>
                <w:bCs w:val="1"/>
                <w:color w:val="auto"/>
              </w:rPr>
              <w:t>Expense</w:t>
            </w:r>
          </w:p>
        </w:tc>
        <w:tc>
          <w:tcPr>
            <w:tcW w:w="100" w:type="dxa"/>
            <w:vAlign w:val="bottom"/>
          </w:tcPr>
          <w:p>
            <w:pPr>
              <w:spacing w:after="0"/>
              <w:rPr>
                <w:sz w:val="9"/>
                <w:szCs w:val="9"/>
                <w:color w:val="auto"/>
              </w:rPr>
            </w:pPr>
          </w:p>
        </w:tc>
        <w:tc>
          <w:tcPr>
            <w:tcW w:w="1120" w:type="dxa"/>
            <w:vAlign w:val="bottom"/>
            <w:gridSpan w:val="2"/>
          </w:tcPr>
          <w:p>
            <w:pPr>
              <w:jc w:val="center"/>
              <w:ind w:right="40"/>
              <w:spacing w:after="0" w:line="107" w:lineRule="exact"/>
              <w:rPr>
                <w:sz w:val="20"/>
                <w:szCs w:val="20"/>
                <w:color w:val="auto"/>
              </w:rPr>
            </w:pPr>
            <w:r>
              <w:rPr>
                <w:rFonts w:ascii="Times New Roman" w:cs="Times New Roman" w:eastAsia="Times New Roman" w:hAnsi="Times New Roman"/>
                <w:sz w:val="10"/>
                <w:szCs w:val="10"/>
                <w:b w:val="1"/>
                <w:bCs w:val="1"/>
                <w:color w:val="auto"/>
              </w:rPr>
              <w:t>Recognition Period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83"/>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00" w:type="dxa"/>
            <w:vAlign w:val="bottom"/>
          </w:tcPr>
          <w:p>
            <w:pPr>
              <w:spacing w:after="0"/>
              <w:rPr>
                <w:sz w:val="10"/>
                <w:szCs w:val="10"/>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(in years)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32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Stock options</w:t>
            </w:r>
          </w:p>
        </w:tc>
        <w:tc>
          <w:tcPr>
            <w:tcW w:w="13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32,549</w:t>
            </w:r>
          </w:p>
        </w:tc>
        <w:tc>
          <w:tcPr>
            <w:tcW w:w="10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2.6</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RSUs</w:t>
            </w:r>
          </w:p>
        </w:tc>
        <w:tc>
          <w:tcPr>
            <w:tcW w:w="13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45,085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unrecognized stock-based compensation expense</w:t>
            </w:r>
          </w:p>
        </w:tc>
        <w:tc>
          <w:tcPr>
            <w:tcW w:w="14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77,634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4"/>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January 31, 2020</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43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80" w:type="dxa"/>
            <w:vAlign w:val="bottom"/>
            <w:tcBorders>
              <w:top w:val="single" w:sz="8" w:color="auto"/>
            </w:tcBorders>
            <w:vMerge w:val="restart"/>
          </w:tcPr>
          <w:p>
            <w:pPr>
              <w:jc w:val="center"/>
              <w:ind w:right="63"/>
              <w:spacing w:after="0"/>
              <w:rPr>
                <w:sz w:val="20"/>
                <w:szCs w:val="20"/>
                <w:color w:val="auto"/>
              </w:rPr>
            </w:pPr>
            <w:r>
              <w:rPr>
                <w:rFonts w:ascii="Times New Roman" w:cs="Times New Roman" w:eastAsia="Times New Roman" w:hAnsi="Times New Roman"/>
                <w:sz w:val="10"/>
                <w:szCs w:val="10"/>
                <w:b w:val="1"/>
                <w:bCs w:val="1"/>
                <w:color w:val="auto"/>
              </w:rPr>
              <w:t>Unrecognized</w:t>
            </w:r>
          </w:p>
        </w:tc>
        <w:tc>
          <w:tcPr>
            <w:tcW w:w="10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tcPr>
          <w:p>
            <w:pPr>
              <w:jc w:val="center"/>
              <w:spacing w:after="0" w:line="80" w:lineRule="exact"/>
              <w:rPr>
                <w:sz w:val="20"/>
                <w:szCs w:val="20"/>
                <w:color w:val="auto"/>
              </w:rPr>
            </w:pPr>
            <w:r>
              <w:rPr>
                <w:rFonts w:ascii="Times New Roman" w:cs="Times New Roman" w:eastAsia="Times New Roman" w:hAnsi="Times New Roman"/>
                <w:sz w:val="9"/>
                <w:szCs w:val="9"/>
                <w:b w:val="1"/>
                <w:bCs w:val="1"/>
                <w:color w:val="auto"/>
              </w:rPr>
              <w:t>Weighted-Average</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tcPr>
          <w:p>
            <w:pPr>
              <w:jc w:val="center"/>
              <w:ind w:right="40"/>
              <w:spacing w:after="0" w:line="107" w:lineRule="exact"/>
              <w:rPr>
                <w:sz w:val="20"/>
                <w:szCs w:val="20"/>
                <w:color w:val="auto"/>
              </w:rPr>
            </w:pPr>
            <w:r>
              <w:rPr>
                <w:rFonts w:ascii="Times New Roman" w:cs="Times New Roman" w:eastAsia="Times New Roman" w:hAnsi="Times New Roman"/>
                <w:sz w:val="10"/>
                <w:szCs w:val="10"/>
                <w:b w:val="1"/>
                <w:bCs w:val="1"/>
                <w:color w:val="auto"/>
              </w:rPr>
              <w:t>Expected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jc w:val="center"/>
              <w:ind w:right="83"/>
              <w:spacing w:after="0" w:line="107" w:lineRule="exact"/>
              <w:rPr>
                <w:sz w:val="20"/>
                <w:szCs w:val="20"/>
                <w:color w:val="auto"/>
              </w:rPr>
            </w:pPr>
            <w:r>
              <w:rPr>
                <w:rFonts w:ascii="Times New Roman" w:cs="Times New Roman" w:eastAsia="Times New Roman" w:hAnsi="Times New Roman"/>
                <w:sz w:val="10"/>
                <w:szCs w:val="10"/>
                <w:b w:val="1"/>
                <w:bCs w:val="1"/>
                <w:color w:val="auto"/>
              </w:rPr>
              <w:t>Expense</w:t>
            </w:r>
          </w:p>
        </w:tc>
        <w:tc>
          <w:tcPr>
            <w:tcW w:w="100" w:type="dxa"/>
            <w:vAlign w:val="bottom"/>
          </w:tcPr>
          <w:p>
            <w:pPr>
              <w:spacing w:after="0"/>
              <w:rPr>
                <w:sz w:val="9"/>
                <w:szCs w:val="9"/>
                <w:color w:val="auto"/>
              </w:rPr>
            </w:pPr>
          </w:p>
        </w:tc>
        <w:tc>
          <w:tcPr>
            <w:tcW w:w="1120" w:type="dxa"/>
            <w:vAlign w:val="bottom"/>
            <w:gridSpan w:val="2"/>
          </w:tcPr>
          <w:p>
            <w:pPr>
              <w:jc w:val="center"/>
              <w:ind w:right="40"/>
              <w:spacing w:after="0" w:line="107" w:lineRule="exact"/>
              <w:rPr>
                <w:sz w:val="20"/>
                <w:szCs w:val="20"/>
                <w:color w:val="auto"/>
              </w:rPr>
            </w:pPr>
            <w:r>
              <w:rPr>
                <w:rFonts w:ascii="Times New Roman" w:cs="Times New Roman" w:eastAsia="Times New Roman" w:hAnsi="Times New Roman"/>
                <w:sz w:val="10"/>
                <w:szCs w:val="10"/>
                <w:b w:val="1"/>
                <w:bCs w:val="1"/>
                <w:color w:val="auto"/>
              </w:rPr>
              <w:t>Recognition Period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83"/>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00" w:type="dxa"/>
            <w:vAlign w:val="bottom"/>
          </w:tcPr>
          <w:p>
            <w:pPr>
              <w:spacing w:after="0"/>
              <w:rPr>
                <w:sz w:val="10"/>
                <w:szCs w:val="10"/>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(in years)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32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Stock options</w:t>
            </w:r>
          </w:p>
        </w:tc>
        <w:tc>
          <w:tcPr>
            <w:tcW w:w="13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39,945</w:t>
            </w:r>
          </w:p>
        </w:tc>
        <w:tc>
          <w:tcPr>
            <w:tcW w:w="10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3.0</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RSUs</w:t>
            </w:r>
          </w:p>
        </w:tc>
        <w:tc>
          <w:tcPr>
            <w:tcW w:w="13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unrecognized stock-based compensation expense</w:t>
            </w:r>
          </w:p>
        </w:tc>
        <w:tc>
          <w:tcPr>
            <w:tcW w:w="14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40,829</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Fiscal 2019 Tender Offer</w:t>
      </w:r>
    </w:p>
    <w:p>
      <w:pPr>
        <w:spacing w:after="0" w:line="87" w:lineRule="exact"/>
        <w:rPr>
          <w:sz w:val="20"/>
          <w:szCs w:val="20"/>
          <w:color w:val="auto"/>
        </w:rPr>
      </w:pPr>
    </w:p>
    <w:p>
      <w:pPr>
        <w:ind w:left="1680" w:right="639" w:firstLine="316"/>
        <w:spacing w:after="0" w:line="254" w:lineRule="auto"/>
        <w:rPr>
          <w:sz w:val="20"/>
          <w:szCs w:val="20"/>
          <w:color w:val="auto"/>
        </w:rPr>
      </w:pPr>
      <w:r>
        <w:rPr>
          <w:rFonts w:ascii="Times New Roman" w:cs="Times New Roman" w:eastAsia="Times New Roman" w:hAnsi="Times New Roman"/>
          <w:sz w:val="13"/>
          <w:szCs w:val="13"/>
          <w:color w:val="auto"/>
        </w:rPr>
        <w:t>In April 2018, the Board of Directors approved a plan for a private trust, whose sole trustee and grantor is the Company’s founder and CEO, to purchase shares of the Company’s Class A and Class B common stock from certain current and former employees of the Company. The tender offer closed in May 2018, at which time the Company recorded $3.8 million as compensation expense related to the excess of the selling price per share of common stock paid to the Company’s employees and former employees over the fair value of the tendered shares. This amount is included in the total stock-based compensation expense shown in the table above for the year ended January 31, 2019. A total of 1,500,814 shares were tendered in the offer for an aggregate purchase price of $7.1 million.</w:t>
      </w:r>
    </w:p>
    <w:p>
      <w:pPr>
        <w:spacing w:after="0" w:line="21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Fiscal 2020 Tender Offer</w:t>
      </w:r>
    </w:p>
    <w:p>
      <w:pPr>
        <w:spacing w:after="0" w:line="87" w:lineRule="exact"/>
        <w:rPr>
          <w:sz w:val="20"/>
          <w:szCs w:val="20"/>
          <w:color w:val="auto"/>
        </w:rPr>
      </w:pPr>
    </w:p>
    <w:p>
      <w:pPr>
        <w:ind w:left="1680" w:right="579" w:firstLine="316"/>
        <w:spacing w:after="0" w:line="256" w:lineRule="auto"/>
        <w:rPr>
          <w:sz w:val="20"/>
          <w:szCs w:val="20"/>
          <w:color w:val="auto"/>
        </w:rPr>
      </w:pPr>
      <w:r>
        <w:rPr>
          <w:rFonts w:ascii="Times New Roman" w:cs="Times New Roman" w:eastAsia="Times New Roman" w:hAnsi="Times New Roman"/>
          <w:sz w:val="13"/>
          <w:szCs w:val="13"/>
          <w:color w:val="auto"/>
        </w:rPr>
        <w:t>In October 2019, certain of the Company’s stockholders conducted a tender offer for shares of the Company’s outstanding Class A and Class B common stock and purchased an aggregate of 4,647,127 shares of the Company’s outstanding Class A and Class B common stock from certain other stockholders at a purchase price of $15.82 per share, for an aggregate purchase price of $73.5 million, resulting in stock-based compensation expense of $38.7 million for the excess of the selling price per share of common stock over the fair value of the tendered shares. This amount is included in the total stock-based compensation expense shown in the table above for the year ended January 31, 2020.</w:t>
      </w:r>
    </w:p>
    <w:p>
      <w:pPr>
        <w:spacing w:after="0" w:line="20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Note 12. Employee Benefit Plans</w:t>
      </w:r>
    </w:p>
    <w:p>
      <w:pPr>
        <w:spacing w:after="0" w:line="85" w:lineRule="exact"/>
        <w:rPr>
          <w:sz w:val="20"/>
          <w:szCs w:val="20"/>
          <w:color w:val="auto"/>
        </w:rPr>
      </w:pPr>
    </w:p>
    <w:p>
      <w:pPr>
        <w:ind w:left="1680" w:right="599" w:firstLine="316"/>
        <w:spacing w:after="0" w:line="256" w:lineRule="auto"/>
        <w:rPr>
          <w:sz w:val="20"/>
          <w:szCs w:val="20"/>
          <w:color w:val="auto"/>
        </w:rPr>
      </w:pPr>
      <w:r>
        <w:rPr>
          <w:rFonts w:ascii="Times New Roman" w:cs="Times New Roman" w:eastAsia="Times New Roman" w:hAnsi="Times New Roman"/>
          <w:sz w:val="13"/>
          <w:szCs w:val="13"/>
          <w:color w:val="auto"/>
        </w:rPr>
        <w:t>In January 2011, the Company adopted a defined contribution retirement savings plan under Section 401(k) of the Internal Revenue Code. This plan covers all employees within the United States who meet minimum age and service requirements and allows participants to defer a portion of their annual compensation on a pre-tax basis. The Company’s contributions to the plan may be made at the discretion of the Board of Directors. There have been no contributions to the plan by the Company since the inception of the plan as of January 31, 2020 and July 31, 2020 (unaudited). Additionally, the Company engages in required pension plans of respective countries in which operations exist.</w:t>
      </w:r>
    </w:p>
    <w:p>
      <w:pPr>
        <w:spacing w:after="0" w:line="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F-37</w:t>
      </w:r>
    </w:p>
    <w:p>
      <w:pPr>
        <w:sectPr>
          <w:pgSz w:w="11900" w:h="16838" w:orient="portrait"/>
          <w:cols w:equalWidth="0" w:num="1">
            <w:col w:w="10159"/>
          </w:cols>
          <w:pgMar w:left="300" w:top="367" w:right="1440" w:bottom="1440" w:gutter="0" w:footer="0" w:header="0"/>
        </w:sectPr>
      </w:pPr>
    </w:p>
    <w:bookmarkStart w:id="201" w:name="page202"/>
    <w:bookmarkEnd w:id="20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Note 13. Income Taxes</w:t>
      </w:r>
    </w:p>
    <w:p>
      <w:pPr>
        <w:spacing w:after="0" w:line="8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components of the provision for income taxes were as follows (in thousands):</w:t>
      </w:r>
    </w:p>
    <w:p>
      <w:pPr>
        <w:spacing w:after="0" w:line="176"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8"/>
          </w:tcPr>
          <w:p>
            <w:pPr>
              <w:ind w:left="160"/>
              <w:spacing w:after="0"/>
              <w:rPr>
                <w:sz w:val="20"/>
                <w:szCs w:val="20"/>
                <w:color w:val="auto"/>
              </w:rPr>
            </w:pPr>
            <w:r>
              <w:rPr>
                <w:rFonts w:ascii="Times New Roman" w:cs="Times New Roman" w:eastAsia="Times New Roman" w:hAnsi="Times New Roman"/>
                <w:sz w:val="10"/>
                <w:szCs w:val="10"/>
                <w:b w:val="1"/>
                <w:bCs w:val="1"/>
                <w:color w:val="auto"/>
              </w:rPr>
              <w:t>Year Ended January 31,</w:t>
            </w:r>
          </w:p>
        </w:tc>
      </w:tr>
      <w:tr>
        <w:trPr>
          <w:trHeight w:val="96"/>
        </w:trPr>
        <w:tc>
          <w:tcPr>
            <w:tcW w:w="20" w:type="dxa"/>
            <w:vAlign w:val="bottom"/>
          </w:tcPr>
          <w:p>
            <w:pPr>
              <w:spacing w:after="0"/>
              <w:rPr>
                <w:sz w:val="8"/>
                <w:szCs w:val="8"/>
                <w:color w:val="auto"/>
              </w:rPr>
            </w:pPr>
          </w:p>
        </w:tc>
        <w:tc>
          <w:tcPr>
            <w:tcW w:w="5480" w:type="dxa"/>
            <w:vAlign w:val="bottom"/>
            <w:tcBorders>
              <w:bottom w:val="single" w:sz="8" w:color="CCEEFF"/>
            </w:tcBorders>
          </w:tcPr>
          <w:p>
            <w:pPr>
              <w:spacing w:after="0"/>
              <w:rPr>
                <w:sz w:val="8"/>
                <w:szCs w:val="8"/>
                <w:color w:val="auto"/>
              </w:rPr>
            </w:pPr>
          </w:p>
        </w:tc>
        <w:tc>
          <w:tcPr>
            <w:tcW w:w="720" w:type="dxa"/>
            <w:vAlign w:val="bottom"/>
            <w:tcBorders>
              <w:bottom w:val="single" w:sz="8" w:color="CCEEFF"/>
            </w:tcBorders>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201"/>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Borders>
              <w:top w:val="single" w:sz="8" w:color="auto"/>
              <w:bottom w:val="single" w:sz="8" w:color="CCEEFF"/>
            </w:tcBorders>
          </w:tcPr>
          <w:p>
            <w:pPr>
              <w:spacing w:after="0"/>
              <w:rPr>
                <w:sz w:val="8"/>
                <w:szCs w:val="8"/>
                <w:color w:val="auto"/>
              </w:rPr>
            </w:pPr>
          </w:p>
        </w:tc>
        <w:tc>
          <w:tcPr>
            <w:tcW w:w="100" w:type="dxa"/>
            <w:vAlign w:val="bottom"/>
            <w:tcBorders>
              <w:top w:val="single" w:sz="8" w:color="auto"/>
              <w:bottom w:val="single" w:sz="8" w:color="CCEEFF"/>
            </w:tcBorders>
          </w:tcPr>
          <w:p>
            <w:pPr>
              <w:spacing w:after="0"/>
              <w:rPr>
                <w:sz w:val="8"/>
                <w:szCs w:val="8"/>
                <w:color w:val="auto"/>
              </w:rPr>
            </w:pPr>
          </w:p>
        </w:tc>
        <w:tc>
          <w:tcPr>
            <w:tcW w:w="120" w:type="dxa"/>
            <w:vAlign w:val="bottom"/>
            <w:tcBorders>
              <w:top w:val="single" w:sz="8" w:color="auto"/>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19"/>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40" w:type="dxa"/>
            <w:vAlign w:val="bottom"/>
            <w:tcBorders>
              <w:top w:val="single" w:sz="8" w:color="auto"/>
              <w:bottom w:val="single" w:sz="8" w:color="auto"/>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Current</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5"/>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3"/>
                <w:szCs w:val="13"/>
                <w:color w:val="auto"/>
              </w:rPr>
              <w:t>Foreign</w:t>
            </w:r>
          </w:p>
        </w:tc>
        <w:tc>
          <w:tcPr>
            <w:tcW w:w="720" w:type="dxa"/>
            <w:vAlign w:val="bottom"/>
          </w:tcPr>
          <w:p>
            <w:pPr>
              <w:spacing w:after="0"/>
              <w:rPr>
                <w:sz w:val="13"/>
                <w:szCs w:val="13"/>
                <w:color w:val="auto"/>
              </w:rPr>
            </w:pPr>
          </w:p>
        </w:tc>
        <w:tc>
          <w:tcPr>
            <w:tcW w:w="140" w:type="dxa"/>
            <w:vAlign w:val="bottom"/>
            <w:tcBorders>
              <w:bottom w:val="single" w:sz="8" w:color="auto"/>
            </w:tcBorders>
            <w:gridSpan w:val="2"/>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3"/>
                <w:szCs w:val="13"/>
                <w:color w:val="auto"/>
              </w:rPr>
              <w:t>28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40" w:type="dxa"/>
            <w:vAlign w:val="bottom"/>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 provision for income taxes</w:t>
            </w:r>
          </w:p>
        </w:tc>
        <w:tc>
          <w:tcPr>
            <w:tcW w:w="860" w:type="dxa"/>
            <w:vAlign w:val="bottom"/>
            <w:gridSpan w:val="3"/>
            <w:shd w:val="clear" w:color="auto" w:fill="CCEEFF"/>
          </w:tcPr>
          <w:p>
            <w:pPr>
              <w:jc w:val="right"/>
              <w:ind w:right="26"/>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28</w:t>
            </w:r>
          </w:p>
        </w:tc>
        <w:tc>
          <w:tcPr>
            <w:tcW w:w="14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40" w:type="dxa"/>
            <w:vAlign w:val="bottom"/>
            <w:shd w:val="clear" w:color="auto" w:fill="CCEEFF"/>
          </w:tcPr>
          <w:p>
            <w:pPr>
              <w:spacing w:after="0"/>
              <w:rPr>
                <w:sz w:val="14"/>
                <w:szCs w:val="14"/>
                <w:color w:val="auto"/>
              </w:rPr>
            </w:pPr>
          </w:p>
        </w:tc>
      </w:tr>
      <w:tr>
        <w:trPr>
          <w:trHeight w:val="319"/>
        </w:trPr>
        <w:tc>
          <w:tcPr>
            <w:tcW w:w="20" w:type="dxa"/>
            <w:vAlign w:val="bottom"/>
          </w:tcPr>
          <w:p>
            <w:pPr>
              <w:spacing w:after="0"/>
              <w:rPr>
                <w:sz w:val="24"/>
                <w:szCs w:val="24"/>
                <w:color w:val="auto"/>
              </w:rPr>
            </w:pPr>
          </w:p>
        </w:tc>
        <w:tc>
          <w:tcPr>
            <w:tcW w:w="54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The components of income/(loss) before income taxes were as follows (in thousands):</w:t>
            </w:r>
          </w:p>
        </w:tc>
        <w:tc>
          <w:tcPr>
            <w:tcW w:w="7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82"/>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8"/>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Year Ended January 31,</w:t>
            </w:r>
          </w:p>
        </w:tc>
      </w:tr>
      <w:tr>
        <w:trPr>
          <w:trHeight w:val="96"/>
        </w:trPr>
        <w:tc>
          <w:tcPr>
            <w:tcW w:w="20" w:type="dxa"/>
            <w:vAlign w:val="bottom"/>
          </w:tcPr>
          <w:p>
            <w:pPr>
              <w:spacing w:after="0"/>
              <w:rPr>
                <w:sz w:val="8"/>
                <w:szCs w:val="8"/>
                <w:color w:val="auto"/>
              </w:rPr>
            </w:pPr>
          </w:p>
        </w:tc>
        <w:tc>
          <w:tcPr>
            <w:tcW w:w="5480" w:type="dxa"/>
            <w:vAlign w:val="bottom"/>
            <w:tcBorders>
              <w:bottom w:val="single" w:sz="8" w:color="CCEEFF"/>
            </w:tcBorders>
          </w:tcPr>
          <w:p>
            <w:pPr>
              <w:spacing w:after="0"/>
              <w:rPr>
                <w:sz w:val="8"/>
                <w:szCs w:val="8"/>
                <w:color w:val="auto"/>
              </w:rPr>
            </w:pPr>
          </w:p>
        </w:tc>
        <w:tc>
          <w:tcPr>
            <w:tcW w:w="72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41"/>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Borders>
              <w:top w:val="single" w:sz="8" w:color="auto"/>
              <w:bottom w:val="single" w:sz="8" w:color="CCEEFF"/>
            </w:tcBorders>
          </w:tcPr>
          <w:p>
            <w:pPr>
              <w:spacing w:after="0"/>
              <w:rPr>
                <w:sz w:val="8"/>
                <w:szCs w:val="8"/>
                <w:color w:val="auto"/>
              </w:rPr>
            </w:pPr>
          </w:p>
        </w:tc>
        <w:tc>
          <w:tcPr>
            <w:tcW w:w="100" w:type="dxa"/>
            <w:vAlign w:val="bottom"/>
            <w:tcBorders>
              <w:top w:val="single" w:sz="8" w:color="auto"/>
              <w:bottom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99"/>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4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r>
      <w:tr>
        <w:trPr>
          <w:trHeight w:val="145"/>
        </w:trPr>
        <w:tc>
          <w:tcPr>
            <w:tcW w:w="20" w:type="dxa"/>
            <w:vAlign w:val="bottom"/>
          </w:tcPr>
          <w:p>
            <w:pPr>
              <w:spacing w:after="0"/>
              <w:rPr>
                <w:sz w:val="12"/>
                <w:szCs w:val="12"/>
                <w:color w:val="auto"/>
              </w:rPr>
            </w:pPr>
          </w:p>
        </w:tc>
        <w:tc>
          <w:tcPr>
            <w:tcW w:w="54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U.S.</w:t>
            </w:r>
          </w:p>
        </w:tc>
        <w:tc>
          <w:tcPr>
            <w:tcW w:w="76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right w:val="single" w:sz="8" w:color="CCEEFF"/>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(51,102)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w w:val="94"/>
              </w:rPr>
              <w:t>(119,302)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5"/>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3"/>
                <w:szCs w:val="13"/>
                <w:color w:val="auto"/>
              </w:rPr>
              <w:t>Foreign</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(50,900)</w:t>
            </w:r>
          </w:p>
        </w:tc>
        <w:tc>
          <w:tcPr>
            <w:tcW w:w="2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(118,344)</w:t>
            </w:r>
          </w:p>
        </w:tc>
        <w:tc>
          <w:tcPr>
            <w:tcW w:w="40" w:type="dxa"/>
            <w:vAlign w:val="bottom"/>
            <w:shd w:val="clear" w:color="auto" w:fill="CCEEFF"/>
          </w:tcPr>
          <w:p>
            <w:pPr>
              <w:spacing w:after="0"/>
              <w:rPr>
                <w:sz w:val="13"/>
                <w:szCs w:val="13"/>
                <w:color w:val="auto"/>
              </w:rPr>
            </w:pPr>
          </w:p>
        </w:tc>
      </w:tr>
      <w:tr>
        <w:trPr>
          <w:trHeight w:val="29"/>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r>
    </w:tbl>
    <w:p>
      <w:pPr>
        <w:spacing w:after="0" w:line="152" w:lineRule="exact"/>
        <w:rPr>
          <w:sz w:val="20"/>
          <w:szCs w:val="20"/>
          <w:color w:val="auto"/>
        </w:rPr>
      </w:pPr>
    </w:p>
    <w:p>
      <w:pPr>
        <w:ind w:left="1680" w:right="839" w:firstLine="316"/>
        <w:spacing w:after="0" w:line="277" w:lineRule="auto"/>
        <w:rPr>
          <w:sz w:val="20"/>
          <w:szCs w:val="20"/>
          <w:color w:val="auto"/>
        </w:rPr>
      </w:pPr>
      <w:r>
        <w:rPr>
          <w:rFonts w:ascii="Times New Roman" w:cs="Times New Roman" w:eastAsia="Times New Roman" w:hAnsi="Times New Roman"/>
          <w:sz w:val="13"/>
          <w:szCs w:val="13"/>
          <w:color w:val="auto"/>
        </w:rPr>
        <w:t>The reconciliation between the statutory federal income tax and the Company’s effective tax rates as a percentage of loss before income taxes were as follows:</w:t>
      </w:r>
    </w:p>
    <w:p>
      <w:pPr>
        <w:spacing w:after="0" w:line="136"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60" w:type="dxa"/>
            <w:vAlign w:val="bottom"/>
            <w:gridSpan w:val="8"/>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Year Ended January 31,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480" w:type="dxa"/>
            <w:vAlign w:val="bottom"/>
            <w:tcBorders>
              <w:bottom w:val="single" w:sz="8" w:color="CCEEFF"/>
            </w:tcBorders>
          </w:tcPr>
          <w:p>
            <w:pPr>
              <w:spacing w:after="0"/>
              <w:rPr>
                <w:sz w:val="8"/>
                <w:szCs w:val="8"/>
                <w:color w:val="auto"/>
              </w:rPr>
            </w:pPr>
          </w:p>
        </w:tc>
        <w:tc>
          <w:tcPr>
            <w:tcW w:w="620" w:type="dxa"/>
            <w:vAlign w:val="bottom"/>
            <w:tcBorders>
              <w:bottom w:val="single" w:sz="8" w:color="CCEEFF"/>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78"/>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00" w:type="dxa"/>
            <w:vAlign w:val="bottom"/>
            <w:tcBorders>
              <w:top w:val="single" w:sz="8" w:color="auto"/>
              <w:bottom w:val="single" w:sz="8" w:color="CCEEFF"/>
            </w:tcBorders>
          </w:tcPr>
          <w:p>
            <w:pPr>
              <w:spacing w:after="0"/>
              <w:rPr>
                <w:sz w:val="8"/>
                <w:szCs w:val="8"/>
                <w:color w:val="auto"/>
              </w:rPr>
            </w:pPr>
          </w:p>
        </w:tc>
        <w:tc>
          <w:tcPr>
            <w:tcW w:w="100" w:type="dxa"/>
            <w:vAlign w:val="bottom"/>
            <w:tcBorders>
              <w:top w:val="single" w:sz="8" w:color="auto"/>
              <w:bottom w:val="single" w:sz="8" w:color="CCEEFF"/>
            </w:tcBorders>
          </w:tcPr>
          <w:p>
            <w:pPr>
              <w:spacing w:after="0"/>
              <w:rPr>
                <w:sz w:val="8"/>
                <w:szCs w:val="8"/>
                <w:color w:val="auto"/>
              </w:rPr>
            </w:pPr>
          </w:p>
        </w:tc>
        <w:tc>
          <w:tcPr>
            <w:tcW w:w="100" w:type="dxa"/>
            <w:vAlign w:val="bottom"/>
            <w:tcBorders>
              <w:top w:val="single" w:sz="8" w:color="auto"/>
              <w:bottom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7"/>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Federal tax rate</w:t>
            </w:r>
          </w:p>
        </w:tc>
        <w:tc>
          <w:tcPr>
            <w:tcW w:w="6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3"/>
                <w:szCs w:val="13"/>
                <w:color w:val="auto"/>
              </w:rPr>
              <w:t>21.0%</w:t>
            </w: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3"/>
                <w:szCs w:val="13"/>
                <w:color w:val="auto"/>
              </w:rPr>
              <w:t>21.0%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valuation allowance</w:t>
            </w:r>
          </w:p>
        </w:tc>
        <w:tc>
          <w:tcPr>
            <w:tcW w:w="6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(22.8)</w:t>
            </w:r>
          </w:p>
        </w:tc>
        <w:tc>
          <w:tcPr>
            <w:tcW w:w="10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(27.6)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3"/>
                <w:szCs w:val="13"/>
                <w:color w:val="auto"/>
              </w:rPr>
              <w:t>Research and development credits</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6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Effective income tax rate</w:t>
            </w: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50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4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The major components of deferred tax assets (liabilities) were as follows (in thousands):</w:t>
            </w:r>
          </w:p>
        </w:tc>
        <w:tc>
          <w:tcPr>
            <w:tcW w:w="6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8"/>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rPr>
              <w:t>As of January 31,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480" w:type="dxa"/>
            <w:vAlign w:val="bottom"/>
            <w:tcBorders>
              <w:bottom w:val="single" w:sz="8" w:color="CCEEFF"/>
            </w:tcBorders>
          </w:tcPr>
          <w:p>
            <w:pPr>
              <w:spacing w:after="0"/>
              <w:rPr>
                <w:sz w:val="8"/>
                <w:szCs w:val="8"/>
                <w:color w:val="auto"/>
              </w:rPr>
            </w:pPr>
          </w:p>
        </w:tc>
        <w:tc>
          <w:tcPr>
            <w:tcW w:w="620" w:type="dxa"/>
            <w:vAlign w:val="bottom"/>
            <w:tcBorders>
              <w:bottom w:val="single" w:sz="8" w:color="CCEEFF"/>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38"/>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0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auto"/>
              <w:bottom w:val="single" w:sz="8" w:color="CCEEFF"/>
            </w:tcBorders>
          </w:tcPr>
          <w:p>
            <w:pPr>
              <w:spacing w:after="0"/>
              <w:rPr>
                <w:sz w:val="8"/>
                <w:szCs w:val="8"/>
                <w:color w:val="auto"/>
              </w:rPr>
            </w:pPr>
          </w:p>
        </w:tc>
        <w:tc>
          <w:tcPr>
            <w:tcW w:w="100" w:type="dxa"/>
            <w:vAlign w:val="bottom"/>
            <w:tcBorders>
              <w:top w:val="single" w:sz="8" w:color="auto"/>
              <w:bottom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37"/>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Borders>
              <w:top w:val="single" w:sz="8" w:color="auto"/>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Deferred tax assets:</w:t>
            </w:r>
          </w:p>
        </w:tc>
        <w:tc>
          <w:tcPr>
            <w:tcW w:w="6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operating loss carryforwards</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45,503</w:t>
            </w:r>
          </w:p>
        </w:tc>
        <w:tc>
          <w:tcPr>
            <w:tcW w:w="100" w:type="dxa"/>
            <w:vAlign w:val="bottom"/>
          </w:tcPr>
          <w:p>
            <w:pPr>
              <w:spacing w:after="0"/>
              <w:rPr>
                <w:sz w:val="13"/>
                <w:szCs w:val="13"/>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78,498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Research and development tax credits</w:t>
            </w:r>
          </w:p>
        </w:tc>
        <w:tc>
          <w:tcPr>
            <w:tcW w:w="6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9,170</w:t>
            </w:r>
          </w:p>
        </w:tc>
        <w:tc>
          <w:tcPr>
            <w:tcW w:w="10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15,112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987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Stock-based compensation</w:t>
            </w:r>
          </w:p>
        </w:tc>
        <w:tc>
          <w:tcPr>
            <w:tcW w:w="6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919</w:t>
            </w:r>
          </w:p>
        </w:tc>
        <w:tc>
          <w:tcPr>
            <w:tcW w:w="10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Reserves and accrued expenses</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576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6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4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deferred tax assets</w:t>
            </w:r>
          </w:p>
        </w:tc>
        <w:tc>
          <w:tcPr>
            <w:tcW w:w="6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57,155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99,993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tax liabilities:</w:t>
            </w:r>
          </w:p>
        </w:tc>
        <w:tc>
          <w:tcPr>
            <w:tcW w:w="6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(3,844)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5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deferred tax liabilities</w:t>
            </w:r>
          </w:p>
        </w:tc>
        <w:tc>
          <w:tcPr>
            <w:tcW w:w="6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(3,844)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Valuation allowance</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(57,155)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(96,149)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5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Net deferred tax assets</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1680" w:right="939" w:firstLine="316"/>
        <w:spacing w:after="0" w:line="277" w:lineRule="auto"/>
        <w:rPr>
          <w:sz w:val="20"/>
          <w:szCs w:val="20"/>
          <w:color w:val="auto"/>
        </w:rPr>
      </w:pPr>
      <w:r>
        <w:rPr>
          <w:rFonts w:ascii="Times New Roman" w:cs="Times New Roman" w:eastAsia="Times New Roman" w:hAnsi="Times New Roman"/>
          <w:sz w:val="13"/>
          <w:szCs w:val="13"/>
          <w:color w:val="auto"/>
        </w:rPr>
        <w:t>The valuation allowance increased by $13.7 million and $39.0 million during the years ended January 31, 2019 and 2020, respectively. The increase in the valuation allowance during the years ended January 31, 2019</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F-38</w:t>
      </w:r>
    </w:p>
    <w:p>
      <w:pPr>
        <w:sectPr>
          <w:pgSz w:w="11900" w:h="16838" w:orient="portrait"/>
          <w:cols w:equalWidth="0" w:num="1">
            <w:col w:w="10159"/>
          </w:cols>
          <w:pgMar w:left="300" w:top="367" w:right="1440" w:bottom="1440" w:gutter="0" w:footer="0" w:header="0"/>
        </w:sectPr>
      </w:pPr>
    </w:p>
    <w:bookmarkStart w:id="202" w:name="page203"/>
    <w:bookmarkEnd w:id="20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19"/>
        <w:spacing w:after="0" w:line="263" w:lineRule="auto"/>
        <w:rPr>
          <w:sz w:val="20"/>
          <w:szCs w:val="20"/>
          <w:color w:val="auto"/>
        </w:rPr>
      </w:pPr>
      <w:r>
        <w:rPr>
          <w:rFonts w:ascii="Times New Roman" w:cs="Times New Roman" w:eastAsia="Times New Roman" w:hAnsi="Times New Roman"/>
          <w:sz w:val="13"/>
          <w:szCs w:val="13"/>
          <w:color w:val="auto"/>
        </w:rPr>
        <w:t>and 2020 was primarily driven by losses and tax credits generated in the United States. As of January 31, 2019 and 2020, the Company believes it is not more likely than not that the deferred tax assets will be fully realizable and continues to maintain a full valuation allowance against its net deferred tax assets.</w:t>
      </w:r>
    </w:p>
    <w:p>
      <w:pPr>
        <w:spacing w:after="0" w:line="129" w:lineRule="exact"/>
        <w:rPr>
          <w:sz w:val="20"/>
          <w:szCs w:val="20"/>
          <w:color w:val="auto"/>
        </w:rPr>
      </w:pPr>
    </w:p>
    <w:p>
      <w:pPr>
        <w:jc w:val="both"/>
        <w:ind w:left="1680" w:right="739" w:firstLine="316"/>
        <w:spacing w:after="0" w:line="263" w:lineRule="auto"/>
        <w:rPr>
          <w:sz w:val="20"/>
          <w:szCs w:val="20"/>
          <w:color w:val="auto"/>
        </w:rPr>
      </w:pPr>
      <w:r>
        <w:rPr>
          <w:rFonts w:ascii="Times New Roman" w:cs="Times New Roman" w:eastAsia="Times New Roman" w:hAnsi="Times New Roman"/>
          <w:sz w:val="13"/>
          <w:szCs w:val="13"/>
          <w:color w:val="auto"/>
        </w:rPr>
        <w:t>As of January 31, 2020, the Company had federal and state net operating loss carryforwards of $325.4 million and $151.3 million, respectively. The federal and state net operating losses, if not used, will begin to expire in 2029. Federal net operating losses generated after January 31, 2018 will carry forward indefinitely.</w:t>
      </w:r>
    </w:p>
    <w:p>
      <w:pPr>
        <w:spacing w:after="0" w:line="129" w:lineRule="exact"/>
        <w:rPr>
          <w:sz w:val="20"/>
          <w:szCs w:val="20"/>
          <w:color w:val="auto"/>
        </w:rPr>
      </w:pPr>
    </w:p>
    <w:p>
      <w:pPr>
        <w:ind w:left="1680" w:right="699" w:firstLine="316"/>
        <w:spacing w:after="0" w:line="263" w:lineRule="auto"/>
        <w:rPr>
          <w:sz w:val="20"/>
          <w:szCs w:val="20"/>
          <w:color w:val="auto"/>
        </w:rPr>
      </w:pPr>
      <w:r>
        <w:rPr>
          <w:rFonts w:ascii="Times New Roman" w:cs="Times New Roman" w:eastAsia="Times New Roman" w:hAnsi="Times New Roman"/>
          <w:sz w:val="13"/>
          <w:szCs w:val="13"/>
          <w:color w:val="auto"/>
        </w:rPr>
        <w:t>As of January 31, 2020, the Company has federal and California research and development tax credit carryforwards of $12.1 million and $9.6 million, respectively, to offset future taxable income. The federal research and development tax credits, if not used, will begin to expire in 2030, while the state tax credit carryforwards may be carried forward indefinitely.</w:t>
      </w:r>
    </w:p>
    <w:p>
      <w:pPr>
        <w:spacing w:after="0" w:line="129" w:lineRule="exact"/>
        <w:rPr>
          <w:sz w:val="20"/>
          <w:szCs w:val="20"/>
          <w:color w:val="auto"/>
        </w:rPr>
      </w:pPr>
    </w:p>
    <w:p>
      <w:pPr>
        <w:ind w:left="1680" w:right="559" w:firstLine="316"/>
        <w:spacing w:after="0" w:line="263" w:lineRule="auto"/>
        <w:rPr>
          <w:sz w:val="20"/>
          <w:szCs w:val="20"/>
          <w:color w:val="auto"/>
        </w:rPr>
      </w:pPr>
      <w:r>
        <w:rPr>
          <w:rFonts w:ascii="Times New Roman" w:cs="Times New Roman" w:eastAsia="Times New Roman" w:hAnsi="Times New Roman"/>
          <w:sz w:val="13"/>
          <w:szCs w:val="13"/>
          <w:color w:val="auto"/>
        </w:rPr>
        <w:t>The Tax Reform Act of 1986 limits the use of net operating loss and tax credit carryforwards in certain situations where changes occur in the stock ownership of a company. In the event it is determined that the Company has had a change in ownership, the utilization of the carryforwards could be restricted.</w:t>
      </w:r>
    </w:p>
    <w:p>
      <w:pPr>
        <w:spacing w:after="0" w:line="129" w:lineRule="exact"/>
        <w:rPr>
          <w:sz w:val="20"/>
          <w:szCs w:val="20"/>
          <w:color w:val="auto"/>
        </w:rPr>
      </w:pPr>
    </w:p>
    <w:p>
      <w:pPr>
        <w:ind w:left="1680" w:right="1119" w:firstLine="316"/>
        <w:spacing w:after="0" w:line="277" w:lineRule="auto"/>
        <w:rPr>
          <w:sz w:val="20"/>
          <w:szCs w:val="20"/>
          <w:color w:val="auto"/>
        </w:rPr>
      </w:pPr>
      <w:r>
        <w:rPr>
          <w:rFonts w:ascii="Times New Roman" w:cs="Times New Roman" w:eastAsia="Times New Roman" w:hAnsi="Times New Roman"/>
          <w:sz w:val="13"/>
          <w:szCs w:val="13"/>
          <w:color w:val="auto"/>
        </w:rPr>
        <w:t>Foreign withholding taxes have not been provided for the cumulative undistributed earnings of the Company’s foreign subsidiaries as of January 31, 2020 due to the Company’s intention to permanently reinvest such earnings.</w:t>
      </w:r>
    </w:p>
    <w:p>
      <w:pPr>
        <w:spacing w:after="0" w:line="120" w:lineRule="exact"/>
        <w:rPr>
          <w:sz w:val="20"/>
          <w:szCs w:val="20"/>
          <w:color w:val="auto"/>
        </w:rPr>
      </w:pPr>
    </w:p>
    <w:p>
      <w:pPr>
        <w:ind w:left="1680" w:right="619" w:firstLine="316"/>
        <w:spacing w:after="0" w:line="277" w:lineRule="auto"/>
        <w:rPr>
          <w:sz w:val="20"/>
          <w:szCs w:val="20"/>
          <w:color w:val="auto"/>
        </w:rPr>
      </w:pPr>
      <w:r>
        <w:rPr>
          <w:rFonts w:ascii="Times New Roman" w:cs="Times New Roman" w:eastAsia="Times New Roman" w:hAnsi="Times New Roman"/>
          <w:sz w:val="13"/>
          <w:szCs w:val="13"/>
          <w:color w:val="auto"/>
        </w:rPr>
        <w:t>No liability related to uncertain tax positions is recorded in the financial statements due to the fact the liabilities have been netted against deferred attribute carryovers.</w:t>
      </w:r>
    </w:p>
    <w:p>
      <w:pPr>
        <w:spacing w:after="0" w:line="1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A reconciliation of the beginning and ending amounts of gross unrecognized tax benefits was as follows (in thousands):</w:t>
      </w:r>
    </w:p>
    <w:p>
      <w:pPr>
        <w:spacing w:after="0" w:line="176"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As of January 31,</w:t>
            </w:r>
          </w:p>
        </w:tc>
        <w:tc>
          <w:tcPr>
            <w:tcW w:w="5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6"/>
        </w:trPr>
        <w:tc>
          <w:tcPr>
            <w:tcW w:w="20" w:type="dxa"/>
            <w:vAlign w:val="bottom"/>
          </w:tcPr>
          <w:p>
            <w:pPr>
              <w:spacing w:after="0"/>
              <w:rPr>
                <w:sz w:val="8"/>
                <w:szCs w:val="8"/>
                <w:color w:val="auto"/>
              </w:rPr>
            </w:pPr>
          </w:p>
        </w:tc>
        <w:tc>
          <w:tcPr>
            <w:tcW w:w="592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50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300" w:type="dxa"/>
            <w:vAlign w:val="bottom"/>
            <w:tcBorders>
              <w:bottom w:val="single" w:sz="8" w:color="auto"/>
            </w:tcBorders>
          </w:tcPr>
          <w:p>
            <w:pPr>
              <w:spacing w:after="0"/>
              <w:rPr>
                <w:sz w:val="8"/>
                <w:szCs w:val="8"/>
                <w:color w:val="auto"/>
              </w:rPr>
            </w:pPr>
          </w:p>
        </w:tc>
        <w:tc>
          <w:tcPr>
            <w:tcW w:w="28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258"/>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40" w:type="dxa"/>
            <w:vAlign w:val="bottom"/>
            <w:tcBorders>
              <w:bottom w:val="single" w:sz="8" w:color="CCEEFF"/>
            </w:tcBorders>
          </w:tcPr>
          <w:p>
            <w:pPr>
              <w:spacing w:after="0"/>
              <w:rPr>
                <w:sz w:val="8"/>
                <w:szCs w:val="8"/>
                <w:color w:val="auto"/>
              </w:rPr>
            </w:pPr>
          </w:p>
        </w:tc>
      </w:tr>
      <w:tr>
        <w:trPr>
          <w:trHeight w:val="145"/>
        </w:trPr>
        <w:tc>
          <w:tcPr>
            <w:tcW w:w="20" w:type="dxa"/>
            <w:vAlign w:val="bottom"/>
          </w:tcPr>
          <w:p>
            <w:pPr>
              <w:spacing w:after="0"/>
              <w:rPr>
                <w:sz w:val="12"/>
                <w:szCs w:val="12"/>
                <w:color w:val="auto"/>
              </w:rPr>
            </w:pPr>
          </w:p>
        </w:tc>
        <w:tc>
          <w:tcPr>
            <w:tcW w:w="59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Balance at the beginning of the year</w:t>
            </w: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25"/>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w w:val="95"/>
              </w:rPr>
              <w:t>2,216</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3,261</w:t>
            </w:r>
          </w:p>
        </w:tc>
        <w:tc>
          <w:tcPr>
            <w:tcW w:w="40" w:type="dxa"/>
            <w:vAlign w:val="bottom"/>
            <w:shd w:val="clear" w:color="auto" w:fill="CCEEFF"/>
          </w:tcPr>
          <w:p>
            <w:pPr>
              <w:spacing w:after="0"/>
              <w:rPr>
                <w:sz w:val="12"/>
                <w:szCs w:val="12"/>
                <w:color w:val="auto"/>
              </w:rPr>
            </w:pPr>
          </w:p>
        </w:tc>
      </w:tr>
      <w:tr>
        <w:trPr>
          <w:trHeight w:val="155"/>
        </w:trPr>
        <w:tc>
          <w:tcPr>
            <w:tcW w:w="20" w:type="dxa"/>
            <w:vAlign w:val="bottom"/>
          </w:tcPr>
          <w:p>
            <w:pPr>
              <w:spacing w:after="0"/>
              <w:rPr>
                <w:sz w:val="13"/>
                <w:szCs w:val="13"/>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3"/>
                <w:szCs w:val="13"/>
                <w:color w:val="auto"/>
              </w:rPr>
              <w:t>Increases—current period tax positions</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884</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2,177</w:t>
            </w:r>
          </w:p>
        </w:tc>
        <w:tc>
          <w:tcPr>
            <w:tcW w:w="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Increases—prior period tax positions</w:t>
            </w:r>
          </w:p>
        </w:tc>
        <w:tc>
          <w:tcPr>
            <w:tcW w:w="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r>
      <w:tr>
        <w:trPr>
          <w:trHeight w:val="164"/>
        </w:trPr>
        <w:tc>
          <w:tcPr>
            <w:tcW w:w="5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Balance at the end of the year</w:t>
            </w:r>
          </w:p>
        </w:tc>
        <w:tc>
          <w:tcPr>
            <w:tcW w:w="20" w:type="dxa"/>
            <w:vAlign w:val="bottom"/>
            <w:tcBorders>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425"/>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3,261</w:t>
            </w:r>
          </w:p>
        </w:tc>
        <w:tc>
          <w:tcPr>
            <w:tcW w:w="2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5,438</w:t>
            </w:r>
          </w:p>
        </w:tc>
        <w:tc>
          <w:tcPr>
            <w:tcW w:w="40" w:type="dxa"/>
            <w:vAlign w:val="bottom"/>
          </w:tcPr>
          <w:p>
            <w:pPr>
              <w:spacing w:after="0"/>
              <w:rPr>
                <w:sz w:val="14"/>
                <w:szCs w:val="14"/>
                <w:color w:val="auto"/>
              </w:rPr>
            </w:pPr>
          </w:p>
        </w:tc>
      </w:tr>
    </w:tbl>
    <w:p>
      <w:pPr>
        <w:spacing w:after="0" w:line="152" w:lineRule="exact"/>
        <w:rPr>
          <w:sz w:val="20"/>
          <w:szCs w:val="20"/>
          <w:color w:val="auto"/>
        </w:rPr>
      </w:pPr>
    </w:p>
    <w:p>
      <w:pPr>
        <w:ind w:left="1680" w:right="579" w:firstLine="316"/>
        <w:spacing w:after="0" w:line="258" w:lineRule="auto"/>
        <w:rPr>
          <w:sz w:val="20"/>
          <w:szCs w:val="20"/>
          <w:color w:val="auto"/>
        </w:rPr>
      </w:pPr>
      <w:r>
        <w:rPr>
          <w:rFonts w:ascii="Times New Roman" w:cs="Times New Roman" w:eastAsia="Times New Roman" w:hAnsi="Times New Roman"/>
          <w:sz w:val="13"/>
          <w:szCs w:val="13"/>
          <w:color w:val="auto"/>
        </w:rPr>
        <w:t>The Company’s policy is to include interest and penalties related to unrecognized tax benefits within the Company’s benefit from (provision for) income taxes. The Company had no accrued interest and penalties related to unrecognized tax benefits as of January 31, 2019 or January 31, 2020. As of January 31, 2020, there are no unrecognized tax benefits that, if recognized, would affect the Company’s effective tax rate. The Company does not expect that its uncertain tax positions will materially change in the next 12 months.</w:t>
      </w:r>
    </w:p>
    <w:p>
      <w:pPr>
        <w:spacing w:after="0" w:line="133" w:lineRule="exact"/>
        <w:rPr>
          <w:sz w:val="20"/>
          <w:szCs w:val="20"/>
          <w:color w:val="auto"/>
        </w:rPr>
      </w:pPr>
    </w:p>
    <w:p>
      <w:pPr>
        <w:ind w:left="1680" w:right="619" w:firstLine="316"/>
        <w:spacing w:after="0" w:line="320" w:lineRule="auto"/>
        <w:rPr>
          <w:sz w:val="20"/>
          <w:szCs w:val="20"/>
          <w:color w:val="auto"/>
        </w:rPr>
      </w:pPr>
      <w:r>
        <w:rPr>
          <w:rFonts w:ascii="Times New Roman" w:cs="Times New Roman" w:eastAsia="Times New Roman" w:hAnsi="Times New Roman"/>
          <w:sz w:val="12"/>
          <w:szCs w:val="12"/>
          <w:color w:val="auto"/>
        </w:rPr>
        <w:t>The Company files federal and state tax returns in the United States and in various foreign jurisdictions. The Company’s tax years since inception are open to examination by federal and state taxing authorities, and the tax years 2014 and forward remain open in various foreign jurisdictions.</w:t>
      </w:r>
    </w:p>
    <w:p>
      <w:pPr>
        <w:spacing w:after="0" w:line="9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For the Six Months Ended July 31, 2020 (Unaudited)</w:t>
      </w:r>
    </w:p>
    <w:p>
      <w:pPr>
        <w:spacing w:after="0" w:line="87" w:lineRule="exact"/>
        <w:rPr>
          <w:sz w:val="20"/>
          <w:szCs w:val="20"/>
          <w:color w:val="auto"/>
        </w:rPr>
      </w:pPr>
    </w:p>
    <w:p>
      <w:pPr>
        <w:ind w:left="1680" w:right="639" w:firstLine="316"/>
        <w:spacing w:after="0" w:line="277" w:lineRule="auto"/>
        <w:rPr>
          <w:sz w:val="20"/>
          <w:szCs w:val="20"/>
          <w:color w:val="auto"/>
        </w:rPr>
      </w:pPr>
      <w:r>
        <w:rPr>
          <w:rFonts w:ascii="Times New Roman" w:cs="Times New Roman" w:eastAsia="Times New Roman" w:hAnsi="Times New Roman"/>
          <w:sz w:val="13"/>
          <w:szCs w:val="13"/>
          <w:color w:val="auto"/>
        </w:rPr>
        <w:t>The Coronavirus Aid, Relief, and Economic Security Act (“CARES Act”) was enacted by the United States on March 27, 2020. The CARES Act did not have a material impact on the Company’s provision for income taxes for the six months ended July 31, 2020.</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F-39</w:t>
      </w:r>
    </w:p>
    <w:p>
      <w:pPr>
        <w:sectPr>
          <w:pgSz w:w="11900" w:h="16838" w:orient="portrait"/>
          <w:cols w:equalWidth="0" w:num="1">
            <w:col w:w="10159"/>
          </w:cols>
          <w:pgMar w:left="300" w:top="367" w:right="1440" w:bottom="1440" w:gutter="0" w:footer="0" w:header="0"/>
        </w:sectPr>
      </w:pPr>
    </w:p>
    <w:bookmarkStart w:id="203" w:name="page204"/>
    <w:bookmarkEnd w:id="20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Note 14. Geographic Information</w:t>
      </w:r>
    </w:p>
    <w:p>
      <w:pPr>
        <w:spacing w:after="0" w:line="85" w:lineRule="exact"/>
        <w:rPr>
          <w:sz w:val="20"/>
          <w:szCs w:val="20"/>
          <w:color w:val="auto"/>
        </w:rPr>
      </w:pPr>
    </w:p>
    <w:p>
      <w:pPr>
        <w:ind w:left="1680" w:right="659" w:firstLine="316"/>
        <w:spacing w:after="0" w:line="277" w:lineRule="auto"/>
        <w:rPr>
          <w:sz w:val="20"/>
          <w:szCs w:val="20"/>
          <w:color w:val="auto"/>
        </w:rPr>
      </w:pPr>
      <w:r>
        <w:rPr>
          <w:rFonts w:ascii="Times New Roman" w:cs="Times New Roman" w:eastAsia="Times New Roman" w:hAnsi="Times New Roman"/>
          <w:sz w:val="13"/>
          <w:szCs w:val="13"/>
          <w:color w:val="auto"/>
        </w:rPr>
        <w:t>The following tables set forth revenues and long-lived assets, including operating lease ROU assets, by geographic area for the periods presented below (in thousands):</w:t>
      </w:r>
    </w:p>
    <w:p>
      <w:pPr>
        <w:spacing w:after="0" w:line="19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Revenues</w:t>
      </w:r>
    </w:p>
    <w:p>
      <w:pPr>
        <w:spacing w:after="0" w:line="180"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20" w:type="dxa"/>
            <w:vAlign w:val="bottom"/>
            <w:gridSpan w:val="5"/>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Year Ended January 31,</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920" w:type="dxa"/>
            <w:vAlign w:val="bottom"/>
            <w:gridSpan w:val="5"/>
          </w:tcPr>
          <w:p>
            <w:pPr>
              <w:ind w:left="180"/>
              <w:spacing w:after="0"/>
              <w:rPr>
                <w:sz w:val="20"/>
                <w:szCs w:val="20"/>
                <w:color w:val="auto"/>
              </w:rPr>
            </w:pPr>
            <w:r>
              <w:rPr>
                <w:rFonts w:ascii="Times New Roman" w:cs="Times New Roman" w:eastAsia="Times New Roman" w:hAnsi="Times New Roman"/>
                <w:sz w:val="10"/>
                <w:szCs w:val="10"/>
                <w:b w:val="1"/>
                <w:bCs w:val="1"/>
                <w:color w:val="auto"/>
              </w:rPr>
              <w:t>Six Months Ended July 31,</w:t>
            </w:r>
          </w:p>
        </w:tc>
      </w:tr>
      <w:tr>
        <w:trPr>
          <w:trHeight w:val="96"/>
        </w:trPr>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Borders>
              <w:top w:val="single" w:sz="8" w:color="auto"/>
              <w:bottom w:val="single" w:sz="8" w:color="auto"/>
            </w:tcBorders>
          </w:tcPr>
          <w:p>
            <w:pPr>
              <w:spacing w:after="0"/>
              <w:rPr>
                <w:sz w:val="8"/>
                <w:szCs w:val="8"/>
                <w:color w:val="auto"/>
              </w:rPr>
            </w:pPr>
          </w:p>
        </w:tc>
        <w:tc>
          <w:tcPr>
            <w:tcW w:w="760" w:type="dxa"/>
            <w:vAlign w:val="bottom"/>
            <w:tcBorders>
              <w:top w:val="single" w:sz="8" w:color="auto"/>
              <w:bottom w:val="single" w:sz="8" w:color="auto"/>
            </w:tcBorders>
          </w:tcPr>
          <w:p>
            <w:pPr>
              <w:jc w:val="right"/>
              <w:ind w:right="321"/>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2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jc w:val="right"/>
              <w:ind w:right="300"/>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220" w:type="dxa"/>
            <w:vAlign w:val="bottom"/>
          </w:tcPr>
          <w:p>
            <w:pPr>
              <w:spacing w:after="0"/>
              <w:rPr>
                <w:sz w:val="8"/>
                <w:szCs w:val="8"/>
                <w:color w:val="auto"/>
              </w:rPr>
            </w:pPr>
          </w:p>
        </w:tc>
        <w:tc>
          <w:tcPr>
            <w:tcW w:w="32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jc w:val="right"/>
              <w:ind w:right="301"/>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240" w:type="dxa"/>
            <w:vAlign w:val="bottom"/>
            <w:tcBorders>
              <w:top w:val="single" w:sz="8" w:color="auto"/>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820" w:type="dxa"/>
            <w:vAlign w:val="bottom"/>
            <w:tcBorders>
              <w:top w:val="single" w:sz="8" w:color="auto"/>
              <w:bottom w:val="single" w:sz="8" w:color="auto"/>
            </w:tcBorders>
          </w:tcPr>
          <w:p>
            <w:pPr>
              <w:jc w:val="right"/>
              <w:ind w:right="341"/>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6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gridSpan w:val="3"/>
          </w:tcPr>
          <w:p>
            <w:pPr>
              <w:jc w:val="right"/>
              <w:ind w:right="20"/>
              <w:spacing w:after="0" w:line="97"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55"/>
        </w:trPr>
        <w:tc>
          <w:tcPr>
            <w:tcW w:w="20" w:type="dxa"/>
            <w:vAlign w:val="bottom"/>
          </w:tcPr>
          <w:p>
            <w:pPr>
              <w:spacing w:after="0"/>
              <w:rPr>
                <w:sz w:val="13"/>
                <w:szCs w:val="13"/>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United States</w:t>
            </w:r>
          </w:p>
        </w:tc>
        <w:tc>
          <w:tcPr>
            <w:tcW w:w="122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46,221</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84,029</w:t>
            </w:r>
          </w:p>
        </w:tc>
        <w:tc>
          <w:tcPr>
            <w:tcW w:w="540" w:type="dxa"/>
            <w:vAlign w:val="bottom"/>
            <w:tcBorders>
              <w:lef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36,576</w:t>
            </w:r>
          </w:p>
        </w:tc>
        <w:tc>
          <w:tcPr>
            <w:tcW w:w="420" w:type="dxa"/>
            <w:vAlign w:val="bottom"/>
            <w:tcBorders>
              <w:lef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60,823</w:t>
            </w:r>
          </w:p>
        </w:tc>
        <w:tc>
          <w:tcPr>
            <w:tcW w:w="60" w:type="dxa"/>
            <w:vAlign w:val="bottom"/>
            <w:tcBorders>
              <w:left w:val="single" w:sz="8" w:color="CCEEFF"/>
            </w:tcBorders>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3"/>
                <w:szCs w:val="13"/>
                <w:color w:val="auto"/>
              </w:rPr>
              <w:t>International</w:t>
            </w:r>
          </w:p>
        </w:tc>
        <w:tc>
          <w:tcPr>
            <w:tcW w:w="10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30,549</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58,577</w:t>
            </w:r>
          </w:p>
        </w:tc>
        <w:tc>
          <w:tcPr>
            <w:tcW w:w="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24,481</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38,907</w:t>
            </w:r>
          </w:p>
        </w:tc>
        <w:tc>
          <w:tcPr>
            <w:tcW w:w="6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76,770</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142,606</w:t>
            </w:r>
          </w:p>
        </w:tc>
        <w:tc>
          <w:tcPr>
            <w:tcW w:w="540" w:type="dxa"/>
            <w:vAlign w:val="bottom"/>
            <w:tcBorders>
              <w:lef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61,057</w:t>
            </w:r>
          </w:p>
        </w:tc>
        <w:tc>
          <w:tcPr>
            <w:tcW w:w="420" w:type="dxa"/>
            <w:vAlign w:val="bottom"/>
            <w:tcBorders>
              <w:lef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99,730</w:t>
            </w:r>
          </w:p>
        </w:tc>
        <w:tc>
          <w:tcPr>
            <w:tcW w:w="60" w:type="dxa"/>
            <w:vAlign w:val="bottom"/>
            <w:tcBorders>
              <w:left w:val="single" w:sz="8" w:color="CCEEFF"/>
            </w:tcBorders>
            <w:shd w:val="clear" w:color="auto" w:fill="CCEEFF"/>
          </w:tcPr>
          <w:p>
            <w:pPr>
              <w:spacing w:after="0"/>
              <w:rPr>
                <w:sz w:val="13"/>
                <w:szCs w:val="13"/>
                <w:color w:val="auto"/>
              </w:rPr>
            </w:pPr>
          </w:p>
        </w:tc>
      </w:tr>
      <w:tr>
        <w:trPr>
          <w:trHeight w:val="29"/>
        </w:trPr>
        <w:tc>
          <w:tcPr>
            <w:tcW w:w="20" w:type="dxa"/>
            <w:vAlign w:val="bottom"/>
          </w:tcPr>
          <w:p>
            <w:pPr>
              <w:spacing w:after="0"/>
              <w:rPr>
                <w:sz w:val="2"/>
                <w:szCs w:val="2"/>
                <w:color w:val="auto"/>
              </w:rPr>
            </w:pPr>
          </w:p>
        </w:tc>
        <w:tc>
          <w:tcPr>
            <w:tcW w:w="3300" w:type="dxa"/>
            <w:vAlign w:val="bottom"/>
            <w:gridSpan w:val="2"/>
          </w:tcPr>
          <w:p>
            <w:pPr>
              <w:spacing w:after="0"/>
              <w:rPr>
                <w:sz w:val="2"/>
                <w:szCs w:val="2"/>
                <w:color w:val="auto"/>
              </w:rPr>
            </w:pPr>
          </w:p>
        </w:tc>
        <w:tc>
          <w:tcPr>
            <w:tcW w:w="98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319"/>
        </w:trPr>
        <w:tc>
          <w:tcPr>
            <w:tcW w:w="20" w:type="dxa"/>
            <w:vAlign w:val="bottom"/>
          </w:tcPr>
          <w:p>
            <w:pPr>
              <w:spacing w:after="0"/>
              <w:rPr>
                <w:sz w:val="24"/>
                <w:szCs w:val="24"/>
                <w:color w:val="auto"/>
              </w:rPr>
            </w:pPr>
          </w:p>
        </w:tc>
        <w:tc>
          <w:tcPr>
            <w:tcW w:w="4280" w:type="dxa"/>
            <w:vAlign w:val="bottom"/>
            <w:gridSpan w:val="4"/>
          </w:tcPr>
          <w:p>
            <w:pPr>
              <w:ind w:left="300"/>
              <w:spacing w:after="0"/>
              <w:rPr>
                <w:sz w:val="20"/>
                <w:szCs w:val="20"/>
                <w:color w:val="auto"/>
              </w:rPr>
            </w:pPr>
            <w:r>
              <w:rPr>
                <w:rFonts w:ascii="Times New Roman" w:cs="Times New Roman" w:eastAsia="Times New Roman" w:hAnsi="Times New Roman"/>
                <w:sz w:val="13"/>
                <w:szCs w:val="13"/>
                <w:color w:val="auto"/>
              </w:rPr>
              <w:t>Revenues by geography are based on the billing address of the customer.</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88"/>
        </w:trPr>
        <w:tc>
          <w:tcPr>
            <w:tcW w:w="20" w:type="dxa"/>
            <w:vAlign w:val="bottom"/>
          </w:tcPr>
          <w:p>
            <w:pPr>
              <w:spacing w:after="0"/>
              <w:rPr>
                <w:sz w:val="24"/>
                <w:szCs w:val="24"/>
                <w:color w:val="auto"/>
              </w:rPr>
            </w:pPr>
          </w:p>
        </w:tc>
        <w:tc>
          <w:tcPr>
            <w:tcW w:w="2300" w:type="dxa"/>
            <w:vAlign w:val="bottom"/>
          </w:tcPr>
          <w:p>
            <w:pPr>
              <w:ind w:left="300"/>
              <w:spacing w:after="0"/>
              <w:rPr>
                <w:sz w:val="20"/>
                <w:szCs w:val="20"/>
                <w:color w:val="auto"/>
              </w:rPr>
            </w:pPr>
            <w:r>
              <w:rPr>
                <w:rFonts w:ascii="Times New Roman" w:cs="Times New Roman" w:eastAsia="Times New Roman" w:hAnsi="Times New Roman"/>
                <w:sz w:val="13"/>
                <w:szCs w:val="13"/>
                <w:b w:val="1"/>
                <w:bCs w:val="1"/>
                <w:i w:val="1"/>
                <w:iCs w:val="1"/>
                <w:color w:val="auto"/>
              </w:rPr>
              <w:t>Long-Lived Assets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2"/>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As of January 31,</w:t>
            </w:r>
          </w:p>
        </w:tc>
        <w:tc>
          <w:tcPr>
            <w:tcW w:w="6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As of July 31,</w:t>
            </w:r>
          </w:p>
        </w:tc>
      </w:tr>
      <w:tr>
        <w:trPr>
          <w:trHeight w:val="96"/>
        </w:trPr>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80"/>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2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321"/>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2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jc w:val="center"/>
              <w:ind w:right="161"/>
              <w:spacing w:after="0" w:line="97" w:lineRule="exact"/>
              <w:rPr>
                <w:sz w:val="20"/>
                <w:szCs w:val="20"/>
                <w:color w:val="auto"/>
              </w:rPr>
            </w:pPr>
            <w:r>
              <w:rPr>
                <w:rFonts w:ascii="Times New Roman" w:cs="Times New Roman" w:eastAsia="Times New Roman" w:hAnsi="Times New Roman"/>
                <w:sz w:val="10"/>
                <w:szCs w:val="10"/>
                <w:b w:val="1"/>
                <w:bCs w:val="1"/>
                <w:color w:val="auto"/>
                <w:w w:val="99"/>
              </w:rPr>
              <w:t>2020</w:t>
            </w:r>
          </w:p>
        </w:tc>
        <w:tc>
          <w:tcPr>
            <w:tcW w:w="6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jc w:val="center"/>
              <w:ind w:right="161"/>
              <w:spacing w:after="0" w:line="97"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60" w:type="dxa"/>
            <w:vAlign w:val="bottom"/>
          </w:tcPr>
          <w:p>
            <w:pPr>
              <w:spacing w:after="0"/>
              <w:rPr>
                <w:sz w:val="8"/>
                <w:szCs w:val="8"/>
                <w:color w:val="auto"/>
              </w:rPr>
            </w:pPr>
          </w:p>
        </w:tc>
      </w:tr>
      <w:tr>
        <w:trPr>
          <w:trHeight w:val="155"/>
        </w:trPr>
        <w:tc>
          <w:tcPr>
            <w:tcW w:w="20" w:type="dxa"/>
            <w:vAlign w:val="bottom"/>
          </w:tcPr>
          <w:p>
            <w:pPr>
              <w:spacing w:after="0"/>
              <w:rPr>
                <w:sz w:val="13"/>
                <w:szCs w:val="13"/>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United States</w:t>
            </w: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66"/>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3,981</w:t>
            </w:r>
          </w:p>
        </w:tc>
        <w:tc>
          <w:tcPr>
            <w:tcW w:w="540" w:type="dxa"/>
            <w:vAlign w:val="bottom"/>
            <w:tcBorders>
              <w:lef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23,913</w:t>
            </w:r>
          </w:p>
        </w:tc>
        <w:tc>
          <w:tcPr>
            <w:tcW w:w="420" w:type="dxa"/>
            <w:vAlign w:val="bottom"/>
            <w:tcBorders>
              <w:lef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164,866</w:t>
            </w:r>
          </w:p>
        </w:tc>
        <w:tc>
          <w:tcPr>
            <w:tcW w:w="60" w:type="dxa"/>
            <w:vAlign w:val="bottom"/>
            <w:tcBorders>
              <w:left w:val="single" w:sz="8" w:color="CCEEFF"/>
            </w:tcBorders>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3"/>
                <w:szCs w:val="13"/>
                <w:color w:val="auto"/>
              </w:rPr>
              <w:t>International</w:t>
            </w: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7,005</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5,976</w:t>
            </w:r>
          </w:p>
        </w:tc>
        <w:tc>
          <w:tcPr>
            <w:tcW w:w="6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spacing w:after="0"/>
              <w:rPr>
                <w:sz w:val="13"/>
                <w:szCs w:val="13"/>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4,099</w:t>
            </w:r>
          </w:p>
        </w:tc>
        <w:tc>
          <w:tcPr>
            <w:tcW w:w="540" w:type="dxa"/>
            <w:vAlign w:val="bottom"/>
            <w:tcBorders>
              <w:lef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30,918</w:t>
            </w:r>
          </w:p>
        </w:tc>
        <w:tc>
          <w:tcPr>
            <w:tcW w:w="420" w:type="dxa"/>
            <w:vAlign w:val="bottom"/>
            <w:tcBorders>
              <w:lef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170,842</w:t>
            </w:r>
          </w:p>
        </w:tc>
        <w:tc>
          <w:tcPr>
            <w:tcW w:w="60" w:type="dxa"/>
            <w:vAlign w:val="bottom"/>
            <w:tcBorders>
              <w:left w:val="single" w:sz="8" w:color="CCEEFF"/>
            </w:tcBorders>
            <w:shd w:val="clear" w:color="auto" w:fill="CCEEFF"/>
          </w:tcPr>
          <w:p>
            <w:pPr>
              <w:spacing w:after="0"/>
              <w:rPr>
                <w:sz w:val="13"/>
                <w:szCs w:val="13"/>
                <w:color w:val="auto"/>
              </w:rPr>
            </w:pPr>
          </w:p>
        </w:tc>
      </w:tr>
      <w:tr>
        <w:trPr>
          <w:trHeight w:val="29"/>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r>
    </w:tbl>
    <w:p>
      <w:pPr>
        <w:spacing w:after="0" w:line="22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Note 15. Related Party Transactions</w:t>
      </w:r>
    </w:p>
    <w:p>
      <w:pPr>
        <w:spacing w:after="0" w:line="85" w:lineRule="exact"/>
        <w:rPr>
          <w:sz w:val="20"/>
          <w:szCs w:val="20"/>
          <w:color w:val="auto"/>
        </w:rPr>
      </w:pPr>
    </w:p>
    <w:p>
      <w:pPr>
        <w:ind w:left="1680" w:right="639" w:firstLine="316"/>
        <w:spacing w:after="0" w:line="254" w:lineRule="auto"/>
        <w:rPr>
          <w:sz w:val="20"/>
          <w:szCs w:val="20"/>
          <w:color w:val="auto"/>
        </w:rPr>
      </w:pPr>
      <w:r>
        <w:rPr>
          <w:rFonts w:ascii="Times New Roman" w:cs="Times New Roman" w:eastAsia="Times New Roman" w:hAnsi="Times New Roman"/>
          <w:sz w:val="13"/>
          <w:szCs w:val="13"/>
          <w:color w:val="auto"/>
        </w:rPr>
        <w:t>In January 2018, the Company entered into a convertible note purchase agreement with an entity affiliated with its CEO. Pursuant to the original terms of this convertible note purchase agreement, the Company had the right to sell convertible promissory notes of the Company having an aggregate principal amount of up to $75 million from time to time until January 19, 2023. In May 2019, the Company amended the convertible note purchase agreement by increasing the available aggregate principal amount to $125 million. The Company has not issued any convertible promissory notes pursuant to this convertible note purchase agreement. Subsequently, in connection with the issuance of the January 2020 Convertible Note described in Note 5, “Convertible Notes—Related Party,” this note agreement was terminated.</w:t>
      </w:r>
    </w:p>
    <w:p>
      <w:pPr>
        <w:spacing w:after="0" w:line="136" w:lineRule="exact"/>
        <w:rPr>
          <w:sz w:val="20"/>
          <w:szCs w:val="20"/>
          <w:color w:val="auto"/>
        </w:rPr>
      </w:pPr>
    </w:p>
    <w:p>
      <w:pPr>
        <w:ind w:left="1680" w:right="579" w:firstLine="316"/>
        <w:spacing w:after="0" w:line="277" w:lineRule="auto"/>
        <w:rPr>
          <w:sz w:val="20"/>
          <w:szCs w:val="20"/>
          <w:color w:val="auto"/>
        </w:rPr>
      </w:pPr>
      <w:r>
        <w:rPr>
          <w:rFonts w:ascii="Times New Roman" w:cs="Times New Roman" w:eastAsia="Times New Roman" w:hAnsi="Times New Roman"/>
          <w:sz w:val="13"/>
          <w:szCs w:val="13"/>
          <w:color w:val="auto"/>
        </w:rPr>
        <w:t>In January and June 2020, the Company issued Convertible Notes to a trust affiliated with the Company’s CEO. See Note 5, “Convertible Notes— Related Party” for further details.</w:t>
      </w:r>
    </w:p>
    <w:p>
      <w:pPr>
        <w:spacing w:after="0" w:line="120" w:lineRule="exact"/>
        <w:rPr>
          <w:sz w:val="20"/>
          <w:szCs w:val="20"/>
          <w:color w:val="auto"/>
        </w:rPr>
      </w:pPr>
    </w:p>
    <w:p>
      <w:pPr>
        <w:ind w:left="1680" w:right="719" w:firstLine="316"/>
        <w:spacing w:after="0" w:line="263" w:lineRule="auto"/>
        <w:rPr>
          <w:sz w:val="20"/>
          <w:szCs w:val="20"/>
          <w:color w:val="auto"/>
        </w:rPr>
      </w:pPr>
      <w:r>
        <w:rPr>
          <w:rFonts w:ascii="Times New Roman" w:cs="Times New Roman" w:eastAsia="Times New Roman" w:hAnsi="Times New Roman"/>
          <w:sz w:val="13"/>
          <w:szCs w:val="13"/>
          <w:color w:val="auto"/>
        </w:rPr>
        <w:t>During the year ended January 31, 2020, the Company began leasing certain office facilities from a company affiliated with a Board member of the Company. Rent payments made under these leases totaled $0.7 million and $1.1 million for the year ended January 31, 2020 and the six months ended July 31, 2020 (unaudited), respectively.</w:t>
      </w:r>
    </w:p>
    <w:p>
      <w:pPr>
        <w:spacing w:after="0" w:line="129" w:lineRule="exact"/>
        <w:rPr>
          <w:sz w:val="20"/>
          <w:szCs w:val="20"/>
          <w:color w:val="auto"/>
        </w:rPr>
      </w:pPr>
    </w:p>
    <w:p>
      <w:pPr>
        <w:ind w:left="1680" w:right="679" w:firstLine="316"/>
        <w:spacing w:after="0" w:line="256" w:lineRule="auto"/>
        <w:rPr>
          <w:sz w:val="20"/>
          <w:szCs w:val="20"/>
          <w:color w:val="auto"/>
        </w:rPr>
      </w:pPr>
      <w:r>
        <w:rPr>
          <w:rFonts w:ascii="Times New Roman" w:cs="Times New Roman" w:eastAsia="Times New Roman" w:hAnsi="Times New Roman"/>
          <w:sz w:val="13"/>
          <w:szCs w:val="13"/>
          <w:color w:val="auto"/>
        </w:rPr>
        <w:t>The Company has entered into recurring subscription agreements with a total contract value of $0.3 million and $1.2 million for the years ended January 31, 2019 and 2020, respectively, with a company affiliated with a Board member of the Company. The Company recognized revenues of $0.2 million, $0.4 million, and $0.1 million under these subscription agreements during the years ended January 31, 2019 and 2020 and the six months ended July 31, 2019 (unaudited), respectively. Subsequent to January 31, 2020, the Board member of the Company was no longer affiliated with this company.</w:t>
      </w:r>
    </w:p>
    <w:p>
      <w:pPr>
        <w:spacing w:after="0" w:line="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F-40</w:t>
      </w:r>
    </w:p>
    <w:p>
      <w:pPr>
        <w:sectPr>
          <w:pgSz w:w="11900" w:h="16838" w:orient="portrait"/>
          <w:cols w:equalWidth="0" w:num="1">
            <w:col w:w="10159"/>
          </w:cols>
          <w:pgMar w:left="300" w:top="368" w:right="1440" w:bottom="1440" w:gutter="0" w:footer="0" w:header="0"/>
        </w:sectPr>
      </w:pPr>
    </w:p>
    <w:bookmarkStart w:id="204" w:name="page205"/>
    <w:bookmarkEnd w:id="20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Note 16. Subsequent Events</w:t>
      </w:r>
    </w:p>
    <w:p>
      <w:pPr>
        <w:spacing w:after="0" w:line="85" w:lineRule="exact"/>
        <w:rPr>
          <w:sz w:val="20"/>
          <w:szCs w:val="20"/>
          <w:color w:val="auto"/>
        </w:rPr>
      </w:pPr>
    </w:p>
    <w:p>
      <w:pPr>
        <w:ind w:left="1680" w:right="579" w:firstLine="316"/>
        <w:spacing w:after="0" w:line="263" w:lineRule="auto"/>
        <w:rPr>
          <w:sz w:val="20"/>
          <w:szCs w:val="20"/>
          <w:color w:val="auto"/>
        </w:rPr>
      </w:pPr>
      <w:r>
        <w:rPr>
          <w:rFonts w:ascii="Times New Roman" w:cs="Times New Roman" w:eastAsia="Times New Roman" w:hAnsi="Times New Roman"/>
          <w:sz w:val="13"/>
          <w:szCs w:val="13"/>
          <w:color w:val="auto"/>
        </w:rPr>
        <w:t>Subsequent events have been evaluated through April 20, 2020, which is the date the consolidated financial statements were available for issuance. Other than the effect of the reclassification of Class A and Class B common stock described in Note 2 and the items noted below, the Company is not aware of any subsequent events that would require recognition or disclosure in the consolidated financial statements.</w:t>
      </w:r>
    </w:p>
    <w:p>
      <w:pPr>
        <w:spacing w:after="0" w:line="129" w:lineRule="exact"/>
        <w:rPr>
          <w:sz w:val="20"/>
          <w:szCs w:val="20"/>
          <w:color w:val="auto"/>
        </w:rPr>
      </w:pPr>
    </w:p>
    <w:p>
      <w:pPr>
        <w:ind w:left="1680" w:right="799" w:firstLine="316"/>
        <w:spacing w:after="0" w:line="277" w:lineRule="auto"/>
        <w:rPr>
          <w:sz w:val="20"/>
          <w:szCs w:val="20"/>
          <w:color w:val="auto"/>
        </w:rPr>
      </w:pPr>
      <w:r>
        <w:rPr>
          <w:rFonts w:ascii="Times New Roman" w:cs="Times New Roman" w:eastAsia="Times New Roman" w:hAnsi="Times New Roman"/>
          <w:sz w:val="13"/>
          <w:szCs w:val="13"/>
          <w:color w:val="auto"/>
        </w:rPr>
        <w:t>In March 2020, the Company entered into an agreement with a construction company related to the build-out of the Company’s new corporate headquarters. The contract value is $57.7 million.</w:t>
      </w:r>
    </w:p>
    <w:p>
      <w:pPr>
        <w:spacing w:after="0" w:line="120" w:lineRule="exact"/>
        <w:rPr>
          <w:sz w:val="20"/>
          <w:szCs w:val="20"/>
          <w:color w:val="auto"/>
        </w:rPr>
      </w:pPr>
    </w:p>
    <w:p>
      <w:pPr>
        <w:ind w:left="1680" w:right="559" w:firstLine="316"/>
        <w:spacing w:after="0" w:line="253" w:lineRule="auto"/>
        <w:rPr>
          <w:sz w:val="20"/>
          <w:szCs w:val="20"/>
          <w:color w:val="auto"/>
        </w:rPr>
      </w:pPr>
      <w:r>
        <w:rPr>
          <w:rFonts w:ascii="Times New Roman" w:cs="Times New Roman" w:eastAsia="Times New Roman" w:hAnsi="Times New Roman"/>
          <w:sz w:val="13"/>
          <w:szCs w:val="13"/>
          <w:color w:val="auto"/>
        </w:rPr>
        <w:t>In April 2020, the Company entered into a five-year $40.0 million term loan agreement with Silicon Valley Bank. The agreement provides for a senior secured term loan facility, in an aggregate principal amount of up to $40.0 million to be used for the construction of the Company’s new corporate headquarters. Interest will accrue on any outstanding balance at a floating rate per annum equal to the prime rate (per the Wall Street Journal) plus an applicable margin equal to either (a) 0% if the Company’s unrestricted cash at the lender is equal to or less than $80.0. million, or (b) (0.5)% if the Company’s unrestricted cash at the lender is between $80.0 million and $100.0 million, or (c) (1.0)% if the Company’s unrestricted cash balance at the lender is equal to or greater than $100.0 million. Interest shall be payable monthly. No amounts are outstanding under this term loan as of the date of the issuance of these consolidated financial statements.</w:t>
      </w:r>
    </w:p>
    <w:p>
      <w:pPr>
        <w:spacing w:after="0" w:line="138" w:lineRule="exact"/>
        <w:rPr>
          <w:sz w:val="20"/>
          <w:szCs w:val="20"/>
          <w:color w:val="auto"/>
        </w:rPr>
      </w:pPr>
    </w:p>
    <w:p>
      <w:pPr>
        <w:ind w:left="1680" w:right="659" w:firstLine="316"/>
        <w:spacing w:after="0" w:line="277" w:lineRule="auto"/>
        <w:rPr>
          <w:sz w:val="20"/>
          <w:szCs w:val="20"/>
          <w:color w:val="auto"/>
        </w:rPr>
      </w:pPr>
      <w:r>
        <w:rPr>
          <w:rFonts w:ascii="Times New Roman" w:cs="Times New Roman" w:eastAsia="Times New Roman" w:hAnsi="Times New Roman"/>
          <w:sz w:val="13"/>
          <w:szCs w:val="13"/>
          <w:color w:val="auto"/>
        </w:rPr>
        <w:t>Subsequent to January 31, 2020, the Company granted options for 16,713 shares of common stock with an exercise price of $13.04 per share and 1,916,161 shares underlying RSUs to certain employees, which generally vest over four years subject to continued service.</w:t>
      </w:r>
    </w:p>
    <w:p>
      <w:pPr>
        <w:spacing w:after="0" w:line="19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Note 17. Subsequent Events (Unaudited)</w:t>
      </w:r>
    </w:p>
    <w:p>
      <w:pPr>
        <w:spacing w:after="0" w:line="85" w:lineRule="exact"/>
        <w:rPr>
          <w:sz w:val="20"/>
          <w:szCs w:val="20"/>
          <w:color w:val="auto"/>
        </w:rPr>
      </w:pPr>
    </w:p>
    <w:p>
      <w:pPr>
        <w:ind w:left="1680" w:right="719" w:firstLine="316"/>
        <w:spacing w:after="0" w:line="263" w:lineRule="auto"/>
        <w:rPr>
          <w:sz w:val="20"/>
          <w:szCs w:val="20"/>
          <w:color w:val="auto"/>
        </w:rPr>
      </w:pPr>
      <w:r>
        <w:rPr>
          <w:rFonts w:ascii="Times New Roman" w:cs="Times New Roman" w:eastAsia="Times New Roman" w:hAnsi="Times New Roman"/>
          <w:sz w:val="13"/>
          <w:szCs w:val="13"/>
          <w:color w:val="auto"/>
        </w:rPr>
        <w:t>Subsequent events have been evaluated through September 18, 2020, which is the date the unaudited interim consolidated financial statements were available for issuance. The Company is not aware of any subsequent events that would require recognition or disclosure in the unaudited interim consolidated financial statements.</w:t>
      </w:r>
    </w:p>
    <w:p>
      <w:pPr>
        <w:spacing w:after="0" w:line="8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F-41</w:t>
      </w:r>
    </w:p>
    <w:p>
      <w:pPr>
        <w:sectPr>
          <w:pgSz w:w="11900" w:h="16838" w:orient="portrait"/>
          <w:cols w:equalWidth="0" w:num="1">
            <w:col w:w="10159"/>
          </w:cols>
          <w:pgMar w:left="300" w:top="367" w:right="1440" w:bottom="1440" w:gutter="0" w:footer="0" w:header="0"/>
        </w:sectPr>
      </w:pPr>
    </w:p>
    <w:bookmarkStart w:id="205" w:name="page206"/>
    <w:bookmarkEnd w:id="205"/>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3088640</wp:posOffset>
            </wp:positionH>
            <wp:positionV relativeFrom="paragraph">
              <wp:posOffset>1005205</wp:posOffset>
            </wp:positionV>
            <wp:extent cx="991235" cy="1968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991235" cy="196850"/>
                    </a:xfrm>
                    <a:prstGeom prst="rect">
                      <a:avLst/>
                    </a:prstGeom>
                    <a:noFill/>
                  </pic:spPr>
                </pic:pic>
              </a:graphicData>
            </a:graphic>
          </wp:anchor>
        </w:drawing>
      </w:r>
    </w:p>
    <w:p>
      <w:pPr>
        <w:sectPr>
          <w:pgSz w:w="11900" w:h="16838" w:orient="portrait"/>
          <w:cols w:equalWidth="0" w:num="1">
            <w:col w:w="10159"/>
          </w:cols>
          <w:pgMar w:left="300" w:top="367" w:right="1440" w:bottom="1440" w:gutter="0" w:footer="0" w:header="0"/>
        </w:sectPr>
      </w:pPr>
    </w:p>
    <w:bookmarkStart w:id="206" w:name="page207"/>
    <w:bookmarkEnd w:id="20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PART II</w:t>
      </w:r>
    </w:p>
    <w:p>
      <w:pPr>
        <w:spacing w:after="0" w:line="16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3"/>
          <w:szCs w:val="13"/>
          <w:b w:val="1"/>
          <w:bCs w:val="1"/>
          <w:color w:val="auto"/>
        </w:rPr>
        <w:t>INFORMATION NOT REQUIRED IN PROSPECTUS</w:t>
      </w:r>
    </w:p>
    <w:p>
      <w:pPr>
        <w:spacing w:after="0" w:line="16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Item 13. Other Expenses of Issuance and Distribution.</w:t>
      </w:r>
    </w:p>
    <w:p>
      <w:pPr>
        <w:spacing w:after="0" w:line="85" w:lineRule="exact"/>
        <w:rPr>
          <w:sz w:val="20"/>
          <w:szCs w:val="20"/>
          <w:color w:val="auto"/>
        </w:rPr>
      </w:pPr>
    </w:p>
    <w:p>
      <w:pPr>
        <w:jc w:val="both"/>
        <w:ind w:left="1680" w:right="699" w:firstLine="316"/>
        <w:spacing w:after="0" w:line="263" w:lineRule="auto"/>
        <w:rPr>
          <w:sz w:val="20"/>
          <w:szCs w:val="20"/>
          <w:color w:val="auto"/>
        </w:rPr>
      </w:pPr>
      <w:r>
        <w:rPr>
          <w:rFonts w:ascii="Times New Roman" w:cs="Times New Roman" w:eastAsia="Times New Roman" w:hAnsi="Times New Roman"/>
          <w:sz w:val="13"/>
          <w:szCs w:val="13"/>
          <w:color w:val="auto"/>
        </w:rPr>
        <w:t>The following table sets forth the costs and expenses to be paid by the Registrant in connection with this registration statement and the listing of our Class A common stock. All amounts are estimates except for the Securities and Exchange Commission, or the SEC, registration fee and the listing fee.</w:t>
      </w:r>
    </w:p>
    <w:p>
      <w:pPr>
        <w:spacing w:after="0" w:line="161" w:lineRule="exact"/>
        <w:rPr>
          <w:sz w:val="20"/>
          <w:szCs w:val="20"/>
          <w:color w:val="auto"/>
        </w:rPr>
      </w:pPr>
    </w:p>
    <w:tbl>
      <w:tblPr>
        <w:tblLayout w:type="fixed"/>
        <w:tblInd w:w="168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 registration fee</w:t>
            </w:r>
          </w:p>
        </w:tc>
        <w:tc>
          <w:tcPr>
            <w:tcW w:w="254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2,205</w:t>
            </w:r>
          </w:p>
        </w:tc>
        <w:tc>
          <w:tcPr>
            <w:tcW w:w="4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3"/>
                <w:szCs w:val="13"/>
                <w:color w:val="auto"/>
              </w:rPr>
              <w:t>NYSE listing fee</w:t>
            </w:r>
          </w:p>
        </w:tc>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295,000</w:t>
            </w:r>
          </w:p>
        </w:tc>
        <w:tc>
          <w:tcPr>
            <w:tcW w:w="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Printing fees and expenses</w:t>
            </w:r>
          </w:p>
        </w:tc>
        <w:tc>
          <w:tcPr>
            <w:tcW w:w="2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560,000</w:t>
            </w:r>
          </w:p>
        </w:tc>
        <w:tc>
          <w:tcPr>
            <w:tcW w:w="4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3"/>
                <w:szCs w:val="13"/>
                <w:color w:val="auto"/>
              </w:rPr>
              <w:t>Legal fees and expenses</w:t>
            </w:r>
          </w:p>
        </w:tc>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2,663,118</w:t>
            </w:r>
          </w:p>
        </w:tc>
        <w:tc>
          <w:tcPr>
            <w:tcW w:w="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Accounting fees and expenses</w:t>
            </w:r>
          </w:p>
        </w:tc>
        <w:tc>
          <w:tcPr>
            <w:tcW w:w="2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1,600,000</w:t>
            </w:r>
          </w:p>
        </w:tc>
        <w:tc>
          <w:tcPr>
            <w:tcW w:w="4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3"/>
                <w:szCs w:val="13"/>
                <w:color w:val="auto"/>
              </w:rPr>
              <w:t>Custodian, transfer agent, and registrar fees</w:t>
            </w:r>
          </w:p>
        </w:tc>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114,000</w:t>
            </w:r>
          </w:p>
        </w:tc>
        <w:tc>
          <w:tcPr>
            <w:tcW w:w="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advisors’ fees</w:t>
            </w:r>
          </w:p>
        </w:tc>
        <w:tc>
          <w:tcPr>
            <w:tcW w:w="2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14,525,000</w:t>
            </w:r>
          </w:p>
        </w:tc>
        <w:tc>
          <w:tcPr>
            <w:tcW w:w="4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3"/>
                <w:szCs w:val="13"/>
                <w:color w:val="auto"/>
              </w:rPr>
              <w:t>Miscellaneous fees and expenses</w:t>
            </w:r>
          </w:p>
        </w:tc>
        <w:tc>
          <w:tcPr>
            <w:tcW w:w="2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122,674</w:t>
            </w:r>
          </w:p>
        </w:tc>
        <w:tc>
          <w:tcPr>
            <w:tcW w:w="40" w:type="dxa"/>
            <w:vAlign w:val="bottom"/>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w:t>
            </w:r>
          </w:p>
        </w:tc>
        <w:tc>
          <w:tcPr>
            <w:tcW w:w="24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19,881,997</w:t>
            </w:r>
          </w:p>
        </w:tc>
        <w:tc>
          <w:tcPr>
            <w:tcW w:w="40" w:type="dxa"/>
            <w:vAlign w:val="bottom"/>
            <w:shd w:val="clear" w:color="auto" w:fill="CCEEFF"/>
          </w:tcPr>
          <w:p>
            <w:pPr>
              <w:spacing w:after="0"/>
              <w:rPr>
                <w:sz w:val="14"/>
                <w:szCs w:val="14"/>
                <w:color w:val="auto"/>
              </w:rPr>
            </w:pPr>
          </w:p>
        </w:tc>
      </w:tr>
    </w:tbl>
    <w:p>
      <w:pPr>
        <w:spacing w:after="0" w:line="22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Item 14. Indemnification of Directors and Officers.</w:t>
      </w:r>
    </w:p>
    <w:p>
      <w:pPr>
        <w:spacing w:after="0" w:line="85" w:lineRule="exact"/>
        <w:rPr>
          <w:sz w:val="20"/>
          <w:szCs w:val="20"/>
          <w:color w:val="auto"/>
        </w:rPr>
      </w:pPr>
    </w:p>
    <w:p>
      <w:pPr>
        <w:ind w:left="1680" w:right="599" w:firstLine="316"/>
        <w:spacing w:after="0" w:line="253" w:lineRule="auto"/>
        <w:rPr>
          <w:sz w:val="20"/>
          <w:szCs w:val="20"/>
          <w:color w:val="auto"/>
        </w:rPr>
      </w:pPr>
      <w:r>
        <w:rPr>
          <w:rFonts w:ascii="Times New Roman" w:cs="Times New Roman" w:eastAsia="Times New Roman" w:hAnsi="Times New Roman"/>
          <w:sz w:val="13"/>
          <w:szCs w:val="13"/>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that will be in effect following the effectiveness of this registration statement, permits indemnification of our directors, officers, employees and other agents to the maximum extent permitted by the Delaware General Corporation Law, and our amended and restated bylaws that will be in effect following the effectiveness of this registration statement provide that we will indemnify our directors and officers and permit us to indemnify our employees and other agents, in each case to the maximum extent permitted by the Delaware General Corporation Law.</w:t>
      </w:r>
    </w:p>
    <w:p>
      <w:pPr>
        <w:spacing w:after="0" w:line="138" w:lineRule="exact"/>
        <w:rPr>
          <w:sz w:val="20"/>
          <w:szCs w:val="20"/>
          <w:color w:val="auto"/>
        </w:rPr>
      </w:pPr>
    </w:p>
    <w:p>
      <w:pPr>
        <w:ind w:left="1680" w:right="559" w:firstLine="316"/>
        <w:spacing w:after="0" w:line="254" w:lineRule="auto"/>
        <w:rPr>
          <w:sz w:val="20"/>
          <w:szCs w:val="20"/>
          <w:color w:val="auto"/>
        </w:rPr>
      </w:pPr>
      <w:r>
        <w:rPr>
          <w:rFonts w:ascii="Times New Roman" w:cs="Times New Roman" w:eastAsia="Times New Roman" w:hAnsi="Times New Roman"/>
          <w:sz w:val="13"/>
          <w:szCs w:val="13"/>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Asana, Inc., provided that such director or officer acted in good faith and in a manner that the director or officer reasonably believed to be in, or not opposed to, the best interest of Asana, Inc. At present, there is no pending litigation or proceeding involving a director or officer of Asana, Inc. regarding which indemnification is sought, nor is the registrant aware of any threatened litigation that may result in claims for indemnification.</w:t>
      </w:r>
    </w:p>
    <w:p>
      <w:pPr>
        <w:spacing w:after="0" w:line="136" w:lineRule="exact"/>
        <w:rPr>
          <w:sz w:val="20"/>
          <w:szCs w:val="20"/>
          <w:color w:val="auto"/>
        </w:rPr>
      </w:pPr>
    </w:p>
    <w:p>
      <w:pPr>
        <w:ind w:left="1680" w:right="1019" w:firstLine="316"/>
        <w:spacing w:after="0" w:line="277" w:lineRule="auto"/>
        <w:rPr>
          <w:sz w:val="20"/>
          <w:szCs w:val="20"/>
          <w:color w:val="auto"/>
        </w:rPr>
      </w:pPr>
      <w:r>
        <w:rPr>
          <w:rFonts w:ascii="Times New Roman" w:cs="Times New Roman" w:eastAsia="Times New Roman" w:hAnsi="Times New Roman"/>
          <w:sz w:val="13"/>
          <w:szCs w:val="13"/>
          <w:color w:val="auto"/>
        </w:rPr>
        <w:t>We maintain insurance policies that indemnify our directors and officers against various liabilities arising under the Securities Act and the Exchange Act that might be incurred by any director or officer in his or her capacity as such.</w:t>
      </w:r>
    </w:p>
    <w:p>
      <w:pPr>
        <w:spacing w:after="0" w:line="19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Item 15. Recent Sales of Unregistered Securities.</w:t>
      </w:r>
    </w:p>
    <w:p>
      <w:pPr>
        <w:spacing w:after="0" w:line="8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Since September 1, 2017, the Registrant has issued and sold the following unregistered securities:</w:t>
      </w:r>
    </w:p>
    <w:p>
      <w:pPr>
        <w:spacing w:after="0" w:line="93" w:lineRule="exact"/>
        <w:rPr>
          <w:sz w:val="20"/>
          <w:szCs w:val="20"/>
          <w:color w:val="auto"/>
        </w:rPr>
      </w:pPr>
    </w:p>
    <w:p>
      <w:pPr>
        <w:ind w:left="2380" w:right="679" w:hanging="245"/>
        <w:spacing w:after="0" w:line="277" w:lineRule="auto"/>
        <w:tabs>
          <w:tab w:leader="none" w:pos="2380"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Options to employees, directors, and consultants to purchase an aggregate of 24,163,511 shares of common stock under its Amended and Restated 2012 Stock Plan, or the 2012 Plan, with per share exercise prices ranging from $1.60 to $13.04.</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II-1</w:t>
      </w:r>
    </w:p>
    <w:p>
      <w:pPr>
        <w:sectPr>
          <w:pgSz w:w="11900" w:h="16838" w:orient="portrait"/>
          <w:cols w:equalWidth="0" w:num="1">
            <w:col w:w="10159"/>
          </w:cols>
          <w:pgMar w:left="300" w:top="367" w:right="1440" w:bottom="1440" w:gutter="0" w:footer="0" w:header="0"/>
        </w:sectPr>
      </w:pPr>
    </w:p>
    <w:bookmarkStart w:id="207" w:name="page208"/>
    <w:bookmarkEnd w:id="20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2380" w:hanging="245"/>
        <w:spacing w:after="0"/>
        <w:tabs>
          <w:tab w:leader="none" w:pos="238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aggregate of 3,595,097 RSUs to employees, directors, and consultants to be settled in shares of common stock under its 2012 Plan.</w:t>
      </w:r>
    </w:p>
    <w:p>
      <w:pPr>
        <w:spacing w:after="0" w:line="92" w:lineRule="exact"/>
        <w:rPr>
          <w:rFonts w:ascii="Times New Roman" w:cs="Times New Roman" w:eastAsia="Times New Roman" w:hAnsi="Times New Roman"/>
          <w:sz w:val="13"/>
          <w:szCs w:val="13"/>
          <w:color w:val="auto"/>
        </w:rPr>
      </w:pPr>
    </w:p>
    <w:p>
      <w:pPr>
        <w:ind w:left="2380" w:right="679" w:hanging="245"/>
        <w:spacing w:after="0" w:line="277" w:lineRule="auto"/>
        <w:tabs>
          <w:tab w:leader="none" w:pos="238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17,689,986 shares of common stock to its employees, directors, consultants, and other service providers upon exercise of options granted under its 2012 Plan, with purchase prices ranging from $0.001 to $13.04, for an aggregate purchase price of $24.9 million.</w:t>
      </w:r>
    </w:p>
    <w:p>
      <w:pPr>
        <w:spacing w:after="0" w:line="52" w:lineRule="exact"/>
        <w:rPr>
          <w:rFonts w:ascii="Times New Roman" w:cs="Times New Roman" w:eastAsia="Times New Roman" w:hAnsi="Times New Roman"/>
          <w:sz w:val="13"/>
          <w:szCs w:val="13"/>
          <w:color w:val="auto"/>
        </w:rPr>
      </w:pPr>
    </w:p>
    <w:p>
      <w:pPr>
        <w:ind w:left="2380" w:right="619" w:hanging="245"/>
        <w:spacing w:after="0" w:line="277" w:lineRule="auto"/>
        <w:tabs>
          <w:tab w:leader="none" w:pos="238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24,614 shares of common stock to its employees, consultants, and other service providers upon settlement of RSUs granted under its 2012 Plan.</w:t>
      </w:r>
    </w:p>
    <w:p>
      <w:pPr>
        <w:spacing w:after="0" w:line="52" w:lineRule="exact"/>
        <w:rPr>
          <w:rFonts w:ascii="Times New Roman" w:cs="Times New Roman" w:eastAsia="Times New Roman" w:hAnsi="Times New Roman"/>
          <w:sz w:val="13"/>
          <w:szCs w:val="13"/>
          <w:color w:val="auto"/>
        </w:rPr>
      </w:pPr>
    </w:p>
    <w:p>
      <w:pPr>
        <w:ind w:left="2380" w:right="679" w:hanging="245"/>
        <w:spacing w:after="0" w:line="258" w:lineRule="auto"/>
        <w:tabs>
          <w:tab w:leader="none" w:pos="238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August 2017, a convertible promissory note in the principal amount of $15.0 million, or the 2017 Note, to the Dustin Moskovitz Trust. The aggregate principal amount and accrued interest on the 2017 Note converted into 2,923,425 shares of the Registrant’s Series D preferred stock at a conversion price of $5.23 per share upon the closing of the Registrant’s Series D preferred stock financing in January 2018.</w:t>
      </w:r>
    </w:p>
    <w:p>
      <w:pPr>
        <w:spacing w:after="0" w:line="64" w:lineRule="exact"/>
        <w:rPr>
          <w:rFonts w:ascii="Times New Roman" w:cs="Times New Roman" w:eastAsia="Times New Roman" w:hAnsi="Times New Roman"/>
          <w:sz w:val="13"/>
          <w:szCs w:val="13"/>
          <w:color w:val="auto"/>
        </w:rPr>
      </w:pPr>
    </w:p>
    <w:p>
      <w:pPr>
        <w:ind w:left="2380" w:right="559" w:hanging="245"/>
        <w:spacing w:after="0" w:line="277" w:lineRule="auto"/>
        <w:tabs>
          <w:tab w:leader="none" w:pos="238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two closings in January 2018, 11,429,642 shares of the Registrant’s Series D preferred stock at a purchase price of $5.23 per share for an aggregate purchase price of $59.7 million.</w:t>
      </w:r>
    </w:p>
    <w:p>
      <w:pPr>
        <w:spacing w:after="0" w:line="52" w:lineRule="exact"/>
        <w:rPr>
          <w:rFonts w:ascii="Times New Roman" w:cs="Times New Roman" w:eastAsia="Times New Roman" w:hAnsi="Times New Roman"/>
          <w:sz w:val="13"/>
          <w:szCs w:val="13"/>
          <w:color w:val="auto"/>
        </w:rPr>
      </w:pPr>
    </w:p>
    <w:p>
      <w:pPr>
        <w:ind w:left="2380" w:right="639" w:hanging="245"/>
        <w:spacing w:after="0" w:line="277" w:lineRule="auto"/>
        <w:tabs>
          <w:tab w:leader="none" w:pos="238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November 2018, an aggregate of 6,229,843 shares of the Registrant’s Series E preferred stock at a purchase price of $8.19 per share for an aggregate purchase price of $51.0 million.</w:t>
      </w:r>
    </w:p>
    <w:p>
      <w:pPr>
        <w:spacing w:after="0" w:line="52" w:lineRule="exact"/>
        <w:rPr>
          <w:rFonts w:ascii="Times New Roman" w:cs="Times New Roman" w:eastAsia="Times New Roman" w:hAnsi="Times New Roman"/>
          <w:sz w:val="13"/>
          <w:szCs w:val="13"/>
          <w:color w:val="auto"/>
        </w:rPr>
      </w:pPr>
    </w:p>
    <w:p>
      <w:pPr>
        <w:ind w:left="2380" w:right="659" w:hanging="245"/>
        <w:spacing w:after="0" w:line="277" w:lineRule="auto"/>
        <w:tabs>
          <w:tab w:leader="none" w:pos="238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January 2020, a 3.5% senior mandatory convertible promissory note due January 30, 2025 in the principal amount of $300.0 million to the Dustin Moskovitz Trust.</w:t>
      </w:r>
    </w:p>
    <w:p>
      <w:pPr>
        <w:spacing w:after="0" w:line="52" w:lineRule="exact"/>
        <w:rPr>
          <w:rFonts w:ascii="Times New Roman" w:cs="Times New Roman" w:eastAsia="Times New Roman" w:hAnsi="Times New Roman"/>
          <w:sz w:val="13"/>
          <w:szCs w:val="13"/>
          <w:color w:val="auto"/>
        </w:rPr>
      </w:pPr>
    </w:p>
    <w:p>
      <w:pPr>
        <w:ind w:left="2380" w:right="799" w:hanging="245"/>
        <w:spacing w:after="0" w:line="277" w:lineRule="auto"/>
        <w:tabs>
          <w:tab w:leader="none" w:pos="238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June 2020, a 3.5% senior mandatory convertible promissory note due June 26, 2025 in the principal amount of $150.0 million to the Dustin Moskovitz Trust.</w:t>
      </w:r>
    </w:p>
    <w:p>
      <w:pPr>
        <w:spacing w:after="0" w:line="1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None of the foregoing transactions involved any underwriters, underwriting discounts or commissions, or any public offering. Unless otherwise</w:t>
      </w:r>
    </w:p>
    <w:p>
      <w:pPr>
        <w:spacing w:after="0" w:line="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stated, the sales of the above securities were deemed to be exempt from registration under the Securities Act in reliance upon Section 4(a)(2) of the</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Securities Act (or Regulation D or Regulation S promulgated thereunder) or Rule 701 promulgated under Section 3(b) of the Securities Act as</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transactions by an issuer not involving any public offering or pursuant to benefit plans and contracts relating to compensation as provided under</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Rule 701. The recipients of the securities in each of these transactions represented their intentions to acquire the securities for investment only and not</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with a view to or for sale in connection with any distribution thereof, and appropriate legends were placed upon the stock certificates issued in these</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transactions.</w:t>
      </w:r>
    </w:p>
    <w:p>
      <w:pPr>
        <w:spacing w:after="0" w:line="1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II-2</w:t>
      </w:r>
    </w:p>
    <w:p>
      <w:pPr>
        <w:sectPr>
          <w:pgSz w:w="11900" w:h="16838" w:orient="portrait"/>
          <w:cols w:equalWidth="0" w:num="1">
            <w:col w:w="10159"/>
          </w:cols>
          <w:pgMar w:left="300" w:top="367" w:right="1440" w:bottom="1440" w:gutter="0" w:footer="0" w:header="0"/>
        </w:sectPr>
      </w:pPr>
    </w:p>
    <w:bookmarkStart w:id="208" w:name="page209"/>
    <w:bookmarkEnd w:id="20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Item 16. Exhibits and Financial Statement Schedules.</w:t>
      </w:r>
    </w:p>
    <w:p>
      <w:pPr>
        <w:spacing w:after="0" w:line="93" w:lineRule="exact"/>
        <w:rPr>
          <w:sz w:val="20"/>
          <w:szCs w:val="20"/>
          <w:color w:val="auto"/>
        </w:rPr>
      </w:pPr>
    </w:p>
    <w:p>
      <w:pPr>
        <w:ind w:left="2380" w:hanging="299"/>
        <w:spacing w:after="0"/>
        <w:tabs>
          <w:tab w:leader="none" w:pos="2380" w:val="left"/>
        </w:tabs>
        <w:numPr>
          <w:ilvl w:val="0"/>
          <w:numId w:val="90"/>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Exhibits.</w:t>
      </w:r>
    </w:p>
    <w:p>
      <w:pPr>
        <w:spacing w:after="0" w:line="170"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40" w:type="dxa"/>
            <w:vAlign w:val="bottom"/>
            <w:gridSpan w:val="4"/>
            <w:vMerge w:val="restart"/>
          </w:tcPr>
          <w:p>
            <w:pPr>
              <w:ind w:left="2400"/>
              <w:spacing w:after="0"/>
              <w:rPr>
                <w:sz w:val="20"/>
                <w:szCs w:val="20"/>
                <w:color w:val="auto"/>
              </w:rPr>
            </w:pPr>
            <w:r>
              <w:rPr>
                <w:rFonts w:ascii="Times New Roman" w:cs="Times New Roman" w:eastAsia="Times New Roman" w:hAnsi="Times New Roman"/>
                <w:sz w:val="10"/>
                <w:szCs w:val="10"/>
                <w:b w:val="1"/>
                <w:bCs w:val="1"/>
                <w:color w:val="auto"/>
              </w:rPr>
              <w:t>Exhibit Title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38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240" w:type="dxa"/>
            <w:vAlign w:val="bottom"/>
            <w:tcBorders>
              <w:bottom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2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color w:val="auto"/>
              </w:rPr>
              <w:t>3.1*</w:t>
            </w:r>
          </w:p>
        </w:tc>
        <w:tc>
          <w:tcPr>
            <w:tcW w:w="380" w:type="dxa"/>
            <w:vAlign w:val="bottom"/>
          </w:tcPr>
          <w:p>
            <w:pPr>
              <w:spacing w:after="0"/>
              <w:rPr>
                <w:sz w:val="15"/>
                <w:szCs w:val="15"/>
                <w:color w:val="auto"/>
              </w:rPr>
            </w:pPr>
          </w:p>
        </w:tc>
        <w:tc>
          <w:tcPr>
            <w:tcW w:w="7120" w:type="dxa"/>
            <w:vAlign w:val="bottom"/>
            <w:gridSpan w:val="6"/>
          </w:tcPr>
          <w:p>
            <w:pPr>
              <w:spacing w:after="0"/>
              <w:rPr>
                <w:rFonts w:ascii="Times New Roman" w:cs="Times New Roman" w:eastAsia="Times New Roman" w:hAnsi="Times New Roman"/>
                <w:sz w:val="13"/>
                <w:szCs w:val="13"/>
                <w:u w:val="single" w:color="auto"/>
                <w:color w:val="0000EE"/>
              </w:rPr>
            </w:pPr>
            <w:hyperlink r:id="rId291">
              <w:r>
                <w:rPr>
                  <w:rFonts w:ascii="Times New Roman" w:cs="Times New Roman" w:eastAsia="Times New Roman" w:hAnsi="Times New Roman"/>
                  <w:sz w:val="13"/>
                  <w:szCs w:val="13"/>
                  <w:u w:val="single" w:color="auto"/>
                  <w:color w:val="0000EE"/>
                </w:rPr>
                <w:t>Amended and Restated Certificate of Incorporation of the Registrant, as currently in effect</w:t>
              </w:r>
            </w:hyperlink>
          </w:p>
        </w:tc>
        <w:tc>
          <w:tcPr>
            <w:tcW w:w="0" w:type="dxa"/>
            <w:vAlign w:val="bottom"/>
          </w:tcPr>
          <w:p>
            <w:pPr>
              <w:spacing w:after="0"/>
              <w:rPr>
                <w:sz w:val="1"/>
                <w:szCs w:val="1"/>
                <w:color w:val="auto"/>
              </w:rPr>
            </w:pPr>
          </w:p>
        </w:tc>
      </w:tr>
      <w:tr>
        <w:trPr>
          <w:trHeight w:val="204"/>
        </w:trPr>
        <w:tc>
          <w:tcPr>
            <w:tcW w:w="42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color w:val="auto"/>
              </w:rPr>
              <w:t>3.2*</w:t>
            </w:r>
          </w:p>
        </w:tc>
        <w:tc>
          <w:tcPr>
            <w:tcW w:w="380" w:type="dxa"/>
            <w:vAlign w:val="bottom"/>
          </w:tcPr>
          <w:p>
            <w:pPr>
              <w:spacing w:after="0"/>
              <w:rPr>
                <w:sz w:val="17"/>
                <w:szCs w:val="17"/>
                <w:color w:val="auto"/>
              </w:rPr>
            </w:pPr>
          </w:p>
        </w:tc>
        <w:tc>
          <w:tcPr>
            <w:tcW w:w="7120" w:type="dxa"/>
            <w:vAlign w:val="bottom"/>
            <w:gridSpan w:val="6"/>
          </w:tcPr>
          <w:p>
            <w:pPr>
              <w:spacing w:after="0"/>
              <w:rPr>
                <w:rFonts w:ascii="Times New Roman" w:cs="Times New Roman" w:eastAsia="Times New Roman" w:hAnsi="Times New Roman"/>
                <w:sz w:val="13"/>
                <w:szCs w:val="13"/>
                <w:u w:val="single" w:color="auto"/>
                <w:color w:val="0000EE"/>
              </w:rPr>
            </w:pPr>
            <w:hyperlink r:id="rId292">
              <w:r>
                <w:rPr>
                  <w:rFonts w:ascii="Times New Roman" w:cs="Times New Roman" w:eastAsia="Times New Roman" w:hAnsi="Times New Roman"/>
                  <w:sz w:val="13"/>
                  <w:szCs w:val="13"/>
                  <w:u w:val="single" w:color="auto"/>
                  <w:color w:val="0000EE"/>
                </w:rPr>
                <w:t>Form of Restated Certificate of Incorporation of the Registrant, to be in effect following the effectiveness of the registration statement</w:t>
              </w:r>
            </w:hyperlink>
          </w:p>
        </w:tc>
        <w:tc>
          <w:tcPr>
            <w:tcW w:w="0" w:type="dxa"/>
            <w:vAlign w:val="bottom"/>
          </w:tcPr>
          <w:p>
            <w:pPr>
              <w:spacing w:after="0"/>
              <w:rPr>
                <w:sz w:val="1"/>
                <w:szCs w:val="1"/>
                <w:color w:val="auto"/>
              </w:rPr>
            </w:pPr>
          </w:p>
        </w:tc>
      </w:tr>
      <w:tr>
        <w:trPr>
          <w:trHeight w:val="204"/>
        </w:trPr>
        <w:tc>
          <w:tcPr>
            <w:tcW w:w="42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color w:val="auto"/>
              </w:rPr>
              <w:t>3.3*</w:t>
            </w:r>
          </w:p>
        </w:tc>
        <w:tc>
          <w:tcPr>
            <w:tcW w:w="380" w:type="dxa"/>
            <w:vAlign w:val="bottom"/>
          </w:tcPr>
          <w:p>
            <w:pPr>
              <w:spacing w:after="0"/>
              <w:rPr>
                <w:sz w:val="17"/>
                <w:szCs w:val="17"/>
                <w:color w:val="auto"/>
              </w:rPr>
            </w:pPr>
          </w:p>
        </w:tc>
        <w:tc>
          <w:tcPr>
            <w:tcW w:w="7120" w:type="dxa"/>
            <w:vAlign w:val="bottom"/>
            <w:gridSpan w:val="6"/>
          </w:tcPr>
          <w:p>
            <w:pPr>
              <w:spacing w:after="0"/>
              <w:rPr>
                <w:rFonts w:ascii="Times New Roman" w:cs="Times New Roman" w:eastAsia="Times New Roman" w:hAnsi="Times New Roman"/>
                <w:sz w:val="13"/>
                <w:szCs w:val="13"/>
                <w:u w:val="single" w:color="auto"/>
                <w:color w:val="0000EE"/>
              </w:rPr>
            </w:pPr>
            <w:hyperlink r:id="rId293">
              <w:r>
                <w:rPr>
                  <w:rFonts w:ascii="Times New Roman" w:cs="Times New Roman" w:eastAsia="Times New Roman" w:hAnsi="Times New Roman"/>
                  <w:sz w:val="13"/>
                  <w:szCs w:val="13"/>
                  <w:u w:val="single" w:color="auto"/>
                  <w:color w:val="0000EE"/>
                </w:rPr>
                <w:t>Amended and Restated Bylaws of the Registrant, as currently in effect</w:t>
              </w:r>
            </w:hyperlink>
          </w:p>
        </w:tc>
        <w:tc>
          <w:tcPr>
            <w:tcW w:w="0" w:type="dxa"/>
            <w:vAlign w:val="bottom"/>
          </w:tcPr>
          <w:p>
            <w:pPr>
              <w:spacing w:after="0"/>
              <w:rPr>
                <w:sz w:val="1"/>
                <w:szCs w:val="1"/>
                <w:color w:val="auto"/>
              </w:rPr>
            </w:pPr>
          </w:p>
        </w:tc>
      </w:tr>
      <w:tr>
        <w:trPr>
          <w:trHeight w:val="204"/>
        </w:trPr>
        <w:tc>
          <w:tcPr>
            <w:tcW w:w="42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color w:val="auto"/>
              </w:rPr>
              <w:t>3.4*</w:t>
            </w:r>
          </w:p>
        </w:tc>
        <w:tc>
          <w:tcPr>
            <w:tcW w:w="380" w:type="dxa"/>
            <w:vAlign w:val="bottom"/>
          </w:tcPr>
          <w:p>
            <w:pPr>
              <w:spacing w:after="0"/>
              <w:rPr>
                <w:sz w:val="17"/>
                <w:szCs w:val="17"/>
                <w:color w:val="auto"/>
              </w:rPr>
            </w:pPr>
          </w:p>
        </w:tc>
        <w:tc>
          <w:tcPr>
            <w:tcW w:w="7120" w:type="dxa"/>
            <w:vAlign w:val="bottom"/>
            <w:gridSpan w:val="6"/>
          </w:tcPr>
          <w:p>
            <w:pPr>
              <w:spacing w:after="0"/>
              <w:rPr>
                <w:rFonts w:ascii="Times New Roman" w:cs="Times New Roman" w:eastAsia="Times New Roman" w:hAnsi="Times New Roman"/>
                <w:sz w:val="13"/>
                <w:szCs w:val="13"/>
                <w:u w:val="single" w:color="auto"/>
                <w:color w:val="0000EE"/>
              </w:rPr>
            </w:pPr>
            <w:hyperlink r:id="rId294">
              <w:r>
                <w:rPr>
                  <w:rFonts w:ascii="Times New Roman" w:cs="Times New Roman" w:eastAsia="Times New Roman" w:hAnsi="Times New Roman"/>
                  <w:sz w:val="13"/>
                  <w:szCs w:val="13"/>
                  <w:u w:val="single" w:color="auto"/>
                  <w:color w:val="0000EE"/>
                </w:rPr>
                <w:t>Form of Restated Bylaws of the Registrant, to be in effect following the effectiveness of the registration statement</w:t>
              </w:r>
            </w:hyperlink>
          </w:p>
        </w:tc>
        <w:tc>
          <w:tcPr>
            <w:tcW w:w="0" w:type="dxa"/>
            <w:vAlign w:val="bottom"/>
          </w:tcPr>
          <w:p>
            <w:pPr>
              <w:spacing w:after="0"/>
              <w:rPr>
                <w:sz w:val="1"/>
                <w:szCs w:val="1"/>
                <w:color w:val="auto"/>
              </w:rPr>
            </w:pPr>
          </w:p>
        </w:tc>
      </w:tr>
      <w:tr>
        <w:trPr>
          <w:trHeight w:val="204"/>
        </w:trPr>
        <w:tc>
          <w:tcPr>
            <w:tcW w:w="42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color w:val="auto"/>
              </w:rPr>
              <w:t>4.1*</w:t>
            </w:r>
          </w:p>
        </w:tc>
        <w:tc>
          <w:tcPr>
            <w:tcW w:w="380" w:type="dxa"/>
            <w:vAlign w:val="bottom"/>
          </w:tcPr>
          <w:p>
            <w:pPr>
              <w:spacing w:after="0"/>
              <w:rPr>
                <w:sz w:val="17"/>
                <w:szCs w:val="17"/>
                <w:color w:val="auto"/>
              </w:rPr>
            </w:pPr>
          </w:p>
        </w:tc>
        <w:tc>
          <w:tcPr>
            <w:tcW w:w="7120" w:type="dxa"/>
            <w:vAlign w:val="bottom"/>
            <w:gridSpan w:val="6"/>
          </w:tcPr>
          <w:p>
            <w:pPr>
              <w:spacing w:after="0"/>
              <w:rPr>
                <w:rFonts w:ascii="Times New Roman" w:cs="Times New Roman" w:eastAsia="Times New Roman" w:hAnsi="Times New Roman"/>
                <w:sz w:val="13"/>
                <w:szCs w:val="13"/>
                <w:u w:val="single" w:color="auto"/>
                <w:color w:val="0000EE"/>
              </w:rPr>
            </w:pPr>
            <w:hyperlink r:id="rId295">
              <w:r>
                <w:rPr>
                  <w:rFonts w:ascii="Times New Roman" w:cs="Times New Roman" w:eastAsia="Times New Roman" w:hAnsi="Times New Roman"/>
                  <w:sz w:val="13"/>
                  <w:szCs w:val="13"/>
                  <w:u w:val="single" w:color="auto"/>
                  <w:color w:val="0000EE"/>
                </w:rPr>
                <w:t>Form of Registrant’s Common Stock Certificate</w:t>
              </w:r>
            </w:hyperlink>
          </w:p>
        </w:tc>
        <w:tc>
          <w:tcPr>
            <w:tcW w:w="0" w:type="dxa"/>
            <w:vAlign w:val="bottom"/>
          </w:tcPr>
          <w:p>
            <w:pPr>
              <w:spacing w:after="0"/>
              <w:rPr>
                <w:sz w:val="1"/>
                <w:szCs w:val="1"/>
                <w:color w:val="auto"/>
              </w:rPr>
            </w:pPr>
          </w:p>
        </w:tc>
      </w:tr>
      <w:tr>
        <w:trPr>
          <w:trHeight w:val="175"/>
        </w:trPr>
        <w:tc>
          <w:tcPr>
            <w:tcW w:w="42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color w:val="auto"/>
              </w:rPr>
              <w:t>4.2*</w:t>
            </w:r>
          </w:p>
        </w:tc>
        <w:tc>
          <w:tcPr>
            <w:tcW w:w="380" w:type="dxa"/>
            <w:vAlign w:val="bottom"/>
          </w:tcPr>
          <w:p>
            <w:pPr>
              <w:spacing w:after="0"/>
              <w:rPr>
                <w:sz w:val="15"/>
                <w:szCs w:val="15"/>
                <w:color w:val="auto"/>
              </w:rPr>
            </w:pPr>
          </w:p>
        </w:tc>
        <w:tc>
          <w:tcPr>
            <w:tcW w:w="7100" w:type="dxa"/>
            <w:vAlign w:val="bottom"/>
            <w:tcBorders>
              <w:bottom w:val="single" w:sz="8" w:color="0000EE"/>
            </w:tcBorders>
            <w:gridSpan w:val="5"/>
          </w:tcPr>
          <w:p>
            <w:pPr>
              <w:spacing w:after="0"/>
              <w:rPr>
                <w:rFonts w:ascii="Times New Roman" w:cs="Times New Roman" w:eastAsia="Times New Roman" w:hAnsi="Times New Roman"/>
                <w:sz w:val="13"/>
                <w:szCs w:val="13"/>
                <w:color w:val="0000EE"/>
                <w:w w:val="99"/>
              </w:rPr>
            </w:pPr>
            <w:hyperlink r:id="rId296">
              <w:r>
                <w:rPr>
                  <w:rFonts w:ascii="Times New Roman" w:cs="Times New Roman" w:eastAsia="Times New Roman" w:hAnsi="Times New Roman"/>
                  <w:sz w:val="13"/>
                  <w:szCs w:val="13"/>
                  <w:color w:val="0000EE"/>
                  <w:w w:val="99"/>
                </w:rPr>
                <w:t>Amended and Restated Investors’ Rights Agreement, dated as of November 15, 2018, by and among the Registrant and certain investors</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Borders>
              <w:bottom w:val="single" w:sz="8" w:color="0000EE"/>
            </w:tcBorders>
            <w:gridSpan w:val="2"/>
          </w:tcPr>
          <w:p>
            <w:pPr>
              <w:spacing w:after="0" w:line="135" w:lineRule="exact"/>
              <w:rPr>
                <w:rFonts w:ascii="Times New Roman" w:cs="Times New Roman" w:eastAsia="Times New Roman" w:hAnsi="Times New Roman"/>
                <w:sz w:val="13"/>
                <w:szCs w:val="13"/>
                <w:color w:val="0000EE"/>
                <w:w w:val="99"/>
              </w:rPr>
            </w:pPr>
            <w:hyperlink r:id="rId296">
              <w:r>
                <w:rPr>
                  <w:rFonts w:ascii="Times New Roman" w:cs="Times New Roman" w:eastAsia="Times New Roman" w:hAnsi="Times New Roman"/>
                  <w:sz w:val="13"/>
                  <w:szCs w:val="13"/>
                  <w:color w:val="0000EE"/>
                  <w:w w:val="99"/>
                </w:rPr>
                <w:t>of the Registrant</w:t>
              </w:r>
            </w:hyperlink>
          </w:p>
        </w:tc>
        <w:tc>
          <w:tcPr>
            <w:tcW w:w="624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42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color w:val="auto"/>
              </w:rPr>
              <w:t>4.3*</w:t>
            </w:r>
          </w:p>
        </w:tc>
        <w:tc>
          <w:tcPr>
            <w:tcW w:w="380" w:type="dxa"/>
            <w:vAlign w:val="bottom"/>
          </w:tcPr>
          <w:p>
            <w:pPr>
              <w:spacing w:after="0"/>
              <w:rPr>
                <w:sz w:val="18"/>
                <w:szCs w:val="18"/>
                <w:color w:val="auto"/>
              </w:rPr>
            </w:pPr>
          </w:p>
        </w:tc>
        <w:tc>
          <w:tcPr>
            <w:tcW w:w="7120" w:type="dxa"/>
            <w:vAlign w:val="bottom"/>
            <w:gridSpan w:val="6"/>
          </w:tcPr>
          <w:p>
            <w:pPr>
              <w:spacing w:after="0"/>
              <w:rPr>
                <w:rFonts w:ascii="Times New Roman" w:cs="Times New Roman" w:eastAsia="Times New Roman" w:hAnsi="Times New Roman"/>
                <w:sz w:val="13"/>
                <w:szCs w:val="13"/>
                <w:u w:val="single" w:color="auto"/>
                <w:color w:val="0000EE"/>
              </w:rPr>
            </w:pPr>
            <w:hyperlink r:id="rId297">
              <w:r>
                <w:rPr>
                  <w:rFonts w:ascii="Times New Roman" w:cs="Times New Roman" w:eastAsia="Times New Roman" w:hAnsi="Times New Roman"/>
                  <w:sz w:val="13"/>
                  <w:szCs w:val="13"/>
                  <w:u w:val="single" w:color="auto"/>
                  <w:color w:val="0000EE"/>
                </w:rPr>
                <w:t>Omnibus Amendment to Financing Agreements</w:t>
              </w:r>
            </w:hyperlink>
          </w:p>
        </w:tc>
        <w:tc>
          <w:tcPr>
            <w:tcW w:w="0" w:type="dxa"/>
            <w:vAlign w:val="bottom"/>
          </w:tcPr>
          <w:p>
            <w:pPr>
              <w:spacing w:after="0"/>
              <w:rPr>
                <w:sz w:val="1"/>
                <w:szCs w:val="1"/>
                <w:color w:val="auto"/>
              </w:rPr>
            </w:pPr>
          </w:p>
        </w:tc>
      </w:tr>
      <w:tr>
        <w:trPr>
          <w:trHeight w:val="175"/>
        </w:trPr>
        <w:tc>
          <w:tcPr>
            <w:tcW w:w="42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color w:val="auto"/>
              </w:rPr>
              <w:t>4.4*</w:t>
            </w:r>
          </w:p>
        </w:tc>
        <w:tc>
          <w:tcPr>
            <w:tcW w:w="380" w:type="dxa"/>
            <w:vAlign w:val="bottom"/>
          </w:tcPr>
          <w:p>
            <w:pPr>
              <w:spacing w:after="0"/>
              <w:rPr>
                <w:sz w:val="15"/>
                <w:szCs w:val="15"/>
                <w:color w:val="auto"/>
              </w:rPr>
            </w:pPr>
          </w:p>
        </w:tc>
        <w:tc>
          <w:tcPr>
            <w:tcW w:w="7120" w:type="dxa"/>
            <w:vAlign w:val="bottom"/>
            <w:gridSpan w:val="6"/>
          </w:tcPr>
          <w:p>
            <w:pPr>
              <w:spacing w:after="0"/>
              <w:rPr>
                <w:rFonts w:ascii="Times New Roman" w:cs="Times New Roman" w:eastAsia="Times New Roman" w:hAnsi="Times New Roman"/>
                <w:sz w:val="13"/>
                <w:szCs w:val="13"/>
                <w:color w:val="0000EE"/>
              </w:rPr>
            </w:pPr>
            <w:hyperlink r:id="rId298">
              <w:r>
                <w:rPr>
                  <w:rFonts w:ascii="Times New Roman" w:cs="Times New Roman" w:eastAsia="Times New Roman" w:hAnsi="Times New Roman"/>
                  <w:sz w:val="13"/>
                  <w:szCs w:val="13"/>
                  <w:color w:val="0000EE"/>
                </w:rPr>
                <w:t>Unsecured Senior Mandatory Convertible Promissory Note, dated as of January 30, 2020, by and among the Registrant and the Dustin</w:t>
              </w:r>
            </w:hyperlink>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Borders>
              <w:top w:val="single" w:sz="8" w:color="0000EE"/>
              <w:bottom w:val="single" w:sz="8" w:color="0000EE"/>
            </w:tcBorders>
          </w:tcPr>
          <w:p>
            <w:pPr>
              <w:spacing w:after="0" w:line="135" w:lineRule="exact"/>
              <w:rPr>
                <w:rFonts w:ascii="Times New Roman" w:cs="Times New Roman" w:eastAsia="Times New Roman" w:hAnsi="Times New Roman"/>
                <w:sz w:val="13"/>
                <w:szCs w:val="13"/>
                <w:color w:val="0000EE"/>
                <w:w w:val="97"/>
              </w:rPr>
            </w:pPr>
            <w:hyperlink r:id="rId298">
              <w:r>
                <w:rPr>
                  <w:rFonts w:ascii="Times New Roman" w:cs="Times New Roman" w:eastAsia="Times New Roman" w:hAnsi="Times New Roman"/>
                  <w:sz w:val="13"/>
                  <w:szCs w:val="13"/>
                  <w:color w:val="0000EE"/>
                  <w:w w:val="97"/>
                </w:rPr>
                <w:t>Moskovitz Trust</w:t>
              </w:r>
            </w:hyperlink>
          </w:p>
        </w:tc>
        <w:tc>
          <w:tcPr>
            <w:tcW w:w="6120" w:type="dxa"/>
            <w:vAlign w:val="bottom"/>
            <w:tcBorders>
              <w:top w:val="single" w:sz="8" w:color="0000EE"/>
            </w:tcBorders>
            <w:gridSpan w:val="3"/>
          </w:tcPr>
          <w:p>
            <w:pPr>
              <w:spacing w:after="0"/>
              <w:rPr>
                <w:sz w:val="11"/>
                <w:szCs w:val="11"/>
                <w:color w:val="auto"/>
              </w:rPr>
            </w:pPr>
          </w:p>
        </w:tc>
        <w:tc>
          <w:tcPr>
            <w:tcW w:w="1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2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color w:val="auto"/>
              </w:rPr>
              <w:t>4.5*</w:t>
            </w:r>
          </w:p>
        </w:tc>
        <w:tc>
          <w:tcPr>
            <w:tcW w:w="380" w:type="dxa"/>
            <w:vAlign w:val="bottom"/>
          </w:tcPr>
          <w:p>
            <w:pPr>
              <w:spacing w:after="0"/>
              <w:rPr>
                <w:sz w:val="15"/>
                <w:szCs w:val="15"/>
                <w:color w:val="auto"/>
              </w:rPr>
            </w:pPr>
          </w:p>
        </w:tc>
        <w:tc>
          <w:tcPr>
            <w:tcW w:w="7120" w:type="dxa"/>
            <w:vAlign w:val="bottom"/>
            <w:gridSpan w:val="6"/>
          </w:tcPr>
          <w:p>
            <w:pPr>
              <w:spacing w:after="0"/>
              <w:rPr>
                <w:rFonts w:ascii="Times New Roman" w:cs="Times New Roman" w:eastAsia="Times New Roman" w:hAnsi="Times New Roman"/>
                <w:sz w:val="13"/>
                <w:szCs w:val="13"/>
                <w:color w:val="0000EE"/>
              </w:rPr>
            </w:pPr>
            <w:hyperlink r:id="rId299">
              <w:r>
                <w:rPr>
                  <w:rFonts w:ascii="Times New Roman" w:cs="Times New Roman" w:eastAsia="Times New Roman" w:hAnsi="Times New Roman"/>
                  <w:sz w:val="13"/>
                  <w:szCs w:val="13"/>
                  <w:color w:val="0000EE"/>
                </w:rPr>
                <w:t>Unsecured Senior Mandatory Convertible Promissory Note, dated as of June 26, 2020, by and among the Registrant and the Dustin</w:t>
              </w:r>
            </w:hyperlink>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Borders>
              <w:top w:val="single" w:sz="8" w:color="0000EE"/>
              <w:bottom w:val="single" w:sz="8" w:color="0000EE"/>
            </w:tcBorders>
          </w:tcPr>
          <w:p>
            <w:pPr>
              <w:spacing w:after="0" w:line="135" w:lineRule="exact"/>
              <w:rPr>
                <w:rFonts w:ascii="Times New Roman" w:cs="Times New Roman" w:eastAsia="Times New Roman" w:hAnsi="Times New Roman"/>
                <w:sz w:val="13"/>
                <w:szCs w:val="13"/>
                <w:color w:val="0000EE"/>
                <w:w w:val="97"/>
              </w:rPr>
            </w:pPr>
            <w:hyperlink r:id="rId299">
              <w:r>
                <w:rPr>
                  <w:rFonts w:ascii="Times New Roman" w:cs="Times New Roman" w:eastAsia="Times New Roman" w:hAnsi="Times New Roman"/>
                  <w:sz w:val="13"/>
                  <w:szCs w:val="13"/>
                  <w:color w:val="0000EE"/>
                  <w:w w:val="97"/>
                </w:rPr>
                <w:t>Moskovitz Trust</w:t>
              </w:r>
            </w:hyperlink>
          </w:p>
        </w:tc>
        <w:tc>
          <w:tcPr>
            <w:tcW w:w="5920" w:type="dxa"/>
            <w:vAlign w:val="bottom"/>
            <w:tcBorders>
              <w:top w:val="single" w:sz="8" w:color="0000EE"/>
            </w:tcBorders>
            <w:gridSpan w:val="2"/>
          </w:tcPr>
          <w:p>
            <w:pPr>
              <w:spacing w:after="0"/>
              <w:rPr>
                <w:sz w:val="11"/>
                <w:szCs w:val="11"/>
                <w:color w:val="auto"/>
              </w:rPr>
            </w:pPr>
          </w:p>
        </w:tc>
        <w:tc>
          <w:tcPr>
            <w:tcW w:w="34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42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color w:val="auto"/>
              </w:rPr>
              <w:t>5.1*</w:t>
            </w:r>
          </w:p>
        </w:tc>
        <w:tc>
          <w:tcPr>
            <w:tcW w:w="380" w:type="dxa"/>
            <w:vAlign w:val="bottom"/>
          </w:tcPr>
          <w:p>
            <w:pPr>
              <w:spacing w:after="0"/>
              <w:rPr>
                <w:sz w:val="18"/>
                <w:szCs w:val="18"/>
                <w:color w:val="auto"/>
              </w:rPr>
            </w:pPr>
          </w:p>
        </w:tc>
        <w:tc>
          <w:tcPr>
            <w:tcW w:w="7120" w:type="dxa"/>
            <w:vAlign w:val="bottom"/>
            <w:gridSpan w:val="6"/>
          </w:tcPr>
          <w:p>
            <w:pPr>
              <w:spacing w:after="0"/>
              <w:rPr>
                <w:rFonts w:ascii="Times New Roman" w:cs="Times New Roman" w:eastAsia="Times New Roman" w:hAnsi="Times New Roman"/>
                <w:sz w:val="13"/>
                <w:szCs w:val="13"/>
                <w:u w:val="single" w:color="auto"/>
                <w:color w:val="0000EE"/>
              </w:rPr>
            </w:pPr>
            <w:hyperlink r:id="rId300">
              <w:r>
                <w:rPr>
                  <w:rFonts w:ascii="Times New Roman" w:cs="Times New Roman" w:eastAsia="Times New Roman" w:hAnsi="Times New Roman"/>
                  <w:sz w:val="13"/>
                  <w:szCs w:val="13"/>
                  <w:u w:val="single" w:color="auto"/>
                  <w:color w:val="0000EE"/>
                </w:rPr>
                <w:t>Opinion of Orrick, Herrington &amp; Sutcliffe LLP</w:t>
              </w:r>
            </w:hyperlink>
          </w:p>
        </w:tc>
        <w:tc>
          <w:tcPr>
            <w:tcW w:w="0" w:type="dxa"/>
            <w:vAlign w:val="bottom"/>
          </w:tcPr>
          <w:p>
            <w:pPr>
              <w:spacing w:after="0"/>
              <w:rPr>
                <w:sz w:val="1"/>
                <w:szCs w:val="1"/>
                <w:color w:val="auto"/>
              </w:rPr>
            </w:pPr>
          </w:p>
        </w:tc>
      </w:tr>
      <w:tr>
        <w:trPr>
          <w:trHeight w:val="204"/>
        </w:trPr>
        <w:tc>
          <w:tcPr>
            <w:tcW w:w="42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color w:val="auto"/>
                <w:w w:val="95"/>
              </w:rPr>
              <w:t>10.1*</w:t>
            </w:r>
          </w:p>
        </w:tc>
        <w:tc>
          <w:tcPr>
            <w:tcW w:w="380" w:type="dxa"/>
            <w:vAlign w:val="bottom"/>
          </w:tcPr>
          <w:p>
            <w:pPr>
              <w:spacing w:after="0"/>
              <w:rPr>
                <w:sz w:val="17"/>
                <w:szCs w:val="17"/>
                <w:color w:val="auto"/>
              </w:rPr>
            </w:pPr>
          </w:p>
        </w:tc>
        <w:tc>
          <w:tcPr>
            <w:tcW w:w="7120" w:type="dxa"/>
            <w:vAlign w:val="bottom"/>
            <w:gridSpan w:val="6"/>
          </w:tcPr>
          <w:p>
            <w:pPr>
              <w:spacing w:after="0"/>
              <w:rPr>
                <w:rFonts w:ascii="Times New Roman" w:cs="Times New Roman" w:eastAsia="Times New Roman" w:hAnsi="Times New Roman"/>
                <w:sz w:val="13"/>
                <w:szCs w:val="13"/>
                <w:u w:val="single" w:color="auto"/>
                <w:color w:val="0000EE"/>
              </w:rPr>
            </w:pPr>
            <w:hyperlink r:id="rId301">
              <w:r>
                <w:rPr>
                  <w:rFonts w:ascii="Times New Roman" w:cs="Times New Roman" w:eastAsia="Times New Roman" w:hAnsi="Times New Roman"/>
                  <w:sz w:val="13"/>
                  <w:szCs w:val="13"/>
                  <w:u w:val="single" w:color="auto"/>
                  <w:color w:val="0000EE"/>
                </w:rPr>
                <w:t>Form of Indemnification Agreement entered into between the Registrant and each of its directors and executive officers</w:t>
              </w:r>
            </w:hyperlink>
          </w:p>
        </w:tc>
        <w:tc>
          <w:tcPr>
            <w:tcW w:w="0" w:type="dxa"/>
            <w:vAlign w:val="bottom"/>
          </w:tcPr>
          <w:p>
            <w:pPr>
              <w:spacing w:after="0"/>
              <w:rPr>
                <w:sz w:val="1"/>
                <w:szCs w:val="1"/>
                <w:color w:val="auto"/>
              </w:rPr>
            </w:pPr>
          </w:p>
        </w:tc>
      </w:tr>
      <w:tr>
        <w:trPr>
          <w:trHeight w:val="204"/>
        </w:trPr>
        <w:tc>
          <w:tcPr>
            <w:tcW w:w="42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color w:val="auto"/>
                <w:w w:val="95"/>
              </w:rPr>
              <w:t>10.2*</w:t>
            </w:r>
          </w:p>
        </w:tc>
        <w:tc>
          <w:tcPr>
            <w:tcW w:w="380" w:type="dxa"/>
            <w:vAlign w:val="bottom"/>
          </w:tcPr>
          <w:p>
            <w:pPr>
              <w:spacing w:after="0"/>
              <w:rPr>
                <w:sz w:val="17"/>
                <w:szCs w:val="17"/>
                <w:color w:val="auto"/>
              </w:rPr>
            </w:pPr>
          </w:p>
        </w:tc>
        <w:tc>
          <w:tcPr>
            <w:tcW w:w="7120" w:type="dxa"/>
            <w:vAlign w:val="bottom"/>
            <w:gridSpan w:val="6"/>
          </w:tcPr>
          <w:p>
            <w:pPr>
              <w:spacing w:after="0"/>
              <w:rPr>
                <w:rFonts w:ascii="Times New Roman" w:cs="Times New Roman" w:eastAsia="Times New Roman" w:hAnsi="Times New Roman"/>
                <w:sz w:val="13"/>
                <w:szCs w:val="13"/>
                <w:u w:val="single" w:color="auto"/>
                <w:color w:val="0000EE"/>
              </w:rPr>
            </w:pPr>
            <w:hyperlink r:id="rId302">
              <w:r>
                <w:rPr>
                  <w:rFonts w:ascii="Times New Roman" w:cs="Times New Roman" w:eastAsia="Times New Roman" w:hAnsi="Times New Roman"/>
                  <w:sz w:val="13"/>
                  <w:szCs w:val="13"/>
                  <w:u w:val="single" w:color="auto"/>
                  <w:color w:val="0000EE"/>
                </w:rPr>
                <w:t>2009 Stock Plan, as amended, and forms of agreement thereunder</w:t>
              </w:r>
            </w:hyperlink>
          </w:p>
        </w:tc>
        <w:tc>
          <w:tcPr>
            <w:tcW w:w="0" w:type="dxa"/>
            <w:vAlign w:val="bottom"/>
          </w:tcPr>
          <w:p>
            <w:pPr>
              <w:spacing w:after="0"/>
              <w:rPr>
                <w:sz w:val="1"/>
                <w:szCs w:val="1"/>
                <w:color w:val="auto"/>
              </w:rPr>
            </w:pPr>
          </w:p>
        </w:tc>
      </w:tr>
      <w:tr>
        <w:trPr>
          <w:trHeight w:val="204"/>
        </w:trPr>
        <w:tc>
          <w:tcPr>
            <w:tcW w:w="42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color w:val="auto"/>
                <w:w w:val="95"/>
              </w:rPr>
              <w:t>10.3*</w:t>
            </w:r>
          </w:p>
        </w:tc>
        <w:tc>
          <w:tcPr>
            <w:tcW w:w="380" w:type="dxa"/>
            <w:vAlign w:val="bottom"/>
          </w:tcPr>
          <w:p>
            <w:pPr>
              <w:spacing w:after="0"/>
              <w:rPr>
                <w:sz w:val="17"/>
                <w:szCs w:val="17"/>
                <w:color w:val="auto"/>
              </w:rPr>
            </w:pPr>
          </w:p>
        </w:tc>
        <w:tc>
          <w:tcPr>
            <w:tcW w:w="7120" w:type="dxa"/>
            <w:vAlign w:val="bottom"/>
            <w:gridSpan w:val="6"/>
          </w:tcPr>
          <w:p>
            <w:pPr>
              <w:spacing w:after="0"/>
              <w:rPr>
                <w:rFonts w:ascii="Times New Roman" w:cs="Times New Roman" w:eastAsia="Times New Roman" w:hAnsi="Times New Roman"/>
                <w:sz w:val="13"/>
                <w:szCs w:val="13"/>
                <w:u w:val="single" w:color="auto"/>
                <w:color w:val="0000EE"/>
              </w:rPr>
            </w:pPr>
            <w:hyperlink r:id="rId303">
              <w:r>
                <w:rPr>
                  <w:rFonts w:ascii="Times New Roman" w:cs="Times New Roman" w:eastAsia="Times New Roman" w:hAnsi="Times New Roman"/>
                  <w:sz w:val="13"/>
                  <w:szCs w:val="13"/>
                  <w:u w:val="single" w:color="auto"/>
                  <w:color w:val="0000EE"/>
                </w:rPr>
                <w:t>Amended and Restated 2012 Stock Plan, and forms of agreement thereunder</w:t>
              </w:r>
            </w:hyperlink>
          </w:p>
        </w:tc>
        <w:tc>
          <w:tcPr>
            <w:tcW w:w="0" w:type="dxa"/>
            <w:vAlign w:val="bottom"/>
          </w:tcPr>
          <w:p>
            <w:pPr>
              <w:spacing w:after="0"/>
              <w:rPr>
                <w:sz w:val="1"/>
                <w:szCs w:val="1"/>
                <w:color w:val="auto"/>
              </w:rPr>
            </w:pPr>
          </w:p>
        </w:tc>
      </w:tr>
      <w:tr>
        <w:trPr>
          <w:trHeight w:val="204"/>
        </w:trPr>
        <w:tc>
          <w:tcPr>
            <w:tcW w:w="42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color w:val="auto"/>
                <w:w w:val="95"/>
              </w:rPr>
              <w:t>10.4*</w:t>
            </w:r>
          </w:p>
        </w:tc>
        <w:tc>
          <w:tcPr>
            <w:tcW w:w="380" w:type="dxa"/>
            <w:vAlign w:val="bottom"/>
          </w:tcPr>
          <w:p>
            <w:pPr>
              <w:spacing w:after="0"/>
              <w:rPr>
                <w:sz w:val="17"/>
                <w:szCs w:val="17"/>
                <w:color w:val="auto"/>
              </w:rPr>
            </w:pPr>
          </w:p>
        </w:tc>
        <w:tc>
          <w:tcPr>
            <w:tcW w:w="7120" w:type="dxa"/>
            <w:vAlign w:val="bottom"/>
            <w:gridSpan w:val="6"/>
          </w:tcPr>
          <w:p>
            <w:pPr>
              <w:spacing w:after="0"/>
              <w:rPr>
                <w:rFonts w:ascii="Times New Roman" w:cs="Times New Roman" w:eastAsia="Times New Roman" w:hAnsi="Times New Roman"/>
                <w:sz w:val="13"/>
                <w:szCs w:val="13"/>
                <w:u w:val="single" w:color="auto"/>
                <w:color w:val="0000EE"/>
              </w:rPr>
            </w:pPr>
            <w:hyperlink r:id="rId304">
              <w:r>
                <w:rPr>
                  <w:rFonts w:ascii="Times New Roman" w:cs="Times New Roman" w:eastAsia="Times New Roman" w:hAnsi="Times New Roman"/>
                  <w:sz w:val="13"/>
                  <w:szCs w:val="13"/>
                  <w:u w:val="single" w:color="auto"/>
                  <w:color w:val="0000EE"/>
                </w:rPr>
                <w:t>2020 Equity Incentive Plan, and forms of agreement thereunder</w:t>
              </w:r>
            </w:hyperlink>
          </w:p>
        </w:tc>
        <w:tc>
          <w:tcPr>
            <w:tcW w:w="0" w:type="dxa"/>
            <w:vAlign w:val="bottom"/>
          </w:tcPr>
          <w:p>
            <w:pPr>
              <w:spacing w:after="0"/>
              <w:rPr>
                <w:sz w:val="1"/>
                <w:szCs w:val="1"/>
                <w:color w:val="auto"/>
              </w:rPr>
            </w:pPr>
          </w:p>
        </w:tc>
      </w:tr>
      <w:tr>
        <w:trPr>
          <w:trHeight w:val="204"/>
        </w:trPr>
        <w:tc>
          <w:tcPr>
            <w:tcW w:w="42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color w:val="auto"/>
                <w:w w:val="95"/>
              </w:rPr>
              <w:t>10.5*</w:t>
            </w:r>
          </w:p>
        </w:tc>
        <w:tc>
          <w:tcPr>
            <w:tcW w:w="380" w:type="dxa"/>
            <w:vAlign w:val="bottom"/>
          </w:tcPr>
          <w:p>
            <w:pPr>
              <w:spacing w:after="0"/>
              <w:rPr>
                <w:sz w:val="17"/>
                <w:szCs w:val="17"/>
                <w:color w:val="auto"/>
              </w:rPr>
            </w:pPr>
          </w:p>
        </w:tc>
        <w:tc>
          <w:tcPr>
            <w:tcW w:w="7120" w:type="dxa"/>
            <w:vAlign w:val="bottom"/>
            <w:gridSpan w:val="6"/>
          </w:tcPr>
          <w:p>
            <w:pPr>
              <w:spacing w:after="0"/>
              <w:rPr>
                <w:rFonts w:ascii="Times New Roman" w:cs="Times New Roman" w:eastAsia="Times New Roman" w:hAnsi="Times New Roman"/>
                <w:sz w:val="13"/>
                <w:szCs w:val="13"/>
                <w:u w:val="single" w:color="auto"/>
                <w:color w:val="0000EE"/>
              </w:rPr>
            </w:pPr>
            <w:hyperlink r:id="rId305">
              <w:r>
                <w:rPr>
                  <w:rFonts w:ascii="Times New Roman" w:cs="Times New Roman" w:eastAsia="Times New Roman" w:hAnsi="Times New Roman"/>
                  <w:sz w:val="13"/>
                  <w:szCs w:val="13"/>
                  <w:u w:val="single" w:color="auto"/>
                  <w:color w:val="0000EE"/>
                </w:rPr>
                <w:t>2020 Employee Stock Purchase Plan</w:t>
              </w:r>
            </w:hyperlink>
          </w:p>
        </w:tc>
        <w:tc>
          <w:tcPr>
            <w:tcW w:w="0" w:type="dxa"/>
            <w:vAlign w:val="bottom"/>
          </w:tcPr>
          <w:p>
            <w:pPr>
              <w:spacing w:after="0"/>
              <w:rPr>
                <w:sz w:val="1"/>
                <w:szCs w:val="1"/>
                <w:color w:val="auto"/>
              </w:rPr>
            </w:pPr>
          </w:p>
        </w:tc>
      </w:tr>
      <w:tr>
        <w:trPr>
          <w:trHeight w:val="204"/>
        </w:trPr>
        <w:tc>
          <w:tcPr>
            <w:tcW w:w="42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color w:val="auto"/>
                <w:w w:val="95"/>
              </w:rPr>
              <w:t>10.6*</w:t>
            </w:r>
          </w:p>
        </w:tc>
        <w:tc>
          <w:tcPr>
            <w:tcW w:w="380" w:type="dxa"/>
            <w:vAlign w:val="bottom"/>
          </w:tcPr>
          <w:p>
            <w:pPr>
              <w:spacing w:after="0"/>
              <w:rPr>
                <w:sz w:val="17"/>
                <w:szCs w:val="17"/>
                <w:color w:val="auto"/>
              </w:rPr>
            </w:pPr>
          </w:p>
        </w:tc>
        <w:tc>
          <w:tcPr>
            <w:tcW w:w="7120" w:type="dxa"/>
            <w:vAlign w:val="bottom"/>
            <w:gridSpan w:val="6"/>
          </w:tcPr>
          <w:p>
            <w:pPr>
              <w:spacing w:after="0"/>
              <w:rPr>
                <w:rFonts w:ascii="Times New Roman" w:cs="Times New Roman" w:eastAsia="Times New Roman" w:hAnsi="Times New Roman"/>
                <w:sz w:val="13"/>
                <w:szCs w:val="13"/>
                <w:u w:val="single" w:color="auto"/>
                <w:color w:val="0000EE"/>
              </w:rPr>
            </w:pPr>
            <w:hyperlink r:id="rId306">
              <w:r>
                <w:rPr>
                  <w:rFonts w:ascii="Times New Roman" w:cs="Times New Roman" w:eastAsia="Times New Roman" w:hAnsi="Times New Roman"/>
                  <w:sz w:val="13"/>
                  <w:szCs w:val="13"/>
                  <w:u w:val="single" w:color="auto"/>
                  <w:color w:val="0000EE"/>
                </w:rPr>
                <w:t>Non-Employee Director Compensation Policy</w:t>
              </w:r>
            </w:hyperlink>
          </w:p>
        </w:tc>
        <w:tc>
          <w:tcPr>
            <w:tcW w:w="0" w:type="dxa"/>
            <w:vAlign w:val="bottom"/>
          </w:tcPr>
          <w:p>
            <w:pPr>
              <w:spacing w:after="0"/>
              <w:rPr>
                <w:sz w:val="1"/>
                <w:szCs w:val="1"/>
                <w:color w:val="auto"/>
              </w:rPr>
            </w:pPr>
          </w:p>
        </w:tc>
      </w:tr>
      <w:tr>
        <w:trPr>
          <w:trHeight w:val="204"/>
        </w:trPr>
        <w:tc>
          <w:tcPr>
            <w:tcW w:w="42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color w:val="auto"/>
                <w:w w:val="95"/>
              </w:rPr>
              <w:t>10.7*</w:t>
            </w:r>
          </w:p>
        </w:tc>
        <w:tc>
          <w:tcPr>
            <w:tcW w:w="380" w:type="dxa"/>
            <w:vAlign w:val="bottom"/>
          </w:tcPr>
          <w:p>
            <w:pPr>
              <w:spacing w:after="0"/>
              <w:rPr>
                <w:sz w:val="17"/>
                <w:szCs w:val="17"/>
                <w:color w:val="auto"/>
              </w:rPr>
            </w:pPr>
          </w:p>
        </w:tc>
        <w:tc>
          <w:tcPr>
            <w:tcW w:w="7120" w:type="dxa"/>
            <w:vAlign w:val="bottom"/>
            <w:gridSpan w:val="6"/>
          </w:tcPr>
          <w:p>
            <w:pPr>
              <w:spacing w:after="0"/>
              <w:rPr>
                <w:rFonts w:ascii="Times New Roman" w:cs="Times New Roman" w:eastAsia="Times New Roman" w:hAnsi="Times New Roman"/>
                <w:sz w:val="13"/>
                <w:szCs w:val="13"/>
                <w:u w:val="single" w:color="auto"/>
                <w:color w:val="0000EE"/>
              </w:rPr>
            </w:pPr>
            <w:hyperlink r:id="rId307">
              <w:r>
                <w:rPr>
                  <w:rFonts w:ascii="Times New Roman" w:cs="Times New Roman" w:eastAsia="Times New Roman" w:hAnsi="Times New Roman"/>
                  <w:sz w:val="13"/>
                  <w:szCs w:val="13"/>
                  <w:u w:val="single" w:color="auto"/>
                  <w:color w:val="0000EE"/>
                </w:rPr>
                <w:t>Executive Severance and Change in Control Benefit Plan</w:t>
              </w:r>
            </w:hyperlink>
          </w:p>
        </w:tc>
        <w:tc>
          <w:tcPr>
            <w:tcW w:w="0" w:type="dxa"/>
            <w:vAlign w:val="bottom"/>
          </w:tcPr>
          <w:p>
            <w:pPr>
              <w:spacing w:after="0"/>
              <w:rPr>
                <w:sz w:val="1"/>
                <w:szCs w:val="1"/>
                <w:color w:val="auto"/>
              </w:rPr>
            </w:pPr>
          </w:p>
        </w:tc>
      </w:tr>
      <w:tr>
        <w:trPr>
          <w:trHeight w:val="204"/>
        </w:trPr>
        <w:tc>
          <w:tcPr>
            <w:tcW w:w="42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color w:val="auto"/>
                <w:w w:val="95"/>
              </w:rPr>
              <w:t>10.8*</w:t>
            </w:r>
          </w:p>
        </w:tc>
        <w:tc>
          <w:tcPr>
            <w:tcW w:w="380" w:type="dxa"/>
            <w:vAlign w:val="bottom"/>
          </w:tcPr>
          <w:p>
            <w:pPr>
              <w:spacing w:after="0"/>
              <w:rPr>
                <w:sz w:val="17"/>
                <w:szCs w:val="17"/>
                <w:color w:val="auto"/>
              </w:rPr>
            </w:pPr>
          </w:p>
        </w:tc>
        <w:tc>
          <w:tcPr>
            <w:tcW w:w="7120" w:type="dxa"/>
            <w:vAlign w:val="bottom"/>
            <w:gridSpan w:val="6"/>
          </w:tcPr>
          <w:p>
            <w:pPr>
              <w:spacing w:after="0"/>
              <w:rPr>
                <w:rFonts w:ascii="Times New Roman" w:cs="Times New Roman" w:eastAsia="Times New Roman" w:hAnsi="Times New Roman"/>
                <w:sz w:val="13"/>
                <w:szCs w:val="13"/>
                <w:u w:val="single" w:color="auto"/>
                <w:color w:val="0000EE"/>
              </w:rPr>
            </w:pPr>
            <w:hyperlink r:id="rId308">
              <w:r>
                <w:rPr>
                  <w:rFonts w:ascii="Times New Roman" w:cs="Times New Roman" w:eastAsia="Times New Roman" w:hAnsi="Times New Roman"/>
                  <w:sz w:val="13"/>
                  <w:szCs w:val="13"/>
                  <w:u w:val="single" w:color="auto"/>
                  <w:color w:val="0000EE"/>
                </w:rPr>
                <w:t>Offer Letter between Dustin Moskovitz and the Registrant, dated August 20, 2020</w:t>
              </w:r>
            </w:hyperlink>
          </w:p>
        </w:tc>
        <w:tc>
          <w:tcPr>
            <w:tcW w:w="0" w:type="dxa"/>
            <w:vAlign w:val="bottom"/>
          </w:tcPr>
          <w:p>
            <w:pPr>
              <w:spacing w:after="0"/>
              <w:rPr>
                <w:sz w:val="1"/>
                <w:szCs w:val="1"/>
                <w:color w:val="auto"/>
              </w:rPr>
            </w:pPr>
          </w:p>
        </w:tc>
      </w:tr>
      <w:tr>
        <w:trPr>
          <w:trHeight w:val="213"/>
        </w:trPr>
        <w:tc>
          <w:tcPr>
            <w:tcW w:w="42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color w:val="auto"/>
                <w:w w:val="95"/>
              </w:rPr>
              <w:t>10.9*</w:t>
            </w:r>
          </w:p>
        </w:tc>
        <w:tc>
          <w:tcPr>
            <w:tcW w:w="380" w:type="dxa"/>
            <w:vAlign w:val="bottom"/>
          </w:tcPr>
          <w:p>
            <w:pPr>
              <w:spacing w:after="0"/>
              <w:rPr>
                <w:sz w:val="18"/>
                <w:szCs w:val="18"/>
                <w:color w:val="auto"/>
              </w:rPr>
            </w:pPr>
          </w:p>
        </w:tc>
        <w:tc>
          <w:tcPr>
            <w:tcW w:w="7120" w:type="dxa"/>
            <w:vAlign w:val="bottom"/>
            <w:gridSpan w:val="6"/>
          </w:tcPr>
          <w:p>
            <w:pPr>
              <w:spacing w:after="0"/>
              <w:rPr>
                <w:rFonts w:ascii="Times New Roman" w:cs="Times New Roman" w:eastAsia="Times New Roman" w:hAnsi="Times New Roman"/>
                <w:sz w:val="13"/>
                <w:szCs w:val="13"/>
                <w:u w:val="single" w:color="auto"/>
                <w:color w:val="0000EE"/>
              </w:rPr>
            </w:pPr>
            <w:hyperlink r:id="rId309">
              <w:r>
                <w:rPr>
                  <w:rFonts w:ascii="Times New Roman" w:cs="Times New Roman" w:eastAsia="Times New Roman" w:hAnsi="Times New Roman"/>
                  <w:sz w:val="13"/>
                  <w:szCs w:val="13"/>
                  <w:u w:val="single" w:color="auto"/>
                  <w:color w:val="0000EE"/>
                </w:rPr>
                <w:t>Offer Letter between Eleanor Lacey and the Registrant, dated August 21, 2020</w:t>
              </w:r>
            </w:hyperlink>
          </w:p>
        </w:tc>
        <w:tc>
          <w:tcPr>
            <w:tcW w:w="0" w:type="dxa"/>
            <w:vAlign w:val="bottom"/>
          </w:tcPr>
          <w:p>
            <w:pPr>
              <w:spacing w:after="0"/>
              <w:rPr>
                <w:sz w:val="1"/>
                <w:szCs w:val="1"/>
                <w:color w:val="auto"/>
              </w:rPr>
            </w:pPr>
          </w:p>
        </w:tc>
      </w:tr>
      <w:tr>
        <w:trPr>
          <w:trHeight w:val="213"/>
        </w:trPr>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color w:val="auto"/>
                <w:w w:val="94"/>
              </w:rPr>
              <w:t>10.10*</w:t>
            </w:r>
          </w:p>
        </w:tc>
        <w:tc>
          <w:tcPr>
            <w:tcW w:w="380" w:type="dxa"/>
            <w:vAlign w:val="bottom"/>
          </w:tcPr>
          <w:p>
            <w:pPr>
              <w:spacing w:after="0"/>
              <w:rPr>
                <w:sz w:val="18"/>
                <w:szCs w:val="18"/>
                <w:color w:val="auto"/>
              </w:rPr>
            </w:pPr>
          </w:p>
        </w:tc>
        <w:tc>
          <w:tcPr>
            <w:tcW w:w="7120" w:type="dxa"/>
            <w:vAlign w:val="bottom"/>
            <w:gridSpan w:val="6"/>
          </w:tcPr>
          <w:p>
            <w:pPr>
              <w:spacing w:after="0"/>
              <w:rPr>
                <w:rFonts w:ascii="Times New Roman" w:cs="Times New Roman" w:eastAsia="Times New Roman" w:hAnsi="Times New Roman"/>
                <w:sz w:val="13"/>
                <w:szCs w:val="13"/>
                <w:u w:val="single" w:color="auto"/>
                <w:color w:val="0000EE"/>
              </w:rPr>
            </w:pPr>
            <w:hyperlink r:id="rId310">
              <w:r>
                <w:rPr>
                  <w:rFonts w:ascii="Times New Roman" w:cs="Times New Roman" w:eastAsia="Times New Roman" w:hAnsi="Times New Roman"/>
                  <w:sz w:val="13"/>
                  <w:szCs w:val="13"/>
                  <w:u w:val="single" w:color="auto"/>
                  <w:color w:val="0000EE"/>
                </w:rPr>
                <w:t>Offer Letter between Tim Wan and the Registrant, dated August 20, 2020</w:t>
              </w:r>
            </w:hyperlink>
          </w:p>
        </w:tc>
        <w:tc>
          <w:tcPr>
            <w:tcW w:w="0" w:type="dxa"/>
            <w:vAlign w:val="bottom"/>
          </w:tcPr>
          <w:p>
            <w:pPr>
              <w:spacing w:after="0"/>
              <w:rPr>
                <w:sz w:val="1"/>
                <w:szCs w:val="1"/>
                <w:color w:val="auto"/>
              </w:rPr>
            </w:pPr>
          </w:p>
        </w:tc>
      </w:tr>
      <w:tr>
        <w:trPr>
          <w:trHeight w:val="213"/>
        </w:trPr>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color w:val="auto"/>
                <w:w w:val="94"/>
              </w:rPr>
              <w:t>10.11*</w:t>
            </w:r>
          </w:p>
        </w:tc>
        <w:tc>
          <w:tcPr>
            <w:tcW w:w="380" w:type="dxa"/>
            <w:vAlign w:val="bottom"/>
          </w:tcPr>
          <w:p>
            <w:pPr>
              <w:spacing w:after="0"/>
              <w:rPr>
                <w:sz w:val="18"/>
                <w:szCs w:val="18"/>
                <w:color w:val="auto"/>
              </w:rPr>
            </w:pPr>
          </w:p>
        </w:tc>
        <w:tc>
          <w:tcPr>
            <w:tcW w:w="7120" w:type="dxa"/>
            <w:vAlign w:val="bottom"/>
            <w:gridSpan w:val="6"/>
          </w:tcPr>
          <w:p>
            <w:pPr>
              <w:spacing w:after="0"/>
              <w:rPr>
                <w:rFonts w:ascii="Times New Roman" w:cs="Times New Roman" w:eastAsia="Times New Roman" w:hAnsi="Times New Roman"/>
                <w:sz w:val="13"/>
                <w:szCs w:val="13"/>
                <w:u w:val="single" w:color="auto"/>
                <w:color w:val="0000EE"/>
              </w:rPr>
            </w:pPr>
            <w:hyperlink r:id="rId311">
              <w:r>
                <w:rPr>
                  <w:rFonts w:ascii="Times New Roman" w:cs="Times New Roman" w:eastAsia="Times New Roman" w:hAnsi="Times New Roman"/>
                  <w:sz w:val="13"/>
                  <w:szCs w:val="13"/>
                  <w:u w:val="single" w:color="auto"/>
                  <w:color w:val="0000EE"/>
                </w:rPr>
                <w:t>Offer Letter between Chris Farinacci and the Registrant, dated August 20, 2020</w:t>
              </w:r>
            </w:hyperlink>
          </w:p>
        </w:tc>
        <w:tc>
          <w:tcPr>
            <w:tcW w:w="0" w:type="dxa"/>
            <w:vAlign w:val="bottom"/>
          </w:tcPr>
          <w:p>
            <w:pPr>
              <w:spacing w:after="0"/>
              <w:rPr>
                <w:sz w:val="1"/>
                <w:szCs w:val="1"/>
                <w:color w:val="auto"/>
              </w:rPr>
            </w:pPr>
          </w:p>
        </w:tc>
      </w:tr>
      <w:tr>
        <w:trPr>
          <w:trHeight w:val="204"/>
        </w:trPr>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color w:val="auto"/>
                <w:w w:val="94"/>
              </w:rPr>
              <w:t>10.12*</w:t>
            </w:r>
          </w:p>
        </w:tc>
        <w:tc>
          <w:tcPr>
            <w:tcW w:w="380" w:type="dxa"/>
            <w:vAlign w:val="bottom"/>
          </w:tcPr>
          <w:p>
            <w:pPr>
              <w:spacing w:after="0"/>
              <w:rPr>
                <w:sz w:val="17"/>
                <w:szCs w:val="17"/>
                <w:color w:val="auto"/>
              </w:rPr>
            </w:pPr>
          </w:p>
        </w:tc>
        <w:tc>
          <w:tcPr>
            <w:tcW w:w="7120" w:type="dxa"/>
            <w:vAlign w:val="bottom"/>
            <w:gridSpan w:val="6"/>
          </w:tcPr>
          <w:p>
            <w:pPr>
              <w:spacing w:after="0"/>
              <w:rPr>
                <w:rFonts w:ascii="Times New Roman" w:cs="Times New Roman" w:eastAsia="Times New Roman" w:hAnsi="Times New Roman"/>
                <w:sz w:val="13"/>
                <w:szCs w:val="13"/>
                <w:u w:val="single" w:color="auto"/>
                <w:color w:val="0000EE"/>
              </w:rPr>
            </w:pPr>
            <w:hyperlink r:id="rId312">
              <w:r>
                <w:rPr>
                  <w:rFonts w:ascii="Times New Roman" w:cs="Times New Roman" w:eastAsia="Times New Roman" w:hAnsi="Times New Roman"/>
                  <w:sz w:val="13"/>
                  <w:szCs w:val="13"/>
                  <w:u w:val="single" w:color="auto"/>
                  <w:color w:val="0000EE"/>
                </w:rPr>
                <w:t>Lease between Swig 631 Folsom, LLC, SIC Holdings, LLC and the Registrant, dated as of February 22, 2019</w:t>
              </w:r>
            </w:hyperlink>
          </w:p>
        </w:tc>
        <w:tc>
          <w:tcPr>
            <w:tcW w:w="0" w:type="dxa"/>
            <w:vAlign w:val="bottom"/>
          </w:tcPr>
          <w:p>
            <w:pPr>
              <w:spacing w:after="0"/>
              <w:rPr>
                <w:sz w:val="1"/>
                <w:szCs w:val="1"/>
                <w:color w:val="auto"/>
              </w:rPr>
            </w:pPr>
          </w:p>
        </w:tc>
      </w:tr>
      <w:tr>
        <w:trPr>
          <w:trHeight w:val="204"/>
        </w:trPr>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color w:val="auto"/>
                <w:w w:val="94"/>
              </w:rPr>
              <w:t>10.13*</w:t>
            </w:r>
          </w:p>
        </w:tc>
        <w:tc>
          <w:tcPr>
            <w:tcW w:w="380" w:type="dxa"/>
            <w:vAlign w:val="bottom"/>
          </w:tcPr>
          <w:p>
            <w:pPr>
              <w:spacing w:after="0"/>
              <w:rPr>
                <w:sz w:val="17"/>
                <w:szCs w:val="17"/>
                <w:color w:val="auto"/>
              </w:rPr>
            </w:pPr>
          </w:p>
        </w:tc>
        <w:tc>
          <w:tcPr>
            <w:tcW w:w="7120" w:type="dxa"/>
            <w:vAlign w:val="bottom"/>
            <w:gridSpan w:val="6"/>
          </w:tcPr>
          <w:p>
            <w:pPr>
              <w:spacing w:after="0"/>
              <w:rPr>
                <w:rFonts w:ascii="Times New Roman" w:cs="Times New Roman" w:eastAsia="Times New Roman" w:hAnsi="Times New Roman"/>
                <w:sz w:val="13"/>
                <w:szCs w:val="13"/>
                <w:u w:val="single" w:color="auto"/>
                <w:color w:val="0000EE"/>
              </w:rPr>
            </w:pPr>
            <w:hyperlink r:id="rId313">
              <w:r>
                <w:rPr>
                  <w:rFonts w:ascii="Times New Roman" w:cs="Times New Roman" w:eastAsia="Times New Roman" w:hAnsi="Times New Roman"/>
                  <w:sz w:val="13"/>
                  <w:szCs w:val="13"/>
                  <w:u w:val="single" w:color="auto"/>
                  <w:color w:val="0000EE"/>
                </w:rPr>
                <w:t>Lease between AE-Hamm’s Property Owner, LLC and the Registrant, dated as of May 27, 2011, as amended</w:t>
              </w:r>
            </w:hyperlink>
          </w:p>
        </w:tc>
        <w:tc>
          <w:tcPr>
            <w:tcW w:w="0" w:type="dxa"/>
            <w:vAlign w:val="bottom"/>
          </w:tcPr>
          <w:p>
            <w:pPr>
              <w:spacing w:after="0"/>
              <w:rPr>
                <w:sz w:val="1"/>
                <w:szCs w:val="1"/>
                <w:color w:val="auto"/>
              </w:rPr>
            </w:pPr>
          </w:p>
        </w:tc>
      </w:tr>
      <w:tr>
        <w:trPr>
          <w:trHeight w:val="204"/>
        </w:trPr>
        <w:tc>
          <w:tcPr>
            <w:tcW w:w="42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color w:val="auto"/>
                <w:w w:val="95"/>
              </w:rPr>
              <w:t>21.1*</w:t>
            </w:r>
          </w:p>
        </w:tc>
        <w:tc>
          <w:tcPr>
            <w:tcW w:w="380" w:type="dxa"/>
            <w:vAlign w:val="bottom"/>
          </w:tcPr>
          <w:p>
            <w:pPr>
              <w:spacing w:after="0"/>
              <w:rPr>
                <w:sz w:val="17"/>
                <w:szCs w:val="17"/>
                <w:color w:val="auto"/>
              </w:rPr>
            </w:pPr>
          </w:p>
        </w:tc>
        <w:tc>
          <w:tcPr>
            <w:tcW w:w="7120" w:type="dxa"/>
            <w:vAlign w:val="bottom"/>
            <w:gridSpan w:val="6"/>
          </w:tcPr>
          <w:p>
            <w:pPr>
              <w:spacing w:after="0"/>
              <w:rPr>
                <w:rFonts w:ascii="Times New Roman" w:cs="Times New Roman" w:eastAsia="Times New Roman" w:hAnsi="Times New Roman"/>
                <w:sz w:val="13"/>
                <w:szCs w:val="13"/>
                <w:u w:val="single" w:color="auto"/>
                <w:color w:val="0000EE"/>
              </w:rPr>
            </w:pPr>
            <w:hyperlink r:id="rId314">
              <w:r>
                <w:rPr>
                  <w:rFonts w:ascii="Times New Roman" w:cs="Times New Roman" w:eastAsia="Times New Roman" w:hAnsi="Times New Roman"/>
                  <w:sz w:val="13"/>
                  <w:szCs w:val="13"/>
                  <w:u w:val="single" w:color="auto"/>
                  <w:color w:val="0000EE"/>
                </w:rPr>
                <w:t>List of subsidiaries</w:t>
              </w:r>
            </w:hyperlink>
          </w:p>
        </w:tc>
        <w:tc>
          <w:tcPr>
            <w:tcW w:w="0" w:type="dxa"/>
            <w:vAlign w:val="bottom"/>
          </w:tcPr>
          <w:p>
            <w:pPr>
              <w:spacing w:after="0"/>
              <w:rPr>
                <w:sz w:val="1"/>
                <w:szCs w:val="1"/>
                <w:color w:val="auto"/>
              </w:rPr>
            </w:pPr>
          </w:p>
        </w:tc>
      </w:tr>
      <w:tr>
        <w:trPr>
          <w:trHeight w:val="204"/>
        </w:trPr>
        <w:tc>
          <w:tcPr>
            <w:tcW w:w="42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color w:val="auto"/>
                <w:w w:val="95"/>
              </w:rPr>
              <w:t>23.1*</w:t>
            </w:r>
          </w:p>
        </w:tc>
        <w:tc>
          <w:tcPr>
            <w:tcW w:w="380" w:type="dxa"/>
            <w:vAlign w:val="bottom"/>
          </w:tcPr>
          <w:p>
            <w:pPr>
              <w:spacing w:after="0"/>
              <w:rPr>
                <w:sz w:val="17"/>
                <w:szCs w:val="17"/>
                <w:color w:val="auto"/>
              </w:rPr>
            </w:pPr>
          </w:p>
        </w:tc>
        <w:tc>
          <w:tcPr>
            <w:tcW w:w="7120" w:type="dxa"/>
            <w:vAlign w:val="bottom"/>
            <w:gridSpan w:val="6"/>
          </w:tcPr>
          <w:p>
            <w:pPr>
              <w:spacing w:after="0"/>
              <w:rPr>
                <w:rFonts w:ascii="Times New Roman" w:cs="Times New Roman" w:eastAsia="Times New Roman" w:hAnsi="Times New Roman"/>
                <w:sz w:val="13"/>
                <w:szCs w:val="13"/>
                <w:u w:val="single" w:color="auto"/>
                <w:color w:val="0000EE"/>
              </w:rPr>
            </w:pPr>
            <w:hyperlink r:id="rId300">
              <w:r>
                <w:rPr>
                  <w:rFonts w:ascii="Times New Roman" w:cs="Times New Roman" w:eastAsia="Times New Roman" w:hAnsi="Times New Roman"/>
                  <w:sz w:val="13"/>
                  <w:szCs w:val="13"/>
                  <w:u w:val="single" w:color="auto"/>
                  <w:color w:val="0000EE"/>
                </w:rPr>
                <w:t>Consent of Orrick, Herrington &amp; Sutcliffe LLP (included in Exhibit 5.1)</w:t>
              </w:r>
            </w:hyperlink>
          </w:p>
        </w:tc>
        <w:tc>
          <w:tcPr>
            <w:tcW w:w="0" w:type="dxa"/>
            <w:vAlign w:val="bottom"/>
          </w:tcPr>
          <w:p>
            <w:pPr>
              <w:spacing w:after="0"/>
              <w:rPr>
                <w:sz w:val="1"/>
                <w:szCs w:val="1"/>
                <w:color w:val="auto"/>
              </w:rPr>
            </w:pPr>
          </w:p>
        </w:tc>
      </w:tr>
      <w:tr>
        <w:trPr>
          <w:trHeight w:val="204"/>
        </w:trPr>
        <w:tc>
          <w:tcPr>
            <w:tcW w:w="420" w:type="dxa"/>
            <w:vAlign w:val="bottom"/>
            <w:gridSpan w:val="2"/>
          </w:tcPr>
          <w:p>
            <w:pPr>
              <w:jc w:val="right"/>
              <w:ind w:right="128"/>
              <w:spacing w:after="0"/>
              <w:rPr>
                <w:sz w:val="20"/>
                <w:szCs w:val="20"/>
                <w:color w:val="auto"/>
              </w:rPr>
            </w:pPr>
            <w:r>
              <w:rPr>
                <w:rFonts w:ascii="Times New Roman" w:cs="Times New Roman" w:eastAsia="Times New Roman" w:hAnsi="Times New Roman"/>
                <w:sz w:val="13"/>
                <w:szCs w:val="13"/>
                <w:color w:val="auto"/>
                <w:w w:val="96"/>
              </w:rPr>
              <w:t>23.2</w:t>
            </w:r>
          </w:p>
        </w:tc>
        <w:tc>
          <w:tcPr>
            <w:tcW w:w="380" w:type="dxa"/>
            <w:vAlign w:val="bottom"/>
          </w:tcPr>
          <w:p>
            <w:pPr>
              <w:spacing w:after="0"/>
              <w:rPr>
                <w:sz w:val="17"/>
                <w:szCs w:val="17"/>
                <w:color w:val="auto"/>
              </w:rPr>
            </w:pPr>
          </w:p>
        </w:tc>
        <w:tc>
          <w:tcPr>
            <w:tcW w:w="7120" w:type="dxa"/>
            <w:vAlign w:val="bottom"/>
            <w:gridSpan w:val="6"/>
          </w:tcPr>
          <w:p>
            <w:pPr>
              <w:spacing w:after="0"/>
              <w:rPr>
                <w:rFonts w:ascii="Times New Roman" w:cs="Times New Roman" w:eastAsia="Times New Roman" w:hAnsi="Times New Roman"/>
                <w:sz w:val="13"/>
                <w:szCs w:val="13"/>
                <w:u w:val="single" w:color="auto"/>
                <w:color w:val="0000EE"/>
              </w:rPr>
            </w:pPr>
            <w:hyperlink w:anchor="page212">
              <w:r>
                <w:rPr>
                  <w:rFonts w:ascii="Times New Roman" w:cs="Times New Roman" w:eastAsia="Times New Roman" w:hAnsi="Times New Roman"/>
                  <w:sz w:val="13"/>
                  <w:szCs w:val="13"/>
                  <w:u w:val="single" w:color="auto"/>
                  <w:color w:val="0000EE"/>
                </w:rPr>
                <w:t>Consent of Independent Registered Public Accounting Firm</w:t>
              </w:r>
            </w:hyperlink>
          </w:p>
        </w:tc>
        <w:tc>
          <w:tcPr>
            <w:tcW w:w="0" w:type="dxa"/>
            <w:vAlign w:val="bottom"/>
          </w:tcPr>
          <w:p>
            <w:pPr>
              <w:spacing w:after="0"/>
              <w:rPr>
                <w:sz w:val="1"/>
                <w:szCs w:val="1"/>
                <w:color w:val="auto"/>
              </w:rPr>
            </w:pPr>
          </w:p>
        </w:tc>
      </w:tr>
      <w:tr>
        <w:trPr>
          <w:trHeight w:val="204"/>
        </w:trPr>
        <w:tc>
          <w:tcPr>
            <w:tcW w:w="42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color w:val="auto"/>
                <w:w w:val="95"/>
              </w:rPr>
              <w:t>24.1*</w:t>
            </w:r>
          </w:p>
        </w:tc>
        <w:tc>
          <w:tcPr>
            <w:tcW w:w="380" w:type="dxa"/>
            <w:vAlign w:val="bottom"/>
          </w:tcPr>
          <w:p>
            <w:pPr>
              <w:spacing w:after="0"/>
              <w:rPr>
                <w:sz w:val="17"/>
                <w:szCs w:val="17"/>
                <w:color w:val="auto"/>
              </w:rPr>
            </w:pPr>
          </w:p>
        </w:tc>
        <w:tc>
          <w:tcPr>
            <w:tcW w:w="7120" w:type="dxa"/>
            <w:vAlign w:val="bottom"/>
            <w:gridSpan w:val="6"/>
          </w:tcPr>
          <w:p>
            <w:pPr>
              <w:spacing w:after="0"/>
              <w:rPr>
                <w:rFonts w:ascii="Times New Roman" w:cs="Times New Roman" w:eastAsia="Times New Roman" w:hAnsi="Times New Roman"/>
                <w:sz w:val="13"/>
                <w:szCs w:val="13"/>
                <w:u w:val="single" w:color="auto"/>
                <w:color w:val="0000EE"/>
              </w:rPr>
            </w:pPr>
            <w:hyperlink r:id="rId315">
              <w:r>
                <w:rPr>
                  <w:rFonts w:ascii="Times New Roman" w:cs="Times New Roman" w:eastAsia="Times New Roman" w:hAnsi="Times New Roman"/>
                  <w:sz w:val="13"/>
                  <w:szCs w:val="13"/>
                  <w:u w:val="single" w:color="auto"/>
                  <w:color w:val="0000EE"/>
                </w:rPr>
                <w:t>Power of Attorney (included on the signature page to this Registration Statement)</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62230</wp:posOffset>
            </wp:positionV>
            <wp:extent cx="548005" cy="63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6">
                      <a:extLst>
                        <a:ext uri="{28A0092B-C50C-407E-A947-70E740481C1C}"/>
                      </a:extLst>
                    </a:blip>
                    <a:srcRect/>
                    <a:stretch>
                      <a:fillRect/>
                    </a:stretch>
                  </pic:blipFill>
                  <pic:spPr bwMode="auto">
                    <a:xfrm>
                      <a:off x="0" y="0"/>
                      <a:ext cx="548005" cy="6350"/>
                    </a:xfrm>
                    <a:prstGeom prst="rect">
                      <a:avLst/>
                    </a:prstGeom>
                    <a:noFill/>
                  </pic:spPr>
                </pic:pic>
              </a:graphicData>
            </a:graphic>
          </wp:anchor>
        </w:drawing>
      </w:r>
    </w:p>
    <w:p>
      <w:pPr>
        <w:spacing w:after="0" w:line="102" w:lineRule="exact"/>
        <w:rPr>
          <w:sz w:val="20"/>
          <w:szCs w:val="20"/>
          <w:color w:val="auto"/>
        </w:rPr>
      </w:pPr>
    </w:p>
    <w:p>
      <w:pPr>
        <w:ind w:left="2000" w:hanging="311"/>
        <w:spacing w:after="0"/>
        <w:tabs>
          <w:tab w:leader="none" w:pos="2000" w:val="left"/>
        </w:tabs>
        <w:numPr>
          <w:ilvl w:val="0"/>
          <w:numId w:val="9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Previously filed</w:t>
      </w:r>
    </w:p>
    <w:p>
      <w:pPr>
        <w:spacing w:after="0" w:line="166" w:lineRule="exact"/>
        <w:rPr>
          <w:rFonts w:ascii="Times New Roman" w:cs="Times New Roman" w:eastAsia="Times New Roman" w:hAnsi="Times New Roman"/>
          <w:sz w:val="10"/>
          <w:szCs w:val="10"/>
          <w:color w:val="auto"/>
        </w:rPr>
      </w:pPr>
    </w:p>
    <w:p>
      <w:pPr>
        <w:ind w:left="2380" w:hanging="299"/>
        <w:spacing w:after="0"/>
        <w:tabs>
          <w:tab w:leader="none" w:pos="2380" w:val="left"/>
        </w:tabs>
        <w:numPr>
          <w:ilvl w:val="1"/>
          <w:numId w:val="91"/>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Financial Statement Schedules.</w:t>
      </w:r>
    </w:p>
    <w:p>
      <w:pPr>
        <w:spacing w:after="0" w:line="163" w:lineRule="exact"/>
        <w:rPr>
          <w:sz w:val="20"/>
          <w:szCs w:val="20"/>
          <w:color w:val="auto"/>
        </w:rPr>
      </w:pPr>
    </w:p>
    <w:p>
      <w:pPr>
        <w:ind w:left="1680" w:right="959" w:firstLine="316"/>
        <w:spacing w:after="0" w:line="277" w:lineRule="auto"/>
        <w:rPr>
          <w:sz w:val="20"/>
          <w:szCs w:val="20"/>
          <w:color w:val="auto"/>
        </w:rPr>
      </w:pPr>
      <w:r>
        <w:rPr>
          <w:rFonts w:ascii="Times New Roman" w:cs="Times New Roman" w:eastAsia="Times New Roman" w:hAnsi="Times New Roman"/>
          <w:sz w:val="13"/>
          <w:szCs w:val="13"/>
          <w:color w:val="auto"/>
        </w:rPr>
        <w:t>All financial statement schedules are omitted because they are not applicable or the information is included in the Registrant’s consolidated financial statements or related notes.</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II-3</w:t>
      </w:r>
    </w:p>
    <w:p>
      <w:pPr>
        <w:sectPr>
          <w:pgSz w:w="11900" w:h="16838" w:orient="portrait"/>
          <w:cols w:equalWidth="0" w:num="1">
            <w:col w:w="10159"/>
          </w:cols>
          <w:pgMar w:left="300" w:top="367" w:right="1440" w:bottom="1440" w:gutter="0" w:footer="0" w:header="0"/>
        </w:sectPr>
      </w:pPr>
    </w:p>
    <w:bookmarkStart w:id="209" w:name="page210"/>
    <w:bookmarkEnd w:id="20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7">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Item 17. Undertakings.</w:t>
      </w:r>
    </w:p>
    <w:p>
      <w:pPr>
        <w:spacing w:after="0" w:line="8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undersigned Registrant hereby undertakes:</w:t>
      </w:r>
    </w:p>
    <w:p>
      <w:pPr>
        <w:spacing w:after="0" w:line="93" w:lineRule="exact"/>
        <w:rPr>
          <w:sz w:val="20"/>
          <w:szCs w:val="20"/>
          <w:color w:val="auto"/>
        </w:rPr>
      </w:pPr>
    </w:p>
    <w:p>
      <w:pPr>
        <w:ind w:left="2380" w:hanging="299"/>
        <w:spacing w:after="0"/>
        <w:tabs>
          <w:tab w:leader="none" w:pos="2380"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file, during any period in which offers or sales are being made, a post-effective amendment to this registration statement:</w:t>
      </w:r>
    </w:p>
    <w:p>
      <w:pPr>
        <w:spacing w:after="0" w:line="92" w:lineRule="exact"/>
        <w:rPr>
          <w:rFonts w:ascii="Times New Roman" w:cs="Times New Roman" w:eastAsia="Times New Roman" w:hAnsi="Times New Roman"/>
          <w:sz w:val="13"/>
          <w:szCs w:val="13"/>
          <w:color w:val="auto"/>
        </w:rPr>
      </w:pPr>
    </w:p>
    <w:p>
      <w:pPr>
        <w:ind w:left="2700" w:hanging="303"/>
        <w:spacing w:after="0"/>
        <w:tabs>
          <w:tab w:leader="none" w:pos="2700" w:val="left"/>
        </w:tabs>
        <w:numPr>
          <w:ilvl w:val="1"/>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include any prospectus required by Section 10(a)(3) of the Securities Act, as amended, or the Securities Act.</w:t>
      </w:r>
    </w:p>
    <w:p>
      <w:pPr>
        <w:spacing w:after="0" w:line="92" w:lineRule="exact"/>
        <w:rPr>
          <w:rFonts w:ascii="Times New Roman" w:cs="Times New Roman" w:eastAsia="Times New Roman" w:hAnsi="Times New Roman"/>
          <w:sz w:val="13"/>
          <w:szCs w:val="13"/>
          <w:color w:val="auto"/>
        </w:rPr>
      </w:pPr>
    </w:p>
    <w:p>
      <w:pPr>
        <w:ind w:left="2700" w:right="639" w:hanging="303"/>
        <w:spacing w:after="0" w:line="263" w:lineRule="auto"/>
        <w:tabs>
          <w:tab w:leader="none" w:pos="2700" w:val="left"/>
        </w:tabs>
        <w:numPr>
          <w:ilvl w:val="1"/>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61" w:lineRule="exact"/>
        <w:rPr>
          <w:rFonts w:ascii="Times New Roman" w:cs="Times New Roman" w:eastAsia="Times New Roman" w:hAnsi="Times New Roman"/>
          <w:sz w:val="13"/>
          <w:szCs w:val="13"/>
          <w:color w:val="auto"/>
        </w:rPr>
      </w:pPr>
    </w:p>
    <w:p>
      <w:pPr>
        <w:ind w:left="2700" w:right="679" w:hanging="303"/>
        <w:spacing w:after="0" w:line="277" w:lineRule="auto"/>
        <w:tabs>
          <w:tab w:leader="none" w:pos="2700" w:val="left"/>
        </w:tabs>
        <w:numPr>
          <w:ilvl w:val="1"/>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include any material information with respect to the plan of distribution not previously disclosed in the registration statement or any material change to such information in the registration statement.</w:t>
      </w:r>
    </w:p>
    <w:p>
      <w:pPr>
        <w:spacing w:after="0" w:line="52" w:lineRule="exact"/>
        <w:rPr>
          <w:rFonts w:ascii="Times New Roman" w:cs="Times New Roman" w:eastAsia="Times New Roman" w:hAnsi="Times New Roman"/>
          <w:sz w:val="13"/>
          <w:szCs w:val="13"/>
          <w:color w:val="auto"/>
        </w:rPr>
      </w:pPr>
    </w:p>
    <w:p>
      <w:pPr>
        <w:ind w:left="2380" w:right="579" w:hanging="299"/>
        <w:spacing w:after="0" w:line="263" w:lineRule="auto"/>
        <w:tabs>
          <w:tab w:leader="none" w:pos="2380"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61" w:lineRule="exact"/>
        <w:rPr>
          <w:rFonts w:ascii="Times New Roman" w:cs="Times New Roman" w:eastAsia="Times New Roman" w:hAnsi="Times New Roman"/>
          <w:sz w:val="13"/>
          <w:szCs w:val="13"/>
          <w:color w:val="auto"/>
        </w:rPr>
      </w:pPr>
    </w:p>
    <w:p>
      <w:pPr>
        <w:ind w:left="2380" w:right="819" w:hanging="299"/>
        <w:spacing w:after="0" w:line="277" w:lineRule="auto"/>
        <w:tabs>
          <w:tab w:leader="none" w:pos="2380"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remove from registration by means of a post-effective amendment any of the securities being registered which remain unsold at the termination of the offering.</w:t>
      </w:r>
    </w:p>
    <w:p>
      <w:pPr>
        <w:spacing w:after="0" w:line="120" w:lineRule="exact"/>
        <w:rPr>
          <w:sz w:val="20"/>
          <w:szCs w:val="20"/>
          <w:color w:val="auto"/>
        </w:rPr>
      </w:pPr>
    </w:p>
    <w:p>
      <w:pPr>
        <w:ind w:left="1680" w:right="599" w:firstLine="316"/>
        <w:spacing w:after="0" w:line="253" w:lineRule="auto"/>
        <w:rPr>
          <w:sz w:val="20"/>
          <w:szCs w:val="20"/>
          <w:color w:val="auto"/>
        </w:rPr>
      </w:pPr>
      <w:r>
        <w:rPr>
          <w:rFonts w:ascii="Times New Roman" w:cs="Times New Roman" w:eastAsia="Times New Roman" w:hAnsi="Times New Roman"/>
          <w:sz w:val="13"/>
          <w:szCs w:val="13"/>
          <w:color w:val="auto"/>
        </w:rPr>
        <w:t>Insofar as indemnification for liabilities arising under the Securities Act may be permitted to directors, officers and controlling persons of the Registrant pursuant to provisions described in Item 14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3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undersigned Registrant hereby undertakes that:</w:t>
      </w:r>
    </w:p>
    <w:p>
      <w:pPr>
        <w:spacing w:after="0" w:line="93" w:lineRule="exact"/>
        <w:rPr>
          <w:sz w:val="20"/>
          <w:szCs w:val="20"/>
          <w:color w:val="auto"/>
        </w:rPr>
      </w:pPr>
    </w:p>
    <w:p>
      <w:pPr>
        <w:jc w:val="both"/>
        <w:ind w:left="2380" w:right="619" w:hanging="299"/>
        <w:spacing w:after="0" w:line="295" w:lineRule="auto"/>
        <w:tabs>
          <w:tab w:leader="none" w:pos="2380"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43" w:lineRule="exact"/>
        <w:rPr>
          <w:rFonts w:ascii="Times New Roman" w:cs="Times New Roman" w:eastAsia="Times New Roman" w:hAnsi="Times New Roman"/>
          <w:sz w:val="12"/>
          <w:szCs w:val="12"/>
          <w:color w:val="auto"/>
        </w:rPr>
      </w:pPr>
    </w:p>
    <w:p>
      <w:pPr>
        <w:ind w:left="2380" w:right="679" w:hanging="299"/>
        <w:spacing w:after="0" w:line="263" w:lineRule="auto"/>
        <w:tabs>
          <w:tab w:leader="none" w:pos="238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II-4</w:t>
      </w:r>
    </w:p>
    <w:p>
      <w:pPr>
        <w:sectPr>
          <w:pgSz w:w="11900" w:h="16838" w:orient="portrait"/>
          <w:cols w:equalWidth="0" w:num="1">
            <w:col w:w="10159"/>
          </w:cols>
          <w:pgMar w:left="300" w:top="367" w:right="1440" w:bottom="1440" w:gutter="0" w:footer="0" w:header="0"/>
        </w:sectPr>
      </w:pPr>
    </w:p>
    <w:bookmarkStart w:id="210" w:name="page211"/>
    <w:bookmarkEnd w:id="21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5">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63" w:lineRule="exact"/>
        <w:rPr>
          <w:sz w:val="20"/>
          <w:szCs w:val="20"/>
          <w:color w:val="auto"/>
        </w:rPr>
      </w:pPr>
    </w:p>
    <w:p>
      <w:pPr>
        <w:ind w:left="1680" w:right="839" w:firstLine="316"/>
        <w:spacing w:after="0" w:line="277" w:lineRule="auto"/>
        <w:rPr>
          <w:sz w:val="20"/>
          <w:szCs w:val="20"/>
          <w:color w:val="auto"/>
        </w:rPr>
      </w:pPr>
      <w:r>
        <w:rPr>
          <w:rFonts w:ascii="Times New Roman" w:cs="Times New Roman" w:eastAsia="Times New Roman" w:hAnsi="Times New Roman"/>
          <w:sz w:val="13"/>
          <w:szCs w:val="13"/>
          <w:color w:val="auto"/>
        </w:rPr>
        <w:t>Pursuant to the requirements of the Securities Act, the Registrant has duly caused this Registration Statement to be signed on its behalf by the undersigned, thereunto duly authorized, in the City of San Francisco, State of California, on September 18, 2020.</w:t>
      </w:r>
    </w:p>
    <w:p>
      <w:pPr>
        <w:spacing w:after="0" w:line="138"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3"/>
          <w:szCs w:val="13"/>
          <w:b w:val="1"/>
          <w:bCs w:val="1"/>
          <w:color w:val="auto"/>
        </w:rPr>
        <w:t>ASANA, INC.</w:t>
      </w:r>
    </w:p>
    <w:p>
      <w:pPr>
        <w:spacing w:after="0" w:line="16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3"/>
          <w:szCs w:val="13"/>
          <w:color w:val="auto"/>
        </w:rPr>
        <w:t>By: /s/ Dustin Moskovitz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4257675</wp:posOffset>
            </wp:positionH>
            <wp:positionV relativeFrom="paragraph">
              <wp:posOffset>11430</wp:posOffset>
            </wp:positionV>
            <wp:extent cx="1840230" cy="63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9">
                      <a:extLst>
                        <a:ext uri="{28A0092B-C50C-407E-A947-70E740481C1C}"/>
                      </a:extLst>
                    </a:blip>
                    <a:srcRect/>
                    <a:stretch>
                      <a:fillRect/>
                    </a:stretch>
                  </pic:blipFill>
                  <pic:spPr bwMode="auto">
                    <a:xfrm>
                      <a:off x="0" y="0"/>
                      <a:ext cx="1840230" cy="6350"/>
                    </a:xfrm>
                    <a:prstGeom prst="rect">
                      <a:avLst/>
                    </a:prstGeom>
                    <a:noFill/>
                  </pic:spPr>
                </pic:pic>
              </a:graphicData>
            </a:graphic>
          </wp:anchor>
        </w:drawing>
      </w:r>
    </w:p>
    <w:p>
      <w:pPr>
        <w:spacing w:after="0" w:line="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3"/>
          <w:szCs w:val="13"/>
          <w:color w:val="auto"/>
        </w:rPr>
        <w:t>Dustin Moskovitz</w:t>
      </w:r>
    </w:p>
    <w:p>
      <w:pPr>
        <w:spacing w:after="0" w:line="18"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3"/>
          <w:szCs w:val="13"/>
          <w:color w:val="auto"/>
        </w:rPr>
        <w:t>President, Chief Executive Officer, and Chair</w:t>
      </w:r>
    </w:p>
    <w:p>
      <w:pPr>
        <w:spacing w:after="0" w:line="149" w:lineRule="exact"/>
        <w:rPr>
          <w:sz w:val="20"/>
          <w:szCs w:val="20"/>
          <w:color w:val="auto"/>
        </w:rPr>
      </w:pPr>
    </w:p>
    <w:p>
      <w:pPr>
        <w:ind w:left="1680" w:right="719" w:firstLine="316"/>
        <w:spacing w:after="0" w:line="277"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this registration statement has been signed by the following persons in the capacities and on the dates indicated.</w:t>
      </w:r>
    </w:p>
    <w:p>
      <w:pPr>
        <w:spacing w:after="0" w:line="136"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Name</w:t>
            </w:r>
          </w:p>
        </w:tc>
        <w:tc>
          <w:tcPr>
            <w:tcW w:w="1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Title</w:t>
            </w:r>
          </w:p>
        </w:tc>
        <w:tc>
          <w:tcPr>
            <w:tcW w:w="1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Date</w:t>
            </w:r>
          </w:p>
        </w:tc>
        <w:tc>
          <w:tcPr>
            <w:tcW w:w="400" w:type="dxa"/>
            <w:vAlign w:val="bottom"/>
          </w:tcPr>
          <w:p>
            <w:pPr>
              <w:spacing w:after="0"/>
              <w:rPr>
                <w:sz w:val="10"/>
                <w:szCs w:val="10"/>
                <w:color w:val="auto"/>
              </w:rPr>
            </w:pPr>
          </w:p>
        </w:tc>
      </w:tr>
      <w:tr>
        <w:trPr>
          <w:trHeight w:val="222"/>
        </w:trPr>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3"/>
                <w:szCs w:val="13"/>
                <w:color w:val="auto"/>
              </w:rPr>
              <w:t>/s/ Dustin Moskovitz</w:t>
            </w:r>
          </w:p>
        </w:tc>
        <w:tc>
          <w:tcPr>
            <w:tcW w:w="240" w:type="dxa"/>
            <w:vAlign w:val="bottom"/>
          </w:tcPr>
          <w:p>
            <w:pPr>
              <w:spacing w:after="0"/>
              <w:rPr>
                <w:sz w:val="19"/>
                <w:szCs w:val="19"/>
                <w:color w:val="auto"/>
              </w:rPr>
            </w:pPr>
          </w:p>
        </w:tc>
        <w:tc>
          <w:tcPr>
            <w:tcW w:w="312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color w:val="auto"/>
                <w:w w:val="98"/>
              </w:rPr>
              <w:t>President, Chief Executive Officer, and Chair</w:t>
            </w:r>
          </w:p>
        </w:tc>
        <w:tc>
          <w:tcPr>
            <w:tcW w:w="1420" w:type="dxa"/>
            <w:vAlign w:val="bottom"/>
            <w:gridSpan w:val="3"/>
          </w:tcPr>
          <w:p>
            <w:pPr>
              <w:jc w:val="center"/>
              <w:ind w:left="335"/>
              <w:spacing w:after="0"/>
              <w:rPr>
                <w:sz w:val="20"/>
                <w:szCs w:val="20"/>
                <w:color w:val="auto"/>
              </w:rPr>
            </w:pPr>
            <w:r>
              <w:rPr>
                <w:rFonts w:ascii="Times New Roman" w:cs="Times New Roman" w:eastAsia="Times New Roman" w:hAnsi="Times New Roman"/>
                <w:sz w:val="13"/>
                <w:szCs w:val="13"/>
                <w:color w:val="auto"/>
                <w:w w:val="97"/>
              </w:rPr>
              <w:t>September 18, 2020</w:t>
            </w:r>
          </w:p>
        </w:tc>
      </w:tr>
      <w:tr>
        <w:trPr>
          <w:trHeight w:val="158"/>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8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color w:val="auto"/>
              </w:rPr>
              <w:t>Dustin Moskovitz</w:t>
            </w:r>
          </w:p>
        </w:tc>
        <w:tc>
          <w:tcPr>
            <w:tcW w:w="240" w:type="dxa"/>
            <w:vAlign w:val="bottom"/>
          </w:tcPr>
          <w:p>
            <w:pPr>
              <w:spacing w:after="0"/>
              <w:rPr>
                <w:sz w:val="13"/>
                <w:szCs w:val="13"/>
                <w:color w:val="auto"/>
              </w:rPr>
            </w:pPr>
          </w:p>
        </w:tc>
        <w:tc>
          <w:tcPr>
            <w:tcW w:w="312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i w:val="1"/>
                <w:iCs w:val="1"/>
                <w:color w:val="auto"/>
                <w:w w:val="98"/>
              </w:rPr>
              <w:t>(Principal Executive Officer)</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3"/>
                <w:szCs w:val="13"/>
                <w:color w:val="auto"/>
                <w:w w:val="95"/>
              </w:rPr>
              <w:t>/s/ Tim Wan</w:t>
            </w:r>
          </w:p>
        </w:tc>
        <w:tc>
          <w:tcPr>
            <w:tcW w:w="240" w:type="dxa"/>
            <w:vAlign w:val="bottom"/>
          </w:tcPr>
          <w:p>
            <w:pPr>
              <w:spacing w:after="0"/>
              <w:rPr>
                <w:sz w:val="19"/>
                <w:szCs w:val="19"/>
                <w:color w:val="auto"/>
              </w:rPr>
            </w:pPr>
          </w:p>
        </w:tc>
        <w:tc>
          <w:tcPr>
            <w:tcW w:w="312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color w:val="auto"/>
              </w:rPr>
              <w:t>Chief Financial Officer</w:t>
            </w:r>
          </w:p>
        </w:tc>
        <w:tc>
          <w:tcPr>
            <w:tcW w:w="1420" w:type="dxa"/>
            <w:vAlign w:val="bottom"/>
            <w:gridSpan w:val="3"/>
          </w:tcPr>
          <w:p>
            <w:pPr>
              <w:jc w:val="center"/>
              <w:ind w:left="335"/>
              <w:spacing w:after="0"/>
              <w:rPr>
                <w:sz w:val="20"/>
                <w:szCs w:val="20"/>
                <w:color w:val="auto"/>
              </w:rPr>
            </w:pPr>
            <w:r>
              <w:rPr>
                <w:rFonts w:ascii="Times New Roman" w:cs="Times New Roman" w:eastAsia="Times New Roman" w:hAnsi="Times New Roman"/>
                <w:sz w:val="13"/>
                <w:szCs w:val="13"/>
                <w:color w:val="auto"/>
                <w:w w:val="97"/>
              </w:rPr>
              <w:t>September 18, 2020</w:t>
            </w:r>
          </w:p>
        </w:tc>
      </w:tr>
      <w:tr>
        <w:trPr>
          <w:trHeight w:val="158"/>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80" w:type="dxa"/>
            <w:vAlign w:val="bottom"/>
            <w:gridSpan w:val="3"/>
          </w:tcPr>
          <w:p>
            <w:pPr>
              <w:jc w:val="center"/>
              <w:ind w:right="380"/>
              <w:spacing w:after="0"/>
              <w:rPr>
                <w:sz w:val="20"/>
                <w:szCs w:val="20"/>
                <w:color w:val="auto"/>
              </w:rPr>
            </w:pPr>
            <w:r>
              <w:rPr>
                <w:rFonts w:ascii="Times New Roman" w:cs="Times New Roman" w:eastAsia="Times New Roman" w:hAnsi="Times New Roman"/>
                <w:sz w:val="13"/>
                <w:szCs w:val="13"/>
                <w:color w:val="auto"/>
                <w:w w:val="96"/>
              </w:rPr>
              <w:t>Tim Wan</w:t>
            </w:r>
          </w:p>
        </w:tc>
        <w:tc>
          <w:tcPr>
            <w:tcW w:w="240" w:type="dxa"/>
            <w:vAlign w:val="bottom"/>
          </w:tcPr>
          <w:p>
            <w:pPr>
              <w:spacing w:after="0"/>
              <w:rPr>
                <w:sz w:val="13"/>
                <w:szCs w:val="13"/>
                <w:color w:val="auto"/>
              </w:rPr>
            </w:pPr>
          </w:p>
        </w:tc>
        <w:tc>
          <w:tcPr>
            <w:tcW w:w="312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i w:val="1"/>
                <w:iCs w:val="1"/>
                <w:color w:val="auto"/>
                <w:w w:val="98"/>
              </w:rPr>
              <w:t>(Principal Financial and Accounting Officer)</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230"/>
        </w:trPr>
        <w:tc>
          <w:tcPr>
            <w:tcW w:w="1600" w:type="dxa"/>
            <w:vAlign w:val="bottom"/>
            <w:gridSpan w:val="4"/>
          </w:tcPr>
          <w:p>
            <w:pPr>
              <w:jc w:val="center"/>
              <w:ind w:left="1275"/>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color w:val="auto"/>
                <w:w w:val="96"/>
              </w:rPr>
              <w:t>Director</w:t>
            </w:r>
          </w:p>
        </w:tc>
        <w:tc>
          <w:tcPr>
            <w:tcW w:w="1420" w:type="dxa"/>
            <w:vAlign w:val="bottom"/>
            <w:gridSpan w:val="3"/>
          </w:tcPr>
          <w:p>
            <w:pPr>
              <w:jc w:val="center"/>
              <w:ind w:left="335"/>
              <w:spacing w:after="0"/>
              <w:rPr>
                <w:sz w:val="20"/>
                <w:szCs w:val="20"/>
                <w:color w:val="auto"/>
              </w:rPr>
            </w:pPr>
            <w:r>
              <w:rPr>
                <w:rFonts w:ascii="Times New Roman" w:cs="Times New Roman" w:eastAsia="Times New Roman" w:hAnsi="Times New Roman"/>
                <w:sz w:val="13"/>
                <w:szCs w:val="13"/>
                <w:color w:val="auto"/>
                <w:w w:val="97"/>
              </w:rPr>
              <w:t>September 18, 2020</w:t>
            </w:r>
          </w:p>
        </w:tc>
      </w:tr>
      <w:tr>
        <w:trPr>
          <w:trHeight w:val="157"/>
        </w:trPr>
        <w:tc>
          <w:tcPr>
            <w:tcW w:w="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580" w:type="dxa"/>
            <w:vAlign w:val="bottom"/>
            <w:tcBorders>
              <w:top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3"/>
                <w:szCs w:val="13"/>
                <w:color w:val="auto"/>
              </w:rPr>
              <w:t>Sydney Carey</w:t>
            </w: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230"/>
        </w:trPr>
        <w:tc>
          <w:tcPr>
            <w:tcW w:w="1600" w:type="dxa"/>
            <w:vAlign w:val="bottom"/>
            <w:gridSpan w:val="4"/>
          </w:tcPr>
          <w:p>
            <w:pPr>
              <w:jc w:val="center"/>
              <w:ind w:left="1275"/>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color w:val="auto"/>
                <w:w w:val="96"/>
              </w:rPr>
              <w:t>Director</w:t>
            </w:r>
          </w:p>
        </w:tc>
        <w:tc>
          <w:tcPr>
            <w:tcW w:w="1420" w:type="dxa"/>
            <w:vAlign w:val="bottom"/>
            <w:gridSpan w:val="3"/>
          </w:tcPr>
          <w:p>
            <w:pPr>
              <w:jc w:val="center"/>
              <w:ind w:left="335"/>
              <w:spacing w:after="0"/>
              <w:rPr>
                <w:sz w:val="20"/>
                <w:szCs w:val="20"/>
                <w:color w:val="auto"/>
              </w:rPr>
            </w:pPr>
            <w:r>
              <w:rPr>
                <w:rFonts w:ascii="Times New Roman" w:cs="Times New Roman" w:eastAsia="Times New Roman" w:hAnsi="Times New Roman"/>
                <w:sz w:val="13"/>
                <w:szCs w:val="13"/>
                <w:color w:val="auto"/>
                <w:w w:val="97"/>
              </w:rPr>
              <w:t>September 18, 2020</w:t>
            </w:r>
          </w:p>
        </w:tc>
      </w:tr>
      <w:tr>
        <w:trPr>
          <w:trHeight w:val="157"/>
        </w:trPr>
        <w:tc>
          <w:tcPr>
            <w:tcW w:w="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580" w:type="dxa"/>
            <w:vAlign w:val="bottom"/>
            <w:tcBorders>
              <w:top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3"/>
                <w:szCs w:val="13"/>
                <w:color w:val="auto"/>
                <w:w w:val="98"/>
              </w:rPr>
              <w:t>Matthew Cohler</w:t>
            </w: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230"/>
        </w:trPr>
        <w:tc>
          <w:tcPr>
            <w:tcW w:w="1600" w:type="dxa"/>
            <w:vAlign w:val="bottom"/>
            <w:gridSpan w:val="4"/>
          </w:tcPr>
          <w:p>
            <w:pPr>
              <w:jc w:val="center"/>
              <w:ind w:left="1275"/>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color w:val="auto"/>
                <w:w w:val="96"/>
              </w:rPr>
              <w:t>Director</w:t>
            </w:r>
          </w:p>
        </w:tc>
        <w:tc>
          <w:tcPr>
            <w:tcW w:w="1420" w:type="dxa"/>
            <w:vAlign w:val="bottom"/>
            <w:gridSpan w:val="3"/>
          </w:tcPr>
          <w:p>
            <w:pPr>
              <w:jc w:val="center"/>
              <w:ind w:left="335"/>
              <w:spacing w:after="0"/>
              <w:rPr>
                <w:sz w:val="20"/>
                <w:szCs w:val="20"/>
                <w:color w:val="auto"/>
              </w:rPr>
            </w:pPr>
            <w:r>
              <w:rPr>
                <w:rFonts w:ascii="Times New Roman" w:cs="Times New Roman" w:eastAsia="Times New Roman" w:hAnsi="Times New Roman"/>
                <w:sz w:val="13"/>
                <w:szCs w:val="13"/>
                <w:color w:val="auto"/>
                <w:w w:val="97"/>
              </w:rPr>
              <w:t>September 18, 2020</w:t>
            </w:r>
          </w:p>
        </w:tc>
      </w:tr>
      <w:tr>
        <w:trPr>
          <w:trHeight w:val="157"/>
        </w:trPr>
        <w:tc>
          <w:tcPr>
            <w:tcW w:w="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580" w:type="dxa"/>
            <w:vAlign w:val="bottom"/>
            <w:tcBorders>
              <w:top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3"/>
                <w:szCs w:val="13"/>
                <w:color w:val="auto"/>
                <w:w w:val="98"/>
              </w:rPr>
              <w:t>Adam D’Angelo</w:t>
            </w: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230"/>
        </w:trPr>
        <w:tc>
          <w:tcPr>
            <w:tcW w:w="1600" w:type="dxa"/>
            <w:vAlign w:val="bottom"/>
            <w:gridSpan w:val="4"/>
          </w:tcPr>
          <w:p>
            <w:pPr>
              <w:jc w:val="center"/>
              <w:ind w:left="1275"/>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color w:val="auto"/>
                <w:w w:val="96"/>
              </w:rPr>
              <w:t>Director</w:t>
            </w:r>
          </w:p>
        </w:tc>
        <w:tc>
          <w:tcPr>
            <w:tcW w:w="1420" w:type="dxa"/>
            <w:vAlign w:val="bottom"/>
            <w:gridSpan w:val="3"/>
          </w:tcPr>
          <w:p>
            <w:pPr>
              <w:jc w:val="center"/>
              <w:ind w:left="335"/>
              <w:spacing w:after="0"/>
              <w:rPr>
                <w:sz w:val="20"/>
                <w:szCs w:val="20"/>
                <w:color w:val="auto"/>
              </w:rPr>
            </w:pPr>
            <w:r>
              <w:rPr>
                <w:rFonts w:ascii="Times New Roman" w:cs="Times New Roman" w:eastAsia="Times New Roman" w:hAnsi="Times New Roman"/>
                <w:sz w:val="13"/>
                <w:szCs w:val="13"/>
                <w:color w:val="auto"/>
                <w:w w:val="97"/>
              </w:rPr>
              <w:t>September 18, 2020</w:t>
            </w:r>
          </w:p>
        </w:tc>
      </w:tr>
      <w:tr>
        <w:trPr>
          <w:trHeight w:val="157"/>
        </w:trPr>
        <w:tc>
          <w:tcPr>
            <w:tcW w:w="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580" w:type="dxa"/>
            <w:vAlign w:val="bottom"/>
            <w:tcBorders>
              <w:top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3"/>
                <w:szCs w:val="13"/>
                <w:color w:val="auto"/>
              </w:rPr>
              <w:t>Lorrie Norrington</w:t>
            </w: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230"/>
        </w:trPr>
        <w:tc>
          <w:tcPr>
            <w:tcW w:w="1600" w:type="dxa"/>
            <w:vAlign w:val="bottom"/>
            <w:gridSpan w:val="4"/>
          </w:tcPr>
          <w:p>
            <w:pPr>
              <w:jc w:val="center"/>
              <w:ind w:left="1275"/>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color w:val="auto"/>
                <w:w w:val="96"/>
              </w:rPr>
              <w:t>Director</w:t>
            </w:r>
          </w:p>
        </w:tc>
        <w:tc>
          <w:tcPr>
            <w:tcW w:w="1420" w:type="dxa"/>
            <w:vAlign w:val="bottom"/>
            <w:gridSpan w:val="3"/>
          </w:tcPr>
          <w:p>
            <w:pPr>
              <w:jc w:val="center"/>
              <w:ind w:left="335"/>
              <w:spacing w:after="0"/>
              <w:rPr>
                <w:sz w:val="20"/>
                <w:szCs w:val="20"/>
                <w:color w:val="auto"/>
              </w:rPr>
            </w:pPr>
            <w:r>
              <w:rPr>
                <w:rFonts w:ascii="Times New Roman" w:cs="Times New Roman" w:eastAsia="Times New Roman" w:hAnsi="Times New Roman"/>
                <w:sz w:val="13"/>
                <w:szCs w:val="13"/>
                <w:color w:val="auto"/>
                <w:w w:val="97"/>
              </w:rPr>
              <w:t>September 18, 2020</w:t>
            </w:r>
          </w:p>
        </w:tc>
      </w:tr>
      <w:tr>
        <w:trPr>
          <w:trHeight w:val="157"/>
        </w:trPr>
        <w:tc>
          <w:tcPr>
            <w:tcW w:w="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580" w:type="dxa"/>
            <w:vAlign w:val="bottom"/>
            <w:tcBorders>
              <w:top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3"/>
                <w:szCs w:val="13"/>
                <w:color w:val="auto"/>
                <w:w w:val="99"/>
              </w:rPr>
              <w:t>Anne Raimondi</w:t>
            </w: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230"/>
        </w:trPr>
        <w:tc>
          <w:tcPr>
            <w:tcW w:w="1600" w:type="dxa"/>
            <w:vAlign w:val="bottom"/>
            <w:gridSpan w:val="4"/>
          </w:tcPr>
          <w:p>
            <w:pPr>
              <w:jc w:val="center"/>
              <w:ind w:left="1275"/>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color w:val="auto"/>
                <w:w w:val="96"/>
              </w:rPr>
              <w:t>Director</w:t>
            </w:r>
          </w:p>
        </w:tc>
        <w:tc>
          <w:tcPr>
            <w:tcW w:w="1420" w:type="dxa"/>
            <w:vAlign w:val="bottom"/>
            <w:gridSpan w:val="3"/>
          </w:tcPr>
          <w:p>
            <w:pPr>
              <w:jc w:val="center"/>
              <w:ind w:left="335"/>
              <w:spacing w:after="0"/>
              <w:rPr>
                <w:sz w:val="20"/>
                <w:szCs w:val="20"/>
                <w:color w:val="auto"/>
              </w:rPr>
            </w:pPr>
            <w:r>
              <w:rPr>
                <w:rFonts w:ascii="Times New Roman" w:cs="Times New Roman" w:eastAsia="Times New Roman" w:hAnsi="Times New Roman"/>
                <w:sz w:val="13"/>
                <w:szCs w:val="13"/>
                <w:color w:val="auto"/>
                <w:w w:val="97"/>
              </w:rPr>
              <w:t>September 18, 2020</w:t>
            </w:r>
          </w:p>
        </w:tc>
      </w:tr>
      <w:tr>
        <w:trPr>
          <w:trHeight w:val="157"/>
        </w:trPr>
        <w:tc>
          <w:tcPr>
            <w:tcW w:w="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580" w:type="dxa"/>
            <w:vAlign w:val="bottom"/>
            <w:tcBorders>
              <w:top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3"/>
                <w:szCs w:val="13"/>
                <w:color w:val="auto"/>
                <w:w w:val="99"/>
              </w:rPr>
              <w:t>Justin Rosenstein</w:t>
            </w: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327"/>
        </w:trPr>
        <w:tc>
          <w:tcPr>
            <w:tcW w:w="294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*By:  /s/ Dustin Moskovitz</w:t>
            </w: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80" w:type="dxa"/>
            <w:vAlign w:val="bottom"/>
            <w:tcBorders>
              <w:top w:val="single" w:sz="8" w:color="auto"/>
            </w:tcBorders>
            <w:gridSpan w:val="3"/>
          </w:tcPr>
          <w:p>
            <w:pPr>
              <w:spacing w:after="0" w:line="143" w:lineRule="exact"/>
              <w:rPr>
                <w:sz w:val="20"/>
                <w:szCs w:val="20"/>
                <w:color w:val="auto"/>
              </w:rPr>
            </w:pPr>
            <w:r>
              <w:rPr>
                <w:rFonts w:ascii="Times New Roman" w:cs="Times New Roman" w:eastAsia="Times New Roman" w:hAnsi="Times New Roman"/>
                <w:sz w:val="13"/>
                <w:szCs w:val="13"/>
                <w:color w:val="auto"/>
              </w:rPr>
              <w:t>Dustin Moskovitz</w:t>
            </w:r>
          </w:p>
        </w:tc>
        <w:tc>
          <w:tcPr>
            <w:tcW w:w="240" w:type="dxa"/>
            <w:vAlign w:val="bottom"/>
            <w:tcBorders>
              <w:top w:val="single" w:sz="8" w:color="auto"/>
            </w:tcBorders>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Attorney-in-Fact</w:t>
            </w: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62"/>
        </w:trPr>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120" w:type="dxa"/>
            <w:vAlign w:val="bottom"/>
            <w:gridSpan w:val="3"/>
          </w:tcPr>
          <w:p>
            <w:pPr>
              <w:ind w:left="680"/>
              <w:spacing w:after="0"/>
              <w:rPr>
                <w:sz w:val="20"/>
                <w:szCs w:val="20"/>
                <w:color w:val="auto"/>
              </w:rPr>
            </w:pPr>
            <w:r>
              <w:rPr>
                <w:rFonts w:ascii="Times New Roman" w:cs="Times New Roman" w:eastAsia="Times New Roman" w:hAnsi="Times New Roman"/>
                <w:sz w:val="13"/>
                <w:szCs w:val="13"/>
                <w:color w:val="auto"/>
              </w:rPr>
              <w:t>II-5</w:t>
            </w: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r>
    </w:tbl>
    <w:p>
      <w:pPr>
        <w:sectPr>
          <w:pgSz w:w="11900" w:h="16838" w:orient="portrait"/>
          <w:cols w:equalWidth="0" w:num="1">
            <w:col w:w="10159"/>
          </w:cols>
          <w:pgMar w:left="300" w:top="367" w:right="1440" w:bottom="1440" w:gutter="0" w:footer="0" w:header="0"/>
        </w:sectPr>
      </w:pPr>
    </w:p>
    <w:bookmarkStart w:id="211" w:name="page212"/>
    <w:bookmarkEnd w:id="211"/>
    <w:p>
      <w:pPr>
        <w:jc w:val="right"/>
        <w:ind w:right="559"/>
        <w:spacing w:after="0"/>
        <w:rPr>
          <w:sz w:val="20"/>
          <w:szCs w:val="20"/>
          <w:color w:val="auto"/>
        </w:rPr>
      </w:pPr>
      <w:r>
        <w:rPr>
          <w:rFonts w:ascii="Times New Roman" w:cs="Times New Roman" w:eastAsia="Times New Roman" w:hAnsi="Times New Roman"/>
          <w:sz w:val="13"/>
          <w:szCs w:val="13"/>
          <w:b w:val="1"/>
          <w:bCs w:val="1"/>
          <w:color w:val="auto"/>
        </w:rPr>
        <w:t>Exhibit 23.2</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CONSENT OF INDEPENDENT REGISTERED PUBLIC ACCOUNTING FIRM</w:t>
      </w:r>
    </w:p>
    <w:p>
      <w:pPr>
        <w:spacing w:after="0" w:line="161" w:lineRule="exact"/>
        <w:rPr>
          <w:sz w:val="20"/>
          <w:szCs w:val="20"/>
          <w:color w:val="auto"/>
        </w:rPr>
      </w:pPr>
    </w:p>
    <w:p>
      <w:pPr>
        <w:jc w:val="both"/>
        <w:ind w:left="540" w:right="879"/>
        <w:spacing w:after="0" w:line="263" w:lineRule="auto"/>
        <w:rPr>
          <w:sz w:val="20"/>
          <w:szCs w:val="20"/>
          <w:color w:val="auto"/>
        </w:rPr>
      </w:pPr>
      <w:r>
        <w:rPr>
          <w:rFonts w:ascii="Times New Roman" w:cs="Times New Roman" w:eastAsia="Times New Roman" w:hAnsi="Times New Roman"/>
          <w:sz w:val="13"/>
          <w:szCs w:val="13"/>
          <w:color w:val="auto"/>
        </w:rPr>
        <w:t>We hereby consent to the use in this Registration Statement on Form S-1 of Asana, Inc. of our report dated April 20, 2020 relating to the financial statements of Asana, Inc., which appears in this Registration Statement. We also consent to the reference to us under the heading “Experts” in such Registration Statement.</w:t>
      </w:r>
    </w:p>
    <w:p>
      <w:pPr>
        <w:spacing w:after="0" w:line="1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/s/ PricewaterhouseCoopers LLP</w:t>
      </w:r>
    </w:p>
    <w:p>
      <w:pPr>
        <w:spacing w:after="0" w:line="1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San Francisco, California</w:t>
      </w:r>
    </w:p>
    <w:p>
      <w:pPr>
        <w:spacing w:after="0" w:line="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September 18, 2020</w:t>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1)"/>
      <w:numFmt w:val="decimal"/>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1)"/>
      <w:numFmt w:val="decimal"/>
      <w:start w:val="1"/>
    </w:lvl>
  </w:abstractNum>
  <w:abstractNum w:abstractNumId="10">
    <w:nsid w:val="75C6C33A"/>
    <w:multiLevelType w:val="hybridMultilevel"/>
    <w:lvl w:ilvl="0">
      <w:lvlJc w:val="left"/>
      <w:lvlText w:val="(%1)"/>
      <w:numFmt w:val="decimal"/>
      <w:start w:val="2"/>
    </w:lvl>
  </w:abstractNum>
  <w:abstractNum w:abstractNumId="11">
    <w:nsid w:val="12E685FB"/>
    <w:multiLevelType w:val="hybridMultilevel"/>
    <w:lvl w:ilvl="0">
      <w:lvlJc w:val="left"/>
      <w:lvlText w:val="(%1)"/>
      <w:numFmt w:val="decimal"/>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1)"/>
      <w:numFmt w:val="decimal"/>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1)"/>
      <w:numFmt w:val="decimal"/>
      <w:start w:val="1"/>
    </w:lvl>
  </w:abstractNum>
  <w:abstractNum w:abstractNumId="32">
    <w:nsid w:val="77AE35EB"/>
    <w:multiLevelType w:val="hybridMultilevel"/>
    <w:lvl w:ilvl="0">
      <w:lvlJc w:val="left"/>
      <w:lvlText w:val="(%1)"/>
      <w:numFmt w:val="decimal"/>
      <w:start w:val="2"/>
    </w:lvl>
  </w:abstractNum>
  <w:abstractNum w:abstractNumId="33">
    <w:nsid w:val="579BE4F1"/>
    <w:multiLevelType w:val="hybridMultilevel"/>
    <w:lvl w:ilvl="0">
      <w:lvlJc w:val="left"/>
      <w:lvlText w:val="(%1)"/>
      <w:numFmt w:val="decimal"/>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1)"/>
      <w:numFmt w:val="decimal"/>
      <w:start w:val="1"/>
    </w:lvl>
  </w:abstractNum>
  <w:abstractNum w:abstractNumId="36">
    <w:nsid w:val="2F305DEF"/>
    <w:multiLevelType w:val="hybridMultilevel"/>
    <w:lvl w:ilvl="0">
      <w:lvlJc w:val="left"/>
      <w:lvlText w:val="(%1)"/>
      <w:numFmt w:val="decimal"/>
      <w:start w:val="1"/>
    </w:lvl>
  </w:abstractNum>
  <w:abstractNum w:abstractNumId="37">
    <w:nsid w:val="25A70BF7"/>
    <w:multiLevelType w:val="hybridMultilevel"/>
    <w:lvl w:ilvl="0">
      <w:lvlJc w:val="left"/>
      <w:lvlText w:val="(%1)"/>
      <w:numFmt w:val="decimal"/>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
      <w:numFmt w:val="bullet"/>
      <w:start w:val="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
      <w:numFmt w:val="bullet"/>
      <w:start w:val="1"/>
    </w:lvl>
  </w:abstractNum>
  <w:abstractNum w:abstractNumId="44">
    <w:nsid w:val="6590700B"/>
    <w:multiLevelType w:val="hybridMultilevel"/>
    <w:lvl w:ilvl="0">
      <w:lvlJc w:val="left"/>
      <w:lvlText w:val="•"/>
      <w:numFmt w:val="bullet"/>
      <w:start w:val="1"/>
    </w:lvl>
  </w:abstractNum>
  <w:abstractNum w:abstractNumId="45">
    <w:nsid w:val="15014ACB"/>
    <w:multiLevelType w:val="hybridMultilevel"/>
    <w:lvl w:ilvl="0">
      <w:lvlJc w:val="left"/>
      <w:lvlText w:val="•"/>
      <w:numFmt w:val="bullet"/>
      <w:start w:val="1"/>
    </w:lvl>
  </w:abstractNum>
  <w:abstractNum w:abstractNumId="46">
    <w:nsid w:val="5F5E7FD0"/>
    <w:multiLevelType w:val="hybridMultilevel"/>
    <w:lvl w:ilvl="0">
      <w:lvlJc w:val="left"/>
      <w:lvlText w:val="•"/>
      <w:numFmt w:val="bullet"/>
      <w:start w:val="1"/>
    </w:lvl>
  </w:abstractNum>
  <w:abstractNum w:abstractNumId="47">
    <w:nsid w:val="98A3148"/>
    <w:multiLevelType w:val="hybridMultilevel"/>
    <w:lvl w:ilvl="0">
      <w:lvlJc w:val="left"/>
      <w:lvlText w:val="•"/>
      <w:numFmt w:val="bullet"/>
      <w:start w:val="1"/>
    </w:lvl>
  </w:abstractNum>
  <w:abstractNum w:abstractNumId="48">
    <w:nsid w:val="799D0247"/>
    <w:multiLevelType w:val="hybridMultilevel"/>
    <w:lvl w:ilvl="0">
      <w:lvlJc w:val="left"/>
      <w:lvlText w:val="•"/>
      <w:numFmt w:val="bullet"/>
      <w:start w:val="1"/>
    </w:lvl>
  </w:abstractNum>
  <w:abstractNum w:abstractNumId="49">
    <w:nsid w:val="6B94764"/>
    <w:multiLevelType w:val="hybridMultilevel"/>
    <w:lvl w:ilvl="0">
      <w:lvlJc w:val="left"/>
      <w:lvlText w:val="•"/>
      <w:numFmt w:val="bullet"/>
      <w:start w:val="1"/>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1)"/>
      <w:numFmt w:val="decimal"/>
      <w:start w:val="1"/>
    </w:lvl>
  </w:abstractNum>
  <w:abstractNum w:abstractNumId="52">
    <w:nsid w:val="1EBA5D23"/>
    <w:multiLevelType w:val="hybridMultilevel"/>
    <w:lvl w:ilvl="0">
      <w:lvlJc w:val="left"/>
      <w:lvlText w:val="•"/>
      <w:numFmt w:val="bullet"/>
      <w:start w:val="1"/>
    </w:lvl>
  </w:abstractNum>
  <w:abstractNum w:abstractNumId="53">
    <w:nsid w:val="661E3F1E"/>
    <w:multiLevelType w:val="hybridMultilevel"/>
    <w:lvl w:ilvl="0">
      <w:lvlJc w:val="left"/>
      <w:lvlText w:val="•"/>
      <w:numFmt w:val="bullet"/>
      <w:start w:val="1"/>
    </w:lvl>
  </w:abstractNum>
  <w:abstractNum w:abstractNumId="54">
    <w:nsid w:val="5DC79EA8"/>
    <w:multiLevelType w:val="hybridMultilevel"/>
    <w:lvl w:ilvl="0">
      <w:lvlJc w:val="left"/>
      <w:lvlText w:val="•"/>
      <w:numFmt w:val="bullet"/>
      <w:start w:val="1"/>
    </w:lvl>
  </w:abstractNum>
  <w:abstractNum w:abstractNumId="55">
    <w:nsid w:val="540A471C"/>
    <w:multiLevelType w:val="hybridMultilevel"/>
    <w:lvl w:ilvl="0">
      <w:lvlJc w:val="left"/>
      <w:lvlText w:val="•"/>
      <w:numFmt w:val="bullet"/>
      <w:start w:val="1"/>
    </w:lvl>
  </w:abstractNum>
  <w:abstractNum w:abstractNumId="56">
    <w:nsid w:val="7BD3EE7B"/>
    <w:multiLevelType w:val="hybridMultilevel"/>
    <w:lvl w:ilvl="0">
      <w:lvlJc w:val="left"/>
      <w:lvlText w:val="•"/>
      <w:numFmt w:val="bullet"/>
      <w:start w:val="1"/>
    </w:lvl>
  </w:abstractNum>
  <w:abstractNum w:abstractNumId="57">
    <w:nsid w:val="51D9C564"/>
    <w:multiLevelType w:val="hybridMultilevel"/>
    <w:lvl w:ilvl="0">
      <w:lvlJc w:val="left"/>
      <w:lvlText w:val="(%1)"/>
      <w:numFmt w:val="decimal"/>
      <w:start w:val="1"/>
    </w:lvl>
  </w:abstractNum>
  <w:abstractNum w:abstractNumId="58">
    <w:nsid w:val="613EFDC5"/>
    <w:multiLevelType w:val="hybridMultilevel"/>
    <w:lvl w:ilvl="0">
      <w:lvlJc w:val="left"/>
      <w:lvlText w:val="•"/>
      <w:numFmt w:val="bullet"/>
      <w:start w:val="1"/>
    </w:lvl>
  </w:abstractNum>
  <w:abstractNum w:abstractNumId="59">
    <w:nsid w:val="BF72B14"/>
    <w:multiLevelType w:val="hybridMultilevel"/>
    <w:lvl w:ilvl="0">
      <w:lvlJc w:val="left"/>
      <w:lvlText w:val="(%1)"/>
      <w:numFmt w:val="decimal"/>
      <w:start w:val="1"/>
    </w:lvl>
  </w:abstractNum>
  <w:abstractNum w:abstractNumId="60">
    <w:nsid w:val="11447B73"/>
    <w:multiLevelType w:val="hybridMultilevel"/>
    <w:lvl w:ilvl="0">
      <w:lvlJc w:val="left"/>
      <w:lvlText w:val="(%1)"/>
      <w:numFmt w:val="decimal"/>
      <w:start w:val="1"/>
    </w:lvl>
  </w:abstractNum>
  <w:abstractNum w:abstractNumId="61">
    <w:nsid w:val="42963E5A"/>
    <w:multiLevelType w:val="hybridMultilevel"/>
    <w:lvl w:ilvl="0">
      <w:lvlJc w:val="left"/>
      <w:lvlText w:val="(%1)"/>
      <w:numFmt w:val="decimal"/>
      <w:start w:val="1"/>
    </w:lvl>
  </w:abstractNum>
  <w:abstractNum w:abstractNumId="62">
    <w:nsid w:val="A0382C5"/>
    <w:multiLevelType w:val="hybridMultilevel"/>
    <w:lvl w:ilvl="0">
      <w:lvlJc w:val="left"/>
      <w:lvlText w:val="•"/>
      <w:numFmt w:val="bullet"/>
      <w:start w:val="1"/>
    </w:lvl>
  </w:abstractNum>
  <w:abstractNum w:abstractNumId="63">
    <w:nsid w:val="8F2B15E"/>
    <w:multiLevelType w:val="hybridMultilevel"/>
    <w:lvl w:ilvl="0">
      <w:lvlJc w:val="left"/>
      <w:lvlText w:val="•"/>
      <w:numFmt w:val="bullet"/>
      <w:start w:val="1"/>
    </w:lvl>
  </w:abstractNum>
  <w:abstractNum w:abstractNumId="64">
    <w:nsid w:val="1A32234B"/>
    <w:multiLevelType w:val="hybridMultilevel"/>
    <w:lvl w:ilvl="0">
      <w:lvlJc w:val="left"/>
      <w:lvlText w:val="(%1)"/>
      <w:numFmt w:val="decimal"/>
      <w:start w:val="1"/>
    </w:lvl>
  </w:abstractNum>
  <w:abstractNum w:abstractNumId="65">
    <w:nsid w:val="3B0FD379"/>
    <w:multiLevelType w:val="hybridMultilevel"/>
    <w:lvl w:ilvl="0">
      <w:lvlJc w:val="left"/>
      <w:lvlText w:val="(%1)"/>
      <w:numFmt w:val="decimal"/>
      <w:start w:val="1"/>
    </w:lvl>
  </w:abstractNum>
  <w:abstractNum w:abstractNumId="66">
    <w:nsid w:val="68EB2F63"/>
    <w:multiLevelType w:val="hybridMultilevel"/>
    <w:lvl w:ilvl="0">
      <w:lvlJc w:val="left"/>
      <w:lvlText w:val="(%1)"/>
      <w:numFmt w:val="decimal"/>
      <w:start w:val="1"/>
    </w:lvl>
  </w:abstractNum>
  <w:abstractNum w:abstractNumId="67">
    <w:nsid w:val="4962813B"/>
    <w:multiLevelType w:val="hybridMultilevel"/>
    <w:lvl w:ilvl="0">
      <w:lvlJc w:val="left"/>
      <w:lvlText w:val="•"/>
      <w:numFmt w:val="bullet"/>
      <w:start w:val="1"/>
    </w:lvl>
  </w:abstractNum>
  <w:abstractNum w:abstractNumId="68">
    <w:nsid w:val="60B6DF70"/>
    <w:multiLevelType w:val="hybridMultilevel"/>
    <w:lvl w:ilvl="0">
      <w:lvlJc w:val="left"/>
      <w:lvlText w:val="*"/>
      <w:numFmt w:val="bullet"/>
      <w:start w:val="1"/>
    </w:lvl>
  </w:abstractNum>
  <w:abstractNum w:abstractNumId="69">
    <w:nsid w:val="6A5EE64"/>
    <w:multiLevelType w:val="hybridMultilevel"/>
    <w:lvl w:ilvl="0">
      <w:lvlJc w:val="left"/>
      <w:lvlText w:val="(%1)"/>
      <w:numFmt w:val="decimal"/>
      <w:start w:val="1"/>
    </w:lvl>
  </w:abstractNum>
  <w:abstractNum w:abstractNumId="70">
    <w:nsid w:val="14330624"/>
    <w:multiLevelType w:val="hybridMultilevel"/>
    <w:lvl w:ilvl="0">
      <w:lvlJc w:val="left"/>
      <w:lvlText w:val="•"/>
      <w:numFmt w:val="bullet"/>
      <w:start w:val="1"/>
    </w:lvl>
  </w:abstractNum>
  <w:abstractNum w:abstractNumId="71">
    <w:nsid w:val="7FFFCA11"/>
    <w:multiLevelType w:val="hybridMultilevel"/>
    <w:lvl w:ilvl="0">
      <w:lvlJc w:val="left"/>
      <w:lvlText w:val="•"/>
      <w:numFmt w:val="bullet"/>
      <w:start w:val="1"/>
    </w:lvl>
  </w:abstractNum>
  <w:abstractNum w:abstractNumId="72">
    <w:nsid w:val="1A27709E"/>
    <w:multiLevelType w:val="hybridMultilevel"/>
    <w:lvl w:ilvl="0">
      <w:lvlJc w:val="left"/>
      <w:lvlText w:val="•"/>
      <w:numFmt w:val="bullet"/>
      <w:start w:val="1"/>
    </w:lvl>
  </w:abstractNum>
  <w:abstractNum w:abstractNumId="73">
    <w:nsid w:val="71EA1109"/>
    <w:multiLevelType w:val="hybridMultilevel"/>
    <w:lvl w:ilvl="0">
      <w:lvlJc w:val="left"/>
      <w:lvlText w:val="(%1)"/>
      <w:numFmt w:val="decimal"/>
      <w:start w:val="1"/>
    </w:lvl>
  </w:abstractNum>
  <w:abstractNum w:abstractNumId="74">
    <w:nsid w:val="100F59DC"/>
    <w:multiLevelType w:val="hybridMultilevel"/>
    <w:lvl w:ilvl="0">
      <w:lvlJc w:val="left"/>
      <w:lvlText w:val="•"/>
      <w:numFmt w:val="bullet"/>
      <w:start w:val="1"/>
    </w:lvl>
  </w:abstractNum>
  <w:abstractNum w:abstractNumId="75">
    <w:nsid w:val="7FB7E0AA"/>
    <w:multiLevelType w:val="hybridMultilevel"/>
    <w:lvl w:ilvl="0">
      <w:lvlJc w:val="left"/>
      <w:lvlText w:val="(%1)"/>
      <w:numFmt w:val="decimal"/>
      <w:start w:val="1"/>
    </w:lvl>
  </w:abstractNum>
  <w:abstractNum w:abstractNumId="76">
    <w:nsid w:val="6EB5BD4"/>
    <w:multiLevelType w:val="hybridMultilevel"/>
    <w:lvl w:ilvl="0">
      <w:lvlJc w:val="left"/>
      <w:lvlText w:val="•"/>
      <w:numFmt w:val="bullet"/>
      <w:start w:val="1"/>
    </w:lvl>
  </w:abstractNum>
  <w:abstractNum w:abstractNumId="77">
    <w:nsid w:val="6F6DD9AC"/>
    <w:multiLevelType w:val="hybridMultilevel"/>
    <w:lvl w:ilvl="0">
      <w:lvlJc w:val="left"/>
      <w:lvlText w:val="•"/>
      <w:numFmt w:val="bullet"/>
      <w:start w:val="1"/>
    </w:lvl>
  </w:abstractNum>
  <w:abstractNum w:abstractNumId="78">
    <w:nsid w:val="94211F2"/>
    <w:multiLevelType w:val="hybridMultilevel"/>
    <w:lvl w:ilvl="0">
      <w:lvlJc w:val="left"/>
      <w:lvlText w:val="•"/>
      <w:numFmt w:val="bullet"/>
      <w:start w:val="1"/>
    </w:lvl>
  </w:abstractNum>
  <w:abstractNum w:abstractNumId="79">
    <w:nsid w:val="885E1B"/>
    <w:multiLevelType w:val="hybridMultilevel"/>
    <w:lvl w:ilvl="0">
      <w:lvlJc w:val="left"/>
      <w:lvlText w:val="•"/>
      <w:numFmt w:val="bullet"/>
      <w:start w:val="1"/>
    </w:lvl>
  </w:abstractNum>
  <w:abstractNum w:abstractNumId="80">
    <w:nsid w:val="76272110"/>
    <w:multiLevelType w:val="hybridMultilevel"/>
    <w:lvl w:ilvl="0">
      <w:lvlJc w:val="left"/>
      <w:lvlText w:val="$"/>
      <w:numFmt w:val="bullet"/>
      <w:start w:val="1"/>
    </w:lvl>
  </w:abstractNum>
  <w:abstractNum w:abstractNumId="81">
    <w:nsid w:val="4C04A8AF"/>
    <w:multiLevelType w:val="hybridMultilevel"/>
    <w:lvl w:ilvl="0">
      <w:lvlJc w:val="left"/>
      <w:lvlText w:val="$"/>
      <w:numFmt w:val="bullet"/>
      <w:start w:val="1"/>
    </w:lvl>
  </w:abstractNum>
  <w:abstractNum w:abstractNumId="82">
    <w:nsid w:val="1716703B"/>
    <w:multiLevelType w:val="hybridMultilevel"/>
    <w:lvl w:ilvl="0">
      <w:lvlJc w:val="left"/>
      <w:lvlText w:val="•"/>
      <w:numFmt w:val="bullet"/>
      <w:start w:val="1"/>
    </w:lvl>
  </w:abstractNum>
  <w:abstractNum w:abstractNumId="83">
    <w:nsid w:val="14E17E33"/>
    <w:multiLevelType w:val="hybridMultilevel"/>
    <w:lvl w:ilvl="0">
      <w:lvlJc w:val="left"/>
      <w:lvlText w:val="•"/>
      <w:numFmt w:val="bullet"/>
      <w:start w:val="1"/>
    </w:lvl>
  </w:abstractNum>
  <w:abstractNum w:abstractNumId="84">
    <w:nsid w:val="3222E7CD"/>
    <w:multiLevelType w:val="hybridMultilevel"/>
    <w:lvl w:ilvl="0">
      <w:lvlJc w:val="left"/>
      <w:lvlText w:val="(%1)"/>
      <w:numFmt w:val="lowerLetter"/>
      <w:start w:val="2"/>
    </w:lvl>
  </w:abstractNum>
  <w:abstractNum w:abstractNumId="85">
    <w:nsid w:val="74DE0EE3"/>
    <w:multiLevelType w:val="hybridMultilevel"/>
    <w:lvl w:ilvl="0">
      <w:lvlJc w:val="left"/>
      <w:lvlText w:val="(%1)"/>
      <w:numFmt w:val="lowerRoman"/>
      <w:start w:val="3"/>
    </w:lvl>
  </w:abstractNum>
  <w:abstractNum w:abstractNumId="86">
    <w:nsid w:val="68EBC550"/>
    <w:multiLevelType w:val="hybridMultilevel"/>
    <w:lvl w:ilvl="0">
      <w:lvlJc w:val="left"/>
      <w:lvlText w:val="(%1)"/>
      <w:numFmt w:val="decimal"/>
      <w:start w:val="100"/>
    </w:lvl>
  </w:abstractNum>
  <w:abstractNum w:abstractNumId="87">
    <w:nsid w:val="2DF6D648"/>
    <w:multiLevelType w:val="hybridMultilevel"/>
    <w:lvl w:ilvl="0">
      <w:lvlJc w:val="left"/>
      <w:lvlText w:val="%1."/>
      <w:numFmt w:val="decimal"/>
      <w:start w:val="1"/>
    </w:lvl>
  </w:abstractNum>
  <w:abstractNum w:abstractNumId="88">
    <w:nsid w:val="46B7D447"/>
    <w:multiLevelType w:val="hybridMultilevel"/>
    <w:lvl w:ilvl="0">
      <w:lvlJc w:val="left"/>
      <w:lvlText w:val="%1."/>
      <w:numFmt w:val="decimal"/>
      <w:start w:val="2"/>
    </w:lvl>
  </w:abstractNum>
  <w:abstractNum w:abstractNumId="89">
    <w:nsid w:val="4A2AC315"/>
    <w:multiLevelType w:val="hybridMultilevel"/>
    <w:lvl w:ilvl="0">
      <w:lvlJc w:val="left"/>
      <w:lvlText w:val="(%1)"/>
      <w:numFmt w:val="lowerLetter"/>
      <w:start w:val="1"/>
    </w:lvl>
  </w:abstractNum>
  <w:abstractNum w:abstractNumId="90">
    <w:nsid w:val="39EE015C"/>
    <w:multiLevelType w:val="hybridMultilevel"/>
    <w:lvl w:ilvl="0">
      <w:lvlJc w:val="left"/>
      <w:lvlText w:val="*"/>
      <w:numFmt w:val="bullet"/>
      <w:start w:val="1"/>
    </w:lvl>
    <w:lvl w:ilvl="1">
      <w:lvlJc w:val="left"/>
      <w:lvlText w:val="(%2)"/>
      <w:numFmt w:val="lowerLetter"/>
      <w:start w:val="2"/>
    </w:lvl>
  </w:abstractNum>
  <w:abstractNum w:abstractNumId="91">
    <w:nsid w:val="57FC4FBB"/>
    <w:multiLevelType w:val="hybridMultilevel"/>
    <w:lvl w:ilvl="0">
      <w:lvlJc w:val="left"/>
      <w:lvlText w:val="(%1)"/>
      <w:numFmt w:val="decimal"/>
      <w:start w:val="1"/>
    </w:lvl>
    <w:lvl w:ilvl="1">
      <w:lvlJc w:val="left"/>
      <w:lvlText w:val="(%2)"/>
      <w:numFmt w:val="lowerRoman"/>
      <w:start w:val="1"/>
    </w:lvl>
  </w:abstractNum>
  <w:abstractNum w:abstractNumId="92">
    <w:nsid w:val="CC1016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316" Type="http://schemas.openxmlformats.org/officeDocument/2006/relationships/image" Target="media/image284.png"/><Relationship Id="rId317" Type="http://schemas.openxmlformats.org/officeDocument/2006/relationships/image" Target="media/image285.png"/><Relationship Id="rId318" Type="http://schemas.openxmlformats.org/officeDocument/2006/relationships/image" Target="media/image286.png"/><Relationship Id="rId319" Type="http://schemas.openxmlformats.org/officeDocument/2006/relationships/image" Target="media/image287.png"/><Relationship Id="rId291" Type="http://schemas.openxmlformats.org/officeDocument/2006/relationships/hyperlink" Target="http://www.sec.gov/Archives/edgar/data/0001477720/000119312520228462/d855753dex31.htm" TargetMode="External"/><Relationship Id="rId292" Type="http://schemas.openxmlformats.org/officeDocument/2006/relationships/hyperlink" Target="http://www.sec.gov/Archives/edgar/data/0001477720/000119312520228462/d855753dex32.htm" TargetMode="External"/><Relationship Id="rId293" Type="http://schemas.openxmlformats.org/officeDocument/2006/relationships/hyperlink" Target="http://www.sec.gov/Archives/edgar/data/0001477720/000119312520228462/d855753dex33.htm" TargetMode="External"/><Relationship Id="rId294" Type="http://schemas.openxmlformats.org/officeDocument/2006/relationships/hyperlink" Target="http://www.sec.gov/Archives/edgar/data/0001477720/000119312520228462/d855753dex34.htm" TargetMode="External"/><Relationship Id="rId295" Type="http://schemas.openxmlformats.org/officeDocument/2006/relationships/hyperlink" Target="http://www.sec.gov/Archives/edgar/data/0001477720/000119312520228462/d855753dex41.htm" TargetMode="External"/><Relationship Id="rId296" Type="http://schemas.openxmlformats.org/officeDocument/2006/relationships/hyperlink" Target="http://www.sec.gov/Archives/edgar/data/0001477720/000119312520228462/d855753dex42.htm" TargetMode="External"/><Relationship Id="rId297" Type="http://schemas.openxmlformats.org/officeDocument/2006/relationships/hyperlink" Target="http://www.sec.gov/Archives/edgar/data/1477720/000119312520241148/d855753dex43.htm" TargetMode="External"/><Relationship Id="rId298" Type="http://schemas.openxmlformats.org/officeDocument/2006/relationships/hyperlink" Target="http://www.sec.gov/Archives/edgar/data/0001477720/000119312520228462/d855753dex44.htm" TargetMode="External"/><Relationship Id="rId299" Type="http://schemas.openxmlformats.org/officeDocument/2006/relationships/hyperlink" Target="http://www.sec.gov/Archives/edgar/data/0001477720/000119312520228462/d855753dex45.htm" TargetMode="External"/><Relationship Id="rId300" Type="http://schemas.openxmlformats.org/officeDocument/2006/relationships/hyperlink" Target="http://www.sec.gov/Archives/edgar/data/1477720/000119312520241148/d855753dex51.htm" TargetMode="External"/><Relationship Id="rId301" Type="http://schemas.openxmlformats.org/officeDocument/2006/relationships/hyperlink" Target="http://www.sec.gov/Archives/edgar/data/0001477720/000119312520228462/d855753dex101.htm" TargetMode="External"/><Relationship Id="rId302" Type="http://schemas.openxmlformats.org/officeDocument/2006/relationships/hyperlink" Target="http://www.sec.gov/Archives/edgar/data/1477720/000119312520241148/d855753dex102.htm" TargetMode="External"/><Relationship Id="rId303" Type="http://schemas.openxmlformats.org/officeDocument/2006/relationships/hyperlink" Target="http://www.sec.gov/Archives/edgar/data/0001477720/000119312520228462/d855753dex103.htm" TargetMode="External"/><Relationship Id="rId304" Type="http://schemas.openxmlformats.org/officeDocument/2006/relationships/hyperlink" Target="http://www.sec.gov/Archives/edgar/data/0001477720/000119312520228462/d855753dex104.htm" TargetMode="External"/><Relationship Id="rId305" Type="http://schemas.openxmlformats.org/officeDocument/2006/relationships/hyperlink" Target="http://www.sec.gov/Archives/edgar/data/0001477720/000119312520228462/d855753dex105.htm" TargetMode="External"/><Relationship Id="rId306" Type="http://schemas.openxmlformats.org/officeDocument/2006/relationships/hyperlink" Target="http://www.sec.gov/Archives/edgar/data/0001477720/000119312520228462/d855753dex106.htm" TargetMode="External"/><Relationship Id="rId307" Type="http://schemas.openxmlformats.org/officeDocument/2006/relationships/hyperlink" Target="http://www.sec.gov/Archives/edgar/data/0001477720/000119312520228462/d855753dex107.htm" TargetMode="External"/><Relationship Id="rId308" Type="http://schemas.openxmlformats.org/officeDocument/2006/relationships/hyperlink" Target="http://www.sec.gov/Archives/edgar/data/0001477720/000119312520228462/d855753dex108.htm" TargetMode="External"/><Relationship Id="rId309" Type="http://schemas.openxmlformats.org/officeDocument/2006/relationships/hyperlink" Target="http://www.sec.gov/Archives/edgar/data/0001477720/000119312520228462/d855753dex109.htm" TargetMode="External"/><Relationship Id="rId310" Type="http://schemas.openxmlformats.org/officeDocument/2006/relationships/hyperlink" Target="http://www.sec.gov/Archives/edgar/data/0001477720/000119312520228462/d855753dex1010.htm" TargetMode="External"/><Relationship Id="rId311" Type="http://schemas.openxmlformats.org/officeDocument/2006/relationships/hyperlink" Target="http://www.sec.gov/Archives/edgar/data/0001477720/000119312520228462/d855753dex1011.htm" TargetMode="External"/><Relationship Id="rId312" Type="http://schemas.openxmlformats.org/officeDocument/2006/relationships/hyperlink" Target="http://www.sec.gov/Archives/edgar/data/0001477720/000119312520228462/d855753dex1012.htm" TargetMode="External"/><Relationship Id="rId313" Type="http://schemas.openxmlformats.org/officeDocument/2006/relationships/hyperlink" Target="http://www.sec.gov/Archives/edgar/data/0001477720/000119312520228462/d855753dex1013.htm" TargetMode="External"/><Relationship Id="rId314" Type="http://schemas.openxmlformats.org/officeDocument/2006/relationships/hyperlink" Target="http://www.sec.gov/Archives/edgar/data/1477720/000119312520241148/d855753dex211.htm" TargetMode="External"/><Relationship Id="rId315" Type="http://schemas.openxmlformats.org/officeDocument/2006/relationships/hyperlink" Target="http://www.sec.gov/Archives/edgar/data/1477720/000119312520228462/d855753ds1.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2020-09-18T16:24:39Z</dcterms:created>
  <dcterms:modified xsi:type="dcterms:W3CDTF">2020-09-18T16:24:39Z</dcterms:modified>
</cp:coreProperties>
</file>