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77470</wp:posOffset>
            </wp:positionV>
            <wp:extent cx="2477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left="1160" w:hanging="810"/>
        <w:spacing w:after="0"/>
        <w:tabs>
          <w:tab w:leader="none" w:pos="11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160" w:hanging="810"/>
        <w:spacing w:after="0"/>
        <w:tabs>
          <w:tab w:leader="none" w:pos="11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31, 2023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137160</wp:posOffset>
            </wp:positionV>
            <wp:extent cx="2477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ASANA,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0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3680" w:type="dxa"/>
            <w:vAlign w:val="bottom"/>
            <w:gridSpan w:val="2"/>
          </w:tcPr>
          <w:p>
            <w:pPr>
              <w:jc w:val="center"/>
              <w:ind w:right="530"/>
              <w:spacing w:after="0"/>
              <w:rPr>
                <w:sz w:val="20"/>
                <w:szCs w:val="20"/>
                <w:color w:val="auto"/>
              </w:rPr>
            </w:pPr>
            <w:r>
              <w:rPr>
                <w:rFonts w:ascii="Arial" w:cs="Arial" w:eastAsia="Arial" w:hAnsi="Arial"/>
                <w:sz w:val="14"/>
                <w:szCs w:val="14"/>
                <w:b w:val="1"/>
                <w:bCs w:val="1"/>
                <w:color w:val="auto"/>
                <w:w w:val="94"/>
              </w:rPr>
              <w:t>Delaware</w:t>
            </w:r>
          </w:p>
        </w:tc>
        <w:tc>
          <w:tcPr>
            <w:tcW w:w="252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w w:val="89"/>
              </w:rPr>
              <w:t>7372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2"/>
          </w:tcPr>
          <w:p>
            <w:pPr>
              <w:jc w:val="right"/>
              <w:ind w:right="687"/>
              <w:spacing w:after="0"/>
              <w:rPr>
                <w:sz w:val="20"/>
                <w:szCs w:val="20"/>
                <w:color w:val="auto"/>
              </w:rPr>
            </w:pPr>
            <w:r>
              <w:rPr>
                <w:rFonts w:ascii="Arial" w:cs="Arial" w:eastAsia="Arial" w:hAnsi="Arial"/>
                <w:sz w:val="14"/>
                <w:szCs w:val="14"/>
                <w:b w:val="1"/>
                <w:bCs w:val="1"/>
                <w:color w:val="auto"/>
              </w:rPr>
              <w:t>26-3912448</w:t>
            </w:r>
          </w:p>
        </w:tc>
      </w:tr>
      <w:tr>
        <w:trPr>
          <w:trHeight w:val="185"/>
        </w:trPr>
        <w:tc>
          <w:tcPr>
            <w:tcW w:w="3760" w:type="dxa"/>
            <w:vAlign w:val="bottom"/>
            <w:gridSpan w:val="3"/>
          </w:tcPr>
          <w:p>
            <w:pPr>
              <w:jc w:val="center"/>
              <w:ind w:right="430"/>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(Primary standard industrial code number)</w:t>
            </w:r>
          </w:p>
        </w:tc>
        <w:tc>
          <w:tcPr>
            <w:tcW w:w="660" w:type="dxa"/>
            <w:vAlign w:val="bottom"/>
          </w:tcPr>
          <w:p>
            <w:pPr>
              <w:spacing w:after="0"/>
              <w:rPr>
                <w:sz w:val="16"/>
                <w:szCs w:val="16"/>
                <w:color w:val="auto"/>
              </w:rPr>
            </w:pPr>
          </w:p>
        </w:tc>
        <w:tc>
          <w:tcPr>
            <w:tcW w:w="2900" w:type="dxa"/>
            <w:vAlign w:val="bottom"/>
          </w:tcPr>
          <w:p>
            <w:pPr>
              <w:jc w:val="center"/>
              <w:ind w:left="607"/>
              <w:spacing w:after="0"/>
              <w:rPr>
                <w:sz w:val="20"/>
                <w:szCs w:val="20"/>
                <w:color w:val="auto"/>
              </w:rPr>
            </w:pPr>
            <w:r>
              <w:rPr>
                <w:rFonts w:ascii="Arial" w:cs="Arial" w:eastAsia="Arial" w:hAnsi="Arial"/>
                <w:sz w:val="13"/>
                <w:szCs w:val="13"/>
                <w:b w:val="1"/>
                <w:bCs w:val="1"/>
                <w:color w:val="auto"/>
                <w:w w:val="88"/>
              </w:rPr>
              <w:t>(I.R.S. employer identification no.)</w:t>
            </w:r>
          </w:p>
        </w:tc>
      </w:tr>
      <w:tr>
        <w:trPr>
          <w:trHeight w:val="137"/>
        </w:trPr>
        <w:tc>
          <w:tcPr>
            <w:tcW w:w="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r>
      <w:tr>
        <w:trPr>
          <w:trHeight w:val="281"/>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jc w:val="center"/>
              <w:ind w:left="7"/>
              <w:spacing w:after="0"/>
              <w:rPr>
                <w:sz w:val="20"/>
                <w:szCs w:val="20"/>
                <w:color w:val="auto"/>
              </w:rPr>
            </w:pPr>
            <w:r>
              <w:rPr>
                <w:rFonts w:ascii="Arial" w:cs="Arial" w:eastAsia="Arial" w:hAnsi="Arial"/>
                <w:sz w:val="14"/>
                <w:szCs w:val="14"/>
                <w:b w:val="1"/>
                <w:bCs w:val="1"/>
                <w:color w:val="auto"/>
                <w:w w:val="91"/>
              </w:rPr>
              <w:t>633 Folsom Street, Suite 100</w:t>
            </w:r>
          </w:p>
        </w:tc>
        <w:tc>
          <w:tcPr>
            <w:tcW w:w="6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6"/>
        </w:trPr>
        <w:tc>
          <w:tcPr>
            <w:tcW w:w="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left="7"/>
              <w:spacing w:after="0"/>
              <w:rPr>
                <w:sz w:val="20"/>
                <w:szCs w:val="20"/>
                <w:color w:val="auto"/>
              </w:rPr>
            </w:pPr>
            <w:r>
              <w:rPr>
                <w:rFonts w:ascii="Arial" w:cs="Arial" w:eastAsia="Arial" w:hAnsi="Arial"/>
                <w:sz w:val="14"/>
                <w:szCs w:val="14"/>
                <w:b w:val="1"/>
                <w:bCs w:val="1"/>
                <w:color w:val="auto"/>
                <w:w w:val="92"/>
              </w:rPr>
              <w:t>San Francisco, CA 94107</w:t>
            </w:r>
          </w:p>
        </w:tc>
        <w:tc>
          <w:tcPr>
            <w:tcW w:w="6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82"/>
        </w:trPr>
        <w:tc>
          <w:tcPr>
            <w:tcW w:w="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60" w:type="dxa"/>
            <w:vAlign w:val="bottom"/>
            <w:gridSpan w:val="7"/>
          </w:tcPr>
          <w:p>
            <w:pPr>
              <w:jc w:val="center"/>
              <w:ind w:right="3167"/>
              <w:spacing w:after="0"/>
              <w:rPr>
                <w:sz w:val="20"/>
                <w:szCs w:val="20"/>
                <w:color w:val="auto"/>
              </w:rPr>
            </w:pPr>
            <w:r>
              <w:rPr>
                <w:rFonts w:ascii="Arial" w:cs="Arial" w:eastAsia="Arial" w:hAnsi="Arial"/>
                <w:sz w:val="14"/>
                <w:szCs w:val="14"/>
                <w:b w:val="1"/>
                <w:bCs w:val="1"/>
                <w:i w:val="1"/>
                <w:iCs w:val="1"/>
                <w:color w:val="auto"/>
                <w:w w:val="88"/>
              </w:rPr>
              <w:t>(Address of principal executive offices and Zip Code)</w:t>
            </w:r>
          </w:p>
        </w:tc>
      </w:tr>
      <w:tr>
        <w:trPr>
          <w:trHeight w:val="331"/>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w w:val="93"/>
              </w:rPr>
              <w:t>(415) 525-3888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82"/>
        </w:trPr>
        <w:tc>
          <w:tcPr>
            <w:tcW w:w="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60" w:type="dxa"/>
            <w:vAlign w:val="bottom"/>
            <w:gridSpan w:val="7"/>
          </w:tcPr>
          <w:p>
            <w:pPr>
              <w:jc w:val="center"/>
              <w:ind w:right="3187"/>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r>
      <w:tr>
        <w:trPr>
          <w:trHeight w:val="120"/>
        </w:trPr>
        <w:tc>
          <w:tcPr>
            <w:tcW w:w="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8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spacing w:after="0"/>
              <w:rPr>
                <w:sz w:val="10"/>
                <w:szCs w:val="10"/>
                <w:color w:val="auto"/>
              </w:rPr>
            </w:pPr>
          </w:p>
        </w:tc>
        <w:tc>
          <w:tcPr>
            <w:tcW w:w="2900" w:type="dxa"/>
            <w:vAlign w:val="bottom"/>
          </w:tcPr>
          <w:p>
            <w:pPr>
              <w:spacing w:after="0"/>
              <w:rPr>
                <w:sz w:val="10"/>
                <w:szCs w:val="10"/>
                <w:color w:val="auto"/>
              </w:rPr>
            </w:pPr>
          </w:p>
        </w:tc>
      </w:tr>
      <w:tr>
        <w:trPr>
          <w:trHeight w:val="345"/>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0" w:type="dxa"/>
            <w:vAlign w:val="bottom"/>
            <w:gridSpan w:val="8"/>
          </w:tcPr>
          <w:p>
            <w:pPr>
              <w:ind w:left="4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72"/>
        </w:trPr>
        <w:tc>
          <w:tcPr>
            <w:tcW w:w="80" w:type="dxa"/>
            <w:vAlign w:val="bottom"/>
          </w:tcPr>
          <w:p>
            <w:pPr>
              <w:spacing w:after="0"/>
              <w:rPr>
                <w:sz w:val="24"/>
                <w:szCs w:val="24"/>
                <w:color w:val="auto"/>
              </w:rPr>
            </w:pPr>
          </w:p>
        </w:tc>
        <w:tc>
          <w:tcPr>
            <w:tcW w:w="3680" w:type="dxa"/>
            <w:vAlign w:val="bottom"/>
            <w:gridSpan w:val="2"/>
          </w:tcPr>
          <w:p>
            <w:pPr>
              <w:jc w:val="center"/>
              <w:ind w:left="64"/>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Trading Symbol(s)</w:t>
            </w:r>
          </w:p>
        </w:tc>
        <w:tc>
          <w:tcPr>
            <w:tcW w:w="3560" w:type="dxa"/>
            <w:vAlign w:val="bottom"/>
            <w:gridSpan w:val="2"/>
          </w:tcPr>
          <w:p>
            <w:pPr>
              <w:jc w:val="center"/>
              <w:ind w:right="207"/>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35"/>
        </w:trPr>
        <w:tc>
          <w:tcPr>
            <w:tcW w:w="80" w:type="dxa"/>
            <w:vAlign w:val="bottom"/>
          </w:tcPr>
          <w:p>
            <w:pPr>
              <w:spacing w:after="0"/>
              <w:rPr>
                <w:sz w:val="11"/>
                <w:szCs w:val="11"/>
                <w:color w:val="auto"/>
              </w:rPr>
            </w:pPr>
          </w:p>
        </w:tc>
        <w:tc>
          <w:tcPr>
            <w:tcW w:w="3680" w:type="dxa"/>
            <w:vAlign w:val="bottom"/>
            <w:tcBorders>
              <w:top w:val="single" w:sz="8" w:color="auto"/>
            </w:tcBorders>
            <w:gridSpan w:val="2"/>
          </w:tcPr>
          <w:p>
            <w:pPr>
              <w:jc w:val="center"/>
              <w:ind w:left="44"/>
              <w:spacing w:after="0" w:line="135" w:lineRule="exact"/>
              <w:rPr>
                <w:sz w:val="20"/>
                <w:szCs w:val="20"/>
                <w:color w:val="auto"/>
              </w:rPr>
            </w:pPr>
            <w:r>
              <w:rPr>
                <w:rFonts w:ascii="Arial" w:cs="Arial" w:eastAsia="Arial" w:hAnsi="Arial"/>
                <w:sz w:val="15"/>
                <w:szCs w:val="15"/>
                <w:color w:val="auto"/>
                <w:w w:val="97"/>
              </w:rPr>
              <w:t>Class A Common Stock, $0.00001 par value per share</w:t>
            </w: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5"/>
                <w:szCs w:val="15"/>
                <w:color w:val="auto"/>
              </w:rPr>
              <w:t>ASAN</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900" w:type="dxa"/>
            <w:vAlign w:val="bottom"/>
            <w:tcBorders>
              <w:top w:val="single" w:sz="8" w:color="auto"/>
            </w:tcBorders>
          </w:tcPr>
          <w:p>
            <w:pPr>
              <w:jc w:val="center"/>
              <w:ind w:right="867"/>
              <w:spacing w:after="0" w:line="135" w:lineRule="exact"/>
              <w:rPr>
                <w:sz w:val="20"/>
                <w:szCs w:val="20"/>
                <w:color w:val="auto"/>
              </w:rPr>
            </w:pPr>
            <w:r>
              <w:rPr>
                <w:rFonts w:ascii="Arial" w:cs="Arial" w:eastAsia="Arial" w:hAnsi="Arial"/>
                <w:sz w:val="15"/>
                <w:szCs w:val="15"/>
                <w:color w:val="auto"/>
                <w:w w:val="99"/>
              </w:rPr>
              <w:t>New York Stock Exchange</w:t>
            </w:r>
          </w:p>
        </w:tc>
      </w:tr>
      <w:tr>
        <w:trPr>
          <w:trHeight w:val="206"/>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00" w:type="dxa"/>
            <w:vAlign w:val="bottom"/>
          </w:tcPr>
          <w:p>
            <w:pPr>
              <w:jc w:val="center"/>
              <w:ind w:right="867"/>
              <w:spacing w:after="0"/>
              <w:rPr>
                <w:sz w:val="20"/>
                <w:szCs w:val="20"/>
                <w:color w:val="auto"/>
              </w:rPr>
            </w:pPr>
            <w:r>
              <w:rPr>
                <w:rFonts w:ascii="Arial" w:cs="Arial" w:eastAsia="Arial" w:hAnsi="Arial"/>
                <w:sz w:val="16"/>
                <w:szCs w:val="16"/>
                <w:color w:val="auto"/>
                <w:w w:val="92"/>
              </w:rPr>
              <w:t>Long-Term Stock Exchange</w:t>
            </w:r>
          </w:p>
        </w:tc>
      </w:tr>
    </w:tbl>
    <w:p>
      <w:pPr>
        <w:spacing w:after="0" w:line="20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6"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jc w:val="both"/>
        <w:spacing w:after="0" w:line="16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7" w:lineRule="exact"/>
        <w:rPr>
          <w:sz w:val="24"/>
          <w:szCs w:val="24"/>
          <w:color w:val="auto"/>
        </w:rPr>
      </w:pPr>
    </w:p>
    <w:p>
      <w:pPr>
        <w:jc w:val="both"/>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7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1560"/>
              <w:spacing w:after="0"/>
              <w:rPr>
                <w:sz w:val="20"/>
                <w:szCs w:val="20"/>
                <w:color w:val="auto"/>
              </w:rPr>
            </w:pPr>
            <w:r>
              <w:rPr>
                <w:rFonts w:ascii="Arial" w:cs="Arial" w:eastAsia="Arial" w:hAnsi="Arial"/>
                <w:sz w:val="13"/>
                <w:szCs w:val="13"/>
                <w:color w:val="auto"/>
              </w:rPr>
              <w:t>Accelerated filer</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740" w:type="dxa"/>
            <w:vAlign w:val="bottom"/>
          </w:tcPr>
          <w:p>
            <w:pPr>
              <w:spacing w:after="0"/>
              <w:rPr>
                <w:sz w:val="20"/>
                <w:szCs w:val="20"/>
                <w:color w:val="auto"/>
              </w:rPr>
            </w:pPr>
            <w:r>
              <w:rPr>
                <w:rFonts w:ascii="Arial" w:cs="Arial" w:eastAsia="Arial" w:hAnsi="Arial"/>
                <w:sz w:val="13"/>
                <w:szCs w:val="13"/>
                <w:color w:val="auto"/>
              </w:rPr>
              <w:t>Non-accelerated filer</w:t>
            </w:r>
          </w:p>
        </w:tc>
        <w:tc>
          <w:tcPr>
            <w:tcW w:w="22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1560"/>
              <w:spacing w:after="0"/>
              <w:rPr>
                <w:sz w:val="20"/>
                <w:szCs w:val="20"/>
                <w:color w:val="auto"/>
              </w:rPr>
            </w:pPr>
            <w:r>
              <w:rPr>
                <w:rFonts w:ascii="Arial" w:cs="Arial" w:eastAsia="Arial" w:hAnsi="Arial"/>
                <w:sz w:val="13"/>
                <w:szCs w:val="13"/>
                <w:color w:val="auto"/>
              </w:rPr>
              <w:t>Smaller reporting company</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7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880" w:type="dxa"/>
            <w:vAlign w:val="bottom"/>
          </w:tcPr>
          <w:p>
            <w:pPr>
              <w:ind w:left="1560"/>
              <w:spacing w:after="0"/>
              <w:rPr>
                <w:sz w:val="20"/>
                <w:szCs w:val="20"/>
                <w:color w:val="auto"/>
              </w:rPr>
            </w:pPr>
            <w:r>
              <w:rPr>
                <w:rFonts w:ascii="Arial" w:cs="Arial" w:eastAsia="Arial" w:hAnsi="Arial"/>
                <w:sz w:val="13"/>
                <w:szCs w:val="13"/>
                <w:color w:val="auto"/>
              </w:rPr>
              <w:t>Emerging growth company</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23" w:lineRule="exact"/>
        <w:rPr>
          <w:sz w:val="24"/>
          <w:szCs w:val="24"/>
          <w:color w:val="auto"/>
        </w:rPr>
      </w:pPr>
    </w:p>
    <w:p>
      <w:pPr>
        <w:jc w:val="both"/>
        <w:ind w:right="20"/>
        <w:spacing w:after="0" w:line="161" w:lineRule="exact"/>
        <w:rPr>
          <w:sz w:val="20"/>
          <w:szCs w:val="20"/>
          <w:color w:val="auto"/>
        </w:rPr>
      </w:pPr>
      <w:r>
        <w:rPr>
          <w:rFonts w:ascii="Arial" w:cs="Arial" w:eastAsia="Arial" w:hAnsi="Arial"/>
          <w:sz w:val="13"/>
          <w:szCs w:val="13"/>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1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6" w:lineRule="exact"/>
        <w:rPr>
          <w:sz w:val="24"/>
          <w:szCs w:val="24"/>
          <w:color w:val="auto"/>
        </w:rPr>
      </w:pPr>
    </w:p>
    <w:p>
      <w:pPr>
        <w:jc w:val="both"/>
        <w:spacing w:after="0" w:line="327" w:lineRule="auto"/>
        <w:rPr>
          <w:sz w:val="20"/>
          <w:szCs w:val="20"/>
          <w:color w:val="auto"/>
        </w:rPr>
      </w:pPr>
      <w:r>
        <w:rPr>
          <w:rFonts w:ascii="Arial" w:cs="Arial" w:eastAsia="Arial" w:hAnsi="Arial"/>
          <w:sz w:val="10"/>
          <w:szCs w:val="10"/>
          <w:color w:val="auto"/>
        </w:rPr>
        <w:t>The aggregate market value of the registrant’s shares of Class A common stock held by non-affiliates of the registrant as of July 29, 2022, the last business day of the registrant’s most recently completed second fiscal quarter, was approximately $1.3 billion, based on the closing price reported for such date on the New York Stock Exchange.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any other purpose</w:t>
      </w:r>
      <w:r>
        <w:rPr>
          <w:rFonts w:ascii="Arial" w:cs="Arial" w:eastAsia="Arial" w:hAnsi="Arial"/>
          <w:sz w:val="17"/>
          <w:szCs w:val="17"/>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0"/>
          <w:szCs w:val="10"/>
          <w:color w:val="auto"/>
        </w:rPr>
        <w:t>As of March 1, 2023, the number of shares of the registrant’s Class A common stock outstanding was 128,898,419 and the number of shares of the registrant’s Class B common stock outstanding was 85,489,359.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165" w:lineRule="exact"/>
        <w:rPr>
          <w:sz w:val="24"/>
          <w:szCs w:val="24"/>
          <w:color w:val="auto"/>
        </w:rPr>
      </w:pPr>
    </w:p>
    <w:p>
      <w:pPr>
        <w:ind w:right="20"/>
        <w:spacing w:after="0" w:line="218" w:lineRule="auto"/>
        <w:rPr>
          <w:sz w:val="20"/>
          <w:szCs w:val="20"/>
          <w:color w:val="auto"/>
        </w:rPr>
      </w:pPr>
      <w:r>
        <w:rPr>
          <w:rFonts w:ascii="Arial" w:cs="Arial" w:eastAsia="Arial" w:hAnsi="Arial"/>
          <w:sz w:val="13"/>
          <w:szCs w:val="13"/>
          <w:color w:val="auto"/>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January 31, 2023.</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60" w:type="dxa"/>
            <w:vAlign w:val="bottom"/>
            <w:gridSpan w:val="9"/>
          </w:tcPr>
          <w:p>
            <w:pPr>
              <w:ind w:left="5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400" w:type="dxa"/>
            <w:vAlign w:val="bottom"/>
            <w:gridSpan w:val="2"/>
            <w:vMerge w:val="restart"/>
          </w:tcPr>
          <w:p>
            <w:pPr>
              <w:spacing w:after="0"/>
              <w:rPr>
                <w:sz w:val="20"/>
                <w:szCs w:val="20"/>
                <w:color w:val="auto"/>
              </w:rPr>
            </w:pPr>
            <w:r>
              <w:rPr>
                <w:rFonts w:ascii="Arial" w:cs="Arial" w:eastAsia="Arial" w:hAnsi="Arial"/>
                <w:sz w:val="18"/>
                <w:szCs w:val="18"/>
                <w:color w:val="0000FF"/>
                <w:w w:val="88"/>
              </w:rPr>
              <w:t>Part I</w:t>
            </w:r>
          </w:p>
        </w:tc>
        <w:tc>
          <w:tcPr>
            <w:tcW w:w="9760" w:type="dxa"/>
            <w:vAlign w:val="bottom"/>
            <w:gridSpan w:val="25"/>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0" w:type="dxa"/>
            <w:vAlign w:val="bottom"/>
            <w:gridSpan w:val="2"/>
            <w:vMerge w:val="continue"/>
          </w:tcPr>
          <w:p>
            <w:pPr>
              <w:spacing w:after="0"/>
              <w:rPr>
                <w:sz w:val="15"/>
                <w:szCs w:val="15"/>
                <w:color w:val="auto"/>
              </w:rPr>
            </w:pPr>
          </w:p>
        </w:tc>
        <w:tc>
          <w:tcPr>
            <w:tcW w:w="9760" w:type="dxa"/>
            <w:vAlign w:val="bottom"/>
            <w:gridSpan w:val="25"/>
            <w:vMerge w:val="continue"/>
          </w:tcPr>
          <w:p>
            <w:pPr>
              <w:spacing w:after="0"/>
              <w:rPr>
                <w:sz w:val="15"/>
                <w:szCs w:val="15"/>
                <w:color w:val="auto"/>
              </w:rPr>
            </w:pPr>
          </w:p>
        </w:tc>
        <w:tc>
          <w:tcPr>
            <w:tcW w:w="100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6"/>
          </w:tcPr>
          <w:p>
            <w:pPr>
              <w:spacing w:after="0"/>
              <w:rPr>
                <w:sz w:val="20"/>
                <w:szCs w:val="20"/>
                <w:color w:val="auto"/>
              </w:rPr>
            </w:pPr>
            <w:r>
              <w:rPr>
                <w:rFonts w:ascii="Arial" w:cs="Arial" w:eastAsia="Arial" w:hAnsi="Arial"/>
                <w:sz w:val="18"/>
                <w:szCs w:val="18"/>
                <w:color w:val="0000FF"/>
              </w:rPr>
              <w:t>Item 1. Business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6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Item 1A. Risk Factors</w:t>
            </w:r>
          </w:p>
        </w:tc>
        <w:tc>
          <w:tcPr>
            <w:tcW w:w="8460" w:type="dxa"/>
            <w:vAlign w:val="bottom"/>
            <w:gridSpan w:val="18"/>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6"/>
          </w:tcPr>
          <w:p>
            <w:pPr>
              <w:spacing w:after="0"/>
              <w:rPr>
                <w:sz w:val="20"/>
                <w:szCs w:val="20"/>
                <w:color w:val="auto"/>
              </w:rPr>
            </w:pPr>
            <w:r>
              <w:rPr>
                <w:rFonts w:ascii="Arial" w:cs="Arial" w:eastAsia="Arial" w:hAnsi="Arial"/>
                <w:sz w:val="18"/>
                <w:szCs w:val="18"/>
                <w:color w:val="0000FF"/>
              </w:rPr>
              <w:t>Item 1B. Unresolved Staff Comments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0"/>
              </w:rPr>
              <w:t>Item 2. Properties</w:t>
            </w:r>
          </w:p>
        </w:tc>
        <w:tc>
          <w:tcPr>
            <w:tcW w:w="1420" w:type="dxa"/>
            <w:vAlign w:val="bottom"/>
            <w:tcBorders>
              <w:top w:val="single" w:sz="8" w:color="0000FF"/>
            </w:tcBorders>
            <w:gridSpan w:val="7"/>
          </w:tcPr>
          <w:p>
            <w:pPr>
              <w:spacing w:after="0"/>
              <w:rPr>
                <w:sz w:val="18"/>
                <w:szCs w:val="18"/>
                <w:color w:val="auto"/>
              </w:rPr>
            </w:pPr>
          </w:p>
        </w:tc>
        <w:tc>
          <w:tcPr>
            <w:tcW w:w="7340" w:type="dxa"/>
            <w:vAlign w:val="bottom"/>
            <w:gridSpan w:val="12"/>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9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Item 3. Legal Proceedings</w:t>
            </w:r>
          </w:p>
        </w:tc>
        <w:tc>
          <w:tcPr>
            <w:tcW w:w="8160" w:type="dxa"/>
            <w:vAlign w:val="bottom"/>
            <w:gridSpan w:val="1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2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Item 4. Mine Safety Disclosures</w:t>
            </w:r>
          </w:p>
        </w:tc>
        <w:tc>
          <w:tcPr>
            <w:tcW w:w="7720" w:type="dxa"/>
            <w:vAlign w:val="bottom"/>
            <w:gridSpan w:val="1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Part II</w:t>
            </w:r>
          </w:p>
        </w:tc>
        <w:tc>
          <w:tcPr>
            <w:tcW w:w="9700" w:type="dxa"/>
            <w:vAlign w:val="bottom"/>
            <w:gridSpan w:val="2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864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0"/>
              </w:rPr>
              <w:t>Item 5. Market for Registrant’s Common Equity, Related Stockholder Matters and Issuer Purchases of Equity Securities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Item 6. Reserved</w:t>
            </w:r>
          </w:p>
        </w:tc>
        <w:tc>
          <w:tcPr>
            <w:tcW w:w="8820" w:type="dxa"/>
            <w:vAlign w:val="bottom"/>
            <w:gridSpan w:val="20"/>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70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1"/>
              </w:rPr>
              <w:t>Item 7. Management’s Discussion and Analysis of Financial Condition and Results of Operations</w:t>
            </w:r>
          </w:p>
        </w:tc>
        <w:tc>
          <w:tcPr>
            <w:tcW w:w="30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0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2"/>
              </w:rPr>
              <w:t>Item 7A. Quantitative and Qualitative Disclosures about Market Risk</w:t>
            </w:r>
          </w:p>
        </w:tc>
        <w:tc>
          <w:tcPr>
            <w:tcW w:w="5060" w:type="dxa"/>
            <w:vAlign w:val="bottom"/>
            <w:gridSpan w:val="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9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Item 8. Financial Statements and Supplementary Data</w:t>
            </w:r>
          </w:p>
        </w:tc>
        <w:tc>
          <w:tcPr>
            <w:tcW w:w="6160" w:type="dxa"/>
            <w:vAlign w:val="bottom"/>
            <w:gridSpan w:val="9"/>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0060" w:type="dxa"/>
            <w:vAlign w:val="bottom"/>
            <w:gridSpan w:val="26"/>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7140" w:type="dxa"/>
            <w:vAlign w:val="bottom"/>
            <w:gridSpan w:val="23"/>
          </w:tcPr>
          <w:p>
            <w:pPr>
              <w:spacing w:after="0"/>
              <w:rPr>
                <w:sz w:val="20"/>
                <w:szCs w:val="20"/>
                <w:color w:val="auto"/>
              </w:rPr>
            </w:pPr>
            <w:r>
              <w:rPr>
                <w:rFonts w:ascii="Arial" w:cs="Arial" w:eastAsia="Arial" w:hAnsi="Arial"/>
                <w:sz w:val="18"/>
                <w:szCs w:val="18"/>
                <w:color w:val="0000FF"/>
              </w:rPr>
              <w:t>Item 9A. Controls and Procedures</w:t>
            </w:r>
          </w:p>
        </w:tc>
        <w:tc>
          <w:tcPr>
            <w:tcW w:w="2920" w:type="dxa"/>
            <w:vAlign w:val="bottom"/>
            <w:gridSpan w:val="3"/>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0" w:type="dxa"/>
            <w:vAlign w:val="bottom"/>
            <w:gridSpan w:val="10"/>
          </w:tcPr>
          <w:p>
            <w:pPr>
              <w:spacing w:after="0"/>
              <w:rPr>
                <w:sz w:val="20"/>
                <w:szCs w:val="20"/>
                <w:color w:val="auto"/>
              </w:rPr>
            </w:pPr>
            <w:r>
              <w:rPr>
                <w:rFonts w:ascii="Arial" w:cs="Arial" w:eastAsia="Arial" w:hAnsi="Arial"/>
                <w:sz w:val="18"/>
                <w:szCs w:val="18"/>
                <w:color w:val="0000FF"/>
                <w:w w:val="93"/>
              </w:rPr>
              <w:t>Item 9B. Other Information</w:t>
            </w:r>
          </w:p>
        </w:tc>
        <w:tc>
          <w:tcPr>
            <w:tcW w:w="440" w:type="dxa"/>
            <w:vAlign w:val="bottom"/>
            <w:gridSpan w:val="3"/>
          </w:tcPr>
          <w:p>
            <w:pPr>
              <w:spacing w:after="0"/>
              <w:rPr>
                <w:sz w:val="18"/>
                <w:szCs w:val="18"/>
                <w:color w:val="auto"/>
              </w:rPr>
            </w:pPr>
          </w:p>
        </w:tc>
        <w:tc>
          <w:tcPr>
            <w:tcW w:w="7620" w:type="dxa"/>
            <w:vAlign w:val="bottom"/>
            <w:gridSpan w:val="13"/>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6"/>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4"/>
          </w:tcPr>
          <w:p>
            <w:pPr>
              <w:spacing w:after="0"/>
              <w:rPr>
                <w:sz w:val="20"/>
                <w:szCs w:val="20"/>
                <w:color w:val="auto"/>
              </w:rPr>
            </w:pPr>
            <w:r>
              <w:rPr>
                <w:rFonts w:ascii="Arial" w:cs="Arial" w:eastAsia="Arial" w:hAnsi="Arial"/>
                <w:sz w:val="18"/>
                <w:szCs w:val="18"/>
                <w:color w:val="0000FF"/>
                <w:w w:val="94"/>
              </w:rPr>
              <w:t>Part III</w:t>
            </w:r>
          </w:p>
        </w:tc>
        <w:tc>
          <w:tcPr>
            <w:tcW w:w="9640" w:type="dxa"/>
            <w:vAlign w:val="bottom"/>
            <w:gridSpan w:val="23"/>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111</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0060" w:type="dxa"/>
            <w:vAlign w:val="bottom"/>
            <w:gridSpan w:val="26"/>
          </w:tcPr>
          <w:p>
            <w:pPr>
              <w:spacing w:after="0"/>
              <w:rPr>
                <w:sz w:val="20"/>
                <w:szCs w:val="20"/>
                <w:color w:val="auto"/>
              </w:rPr>
            </w:pPr>
            <w:r>
              <w:rPr>
                <w:rFonts w:ascii="Arial" w:cs="Arial" w:eastAsia="Arial" w:hAnsi="Arial"/>
                <w:sz w:val="18"/>
                <w:szCs w:val="18"/>
                <w:color w:val="0000FF"/>
              </w:rPr>
              <w:t>Item 10. Directors, Executive Officers and Corporate Governance</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4740" w:type="dxa"/>
            <w:vAlign w:val="bottom"/>
            <w:gridSpan w:val="18"/>
          </w:tcPr>
          <w:p>
            <w:pPr>
              <w:spacing w:after="0"/>
              <w:rPr>
                <w:sz w:val="20"/>
                <w:szCs w:val="20"/>
                <w:color w:val="auto"/>
              </w:rPr>
            </w:pPr>
            <w:r>
              <w:rPr>
                <w:rFonts w:ascii="Arial" w:cs="Arial" w:eastAsia="Arial" w:hAnsi="Arial"/>
                <w:sz w:val="18"/>
                <w:szCs w:val="18"/>
                <w:color w:val="0000FF"/>
              </w:rPr>
              <w:t>Item 11. Executive Compensation</w:t>
            </w:r>
          </w:p>
        </w:tc>
        <w:tc>
          <w:tcPr>
            <w:tcW w:w="5320" w:type="dxa"/>
            <w:vAlign w:val="bottom"/>
            <w:gridSpan w:val="8"/>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7880" w:type="dxa"/>
            <w:vAlign w:val="bottom"/>
            <w:gridSpan w:val="24"/>
          </w:tcPr>
          <w:p>
            <w:pPr>
              <w:spacing w:after="0"/>
              <w:rPr>
                <w:sz w:val="20"/>
                <w:szCs w:val="20"/>
                <w:color w:val="auto"/>
              </w:rPr>
            </w:pPr>
            <w:r>
              <w:rPr>
                <w:rFonts w:ascii="Arial" w:cs="Arial" w:eastAsia="Arial" w:hAnsi="Arial"/>
                <w:sz w:val="18"/>
                <w:szCs w:val="18"/>
                <w:color w:val="0000FF"/>
                <w:w w:val="91"/>
              </w:rPr>
              <w:t>Item 12. Security Ownership of Certain Beneficial Owner and Management and Related Stockholder Matters</w:t>
            </w:r>
          </w:p>
        </w:tc>
        <w:tc>
          <w:tcPr>
            <w:tcW w:w="2180" w:type="dxa"/>
            <w:vAlign w:val="bottom"/>
            <w:gridSpan w:val="2"/>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7880" w:type="dxa"/>
            <w:vAlign w:val="bottom"/>
            <w:gridSpan w:val="24"/>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2180" w:type="dxa"/>
            <w:vAlign w:val="bottom"/>
            <w:gridSpan w:val="2"/>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100" w:type="dxa"/>
            <w:vAlign w:val="bottom"/>
            <w:gridSpan w:val="21"/>
          </w:tcPr>
          <w:p>
            <w:pPr>
              <w:spacing w:after="0"/>
              <w:rPr>
                <w:sz w:val="20"/>
                <w:szCs w:val="20"/>
                <w:color w:val="auto"/>
              </w:rPr>
            </w:pPr>
            <w:r>
              <w:rPr>
                <w:rFonts w:ascii="Arial" w:cs="Arial" w:eastAsia="Arial" w:hAnsi="Arial"/>
                <w:sz w:val="18"/>
                <w:szCs w:val="18"/>
                <w:color w:val="0000FF"/>
              </w:rPr>
              <w:t>Item 14. Principal Accounting Fees and Services</w:t>
            </w:r>
          </w:p>
        </w:tc>
        <w:tc>
          <w:tcPr>
            <w:tcW w:w="3960" w:type="dxa"/>
            <w:vAlign w:val="bottom"/>
            <w:gridSpan w:val="5"/>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gridSpan w:val="27"/>
          </w:tcPr>
          <w:p>
            <w:pPr>
              <w:spacing w:after="0"/>
              <w:rPr>
                <w:sz w:val="20"/>
                <w:szCs w:val="20"/>
                <w:color w:val="auto"/>
              </w:rPr>
            </w:pPr>
            <w:r>
              <w:rPr>
                <w:rFonts w:ascii="Arial" w:cs="Arial" w:eastAsia="Arial" w:hAnsi="Arial"/>
                <w:sz w:val="18"/>
                <w:szCs w:val="18"/>
                <w:color w:val="0000FF"/>
              </w:rPr>
              <w:t>Part IV</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114</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3820" w:type="dxa"/>
            <w:vAlign w:val="bottom"/>
            <w:gridSpan w:val="16"/>
          </w:tcPr>
          <w:p>
            <w:pPr>
              <w:spacing w:after="0"/>
              <w:rPr>
                <w:sz w:val="20"/>
                <w:szCs w:val="20"/>
                <w:color w:val="auto"/>
              </w:rPr>
            </w:pPr>
            <w:r>
              <w:rPr>
                <w:rFonts w:ascii="Arial" w:cs="Arial" w:eastAsia="Arial" w:hAnsi="Arial"/>
                <w:sz w:val="18"/>
                <w:szCs w:val="18"/>
                <w:color w:val="0000FF"/>
                <w:w w:val="90"/>
              </w:rPr>
              <w:t>Item 15. Exhibits and Financial Statement Schedules</w:t>
            </w:r>
          </w:p>
        </w:tc>
        <w:tc>
          <w:tcPr>
            <w:tcW w:w="6240" w:type="dxa"/>
            <w:vAlign w:val="bottom"/>
            <w:gridSpan w:val="10"/>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820" w:type="dxa"/>
            <w:vAlign w:val="bottom"/>
            <w:gridSpan w:val="16"/>
          </w:tcPr>
          <w:p>
            <w:pPr>
              <w:spacing w:after="0"/>
              <w:rPr>
                <w:sz w:val="20"/>
                <w:szCs w:val="20"/>
                <w:color w:val="auto"/>
              </w:rPr>
            </w:pPr>
            <w:r>
              <w:rPr>
                <w:rFonts w:ascii="Arial" w:cs="Arial" w:eastAsia="Arial" w:hAnsi="Arial"/>
                <w:sz w:val="18"/>
                <w:szCs w:val="18"/>
                <w:color w:val="0000FF"/>
              </w:rPr>
              <w:t>Item 16. Form 10-K Summary</w:t>
            </w:r>
          </w:p>
        </w:tc>
        <w:tc>
          <w:tcPr>
            <w:tcW w:w="6240" w:type="dxa"/>
            <w:vAlign w:val="bottom"/>
            <w:gridSpan w:val="10"/>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200" w:type="dxa"/>
            <w:vAlign w:val="bottom"/>
            <w:gridSpan w:val="11"/>
          </w:tcPr>
          <w:p>
            <w:pPr>
              <w:spacing w:after="0"/>
              <w:rPr>
                <w:sz w:val="20"/>
                <w:szCs w:val="20"/>
                <w:color w:val="auto"/>
              </w:rPr>
            </w:pPr>
            <w:r>
              <w:rPr>
                <w:rFonts w:ascii="Arial" w:cs="Arial" w:eastAsia="Arial" w:hAnsi="Arial"/>
                <w:sz w:val="18"/>
                <w:szCs w:val="18"/>
                <w:color w:val="0000FF"/>
              </w:rPr>
              <w:t>Signatures</w:t>
            </w:r>
          </w:p>
        </w:tc>
        <w:tc>
          <w:tcPr>
            <w:tcW w:w="7860" w:type="dxa"/>
            <w:vAlign w:val="bottom"/>
            <w:gridSpan w:val="15"/>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116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______________________</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180975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type w:val="continuous"/>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ability to grow or maintain our dollar-based net retention rate, expand usage of our platform within organizations, and sell subscriptions to our platform; our ability to convert individuals, teams, and organizations on our free and trial versions into paying customers; the timing and success of new features, integrations, capabilities, and enhancements by us, or by our competitors to their products, or any other changes in the competitive landscape of our market; our ability to achieve widespread acceptance and use of our platform; growth in the work management market; the amount and timing of operating expenses and capital expenditures, as well as entry into operating leases, that we may incur to maintain and expand our business and operations and to remain competitive; our focus on growth to drive long-term value; the timing of expenses and our expectations regarding our cost of revenues, gross margin, and operating expenses; the effect of uncertainties related to recent macroeconomic conditions, including volatile equity capital markets, on our business, results of operations, and financial condition; performance of our sales and marketing activities; our protections against security breaches, technical difficulties, or interruptions to our platform; our ability to successfully defend litigation brought against us, potential dispute-related settlement payments, or other litigation-related costs; potential pricing pressure as a result of competition or otherwise; anticipated fluctuations in foreign currency exchange rates; potential costs and the anticipated timing of expenses related to the acquisition of businesses, talent, technologies, or intellectual property, including potentially significant amortization costs and possible write-downs; general economic conditions affecting domestic or international markets, and the rate of global IT spending, including as a result of a downturn or recession, rising inflation and interest rates, and instability in financial institutions and global financial markets; future cost savings in connection with our recent reduction in force; geopolitical instability; and the residual impact of the COVID-19 pandemic.</w:t>
      </w:r>
    </w:p>
    <w:p>
      <w:pPr>
        <w:spacing w:after="0" w:line="34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statements do not reflect the potential impact of any future acquisitions, mergers, dispositions, joint ventures, restructurings, or investments.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with the Securities and Exchange Commission (the “SEC”) as exhibits to this Annual Report on Form 10-K with the understanding that our actual future results, levels of activity, performance, and events and circumstances may be materially different from what we expect.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context otherwise requires, all references in this Annual Report on Form 10-K to “we,” “us,” “our,” “our company,” and “Asana” refer to Asana, Inc. and its consolidated subsidiaries. The Asana design logo, “Asana,”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Investing in our common stock involves numerous risks, including the risks described in </w:t>
      </w:r>
      <w:r>
        <w:rPr>
          <w:rFonts w:ascii="Arial" w:cs="Arial" w:eastAsia="Arial" w:hAnsi="Arial"/>
          <w:sz w:val="18"/>
          <w:szCs w:val="18"/>
          <w:i w:val="1"/>
          <w:iCs w:val="1"/>
          <w:color w:val="auto"/>
        </w:rPr>
        <w:t>Part I—Item 1A. Risk Factors</w:t>
      </w:r>
      <w:r>
        <w:rPr>
          <w:rFonts w:ascii="Arial" w:cs="Arial" w:eastAsia="Arial" w:hAnsi="Arial"/>
          <w:sz w:val="18"/>
          <w:szCs w:val="18"/>
          <w:color w:val="auto"/>
        </w:rPr>
        <w:t xml:space="preserve"> of this Annual Report on Form 10-K. Below are some of these risks, any one of which could materially adversely affect our business, financial condition, results of operations, and prospects.</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our recent growth rates may not be indicative of our future growth.</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at our current scale, which makes it difficult to evaluate our future prospects and may increase the risk that we will not be successful.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profitability or, if achieved, sustain profitability.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believe our long-term value as a company will be greater if we focus on growth, which may negatively impact our profitability in the near and medium term.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meet our expectations or those of investors or securities analysts.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restructuring, announced on November 15, 2022, may not result in anticipated savings or operational efficiencies, could result in total costs and expenses that are greater than expected and could disrupt our business.</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has affected how we, our partners, and our customers operate and has adversely affected the global economy, and the duration and extent to which this will affect our business, future results of operations, and financial condition remains uncertain.</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the market for work management solutions develops more slowly than we expect or declines, our business would be adversely affected.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highly competitive industry, and competition presents an ongoing threat to the success of our business.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develop and leverage our direct sales capabilities would harm our ability to expand usage of our platform within our customer base and achieve broader market acceptance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4" w:lineRule="exact"/>
        <w:rPr>
          <w:sz w:val="20"/>
          <w:szCs w:val="20"/>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continue to attract and retain highly qualified personnel in very competitive markets to continue to execute on our business strategy and growth plans.</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11"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116"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one or more of our key personnel, in particular our co-founder, President, Chief Executive Officer (“CEO”), and Chair, Dustin Moskovitz, would harm our business.</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culture has contributed to our success, and if we cannot maintain this culture as we grow, we could lose the employee engagement fostered by our culture, which could harm our business.</w:t>
      </w:r>
    </w:p>
    <w:p>
      <w:pPr>
        <w:spacing w:after="0" w:line="116"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maintaining open marketplaces to distribute our mobile application. If such third parties interfere with the distribution of our platform, our business would be adversely affected.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Sales to customers outside the United States and our international operations expose us to risks inherent in international sales and operations.</w:t>
      </w:r>
    </w:p>
    <w:p>
      <w:pPr>
        <w:spacing w:after="0" w:line="194" w:lineRule="exact"/>
        <w:rPr>
          <w:rFonts w:ascii="Arial" w:cs="Arial" w:eastAsia="Arial" w:hAnsi="Arial"/>
          <w:sz w:val="16"/>
          <w:szCs w:val="16"/>
          <w:color w:val="auto"/>
        </w:rPr>
      </w:pPr>
    </w:p>
    <w:p>
      <w:pPr>
        <w:jc w:val="both"/>
        <w:ind w:left="328" w:hanging="328"/>
        <w:spacing w:after="0" w:line="259"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stringent and evolving U.S. and foreign laws, regulations, rules, contractual obligations, policies and other obligations related to data privacy, data protection,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32"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could decline significantly and rapidly.</w:t>
      </w:r>
    </w:p>
    <w:p>
      <w:pPr>
        <w:spacing w:after="0" w:line="171"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3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in the public markets, or the perception that sales might occur, could cause the trading price of our Class A common stock to decline.</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Asana is a work management platform that helps organizations orchestrate work, from daily tasks to cross-functional strategic initiatives. Over 139,000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History</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organizations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Since our inception, over 42 million users have registered on Asana and millions of teams in virtually every country around the world have used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Asana. With Asana, users experience higher productivity and engagement, which has led to rapid adoption across teams, departments, and organizations.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2023, we had over 2.5 million paid users.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Work continues to get harder to manage as organizations try to move faster to accomplish ambitious goals and respond to changing market demands. According to Asana’s most recent Anatomy of Work Index report, 58% of knowledge workers’ time is spent on work about work. Most important work requires coordination across teams and geographies, for example, a product launch with product, marketing and sales all working together. Without a system of record, organizations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 shared, and updated.</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Asana Helps Organizations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problem we aim to solve is that teams are organized functionally but work gets done cross-functionally. Asana is a system of record and leading platform for cross-functional work. We provide an always up-to-date record of who is doing what by when across teams. The technology that makes this possible is the Asana Work Graph,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proprietary data model built by the same people who created the social graph. The Asana Work Graph captures and associates: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units of work—tasks, projects, milestones, portfolios, and goals;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processes in which work gets done—rules, workflows, and templates;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about that work—files, comments, status, messages, and metadata;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Asana Work Graph is the technology that makes it possible for every individual and team to view their work in a way that is personally relevant to them, while maintaining a single, always-up-to-date, record of every goal, project, task, document, etc.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It is one of our biggest differentiators and the reason we support deployments with more than 150,000 users and win large cross-functional deals.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reporting dashboards, and Workload.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hybrid product-led and direct sales model allows us to reach teams everywhere and then rapidly expand the use of our platform within their organizations. A majority of our paying customers initially adopt our platform through product-led channels, like signing up on our website, and free trials. Once adopted, customers can expand through product-led channels or with the assistance of our direct sales team, which is focused on promoting new use cases of Asana and ensuring customers are well supported to grow with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2023, our dollar-based net retention rate within organizations spending $5,000 or more with us on an annualized basis was over 120%, consisting of 19,432 customers. Our dollar-based net retention rate within organizations spending $100,000 or more with us on an annualized basis was over 135%, consisting of 506 customers.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Organizations must be coordinated and move quickly to be successful</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Organizations today must navigate work that is increasingly cross-functional, matrixed, and distributed, while also moving quickly to meet the objectives of their organizations. With product lifecycles now shorter than ever, organizations cannot afford to be slowed down by inefficient processes. Individuals and teams need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empowered to make autonomous decisions aligned with organizational goals to ensure business agility in rapidly changing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Businesses have adopted a number of applications to improve communication such as Skype, WeChat, WhatsApp, Microsoft Teams, and Slack, among others. While these applications help teams communicate, they were not designed to provide a system of record to track and coordinate units of work or to set up processes for rapid execution. The average knowledge worker spends the majority — 58% — of their day on work coordination rather than skilled, strategic work. People have become prisoners to email and messaging applications, using their inboxes as makeshift to-do lists.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Organizations spend more time coordinating work than actually doing work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Productivity gains can occur when individuals and teams have the opportunity to focus uninterrupted. However, employees spend less than half of their time during the day on the work that is critical to generating results. According to a survey conducted by McKinsey Global Institute of a broad set of knowledge workers:</w:t>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Organizations need more effective tools to orchestrate work</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Unfortunately, most software products do not use a graph architecture like Asana and major social networks. They use a container model which is similar to a spreadsheet.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Container models mean that data needs to be organized by team or department or project. And information cannot simultaneously live in different places. Individuals either have to adopt the exact same format uniformly, or they create copies which means teams and companies no longer have a single unified record of who is doing what by when.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Employee engagement—the extent to which employees are invested in their job and contribute the effort needed to do their job well—is critical to high-performing businesses. Individuals are more engaged at work when they have clarity. Clarity helps individuals better understand how their work connects to the organization’s objectives so they know where to focus their energy for maximum impact and find their work more rewarding and engaging.</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Today’s reality is that we are more distributed than ever and are frequently collaborating cross-functionally, across geographies, and with people we have never met in-person. This complexity compounds the larger and more dispersed a company is. Organizations need a work management solution that provides transparency, clarity, and accountability so that individuals and teams know—at any given time—what work needs to get done, by whom and by when. This solution needs to allow organizations to set goals and manage all the underlying portfolios, projects, and tasks needed to achieve them. The solution also needs to scale across every level of the organization so individuals, team leads, and executives can understand and take actions to move work forward in real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While others are building suites of collaboration products for small teams, our strategy is broader. We are a pure play work management company, committed to building the best platform capable of serving organizations of all sizes around the world.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Asana:</w:t>
      </w:r>
    </w:p>
    <w:p>
      <w:pPr>
        <w:spacing w:after="0" w:line="171" w:lineRule="exact"/>
        <w:rPr>
          <w:sz w:val="20"/>
          <w:szCs w:val="20"/>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Individuals </w:t>
      </w:r>
      <w:r>
        <w:rPr>
          <w:rFonts w:ascii="Arial" w:cs="Arial" w:eastAsia="Arial" w:hAnsi="Arial"/>
          <w:sz w:val="18"/>
          <w:szCs w:val="18"/>
          <w:color w:val="auto"/>
        </w:rPr>
        <w:t>can manage and prioritize across each of their projects to maximize their effectiveness and reduce distractions. They can see their 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tasks, how dependencies owned by teammates are tracking, and how their work contributes to the overall team and organization-wide goals.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w:t>
      </w:r>
    </w:p>
    <w:p>
      <w:pPr>
        <w:spacing w:after="0" w:line="133"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Team leads </w:t>
      </w:r>
      <w:r>
        <w:rPr>
          <w:rFonts w:ascii="Arial" w:cs="Arial" w:eastAsia="Arial" w:hAnsi="Arial"/>
          <w:sz w:val="17"/>
          <w:szCs w:val="17"/>
          <w:color w:val="auto"/>
        </w:rPr>
        <w:t>can manage work across a portfolio of projects or processes. Team leads see progress, bottlenecks, resource constraints,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milestones without having to create work for teams to come up with this information in spreadsheets, email, or via a status meeting. When surprises or disruptions occur, it is easy for team leads to adjust the plan, reallocate resources, and communicate updates in real time.</w:t>
      </w:r>
    </w:p>
    <w:p>
      <w:pPr>
        <w:spacing w:after="0" w:line="111"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Executives </w:t>
      </w:r>
      <w:r>
        <w:rPr>
          <w:rFonts w:ascii="Arial" w:cs="Arial" w:eastAsia="Arial" w:hAnsi="Arial"/>
          <w:sz w:val="18"/>
          <w:szCs w:val="18"/>
          <w:color w:val="auto"/>
        </w:rPr>
        <w:t>can communicate company-wide goals, monitor status, and oversee work across projects to gain real-time insights into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are on track or at risk. With this visibility, they can proactively ensure alignment, address inefficiencies, manage team workload, and reallocate work among teams or departments so that the company can stay on track to achieve its objectives.</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the system of record of past, current, and future work, Asana is powered by a proprietary, multi-dimensional data model called the Asana Work Graph. The Asana Work Graph captures and associates units of work (tasks, projects, milestones, goals, and portfolios), the people responsible for executing those units of work, the processes in which work gets done (rules, templates, and workflows), information about that work (files, comments, status, and metadata), and the relationships across and within this data. The Asana Work Graph provides individuals, team leads, and executives with dynamic, up-to-date views into the work that is most relevant to them, across multiple people and projects.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by whom and by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multi-dimensional data model provides different views so individuals can not only see the tasks they are working on, but also understand how their individual work contributes to a broader project goal.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Transparency. </w:t>
      </w:r>
      <w:r>
        <w:rPr>
          <w:rFonts w:ascii="Arial" w:cs="Arial" w:eastAsia="Arial" w:hAnsi="Arial"/>
          <w:sz w:val="18"/>
          <w:szCs w:val="18"/>
          <w:color w:val="auto"/>
        </w:rPr>
        <w:t>Our platform provides transparency into the work being done across a project or portfolio of projects so everyone can see progress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manage deadlines, identify and resolve bottlenecks, and rebalance workloads in real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Accountability. </w:t>
      </w:r>
      <w:r>
        <w:rPr>
          <w:rFonts w:ascii="Arial" w:cs="Arial" w:eastAsia="Arial" w:hAnsi="Arial"/>
          <w:sz w:val="18"/>
          <w:szCs w:val="18"/>
          <w:color w:val="auto"/>
        </w:rPr>
        <w:t>Our platform enables teams to assign work to individuals with completion dates and requirements, eliminating ambiguity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Individuals can track their action items across projects and manage their time more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Asana is a leading platform for cross-functional work thanks to our ability to serve as a system of record across different teams and different projects.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our major differentiators and the key to supporting large, complex organizations.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horizontal application allows individuals, teams, and admins to easily customize projects and workflows across a breadth of specific use cases. Once a process is defined, it can be templatized and scaled across an organization for consistent, repeatable process management. Rules and Workflows provide scalable automation for business and project processes, and completion options like approval facilitate clear accountability.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users love Asana because they gain clarity into what they need to do by when and how their contribution is connected to broader organizational goals. This clarity is particularly important for distributed teams and remote employees. By eliminating much of the work about work, we give them back valuable hours in their day to focus on the work that matters, leading to higher productivity, higher engagement, and improved retention.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Using Asana, individuals reduce their anxiety about missing deadlines and having work fall through the cracks.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Improved business continuity for distributed teams and remote work</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 desktop application, and a mobile application so that team members can manage their work from wherever they are.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803275</wp:posOffset>
            </wp:positionV>
            <wp:extent cx="5349240" cy="2794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Glassdoor, we’ve consistently had an overall score of greater than 4.5 out of 5.0 and greater than 90% for our ratings of “CEO approval” and “Recommend to a Friend”. In 2022, Great Place to Work and Fortune named us as #18 Best Workplaces in the Bay Area (Large), #9 Best Workplaces for Millennials, #21 Best Workplaces in Technology (Large), #9 Best Workplaces for Women, and #22 Best Workplaces for Parents (Large). We were also named an Inc. Best Workplaces for the fifth consecutive year and Glassdoor Best Places to Work 2023 #63.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Features of our Platform</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Asana is a single unified platform that provides clarity at every level of an organization for individuals, team leads, and executives. It enables organizations to align work to goals, coordinate intra and cross-team work, gain visibility into progress, and scale work securely.</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Powered by a proprietary, multi-dimensional data model called the Asana Work Graph, our platform captures the relationship between the work (e.g. tasks, goals, ideas, agenda items), the information about that work (e.g. custom fields, messages, files, dependencies, status), and the people doing the work (e.g. assignees, roles, teams, divisions). Asana provides interactive dynamic views—List, Calendar, Board, Timeline, Goals, Portfolio, Reports and more— so that teams can work together on the same underlying data in whatever way makes most sense to them.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Asana platform maintains a robust API that enables developers to build apps on Asana and integrate efficiently with applications like Microsoft Teams, Slack, Salesforce, Gmail, Adobe and many more. Integrations connect Asana with applications so that teams are able to coordinate work, no matter where it occurs. Apps built on Asana may use App Components, which enable developers to display customized widgets, forms, and rules within Asana's user interface that empower teams to work more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1060450</wp:posOffset>
            </wp:positionV>
            <wp:extent cx="5349240" cy="3034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Asana Work Graph Hierarchy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Asana Work Graph captures the relationships, information, and people connected to units of work—tasks, projects, portfolios, goals, and more—to enable a complete, connected, and up-to-date map of work in an organization. The Asana Work Graph provides unique capabilities to relate work such as multi-homing, which enables work like tasks to be shared between multiple projects or workflows without duplication. Different teams view and share the very same tasks, reducing confusion and work about work.</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contrast, others approach the problem of work management with a container model, relating tables of data which forces units of work into singular constructs; for example, a task can only live in one project or a message can only live in one channel. As a result, tasks and other work often get duplicated which means there is no single source of truth about that particular piece of work.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the Asana Work Graph's differentiated ability to construct a single source of truth for individuals, teams, and organizations, Asana powers clarity at every level of an organization, regardless of size, structure, and complexity. The Asana Work Graph provides:</w:t>
      </w:r>
    </w:p>
    <w:p>
      <w:pPr>
        <w:spacing w:after="0" w:line="116"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Individuals with dynamic views into the work that is most relevant to them, accelerating adoption, maximizing personal productivity, and empowering individuals with knowledge of how their work has an impact on organizational goals</w:t>
      </w:r>
      <w:r>
        <w:rPr>
          <w:rFonts w:ascii="Arial" w:cs="Arial" w:eastAsia="Arial" w:hAnsi="Arial"/>
          <w:sz w:val="18"/>
          <w:szCs w:val="18"/>
          <w:i w:val="1"/>
          <w:iCs w:val="1"/>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Teams with the ability to view and modify the same work data across different views and create workflows that coordinate complex, cross-team work with ease.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Executives with visibility into how daily work connects to higher-level goals and initiatives so they can understand real-time progress.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Tasks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Tasks are the atomic unit of work within the Asana Work Graph. Within tasks, users can assign owners, set due dates and times, attach documents, break the work into subtasks, and define custom fields for information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task so that everyone knows who is doing what by when and has the information needed to complete the work. Custom fields are metadata that help users organize and track their work. Collaboration including comments, @-mentions, image markup, and text-to-subtask creation are natively built into tasks, ensuring that relevant updates and context stay with the work at hand. Changes in task information made in one view are automatically updated across all views where the task is visible so that users don’t have to re-enter information.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Projects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Portfolios let users organize projects into a centralized location, acting as the mission control so that team leads and executives have real-time visibility into how work is progressing across projects. Users can add or remove projects from the Portfolio, check the status and progress of each project, view priorities, assign relevant project owners, and manage custom fields. Individuals can click on any project to see a full summary overview of the project with the ability to edit due dates, view key milestones, link to the tasks and resources available, check or add status updates, and add comments for the team. They can also see all projects within a Portfolio on the Portfolio’s Timeline to get a bird’s-eye view of when initiatives are kicking off and when they will be completed. Portfolio dashboards and custom field roll ups for key metrics like budget and time and more, give leaders a window into the status and ROI of their investments directly from the Portfolios tab. By streamlining and providing a single view of the health and status of strategic initiatives, capacity, and budgets, leaders can take actions faster to drive business outcomes. Like many of the views in Asana, the layout of Portfolios can be customized based on individual preference. Portfolios can be shared broadly or with specific teams or individuals.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Goals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Goals gives users a centralized place to plan, set, and track goals and the work needed to achieve them. Goals is a flexible system that supports objectives and key results (“OKR”) and other goal management methodologies. Users can set and view goals at the organization, team, or individual level and can create goal hierarchies to drive alignment across teams. Goals are connected to the underlying work (Portfolios, Projects, and Tasks) needed to achieve them, giving executives and team leads a single system to set goals and track progress. The progress of goals can be automatically tracked based on linked work and goals without manual updates and goal reporting enables leaders to keep an eye on their team’s advancements and spot roadblocks in real time. Goals can be connected to mission-critical tools across an organization’s tech stack to get actionable insights. Goals can be shared across every level of the organization, while preventing unintended edits with permissions. Customizable views ensure only the most relevant information is given to each teammate. Goals can be kept private or made visible so all team members have clarity on the company’s priorities and see how their work contributes to the organization’s success.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 Views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Home is a customizable launchpad to help users focus on their most important priorities and projects. Home puts each individual's personal slice of the Asana Work Graph at the center of their Asana, to prioritize their workday, see how their tasks impact the overall workflow, and connect with collaborators from the get-go.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can drag-and-drop and reconfigure the layout of widgets to personalize and quickly get insight into the work that matters most.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My Tasks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My Tasks provides a single, clear view of every task and due date assigned to an individual so that they start their day knowing exactly what they need to do, by when. Items can be organized, labeled, and dragged and dropped into different categories so that individuals can prioritize their part of a project or any process-related tasks. Individuals can create rules for their own My Tasks to automate tracking their work. My Tasks also integrates with an individual’s existing apps, creating an accurate picture of all in-flight work.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individuals have their own My Tasks and can customize it in a way that works best for them by viewing their tasks in List, Board, or Weekly Calendar View. Team members can view other team members’ tasks to see what they are working on, subject to permissions associated with that task or individual. Individuals also have the option to create private tasks, which are only visible to themselves and the people they have explicitly added as collaborators.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Inbox</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updated—trigger a notification that appears in the Inbox of anyone who follows the task or belongs to the project, unless that person has modified their notification settings for that project. Individuals can filter their Inbox based on tasks assigned to them, tasks they’ve assigned to others and tasks where they are @-mentioned so they can focus on their top priorities.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List View</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Calendar View</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View</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subtasks, comments, and previews of the latest attached files.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Timeline View</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with the option to maintain the existing buffer between tasks. Timeline helps ensure work stays on track and all team members have clear visibility over the steps involved and progress towards the end goal.</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Timeline is particularly relevant for time-bounded initiatives which have timing and sequencing dependencies. Timeline also provides executives and project stakeholders an at-a-glance view of the critical path.</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Workload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Dashboards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Dashboards help customers visualize and communicate their team’s work in more meaningful ways. Dashboards provide customizable charts that auto-populate with real-time work insights like how many tasks have been completed and who is overloaded – all with no coding or search queries required.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Automated Workflows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Workflow Builder</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Previously, only IT or system administrators could build workflows. We have democratized that power with Workflow Builder, a point-and-click tool that makes it easy for every knowledge worker to create automated workflows.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Users can also add everyday apps — like Google Workspace, Microsoft 365, Slack, Adobe Creative Cloud, Salesforce, and Zoom – right into their workflows. This means Asana can serve as the connective tissue across existing best-of-breed collaboration solutions.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Template Library is where users can save, share, and reuse their most successful workflows. It also features industry-approved templates made in collaboration with leading organizations around the globe.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Gmail, Microsoft, Slack, Jira, HubSpot, and Dropbox can also trigger rules, making it easy to automate manual work across applications.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Universal Reporting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Asana's Universal Reporting gives real-time, actionable insights into teams’ progress across the entire organization. Powered by the Asana Work Graph, users can create charts on any stream of work or goals and clickthrough on any section to see the underlying data and understand where work stands. Individuals can use this information to communicate progress to stakeholders with Status Reports or build comprehensive Project Dashboards to monitor and track the health of their workflows.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users need to find specific information, Advanced Search allows individuals to use search parameters to find tasks, projects, and messages quickly and easily. Search criteria can then be saved and easily referenced with just a single click.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Integrations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Integrations connect applications to Asana, which provides a central hub for managing work. Teams save time by eliminating the need to switch between apps. By providing this centralized hub, Asana ensures that cross-functional work in other tools is tracked and completed.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Asana platform integrates with over 260 third-party applications including:</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Microsoft 365 apps such as Teams, Outlook, OneDrive, SharePoint, Power Automate, Power Bi, and Azure Active Directory;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Google Workspace apps such as Gmail, Drive, Chat, Calendar, Chrome, Looker, and Sheets;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Enterprise IT apps such as Splunk, ServiceNow, Okta, Azure Active Directory, MuleSoft, BetterCloud, Workato, and Exterro;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Design apps such as Adobe Creative Cloud, Canva, Figma, HubSpot, Mailchimp, Lucidchart, and InVision;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Communication apps such as Microsoft Teams, Gmail, Slack, Zoom, Google Chat, Vimeo, Wistia, Intercom, and Loom;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sharing apps such as Google Drive, Microsoft OneDrive, Box, Bynder, and Dropbox;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service apps such as Salesforce, ServiceNow, Zendesk, HubSpot, Freshdesk, and Zoho;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apps such as GitHub, Jira, PagerDuty, and ServiceNow;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Reporting apps such as Tableau, Microsoft Power BI, Looker, and Google Sheets;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Privacy, and Compliance apps such as Exterro, Netskope, Splunk, Nightfall, and OneTrust;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Connector apps such as MuleSoft, Zapier, Workato, Microsoft Power Automate, and tray.io.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architecture we have built to power Asana is secure and scalable, offering users a customized experience that is easy to navigate while handling complex data management behind the scenes. We designed our systems to allow flexible access to the Asana Work Graph, allowing us to build rich new functionality quickly and innovate in the work management space.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Extensible, Efficient Technology Platform</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cloud-native platform includes proprietary software services built on top of infrastructure provided by our preferred cloud provider Amazon Web Services. We shard customer data in our distributed datastore to scale horizontally and provide high performance, and redundancy across multiple third-party data centers in several locations around the world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provide our software as a service to customers, so the technology we build includes deployment tools to ensure we can publish software updates rapidly and safely, as well as monitoring and automation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 to Security and Privacy</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security program is aligned to the American Institute of Certified Public Accountants (“AICPA”) Trust Services Criteria for Security, Availability, and Confidentiality as well as the ISO 27001:2013 standards. We issue a SOC 2 Type II report on an annual basis and are certified against ISO 27001:2013, ISO 27017:2015, ISO 27018:2019, and ISO/IEC 27701:2019. This means that independent third parties have both validated our processes and practices with respect to these standards, and confirmed our ability to maintain compliance with controls we have implemented.</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built our platform with security features, integrations, and infrastructure that are designed to be scalable as we develop and introduce new functionality. We have implemented a variety of safeguards to protect the security of our platform, including encrypting user data in transit and at rest, replicating our databases to support reliability of the platform, and controlling access to our facilities and office network. Asana also offers Enterprise customers the additional visibility and control with capabilities such as multi-factor authentication, audit logs, security information event management (“SIEM”), data governance, and international data residency, to further the security of their teams’ data. Enterprise customers can also purchase Enterprise Key Management to gain more control over their data and meet their organization’s most critical compliance needs.</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to security, we are deeply committed to privacy and to protecting and honoring the privacy rights of our customers. We have established a comprehensive privacy and data protection compliance program, aligning our practices with regulations such as the General Data Protection Regulation (“GDPR”) and the California Consumer Privacy Act (“CCPA”) and privacy certifications such as ISO/IEC 27701:2019 and ISO 27018:2019, including by delivering periodic training to our employees on privacy best practices, reviewing and mapping the data we collect, use, and share, and creating a customer rights program and response process to honor the requests of our customers exercising their privacy rights. Additionally, Enterprise customers can purchase a version of Asana that is compliant with the U.S. Health Insurance Portability and Accountability Act (“HIPAA”). Above all, we strive to be transparent about our privacy and data protection practices, independent of legal obligations. Law and regulatory guidance continues to evolve when it comes to privacy and data protection. As data protection authorities and regulators interpret and issue guidance on the GDPR, along with other new and existing data protection laws around the world, we will continue to follow developments and enhance our program as needed.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ordinary course of our business, we may process confidential, proprietary, and sensitive information, including personal information. Accordingly, we are, or may become, subject to numerous privacy, data protection, and security obligations, including federal, state, local, and foreign laws, regulations, guidance, industry standards, and other obligations related to data privacy and security. Such obligations may include, without limitation, the Federal Trade Commission Act, the CCPA,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and the Payment Card Industry Data Security Standard (“PCI DSS”). Several states within the United States have enacted or proposed privacy, data protection, and security laws. For example, Virginia passed the Consumer Data Protection Act, and Colorado passed the Colorado Privacy Act. Additionally, we are, or may become, subject to various U.S. federal and state consumer protection laws which require us to publish statements that accurately and fairly describe how we handle personal information and choices individuals may have about the way we handle their personal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CCPA and EU GDPR are examples of the increasingly stringent and evolving regulatory frameworks related to personal information processing that may increase our compliance obligations and exposure for any noncompliance. For example, the CCPA imposes obligations on covered businesses to provide specific disclosures related to a business’s collection, use, and disclosure of personal information and to respond to certain requests from California residents related to their personal information (for example, requests to know of the business’s personal information processing activities, to delete the individual’s personal information, and to opt out of certain personal information disclosures). Also, the CCPA provides for civil penalties and a private right of action for data breaches which may include an award of statutory damages. In addition, the California Privacy Rights Act of 2020 (“CPRA”), effective January 1, 2023, expanded the CCPA by, among other things, giving California residents the ability to limit use of certain sensitive personal information, establishing restrictions on personal data retention, expanding the types of data breaches that are subject to the CCPA’s private right of action, and establishing a new California Privacy Protection Agency to implement and enforce the new law.</w:t>
      </w:r>
    </w:p>
    <w:p>
      <w:pPr>
        <w:spacing w:after="0" w:line="1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Foreign privacy, data protection,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information processing to only what is necessary for specified, explicit, and legitimate purposes; requiring a legal basis for personal information processing; complying with specific requirements to process health-related data; requiring the appointment of a data protection officer in certain circumstances; increasing transparency obligations to data subjects; requiring data protection impact assessments in certain circumstances; limiting the collection and retention of personal information; increasing rights for data subjects; formalizing a heightened and codified standard of data subject consents; requiring the implementation and maintenance of technical and organizational safeguards for personal information; mandating notice of certain personal data breaches to the relevant supervisory authority(ies) and affected individuals; and mandating the appointment of representatives in the UK and/or the EU in certain circumstances.</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the section 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additional information about some of the laws and regulations to which we may become subject and about the risks to our business associated with such laws and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As of January 31, 2023, we had over 139,000 paying customers globally, representing an increase of approximately 20,000 paying customers from January 31, 2022 and an increase of approximately 46,000 from January 31, 2021. Of those paying customers, 19,432 spent $5,000 or more with us on an annualized basis, representing an increase of 3,995 paying customers from January 31, 2022 and an increase of 9,258 paying customers from January 31, 2021. Additionally, 506 of those paying customers spent $100,000 or more with us on an annualized basis, representing an increase of 166 paying customers from January 31, 2022 and an increase of 358 paying customers from January 31, 2021.</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current customer base spans numerous industry categories, including technology, retail, education, non-profit, government, healthcare, hospitality, media, manufacturing, professional services, and financial services, and includes many category leaders across these diverse industries.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employ a hybrid go-to-market approach, combining a product-led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Product-led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majority of our paying customers initially adopt our platform through product-led channels, like signing up on our website, and free trials. To demonstrate the value of our platform to potential paying customers, we provide free trials of our paid Asana Business offering, in addition to our free Basic offering, for teams of up to 15 people. As individuals, teams, and their guests realize the productivity benefits we provide, Asana becomes an integral part of their day-to-day work and critical to helping them achieve their objectives.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 Sales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conjunction with our product-led model, we have a targeted direct sales team focused on promoting new use cases and expanding our footprint within our existing customer base. Our direct sales force has a global presence, and consists of sales teams focused primarily on accounts with expansion opportunities including department-specific and organization-wide use cases such as strategic planning, employee onboarding, and goal setting.</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and Customer Success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market our platform through owned properties, such as our website and social media channels, media coverage, paid acquisition, and word of mouth to promote discovery and adoption. Every month millions of people visit asana.com, and hundreds of thousands of people register for the product. Our customers also have the ability to invite external parties to collaborate on specific Asana projects, which supports viral adoption of our platform.</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global community of customers and experts, Asana Together, connects customers, both online and offline, and creates champions. Through Asana Together, customers have access to our Community Forum to ask questions and connect with peers. We also support Asana Ambassadors (go-to enthusiasts who assist with and promote adoption within their networks) and Asana Partners (independent third-party Asana consultants, resellers, and system integrators who offer their services for a discretionary fee to help teams make the most of their experience on our platform). Through Asana Together, we have hosted multiple in-person events on five different continents.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inflation in the regions where most of our sales occur has not had a significant effect on our net revenues or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product development and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adaptability to a broad range of use cases;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features and functionality of platform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and enhancements of work management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hybrid go-to-market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use, performance, price, and reliability of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scalability and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strength;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ability to create easy to use integrations for, and robust, effective partnerships with, other larger enterprise software solutions and tools.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certain parts of our service. As a result, open source development and licensing practices can limit the value of our software copyright assets.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31, 2023, we had been granted 41 U.S. patents, had 73 U.S. patent applications pending, and four notices of allowance. Our issued patents expire between January 2030 and March 2042.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w:t>
      </w:r>
      <w:r>
        <w:rPr>
          <w:rFonts w:ascii="Arial" w:cs="Arial" w:eastAsia="Arial" w:hAnsi="Arial"/>
          <w:sz w:val="17"/>
          <w:szCs w:val="17"/>
          <w:i w:val="1"/>
          <w:iCs w:val="1"/>
          <w:color w:val="auto"/>
        </w:rPr>
        <w:t>Item 1A. Risk Factors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aim to be the change we want to see in the workplace. This strategy makes us a better company and contributes to the type of culture we want to work in: inclusive, dynamic, and engaging.</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fundamentally that the investments we make in our company culture help to fuel our business success. On Glassdoor, we’ve consistently had an overall score of greater than 4.5 out of 5.0 and greater than 90% for our ratings of “CEO approval” and “Recommend to a Friend”. Our focus on building an inclusive, dynamic, and engaging company culture has led to global recognition, as evidenced by the following awards:</w:t>
      </w:r>
    </w:p>
    <w:p>
      <w:pPr>
        <w:spacing w:after="0" w:line="111" w:lineRule="exact"/>
        <w:rPr>
          <w:sz w:val="20"/>
          <w:szCs w:val="20"/>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 Place to Work and Fortune Best Workplaces in the Bay Area 2022 for the sixth year in a row, debuting at #18 for our first year in the large company category;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 Place to Work and Fortune Best Workplaces for Millennials 2022 #9 for the fifth year in a row;</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 Place to Work and Fortune Best Workplaces in Technology 2022 for the fifth year in a row, debuting at #21 for our first year in the large company category;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 Place to Work and Fortune Best Workplaces 2022 #9 for Women for the fifth year in a row;</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 Place to Work and Fortune Best Workplaces for Parents 2022 for the third year in a row, #22 out of 70 and for the first time in the large company category;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 Best Workplaces 2022 for the fifth year in a row;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Glassdoor Best Places to Work 2023 #63.</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our most recent global employee engagement survey, 80% of our employees indicated they would recommend Asana as a great place to work and 80% reported feeling an overall sense of belonging.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Asana employed 1,782 people as of January 31, 2023, of which approximately 78% were located in the United States and approximately 22% were located internationally.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Diversity, Inclusion, and Belonging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the best teams are diverse in identity, background, and perspectives. In 2015, we created a dedicated diversity, inclusion, and belonging (“DIB”) function. Our DIB programs support every employee at Asana to thrive, enabling us to better serve the needs of our diverse customer base. Our DIB strategy can be broken down into three elements:</w:t>
      </w:r>
    </w:p>
    <w:p>
      <w:pPr>
        <w:spacing w:after="0" w:line="13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Building a strong foundation of support and resources for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and developing talent from underrepresented groups and backgrounds,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Creating an environment that allows our employees to thrive and do their best work.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Build: We’re intentional about laying a foundation of support and resources for our employees to be successful including: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Comprehensive DIB onboarding curriculum for new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Mandatory anti-harassment training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Bias awareness training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Psychological safety workshops for managers and their teams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Inclusive leadership workshops for managers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16 weeks of parental leave, regardless of gender</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Recruit: We believe hiring and developing talent from underrepresented groups and backgrounds is a shared responsibility. Some examples of how we have taken on some of that responsibility here at Asana are detailed below.</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representation goals related to race/ethnicity and gender, across our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Auditing and building equitable hiring processes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Dedicated outreach to candidates from underrepresented communities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Partnering with organizations aligned with underrepresented communities in the technology space including Techqueria, AfroTech, Year Up, and The Marcy Lab School</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individual careers through AsanaUp, our apprenticeship program focused on providing pathways to roles at Asana for individuals from historically marginalized communities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Inclusivity, Diversity, and Equity for Asana Leadership (“IDEAL”) Interviewing Policy, which ensures we interview at least one candidate from an underrepresented group and one non-male candidate for every leadership role</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Thrive: Our goal is to create an environment so inclusive that every employee of Asana feels confident bringing the parts of themselves to work that they need to in order to thrive in their role. We have taken several steps to cultivate an inclusive company culture including:</w:t>
      </w:r>
    </w:p>
    <w:p>
      <w:pPr>
        <w:spacing w:after="0" w:line="116" w:lineRule="exact"/>
        <w:rPr>
          <w:sz w:val="20"/>
          <w:szCs w:val="20"/>
          <w:color w:val="auto"/>
        </w:rPr>
      </w:pPr>
    </w:p>
    <w:p>
      <w:pPr>
        <w:ind w:left="66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Thriving online communities that connect through social engagement and open conversations. This includes facilitating discussions on issues that are important to our communities, including race, sexuality, mental health and allyship, promoting belonging and psychological safety.</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Supporting and funding seven Employee Resource Groups (“ERGs”) each supported by a sponsor ERG Lead (a senior member of our leadership team): AsanaWomen, AsanaWomen EMEA, Asanapac, Blacsana, Gradient, Raíz, and Team Rainbow. All ERG Leads also participate in an ERG Leadership Development program designed to strengthen leadership skills.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our ERGs, we support employee driven communities for parents and caregivers, mental health and wellness, and people with disabilities.</w:t>
      </w:r>
    </w:p>
    <w:p>
      <w:pPr>
        <w:spacing w:after="0" w:line="19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robust mental health and wellness benefits, including free therapy and mental health coaching sessions for all employees.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 DIB Council, an internal group of cross-functional stakeholders including executive leaders that weigh in on and provide perspectives on various initiatives undertaken by the DIB team.</w:t>
      </w:r>
    </w:p>
    <w:p>
      <w:pPr>
        <w:spacing w:after="0" w:line="116"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Signing amicus briefs that support inclusion and equity, including: opposing anti-transgender laws, supporting the Voting Rights Act of 1965, opposing restricting access to reproductive healthcare, supporting the Deferred Action for Childhood Arrivals program, supporting non-discrimination rights for LGBTQ+ Americans, and supporting protection for sanctuary cities in the United States.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DIB initiatives have helped us cultivate a diverse and inclusive workforce. As of January 31, 2023, of our global workforce approximately 44% identify as Caucasian, 40% identify as Asian, 7% identify as Hispanic or Latinx, 5% identify as Black or African American, 2% identify as Middle Eastern, 1% identify as Pacific Islander, and 1% identify as Native American, Alaskan, Indigenous. Additionally, of our global workforce, as of January 31, 2023, approximately 45% of our employees identify as female, 54% identify as male, and 1% identify as TGNC, which includes the categories of agender, gender non-conforming, genderqueer, transgender, and non-binary.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Additional information regarding our commitment to diversity and inclusion can be found on our website at </w:t>
      </w:r>
      <w:r>
        <w:rPr>
          <w:rFonts w:ascii="Arial" w:cs="Arial" w:eastAsia="Arial" w:hAnsi="Arial"/>
          <w:sz w:val="16"/>
          <w:szCs w:val="16"/>
          <w:u w:val="single" w:color="auto"/>
          <w:color w:val="auto"/>
        </w:rPr>
        <w:t>https://asana.com/diversity-and-inclusion</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Information contained on, or that can be accessed through, our website is not incorporated by reference into this Annual Report on Form 10-K.</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highly skilled employees. We provide our employees with competitive cash compensation, opportunities for equity ownership at all levels of the organization, development programs that enable continued learning and growth (including access to 1:1 professional coaching for every employee) and a robust employment package that promotes well-being across all aspects of their lives, including health care, retirement savings vehicles, and paid time off. Our compensation programs are designed to align employee interests with the long-term success of the company and to foster cross-business collaboration. As part of our promotion and retention efforts, we invest in ongoing leadership development through programs such as our Conscious Leadership training program, and encourage managers to utilize development offerings in our learning and development platform. In addition, we regularly conduct employee surveys to gauge employee engagement and identify areas of focus.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 Equity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run a regression-based analysis of our pay by gender identity globally (where we are legally allowed to collect this data) and our pay by race/ethnicity in North America to ensure our compensation practices are equitable. We run this analysis at least twice a year in partnership with a third-party pay equity firm. We have a dedicated budget maintained to remediate statistically significant, systematic pay gaps that may be discovered in the course of these studies.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Response to COVID-19 Pandemic</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Since the onset of the COVID-19 pandemic, we have prioritized the safety, health, and wellbeing of all our employees globally. We have a cross-functional task force that meets bi-weekly to assess current conditions and ensure we continue to maintain a safe working environment for all. For example, we temporarily closed our headquarters and other physical offices when COVID-19 was at its respective peaks, ensured all of our employees and contractors were set up to work remotely, and implemented in-person meeting and business travel restrictions. After opening our headquarters and other physical offices to employees and shifting to an office-centric hybrid model, we provided personal protective equipment and COVID-19 test kits to all employees, required proof of full vaccination or proof of negative COVID-19 test result to work in the office (for those locations where we are legally able to do so), and have set parameters to make in-office collaboration voluntary in times of increased community spread.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were incorporated under the laws of the state of Delaware in December 2008. Our principal executive offices are located at 633 Folsom Street, Suite 100, San Francisco, CA 94107. Our telephone number is (415) 525-3888. Our website address is https://asana.com. Information contained on, or that can be accessed through, our website is not incorporated by reference into this Annual Report on Form 10-K. The Asana design logo, “Asana,”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website located at investors.asana.com as soon as reasonably practical after we file such material with, or furnish it to, the SEC.</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announce material information to the public using SEC filings, press releases, public conference calls, and on the investor relations page of our website at https://investors.asana.com. We use these channels, as well as social media, including our Twitter account (@asana), our blog (blog.asana.com), our LinkedIn page (www.linkedin.com/company/asana), our Instagram account (@asana), our TikTok account (@asana), and our Facebook page (www.facebook.com/asana/),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the other information in this Annual Report on Form 10-K, including the section titled “Management’s Discussion and Analysis of Financial Condition and Results of Operations” and our consolidated financial statements and related notes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1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new individuals, teams, and organizations as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 or maintain our dollar-based net retention rate, expand usage within organizations, and sell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our subscription plans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convert individuals, teams, and organizations on our free and trial versions into paying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including in markets outside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strategically expand our sales force and leverage our existing sales capacity;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awareness of our brand on a global basis.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been growing rapidly in recent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We have encountered, and will continue to encounter, risks and uncertainties frequently experienced by growing companies in evolving industries. In addition, our future growth rate is subject to a number of uncertainties, such as general macroeconomic and market conditions, including those caused by the COVID-19 pandemic, rising interest rates, inflation, actual or anticipated banking failures, instability in financial markets, and economic downturns or recessions in the regions in which we do business.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achieve profitability or, if achieved, sustain profitability.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incurred net losses in each fiscal year since our founding. We generated net losses of $407.8 million and $288.3 million for the fiscal years ended January 31, 2023 and January 31, 2022, respectively. As of January 31, 2023, we had an accumulated deficit of $1,237.6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continue to make future investments and expenditures related to the growth of our business, including:</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investment in our sales and marketing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investments in research and development to introduce new features and enhancements to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employees necessary to support our goals;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investments in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leveraging our operations across our multiple geographies;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our general and administrative organization.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 significant part of our business strategy and culture is to focus on long-term growth and customer success over short-term financial results. For example, in the fiscal year ended January 31, 2023, we increased our operating expenses to $898.5 million as compared to $604.7 million in the fiscal year ended January 31, 2022. In the fiscal year ended January 31, 2023, our net loss increased to $407.8 million from $288.3 million in the fiscal year ended January 31, 2022. As a result, in the near and medium term, we may continue to operate at a loss, or our near- and medium-term profitability may be lower than it would be if our strategy were to maximize near- and medium-term profitability. We expect to continue making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meet our expectations or those of investors or securities analysts.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1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demand for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within organizations, and sell subscriptions;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which would lead to lower revenues, increased costs, or both;</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expenses and recognition of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to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buying patterns for software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rising global interest rates, which may affect our customers’ spending patterns and our return on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inflation on our costs and on customer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businesses, talent, technologies, or intellectual property, including potentially significant amortization costs and possible write-downs;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recent restructuring, announced on November 15, 2022, may not result in anticipated savings or operational efficiencies, could result in total costs and expenses that are greater than expected, and could disrupt our business.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November 15, 2022, we authorized a plan to reduce our global headcount by approximately 9%. This plan was adopted as part of a restructuring intended to improve operational efficiencies and operating costs and better align our workforce with current business needs, top strategic priorities, and key growth opportunities. We may incur additional expenses not currently contemplated due to events associated with the reduction in force—for example, the reduction in force may have a future impact on other areas of our liabilities and obligations, which could result in losses in future periods. We may not realize, in full or in part, the anticipated benefits and savings from this restructuring due to unforeseen difficulties, delays or unexpected costs. If we are unable to realize the expected operational efficiencies and cost savings from the restructuring, our operating results and financial condition would be adversely affected. In addition, we may need to undertake additional workforce reductions or restructuring activities in the future.</w:t>
      </w:r>
    </w:p>
    <w:p>
      <w:pPr>
        <w:spacing w:after="0" w:line="1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Furthermore, our restructuring may be disruptive to our operations. For example, our workforce reduction could yield unanticipated consequences, such as attrition beyond planned staff reductions, increased difficulties in our day-to-day operations and reduced employee morale. If employees who were not affected by the reduction in force seek alternative employment, this could result in unplanned additional expense to ensure adequate resourcing or harm our productivity. Our workforce reduction could also harm our ability to attract and retain qualified management, sales and marketing personnel who are critical to our business. Any failure to attract or retain qualified personnel could adversely affect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The COVID-19 pandemic has affected how we, our partners, and our customers operate and has adversely affected the global economy, and the duration and extent to which this will affect our business, future results of operations, and financial condition remains uncertain.</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COVID-19 pandemic and efforts to control its spread and severity have significantly curtailed the movement of people, goods, and services worldwide. In March 2020, we closed our offices and implemented other precautionary measures that represented a significant disruption to how we operate our business. The operations of our partners, vendors, and customers have likewise been disrupted. While we have re-opened our physical offices and shifted to an office-centric hybrid work model, in-office collaboration is voluntary in times of increased community spread, and could therefore be further disrupted should the severity of the pandemic worsen.</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the duration of the COVID-19 pandemic depends on future developments that cannot be accurately predicted at this time, it has had an adverse effect on the global economy and the ultimate societal and economic impact of the COVID-19 pandemic remains unknown. In particular, the conditions caused by this pandemic may affect the rate of global IT spending, which could adversely affect demand for our platform. Further, the COVID-19 pandemic has caused us to experience, in some cases, longer sales cycles and has limited the ability of our direct sales force to travel to customers and potential customers.</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While we have developed and continue to develop plans to help mitigate the negative impact of COVID-19 on our business and operations, these efforts may not be effective, and any protracted economic downturn will likely limit the effectiveness of our efforts. Accordingly, it is not possible for us to predict the duration and extent to which this will affect our business, future results of operations, and financial condition at this time.</w:t>
      </w:r>
    </w:p>
    <w:p>
      <w:pPr>
        <w:spacing w:after="0" w:line="1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 upgrade to our Business or Enterprise plans. Additionally, we seek to expand within organizations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 organizations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Limitations on travel and in-person meetings have interrupted and could continue to interrupt our sales activity, and though we have largely returned to normal operations in the second half of fiscal 2023, we cannot fully predict whether, for how long, or the extent to which the COVID-19 pandemic and related precautionary measures may impact our sales activity. If our efforts to sell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organizations of all sizes are not successful or do not generate additional revenues, our business, results of operations, and financial condition would suffer.</w:t>
      </w:r>
    </w:p>
    <w:p>
      <w:pPr>
        <w:spacing w:after="0" w:line="19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including a downturn or recession, rising inflation and rising interest rates, or customers’ budgetary constraints. If customers do not renew their subscriptions, renew on less favorable terms, or fail to add more individuals, teams, and organizations, or if we fail to upgrade individuals, teams, and organizations from our free or trial plans to our paid subscription plans, or expand the adoption of our platform within organizations, our revenues may decline or grow less quickly than anticipated, which would harm our business, results of operations, and financial condition. The current macroeconomic environment, including rising interest rates, instability in financial markets, bank failures, and headwinds for technology customers, may impact the adoption of our platform generally and our success in engaging with new customers and expanding relationships with existing customers may be impacted by these conditions. If our customers are materially negatively impacted by these factors, such as being unable to access their existing cash to fulfill their payment obligation to us due to future bank failures, our business could be negatively impacted. As a result of these macroeconomic conditions, and any corresponding actions customers may take to manage costs, we may continue to experience a reduction in renewal rates,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macroeconomic uncertainties may not be fully reflected in our operating results and overall financial performance until future periods. If we fail to predict customer demands, fail to sufficiently account for the impact of macroeconomic conditions on our sales projections, or fail to attract new customers and maintain and expand new and existing customer relationships, our revenues may grow more slowly than expected, may not grow at all, or may decline, and our business may be harmed.</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One of our marketing strategies is to offer free and trial subscription plans, and we may not be able to continue to realize the benefits of this strategy.</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and expect to continue to derive, substantially all of our revenues from a single solution.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derive, and expect to continue to derive, substantially all of our revenues from a single solution.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price, product, and service changes by us or our competitors; technological changes and developments within the markets we serve; growth, contraction, and rapid evolution of our market; and general economic conditions and trends including a downturn or recession, rising inflation and rising interest rates.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market for work management solutions develops more slowly than we expect or declines, our business would be adversely affected.</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teams,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competition presents an ongoing threat to the success of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companies offering productivity suites, and companies specializing in vertical solutions that address a portion of our market.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 the following:</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adaptability of our platform to a broad range of use cases;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market acceptance of our platform and the timing and market acceptance of new features and enhancements to our platform or the offerings of our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ease of use, performance, price, security, and reliability of solutions developed either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brand strength;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and marketing efforts, including our ability to grow our market share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and diversity of our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support efforts;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continue to create easy to use integrations for, and robust, effective partnerships with, other larger enterprise software solutions and tools.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 Our competitors may also offer their products and services at a lower price, may offer price concessions, delayed payment terms, financing terms, or other terms and conditions that are more enticing to potential customers.</w:t>
      </w:r>
    </w:p>
    <w:p>
      <w:pPr>
        <w:spacing w:after="0" w:line="1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leverage our direct sales capabilities would harm our ability to expand usage of our platform within our customer base and achieve broader market acceptance of our platform.</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leverage our direct sales force, both domestically and internationally, to expand use of our platform within our customer base, and reach larger teams and organizations. We may additionally make strategic investments in expanding our sales capabilities in the future. We have invested and continue to invest financial and other resources to train and develop our direct sales force in order to complement our product-led go-to-market approach. Our business, results of operations, and financial condition will be harmed if our efforts do not generate a corresponding increase in revenues. We may not achieve anticipated revenue growth from our direct sales force if we are unable to leverage and develop talented direct sales personnel, if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and that developing and growing the skills of these personnel takes significant time and resources. Our ability to achieve revenue growth will depend, in large part, on our success in training and retaining sufficient numbers of capable sales personnel to support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9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Operating our business and platform involves the collection, processing, storage, and transmission of sensitive, regulated, proprietary and confidential information, including our personal information and business information and those of our customers. As a result, we and the third parties upon which we rely face a variety of evolving threats, including but not limited to ransomware attacks, which could cause security incidents. Security incidents can compromise the confidentiality, integrity, and availability of this information or our systems. Such incidents could include, but are not limited to, cyber attacks, software bugs and vulnerabilities, server malfunctions, software or hardware failures, malicious code, malware, viruses, social engineering (including phishing), ransomware, supply chain attacks and vulnerabilities through our third-party partners, denial-of-service attacks, credential stuffing, credential harvesting, loss of data or other information technology assets, adware, telecommunications failures, earthquakes, fires, floods, and other similar threats, efforts by individuals or groups of hackers and sophisticated organizations, including state-sponsored organizations, errors or malfeasance of our personnel, misconfiguration, and security vulnerabilities in the software or systems on which we rely.</w:t>
      </w:r>
    </w:p>
    <w:p>
      <w:pPr>
        <w:spacing w:after="0" w:line="1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Ransomware attacks, including those perpetrated by organized criminal threat actors, nation-states, and nation-state-supported actors, are becoming increasingly prevalent and severe and can lead to significant interruptions in our operations, loss of confidential, proprietary, and sensitive data and income, reputational harm, and diversion of funds. Extortion payments may alleviate the negative impact of a ransomware attack, but we may be unwilling or unable to make such payments due to, for example, applicable laws or regulations prohibiting such payments.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 Threats such as these are constantly evolving and therefore grow increasingly sophisticated and complex, which in turn increases the difficulty of detecting and successfully defending against them.</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we have implemented security measures designed to protect against or remediate for a security incident, there can be no assurance that these measures will be effective. Additionally, we rely on or partner with third-party vendors and systems that have made representations as to their security measures but there can be no assurance that they will maintain their own security measures appropriately. Breaches of our security measures or those of our third-party service providers, including supply chain attacks or other threats to our business operations, could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liabilities, such as investigations, fines, penalties, audits, inspections, injunctions, additional oversight, or restrictions or bans on processing personal information. Actual or anticipated security breaches or attacks may cause us to incur increasing costs, including costs to deploy additional personnel and protection technologies, train employees, and engage third-party experts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also violate applicable privacy, data protection, data security, and other laws, and cause significant legal and financial exposure, adverse publicity, and a loss of confidence in our security measures, which could have a material adverse effect on our business, results of operations, and financial condition. Applicable privacy and information security obligations may also require us to notify relevant stakeholders, such as governmental authorities, partners, and affected individuals, of security breaches or incidents. Such notifications may involve inconsistent requirements and are costly, and the notifications or the failure to comply with such requirements could lead to adverse consequences.</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our contracts may not contain limitations of liability, and even when they do, there can be no assurance that the limitations of liability in our contracts are sufficient to protect us from liabilities, claims, or damages if we fail to comply with applicable obligations related to privacy, data protection, or data security.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Moreover, Amazon Web Services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 or perceived errors, failures, vulnerabilities, or bugs in our platform would harm our business, results of operations, and financial condition.</w:t>
      </w:r>
    </w:p>
    <w:p>
      <w:pPr>
        <w:spacing w:after="0" w:line="1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application programming interfaces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4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 our platform includes both a mobile and a desktop application to enable individuals, teams, and organizations to access our platform on multiple device types. If either our mobile or desktop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loss of one or more of our key personnel, in particular our co-founder, President, Chief Executive Officer, and Chair, Dustin Moskovitz, would harm our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 and key employees are employed on an at-will basis. We currently do not have “key person” insurance on any of 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equity awards, or by other compensation arrangements, may not be as effective as in the past. Additionally, increased inflation rates can adversely affect us by increasing our costs, including labor and employee benefit costs. Employee salaries and benefits expenses have increased as a result of economic growth and increased demand for business services among other wage-inflationary pressures and we cannot assure you that they will not continue to rise. Many of the companies with which we compete for experienced personnel have greater resources than we have. Our recruiting efforts may also be limited by laws and regulations, such as restrictive immigration laws, and restrictions on travel imposed by certain governments, as well as delays in processing or a lack of availability of visas. In addition, our reduction in force in the fourth quarter of fiscal year 2023, and any future reductions in force or other restructuring intended to improve operational efficiencies and operating costs, may adversely affect our ability to attract and retain employees. If we do not succeed in attracting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excellent personnel or retaining or motivating existing personnel, we may be unable to innovate quickly enough to support our business model or grow effectively.</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employee engagement fostered by our culture, which could harm our business.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1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4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fees to list our application for download. We are also dependent on these third-party marketplaces to enable us and our users to timely update our mobile application, and to incorporate new features, integrations, and capabilities. We are subject to requirements imposed by marketplaces such as Apple and Google, who may change their technical requirements or policies in a manner that adversely impacts, among other things, the way in which we or our partners collect, use and share data from users through our mobile application. If we do not comply with these requirements, we could lose access to the mobile application marketplace and users, and our business, results of operations, and financial condition may be harmed.</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Apple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fiscal year ended January 31, 2023, 40% of our revenues were generated from customers outside the United States. We have operations in multiple cities globally.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13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need to localize and adapt our platform for specific countries, including translation into foreign languages and associated expenses;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collections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privacy, and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 such as global economic downturns or recessions in the regions in which we do business, bank failures, as well as macroeconomic and policy impacts of political instability and armed conflicts.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following Russia’s military invasion of Ukraine in February 2022, NATO deployed additional military forces to nearby countries in Eastern Europe, and the United States, European Union, and other nations announced various sanctions against Russia. The invasion of Ukraine and the retaliatory measures that have been taken, and could be taken in the future, by the United States, NATO, and other countries have created potential global security concerns and could have a lasting impact on regional and global economies, which could in turn adversely affect our business.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Continuing to leverage our existing international operations and any potential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Legal Matters, including Taxation and Intellectual Property</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2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would negatively affect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be public for a period of time, there is also a risk that we could adopt a technology without knowledge of a pending patent application, which technology would infringe a third-party patent once that patent is issued.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in the past and may in the future become subject to legal proceedings, demands, and claims that arise in the ordinary course of business. We (including our officers and directors) could be sued or face regulatory action for a number of issues, including defamation, civil rights infringement, breach of fiduciary duty, negligence, intellectual property rights infringement, violations of privacy, data protection or security laws,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portion of the technologies we use in our platform and mobile application incorporates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privacy, data protection,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receive, process, store, and use business and personal information belonging to individuals who interact with Asana, including our users and prospective, current, and former customers. There are numerous federal, state, local, and foreign laws and regulations regarding privacy, data protection, data security and the storing, sharing, use, processing, disclosure, and protection of business and personal information. These laws continue to evolve in scope and are subject to differing interpretations, and may contain inconsistencies or pose conflicts with other legal requirements. Preparing for and attempting to comply with these obligations requires significant resources and, potentially, changes to our technologies, systems, and practices and those of any third parties that process personal information on our behalf.</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seek to comply with applicable laws, regulations, policies, legal obligations, contracts, and industry standards and have developed privacy notices and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notices and policies, privacy-related obligations to users, customers, or other third parties, or our privacy-related legal obligations, or any data compromise that results in the accidental or unauthorized release, misuse, or transfer of business or personal information or other user or customer data, may result in domestic or foreign governmental enforcement actions, investigations, penalties, audits, inspections, fines, injunctions,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Foreign privacy, data protection, and data security laws have become more stringent in recent years, are undergoing a period of rapid change, and may increase the costs and complexity of offering our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services in new and existing geographies. For example, the EU GDPR, the UK GDPR, Australia’s Privacy Act, and Canada’s Personal Information Protection and Electronic Documents Act (“PIPEDA”), impose strict requirements for processing personal data, including health-related information. European privacy, data protection, and data security laws, including the EU GDPR and UK GDPR impose significant and complex burdens on processing personal information, provide for robust regulatory enforcement, and contemplate significant penalties for noncompliance. Non-compliance with the EU GDPR and UK GDPR can trigger fines of up to the greater of €20 million (£17.5 million for the UK GDPR) or 4% of our global revenues, restrictions or prohibitions on data processing, and exposure to private right of action and enforcement mechanisms including extensive audit and inspection rights, or private litigation related to processing of personal information brought by classes of data subjects or consumer protection organizations authorized at law to represent their interests.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Globally, certain jurisdictions have enacted data residency or data localization laws and have imposed requirements for cross-border transfers of personal information. For example, the cross-border transfer landscape in Europe is currently unstable and other countries outside of Europe have enacted or are considering enacting cross-border data transfer restrictions and laws requiring data residency or other restrictions around the location of the storage and processing of data, which could increase the cost and complexity of doing business. The EU GDPR generally restricts the transfer of personal information to countries outside of the EEA, such as the United States, which are not considered by the European Commission to provide an adequate level of privacy, data protection, and data security. In addition, Swiss and UK law contain similar data transfer restrictions as the EU GDPR. The European Commission recently released revised versions of the Standard Contractual Clauses as a mechanism to transfer data outside of the EEA and which imposes additional obligations to carry out cross-border data transfers. Although there are currently valid mechanisms available to transfer data from the EEA, there remains some uncertainty regarding the future of these cross-border data transfers. If we cannot implement a valid compliance mechanism for cross-border personal information transfers, we may face increased exposure to regulatory actions, substantial fines, and injunctions against processing or transferring personal information from the EEA or elsewhere. Inability to import personal information to the United States may significantly and negatively impact our business operations, including limiting our ability to collaborate with service providers, contractors, and other companies subject to European and other privacy, data protection, and data security laws; or requiring us to increase our data processing capabilities in Europe or elsewhere at significant expense.</w:t>
      </w:r>
    </w:p>
    <w:p>
      <w:pPr>
        <w:spacing w:after="0" w:line="12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rules regarding the use of online cookies and similar online trackers in the European Union are becoming more stringent in terms of the advance consent companies must obtain from data subjects before such trackers can be placed on browsers. Other regions of the world have likewise adopted privacy regulations that may result in increased restrictions on cookie collection and use, and fines for noncompliance. These developments may impact our analytics and advertising activities and our ability to analyze how users interact with our services.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European Union, a growing number of other global jurisdictions, such as Brazil, Japan, India and Canada, are considering or have passed legislation implementing privacy, data protection, and data security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EU GDPR.</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Domestic privacy, data protection, data security, and consumer protection legislation is also becoming increasingly common in the United States. For example, the CCPA came into effect on January 1, 2020 and final CCPA regulations were issued in August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Additionally, the California Privacy Rights Act (“CPRA”) approved by voters in California in November 2020, went into effect in January 2023. It imposes additional privacy, data protection, and data security obligations on companies doing business in California and is expected to increase enforcement activity. Similar laws have been proposed in other states and at the federal level, and if passed, such laws may have potentially conflicting requirements that would make compliance challenging. For example, Virginia enacted the Virginia Consumer Data Protection Act and Colorado passed the Colorado Privacy Act, both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emulate the CCPA and CPRA in many respects, but have unique requirements. Similar laws have been proposed in other states and at the federal level, reflecting a trend toward more stringent privacy, data protection, and data security legislation in the United States. The enactment of such laws could have potentially conflicting requirements that would make compliance challenging.</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Furthermore, the Federal Trade Commission and many state attorneys general continue to enforce federal and state consumer protection laws against companies and individuals for online collection, use, dissemination, and security practices that appear to be unfair or deceptive.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future laws, regulations, and standards may have on our business.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privacy, data protection, and security laws, we are or may become contractually subject to industry standards adopted by industry groups and may become subject to such obligations in the future. We are also bound by other contractual obligations related to privacy, data protection, and security, and our efforts to comply with such obligations may not be successful.</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subject to anti-corruption and anti-bribery and similar laws, such as the U.S. Foreign Corrupt Practices Act of 1977, as amended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1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b w:val="1"/>
          <w:bCs w:val="1"/>
          <w:i w:val="1"/>
          <w:iCs w:val="1"/>
          <w:color w:val="auto"/>
        </w:rPr>
        <w:t>We are subject to various export, import, and trade and economic sanction laws and regulations that could impair our ability to compete in international markets and subject us to liability for noncompliance.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activities are subject to various export, import, and trade and economic sanction laws and regulations, including, among others, the U.S. Export Administration Regulations, administered by the Department of Commerce’s Bureau of Industry and Security (“BIS”), and economic and trade sanctions regulations maintained by the U.S. Department of the Treasury’s Office of Foreign Assets Control (“OFAC”)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While we have implemented controls designed to promote and achieve compliance with applicable Trade Controls, in the past we may have inadvertently provided certain services to some customers in apparent violation of U.S. sanctions laws and exported software and source code prior to submitting required filings and obtaining authorization from BIS regarding exports of our software. As a result, we submitted voluntary self-disclosures concerning these activities to OFAC and BIS. On June 29, 2020, BIS determined not to pursue a civil monetary penalty against us and issued a warning letter to resolve our voluntary self-disclosure regarding past apparent inadvertent violations of the U.S. Export Administration Regulations. On February 25, 2021, OFAC determined not to pursue a civil monetary penalty against us or take other enforcement action and issued a cautionary letter to resolve our voluntary self-disclosure regarding past apparent inadvertent violations of the Iranian Transactions and Sanctions Regulations, the Syrian Sanctions Regulations, the Cuban Assets Control Regulations, and the Sudanese Sanctions Regulations. While the letters from BIS and OFAC represent final enforcement responses in each case, they do not preclude either BIS or OFAC from taking future enforcement actions under their respective authorities.</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Finally, changes in our platform or future changes in Trade Controls, such as those we have seen issued by the United States and other governments in response to the invasion of Ukraine by Russia,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Income, sales, use, value added,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be subject to taxation in several jurisdictions around the world with increasingly complex tax laws, the application of which can be uncertain. Although we have only been required to pay income and value-added taxes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filings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may be harmed if we are required to collect sales, value added, or other related taxes for subscriptions to our platform in jurisdictions where we have not historically done so.</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collect sales taxes and value added taxes in a number of jurisdictions. One or more states or countries may seek to impose incremental or new sales, use, value added, or other tax collection obligations on us. A successful assertion by a state, country, or other jurisdiction that we should have been or should be collecting additional sales, use, value added, or other taxes could, among other things, result in substantial tax payments, create significant administrative burdens for us, discourage potential customers from subscribing to our platform due to the incremental cost of any such sales, value added, or other related taxes, or otherwise harm our business, results of operations,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do not expect to become profitable in the near future, may never achieve profitability, and have incurred substantial net operating losses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We have experienced ownership changes since inception and our utilization of net operating loss carryforwards will be subject to annual limitations. However, it is not expected that the annual limitations will result in the expiration of tax attribute carryforwards prior to utilization. We may experience additional ownership changes in connection with subsequent shifts in our stock ownership (some of which shifts are outside our control). As a result, even if we attain profitability, we may be unable to use a material portion of our NOLs and other tax attributes.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Allocation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competitions, or unforeseen circumstances, or for other reasons. On an ongoing basis, we are evaluating sources of financing and may need to raise additional capital in the future. Our ability to obtain additional capital will depend on our development efforts, business plans, investor demand, operating performance, the condition of the capital markets, and other factors. If the overall economy is negatively impacted for an extended period, our results of operations, financial position and cash flows may be materially adversely affected. In addition, a severe prolonged economic downturn could result in a variety of risks to the business, including weakening our ability to develop potential businesses and a decreased ability to raise additional capital when needed on acceptable terms, if at all.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competition, or unforeseen circumstances would be adversely affected.</w:t>
      </w:r>
    </w:p>
    <w:p>
      <w:pPr>
        <w:spacing w:after="0" w:line="11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operating activities may be restricted as a result of covenants related to the indebtedness under our Credit Agreement, and we may be required to repay the outstanding indebtedness in an event of default, which would have an adverse effect on our business. Additionally, future operational challenges on the part of our lender could impact our ability to quickly access additional liquidity.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7, 2022, we entered into a credit agreement (the “Credit Agreement”) with several banks and other financial institutions or entities for which Silicon Valley Bank (“SVB”) acted as issuing lender, administrative agent and collateral agent, under which we may incur loans in an aggregate principal amount not to exceed $150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million, consisting of a term loan facility in an aggregate principal amount equal to $50 million and a revolving loan facility in an aggregate principal amount of up to $100 million, including a $30 million letter of credit sub-facility (collectively, the “November 2022 Senior Secured Credit Facility”). On March 10, 2023, SVB was closed by the California Department of Financial Protection and Innovation, which appointed the Federal Deposit Insurance Corporation (“FDIC”) as receiver. On March 14, 2023, the FDIC announced that substantially all third party contracts previously entered into by SVB, including the Credit Agreement, have been transferred to Silicon Valley Bridge Bank, National Association (“SVBBNA”) and that SVBBNA has assumed all obligations of SVB under those contracts. We currently expect to continue to have the ability to make additional borrowings under the November 2022 Senior Secured Credit Facility; however, should the ownership of the November 2022 Senior Secured Credit Facility or of SVBBNA change, or the operations of SVBBNA undergo additional restructurings, or if SVBBNA is otherwise unable to fulfill its commitments to lend under the terms of the facility, our ability to access this liquidity quickly or at all could be adversely impacted.</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the Credit Agreement includes customary conditions to borrowing and covenants, including restrictions on our ability to incur liens,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Credit Agreement contains financial covenants that require us to maintain a consolidated adjusted quick ratio of 1.25 to 1.00, as well as a minimum cash adjusted EBITDA, each tested on a quarterly basis. The Credit Agreement contains customary events of default relating to, among other things, payment defaults, breach of covenants, cross acceleration to material indebtedness, bankruptcy-related defaults, judgment defaults, and the occurrence of certain change of control events. Non-compliance with one or more of the covenants and restrictions or the occurrence of an event of default could result in the full or partial principal balance of the Credit Agreement becoming immediately due and payable and termination of the commitments. Our business may be adversely affected by these restrictions on our ability to operate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8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Financial Accounting Standards Board (“FASB”), the American Institute of Certified Public Accountants, the Securities and Exchange Commission, or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Annual Report on Form 10-K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(“NYSE”) or the Long-Term Stock Exchange (“LTSE”). We are required to provide an annual management report on the effectiveness of our internal control over financial reporting.</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independent registered public accounting firm is required to formally attest to the effectiveness of our internal control over financial reporting and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have historically transacted in U.S. dollars with the majority of our customers and vendors, we have also transacted in foreign currencies and for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0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w:t>
      </w:r>
      <w:r>
        <w:rPr>
          <w:rFonts w:ascii="Arial" w:cs="Arial" w:eastAsia="Arial" w:hAnsi="Arial"/>
          <w:sz w:val="16"/>
          <w:szCs w:val="16"/>
          <w:i w:val="1"/>
          <w:iCs w:val="1"/>
          <w:color w:val="auto"/>
        </w:rPr>
        <w:t>Item 7.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The results of these estimates form the basis for making judgments about the carrying values of assets, liabilities, and equity, and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expenses that are not readily apparent from other sources. Significant assumptions and estimates used in preparing our consolidated financial statements include those related to the useful lives and carrying values of long-lived assets, the fair value of the convertible note,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harm our business. In particular, health crises, such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COVID-19 pandemic, and international conflicts, such as the invasion of Ukraine by Russia and related economic sanctions, including the reactions of governments, markets, and the general public, may result in a number of adverse consequences for our business, operations, and results of operations, many of which are beyond our control. 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could decline significantly and rapidly.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trading price of our Class A common stock has been and could continue to be subject to wide fluctuations in response to numerous factors in addition to the ones described in the preceding Risk Factors, many of which are beyond our control, including:</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performance of the equity markets, the economy as a whole, and macroeconomic factors such as inflationary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pricing of subscription plans to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or of acquisitions, strategic partnerships, joint ventures, or capital-raising activities or commitments, by us or by our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 in the United States or globally;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bank failures, war, incidents of terrorism, or responses to these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purchases, or expectations with respect to such transactions, of shares of our Class A common stock by us or our security holders, particularly by our founders, directors, executive officers, and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stockholders, none of whom are subject to any contractual lock-up agreement or other contractual restrictions on transfer.</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For example, despite our revenue growing year over year, our stock price has experienced significant volatility in the past year due to general downturns and increased instability in the equity markets.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largest stockholder will have the ability to influence the outcome of director elections and other matters requiring stockholder approval.</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Dustin Moskovitz, our co-founder, President, Chief Executive Officer, Chair, and largest stockholder, beneficially owns a significant percentage of our outstanding Class A common stock and Class B common stock, together, representing a majority of the voting power of our capital stock as of January 31, 2023.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Class B common stock has 10 votes per share, and our Class A common stock, which is the stock listed on the NYSE and the LTSE has one vote per share. Our founders, directors, executive officers, and their affiliates hold a majority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w:t>
      </w:r>
    </w:p>
    <w:p>
      <w:pPr>
        <w:spacing w:after="0" w:line="1" w:lineRule="exact"/>
        <w:rPr>
          <w:sz w:val="20"/>
          <w:szCs w:val="20"/>
          <w:color w:val="auto"/>
        </w:rPr>
      </w:pPr>
    </w:p>
    <w:p>
      <w:pPr>
        <w:jc w:val="both"/>
        <w:ind w:firstLine="8"/>
        <w:spacing w:after="0" w:line="253"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September 21, 2030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significant voting control as other holders of Class B common stock sell or otherwise convert their shares into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cannot predict whether our dual class structure will result in a lower or more volatile trading price of our Class A common stock on the NYSE and the LTSE,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sales might occur, could cause the trading price of our Class A common stock to decline.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certain of our securityholders have rights, subject to some conditions, to require us to file registration statements for the public resale of the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also issue our capital stock or securities convertible into our capital stock from time to time in connection with a financing, acquisition, investments, or otherwise. Any such issuance could result in significant dilution to our existing stockholders and cause the trading price of our Class A common stock to decline.</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historical or projected business or financial performance, and you should not rely on any such information even if it is attributed directly or indirectly to us.</w:t>
      </w:r>
    </w:p>
    <w:p>
      <w:pPr>
        <w:spacing w:after="0" w:line="1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cannot assure you that any equity research analysts will adequately provide research coverage about our company and of our Class A common stock. A lack of adequate research coverage may harm the liquidity and trading price of our Class A common stock. To the extent equity research analysts do provide research coverage of our company and our Class A common stock, we will not have any control over the content and opinions included in their reports. The trading price of our Class A common stock could decline if one or more of these analysts downgrade our stock or publish inaccurate or unfavorable commentary or research. If one or more of these analysts cease coverage of our company, or fail to regularly publish reports on us, the demand for our Class A common stock could decrease, which in turn could cause our trading price or trading volume to decline.</w:t>
      </w:r>
    </w:p>
    <w:p>
      <w:pPr>
        <w:spacing w:after="0" w:line="1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1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As a public company, we are subject to the reporting requirements of the Exchange Act, the listing standards of the NYSE and the LTSE,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has made and will continue to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November 2022 Senior Secured Credit Facility contains restrictions on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 dividends. Accordingly, investors must rely on sales of their Class A common stock as the only way to realize any future gains, if any, on their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issuances could result in significant dilution to our stockholders.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the exercise of stock options to purchase our stock and the settlement of restricted stock units (“RSUs”) will result in further dilution. The amount of dilution could be substantial depending upon the size of the issuance or exercise. For example, in January and June 2020, we issued and sold convertible notes to the Dustin Moskovitz Trust, an affiliated trust of Mr. Moskovitz, for an aggregate principal amount of $450.0 million, that, if converted prior to their maturity, would convert into a number of shares of our Class B common stock between an aggregate of 17,012,822 and 27,220,504 shares (the “Convertible Notes”). On July 1, 2021, pursuant to the terms of the Convertible Notes, upon meeting the closing trading price criteria for optional conversion by Asana, we elected to convert all remaining amounts outstanding under the Convertible Notes into shares of our Class B common stock at the applicable minimum conversion rate set forth in the Convertible Notes, for the issuance of an aggregate of 17,012,822 shares of Class B common stock to the Dustin Moskovitz Trust. In addition, on September 7, 2022, we issued and sold 19,273,127 shares of our Class A common stock to Dustin Moskovitz in a private placement transaction, at a purchase price of $18.16 per share, based on the closing trading price of the Company’s Class A common stock on September 2, 2022, for aggregate gross proceeds of approximately $350 million. Any future such transactions, notes or issuances could result in substantial dilution to our existing stockholders and cause the trading price of our Class A common stock to decline.</w:t>
      </w:r>
    </w:p>
    <w:p>
      <w:pPr>
        <w:spacing w:after="0" w:line="13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There are provisions in our restated certificate of incorporation and restated bylaws that may make it difficult for a third party to acquire, or attempt to acquire, control of our company, even if a change in control were considered favorable by our stockholders. These anti-takeover provisions include:</w:t>
      </w:r>
    </w:p>
    <w:p>
      <w:pPr>
        <w:spacing w:after="0" w:line="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determine the number of directors and to fill any vacancies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restated certificate of incorporation and restated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authorization of the issuance of “blank check” preferred stock that our board of directors could use to implement a stockholder rights plan;</w:t>
      </w:r>
    </w:p>
    <w:p>
      <w:pPr>
        <w:spacing w:after="0" w:line="182"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prohibition on stockholder actions by written consent, thereby requiring that all stockholder actions be taken at a meeting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Our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w:t>
      </w:r>
    </w:p>
    <w:p>
      <w:pPr>
        <w:spacing w:after="0" w:line="12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instances,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headquarters is located in San Francisco, California, where we lease approximately 266,000 square feet of office space pursuant to a lease that expires in October 2033. We began occupying this space during fiscal 2022 as our new corporate headquarters.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maintain additional offices in North America and internationally in APAC and EMEA.</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may procure additional space in the future if we add employees or expand geographically. 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Our Class A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Class A common stock has been listed on the NYSE under the symbol “ASAN” since September 30, 2020. Prior to that date, there was no public trading market for our Class A common stock. Since August 26, 2021, our Class A common stock has also been listed on the LTSE under the symbol “ASAN.”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1, 2023, we had 126 holders of record of our Class A common stock and 14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the section titled </w:t>
      </w:r>
      <w:r>
        <w:rPr>
          <w:rFonts w:ascii="Arial" w:cs="Arial" w:eastAsia="Arial" w:hAnsi="Arial"/>
          <w:sz w:val="18"/>
          <w:szCs w:val="18"/>
          <w:i w:val="1"/>
          <w:iCs w:val="1"/>
          <w:color w:val="auto"/>
        </w:rPr>
        <w:t>Security Ownership of Certain Beneficial Owners and Management and Related Stockholder Matters</w:t>
      </w:r>
      <w:r>
        <w:rPr>
          <w:rFonts w:ascii="Arial" w:cs="Arial" w:eastAsia="Arial" w:hAnsi="Arial"/>
          <w:sz w:val="18"/>
          <w:szCs w:val="18"/>
          <w:color w:val="auto"/>
        </w:rPr>
        <w:t xml:space="preserve"> for information regarding securities authorized for issuance.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September 30, 2020 (the date our Class A common stock commenced trading on the NYSE) through January 31, 2023 with (ii) the cumulative total return of the Standard &amp; Poor's (S&amp;P) 500 Index and the Standard &amp; Poor’s Information Technology Index over the same period, assuming the investment of $100 in our Class A common stock and in both of the other indices on September 30, 2020 and the reinvestment of dividends. The graph uses the closing market price on September 30, 2020 of $28.80 per share as the initial value of our Class A common stock. As discussed above, we have never declared or paid a cash dividend on our Class A common stock and do not anticipate declaring or paying a cash dividend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803275</wp:posOffset>
            </wp:positionV>
            <wp:extent cx="5263515" cy="3257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6351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contains information relating to the repurchases of our common stock made by us in the three months ended January 31,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2"/>
            <w:vMerge w:val="restart"/>
          </w:tcPr>
          <w:p>
            <w:pPr>
              <w:ind w:left="3540"/>
              <w:spacing w:after="0"/>
              <w:rPr>
                <w:sz w:val="20"/>
                <w:szCs w:val="20"/>
                <w:color w:val="auto"/>
              </w:rPr>
            </w:pPr>
            <w:r>
              <w:rPr>
                <w:rFonts w:ascii="Arial" w:cs="Arial" w:eastAsia="Arial" w:hAnsi="Arial"/>
                <w:sz w:val="14"/>
                <w:szCs w:val="14"/>
                <w:b w:val="1"/>
                <w:bCs w:val="1"/>
                <w:color w:val="auto"/>
              </w:rPr>
              <w:t>Period</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4"/>
                <w:szCs w:val="14"/>
                <w:color w:val="auto"/>
              </w:rPr>
            </w:pPr>
          </w:p>
        </w:tc>
        <w:tc>
          <w:tcPr>
            <w:tcW w:w="164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Average Price Paid per</w:t>
            </w:r>
          </w:p>
        </w:tc>
        <w:tc>
          <w:tcPr>
            <w:tcW w:w="0" w:type="dxa"/>
            <w:vAlign w:val="bottom"/>
          </w:tcPr>
          <w:p>
            <w:pPr>
              <w:spacing w:after="0"/>
              <w:rPr>
                <w:sz w:val="1"/>
                <w:szCs w:val="1"/>
                <w:color w:val="auto"/>
              </w:rPr>
            </w:pPr>
          </w:p>
        </w:tc>
      </w:tr>
      <w:tr>
        <w:trPr>
          <w:trHeight w:val="196"/>
        </w:trPr>
        <w:tc>
          <w:tcPr>
            <w:tcW w:w="7580" w:type="dxa"/>
            <w:vAlign w:val="bottom"/>
            <w:gridSpan w:val="2"/>
            <w:vMerge w:val="continue"/>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9"/>
                <w:szCs w:val="9"/>
                <w:b w:val="1"/>
                <w:bCs w:val="1"/>
                <w:color w:val="auto"/>
                <w:w w:val="91"/>
              </w:rPr>
              <w:t>1</w:t>
            </w:r>
          </w:p>
        </w:tc>
        <w:tc>
          <w:tcPr>
            <w:tcW w:w="140" w:type="dxa"/>
            <w:vAlign w:val="bottom"/>
          </w:tcPr>
          <w:p>
            <w:pPr>
              <w:spacing w:after="0"/>
              <w:rPr>
                <w:sz w:val="17"/>
                <w:szCs w:val="17"/>
                <w:color w:val="auto"/>
              </w:rPr>
            </w:pPr>
          </w:p>
        </w:tc>
        <w:tc>
          <w:tcPr>
            <w:tcW w:w="1640" w:type="dxa"/>
            <w:vAlign w:val="bottom"/>
          </w:tcPr>
          <w:p>
            <w:pPr>
              <w:jc w:val="right"/>
              <w:ind w:right="63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1 - November 30, 2022</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December 1 - December 31, 2022</w:t>
            </w:r>
          </w:p>
        </w:tc>
        <w:tc>
          <w:tcPr>
            <w:tcW w:w="17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 January 31,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7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22" w:lineRule="exact"/>
        <w:rPr>
          <w:sz w:val="20"/>
          <w:szCs w:val="20"/>
          <w:color w:val="auto"/>
        </w:rPr>
      </w:pPr>
    </w:p>
    <w:p>
      <w:pPr>
        <w:ind w:left="80" w:hanging="72"/>
        <w:spacing w:after="0" w:line="275" w:lineRule="auto"/>
        <w:tabs>
          <w:tab w:leader="none" w:pos="78"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Represents shares of unvested Class A common stock that were repurchased by us from former employees upon termination of employment in accordance with the terms of the employees’ stock option agreements. We purchased the shares from the former employees at the respective original exercise prices.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related notes appearing elsewhere in this Annual Report on Form 10-K. As described in the section titled “Special Note Regarding Forward-Looking Statements,” the following discussion and analysis contains forward</w:t>
      </w:r>
      <w:r>
        <w:rPr>
          <w:rFonts w:ascii="MS PGothic" w:cs="MS PGothic" w:eastAsia="MS PGothic" w:hAnsi="MS PGothic"/>
          <w:sz w:val="17"/>
          <w:szCs w:val="17"/>
          <w:color w:val="auto"/>
        </w:rPr>
        <w:t>‑</w:t>
      </w:r>
      <w:r>
        <w:rPr>
          <w:rFonts w:ascii="Arial" w:cs="Arial" w:eastAsia="Arial" w:hAnsi="Arial"/>
          <w:sz w:val="17"/>
          <w:szCs w:val="17"/>
          <w:i w:val="1"/>
          <w:iCs w:val="1"/>
          <w:color w:val="auto"/>
        </w:rPr>
        <w:t>looking statements that involve risks and uncertainties, as well as assumptions that, if they never materialize or prove 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above in this report. Our fiscal year ends on January 31.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Asana is a work management platform that helps organizations orchestrate work, from daily tasks to cross-functional strategic initiatives. Over 139,000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lists, calendars, boards, timelines, and workload.</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rapid growth in recent periods. Our revenues were $547.2 million, $378.4 million, and $227.0 million for fiscal 2023, fiscal 2022, and fiscal 2021, respectively, representing growth of 45% and 67% for fiscal 2023 and fiscal 2022, respectively. As of January 31, 2023, we had 1,782 employees, representing growth of 7% since January 31, 2022. We had a net loss of $407.8 million, $288.3 million, and $211.7 million for fiscal 2023, fiscal 2022, and fiscal 2021, respectively.</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Since our inception, over 42 million users have registered on Asana and millions of teams in virtually every country around the world have used Asana. As of January 31, 2023, we had over 2.5 million paid users.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growth and financial performance are dependent upon many factors, including the key factors described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Paying Customers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focused on continuing to grow the number of customers that use our platform. Our operating results and growth opportunity depend, in part, on our ability to attract new customers. We believe we have significant greenfield opportunities among addressable customers worldwide and we will continue to invest in our research and development and our sales and marketing organizations to address this opportunity.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31, 2023, we had over 139,000 paying customers, compared to over 119,000 as of January 31, 2022.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Spending Over $5,000 and $100,000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focus on growing the number of customers spending over $5,000 and $100,000 on an annualized basis as a measure of our ability to scale within organizations. We define customers spending over $5,000 and $100,000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those organizations on a paid subscription plan that had $5,000 or more or $100,000 or more in annualized GAAP revenues in a given quarter, respectively, inclusive of discounts. As customers realize the productivity benefits we provide, our platform often becomes critical to managing their work and achieving their objectives, which drives further adoption and expansion opportunities, and results in higher annualized contract values. We believe that our ability to increase the number of these customers is an important indicator of the components of our business, including: the continued acquisition of new customers, retaining and expanding our user base within existing customers, our continued investment in product development and functionality required by larger organizations, and the strategic expansion of our direct sales force.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2023, we had 19,432 customers spending over $5,000 on an annualized basis contributing approximately 70% of revenues for the fiscal year then ended. As of January 31, 2022, we had 15,437 customers spending over $5,000 who contributed approximately 66% of revenue for the fiscal year then ended.</w:t>
      </w:r>
    </w:p>
    <w:p>
      <w:pPr>
        <w:spacing w:after="0" w:line="130" w:lineRule="exact"/>
        <w:rPr>
          <w:sz w:val="20"/>
          <w:szCs w:val="20"/>
          <w:color w:val="auto"/>
        </w:rPr>
      </w:pPr>
    </w:p>
    <w:p>
      <w:pPr>
        <w:ind w:left="340" w:right="1780"/>
        <w:spacing w:after="0" w:line="438" w:lineRule="auto"/>
        <w:rPr>
          <w:sz w:val="20"/>
          <w:szCs w:val="20"/>
          <w:color w:val="auto"/>
        </w:rPr>
      </w:pPr>
      <w:r>
        <w:rPr>
          <w:rFonts w:ascii="Arial" w:cs="Arial" w:eastAsia="Arial" w:hAnsi="Arial"/>
          <w:sz w:val="18"/>
          <w:szCs w:val="18"/>
          <w:color w:val="auto"/>
        </w:rPr>
        <w:t xml:space="preserve">As of January 31, 2023 and 2022, we had 506 and 340 customers spending over $100,000 on an annualized basis, respectively. </w:t>
      </w:r>
      <w:r>
        <w:rPr>
          <w:rFonts w:ascii="Arial" w:cs="Arial" w:eastAsia="Arial" w:hAnsi="Arial"/>
          <w:sz w:val="18"/>
          <w:szCs w:val="18"/>
          <w:b w:val="1"/>
          <w:bCs w:val="1"/>
          <w:i w:val="1"/>
          <w:iCs w:val="1"/>
          <w:color w:val="auto"/>
        </w:rPr>
        <w:t>Dollar-based Net Retention Rate</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derive a significant portion of our revenue growth from expansion within our customer base, where we have an opportunity to expand adoption of Asana across teams, departments, and organizations. We believe that our dollar-based net retention rate demonstrates our opportunity to further expand within our customer base, particularly those that generate higher levels of annual revenues.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2023 and 2022, our dollar-based net retention rate was over 115% and over 120%, respectively.</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January 31, 2023 and 2022, our dollar-based net retention rate for customers spending over $5,000 with us on an annualized basis was over 120% and over 130%, respectively. Our dollar-based net retention rate for customers spending over $100,000 with us on an annualized basis was over 135% for both periods.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Economic Conditions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continue to monitor and respond to evolving developments regarding the COVID-19 pandemic, which has significantly impacted the global economy. While we have re-opened our offices globally to employees and shifted to an office-centric hybrid work model, in-office collaboration is voluntary in times of increased community spread, and could therefore be further disrupted should the severity of the pandemic worsen. Should the pandemic worsen, operations of Asana, our partners or our customers may be further affected by the pandemic.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other recent macroeconomic events including elevated inflation, the U.S. Federal Reserve raising interest rates, bank failures, supply chain disruptions, fluctuations in currency exchange rates, and the Russian invasion of Ukraine, have led to further economic uncertainty in the global economy. For example, on March 10, 2023, SVB was closed by the California Department of Financial Protection and Innovation, which appointed the FDIC as receiver. On March 12, 2023, the U.S. Department of the Treasury, Federal Reserve and FDIC jointly announced that all SVB depositors will have access to all of their funds on deposit with SVB. On March 14, 2023, the FDIC announced that substantially all third party contracts previously entered into by SVB have been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SVBBNA, inclusive of our credit agreement with SVB, and that SVBBNA has assumed all obligations of SVB under those contracts. If other banks and financial institutions enter receivership or become insolvent in the future in response to financial conditions affecting the banking system and financial markets, or additional changes occur in the ownership structure or operations of SVBBNA, our ability to access our existing cash, cash equivalents and investments may be threatened and could have a material adverse effect on our business and financial condition. These macroeconomic conditions have and are likely to continue to have adverse effects on the rate of global IT spending, including the buying patterns of our customers and prospective customers. While the current macroenvironment is challenging and may continue for the near term, we are encouraged by the future of work that we’re building at Asana, where every organization can work from a shared system driving clarity and accountability powered by the Asana Work Graph.</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Reduction in Force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15, 2022, we announced a reduction of our global workforce by approximately 9% to improve operational efficiencies and operating costs and better align the Company’s workforce with current business needs, top strategic priorities, and key growth opportunities. As a result, during the fiscal year ended January 31, 2023, we incurred $9.3 million of expenses related to severance, benefits and other related items. We do not expect to incur additional expenses of any significance related to the reduction in force in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generate subscription revenues from paying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to the ease of implementation of our platform, revenues from professional services have been immaterial to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Cost of revenues consists primarily of the cost of providing our platform to free users and paying customers and is comprised of third-party hosting fees, personnel-related expenses for our operations and support personnel including allocated overhead costs for facilities and shared IT-related expenses, third-party implementation services partner fees, credit card processing fees, and amortization of our capitalized internal-use software costs.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acquire new customers and existing customers increase their use of our cloud-based platform, we expect that our cost of revenues will continue to increase.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subscription gross margin to remain relatively consistent over the long term.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employer payroll taxes,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consist primarily of personnel-related expenses. These expenses also include product design costs, third-party services and consulting expenses, software subscriptions and 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brand marketing, pipeline generation,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quarter to quarter and year to year depending on the extent and timing of our initiatives.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and expensed computer equipment, certain tax, license, and insurance-related expenses, and allocated overhead costs.</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recognized and will continue to recognize certain expenses as part of being a publicly traded company, consisting of professional fees and other expenses. As a public company, we incur additional costs associated with accounting, compliance, insurance, and investor relations. We expect our general and administrative expenses to continue to increase in dollar amount for the foreseeable future but to generally decrease as a percentage of our revenues, although the percentage may fluctuate from period to period depending on the timing and amount of our general and administrative expenses.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and Other Income (Expense), Net and 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and other income (expense), net consists of income earned on our marketable securities and investments, in addition to foreign currency transaction gains and losses.</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Interest expense consists of contractual interest expense and amortization of the debt discount on the senior mandatory convertible promissory notes we issued in January and June 2020 to a trust affiliated with our CEO, and interest expense from our term loan and revolving credit facility.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To date, we have not recorded a material provision for income taxes for any of the periods presented other than for foreign income tax. We have recorded deferred tax assets for which we provide a full valuation allowance, which primarily include net operating loss carryforwards and research and development tax credit carryforwards. We expect to maintain this full valuation allowance for the foreseeable future as it is more likely than not the deferred tax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227,004</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198,263</w:t>
            </w:r>
          </w:p>
        </w:tc>
        <w:tc>
          <w:tcPr>
            <w:tcW w:w="0" w:type="dxa"/>
            <w:vAlign w:val="bottom"/>
          </w:tcPr>
          <w:p>
            <w:pPr>
              <w:spacing w:after="0"/>
              <w:rPr>
                <w:sz w:val="1"/>
                <w:szCs w:val="1"/>
                <w:color w:val="auto"/>
              </w:rPr>
            </w:pPr>
          </w:p>
        </w:tc>
      </w:tr>
      <w:tr>
        <w:trPr>
          <w:trHeight w:val="20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121,139</w:t>
            </w:r>
          </w:p>
        </w:tc>
        <w:tc>
          <w:tcPr>
            <w:tcW w:w="0" w:type="dxa"/>
            <w:vAlign w:val="bottom"/>
          </w:tcPr>
          <w:p>
            <w:pPr>
              <w:spacing w:after="0"/>
              <w:rPr>
                <w:sz w:val="1"/>
                <w:szCs w:val="1"/>
                <w:color w:val="auto"/>
              </w:rPr>
            </w:pPr>
          </w:p>
        </w:tc>
      </w:tr>
      <w:tr>
        <w:trPr>
          <w:trHeight w:val="230"/>
        </w:trPr>
        <w:tc>
          <w:tcPr>
            <w:tcW w:w="5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282,897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176,479</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76,212</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373,830</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(407,826)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(175,567)</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(36,178)</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(402,893)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(285,105)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(210,177)</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(407,768)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(288,342)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(211,710)</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6"/>
                <w:szCs w:val="16"/>
                <w:color w:val="auto"/>
              </w:rPr>
              <w:t>__________________</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57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20"/>
                <w:szCs w:val="20"/>
                <w:color w:val="auto"/>
              </w:rPr>
            </w:pPr>
            <w:r>
              <w:rPr>
                <w:rFonts w:ascii="Arial" w:cs="Arial" w:eastAsia="Arial" w:hAnsi="Arial"/>
                <w:sz w:val="16"/>
                <w:szCs w:val="16"/>
                <w:color w:val="auto"/>
              </w:rPr>
              <w:t>(1)</w:t>
            </w:r>
          </w:p>
        </w:tc>
        <w:tc>
          <w:tcPr>
            <w:tcW w:w="5480" w:type="dxa"/>
            <w:vAlign w:val="bottom"/>
          </w:tcPr>
          <w:p>
            <w:pPr>
              <w:ind w:left="440"/>
              <w:spacing w:after="0"/>
              <w:rPr>
                <w:sz w:val="20"/>
                <w:szCs w:val="20"/>
                <w:color w:val="auto"/>
              </w:rPr>
            </w:pPr>
            <w:r>
              <w:rPr>
                <w:rFonts w:ascii="Arial" w:cs="Arial" w:eastAsia="Arial" w:hAnsi="Arial"/>
                <w:sz w:val="16"/>
                <w:szCs w:val="16"/>
                <w:color w:val="auto"/>
              </w:rPr>
              <w:t>Amounts include stock-based compensation expense as follows: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18,606</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88"/>
        </w:trPr>
        <w:tc>
          <w:tcPr>
            <w:tcW w:w="220" w:type="dxa"/>
            <w:vAlign w:val="bottom"/>
            <w:tcBorders>
              <w:bottom w:val="single" w:sz="8" w:color="CCEEFF"/>
            </w:tcBorders>
            <w:shd w:val="clear" w:color="auto" w:fill="CCEEFF"/>
          </w:tcPr>
          <w:p>
            <w:pPr>
              <w:spacing w:after="0"/>
              <w:rPr>
                <w:sz w:val="24"/>
                <w:szCs w:val="24"/>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xml:space="preserve">Total stock-based compensation expense </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34,225</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jc w:val="both"/>
        <w:ind w:firstLine="8"/>
        <w:spacing w:after="0" w:line="260"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table above includes $0.9 million of stock-based compensation expense for the fiscal year ended January 31, 2023 that was incurred as a result of the restructuring. See </w:t>
      </w:r>
      <w:r>
        <w:rPr>
          <w:rFonts w:ascii="Arial" w:cs="Arial" w:eastAsia="Arial" w:hAnsi="Arial"/>
          <w:sz w:val="16"/>
          <w:szCs w:val="16"/>
          <w:i w:val="1"/>
          <w:iCs w:val="1"/>
          <w:color w:val="auto"/>
        </w:rPr>
        <w:t>Note 17. Restructuring</w:t>
      </w:r>
      <w:r>
        <w:rPr>
          <w:rFonts w:ascii="Arial" w:cs="Arial" w:eastAsia="Arial" w:hAnsi="Arial"/>
          <w:sz w:val="16"/>
          <w:szCs w:val="16"/>
          <w:color w:val="auto"/>
        </w:rPr>
        <w:t xml:space="preserve"> to our consolidated financial statements included in </w:t>
      </w:r>
      <w:r>
        <w:rPr>
          <w:rFonts w:ascii="Arial" w:cs="Arial" w:eastAsia="Arial" w:hAnsi="Arial"/>
          <w:sz w:val="16"/>
          <w:szCs w:val="16"/>
          <w:i w:val="1"/>
          <w:iCs w:val="1"/>
          <w:color w:val="auto"/>
        </w:rPr>
        <w:t>Item 8. Financial Statements and Supplementary Data</w:t>
      </w:r>
      <w:r>
        <w:rPr>
          <w:rFonts w:ascii="Arial" w:cs="Arial" w:eastAsia="Arial" w:hAnsi="Arial"/>
          <w:sz w:val="16"/>
          <w:szCs w:val="16"/>
          <w:color w:val="auto"/>
        </w:rPr>
        <w:t xml:space="preserve"> in this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our statements of operations data, for each of the periods presented, as a percentage of revenues.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3"/>
              </w:rPr>
              <w:t>Year Ended January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(percent of revenues)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164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center"/>
              <w:ind w:left="5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51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510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20"/>
                <w:szCs w:val="20"/>
                <w:color w:val="auto"/>
              </w:rPr>
            </w:pPr>
            <w:r>
              <w:rPr>
                <w:rFonts w:ascii="Arial" w:cs="Arial" w:eastAsia="Arial" w:hAnsi="Arial"/>
                <w:sz w:val="16"/>
                <w:szCs w:val="16"/>
                <w:color w:val="auto"/>
              </w:rPr>
              <w:t>* Less than 1%</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6"/>
                <w:szCs w:val="16"/>
                <w:color w:val="auto"/>
              </w:rPr>
              <w:t>Note: Certain figures may not sum due to rounding.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5100" w:type="dxa"/>
            <w:vAlign w:val="bottom"/>
          </w:tcPr>
          <w:p>
            <w:pPr>
              <w:spacing w:after="0"/>
              <w:rPr>
                <w:sz w:val="20"/>
                <w:szCs w:val="20"/>
                <w:color w:val="auto"/>
              </w:rPr>
            </w:pPr>
            <w:r>
              <w:rPr>
                <w:rFonts w:ascii="Arial" w:cs="Arial" w:eastAsia="Arial" w:hAnsi="Arial"/>
                <w:sz w:val="18"/>
                <w:szCs w:val="18"/>
                <w:b w:val="1"/>
                <w:bCs w:val="1"/>
                <w:color w:val="auto"/>
                <w:w w:val="90"/>
              </w:rPr>
              <w:t>Comparison of the Fiscal Years Ended January 31, 2023 and 2022</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Revenues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Year Ended January 31,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28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gridSpan w:val="5"/>
          </w:tcPr>
          <w:p>
            <w:pPr>
              <w:jc w:val="center"/>
              <w:ind w:right="328"/>
              <w:spacing w:after="0"/>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547,212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378,437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center"/>
              <w:ind w:left="211"/>
              <w:spacing w:after="0"/>
              <w:rPr>
                <w:sz w:val="20"/>
                <w:szCs w:val="20"/>
                <w:color w:val="auto"/>
              </w:rPr>
            </w:pPr>
            <w:r>
              <w:rPr>
                <w:rFonts w:ascii="Arial" w:cs="Arial" w:eastAsia="Arial" w:hAnsi="Arial"/>
                <w:sz w:val="18"/>
                <w:szCs w:val="18"/>
                <w:color w:val="auto"/>
                <w:w w:val="89"/>
              </w:rPr>
              <w:t>168,775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increased $168.8 million, or 45%, during fiscal 2023 compared to fiscal 2022. The increase in revenues was primarily due to the addition of new paying customers, a continued shift in our sales mix toward our higher priced subscription plans, such as Enterprise and Business plans, and revenues generated from our existing paying customers expanding their use of our solution as reflected by our dollar-based net retention rate of over 115% as of January 31, 2023.</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Year Ended January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920" w:type="dxa"/>
            <w:vAlign w:val="bottom"/>
          </w:tcPr>
          <w:p>
            <w:pPr>
              <w:jc w:val="right"/>
              <w:ind w:right="53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1"/>
              </w:rPr>
              <w:t>(dollars in thousands)</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56,559</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38,897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90 %</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Cost of revenues increased $17.7 million, or 45%, during fiscal 2023 compared to fiscal 2022. The increase was primarily due to an increase of $7.3 million in third-party hosting costs as we increased capacity to support customer usage and growth of our customer base, an increase of $5.2 million in personnel-related costs due to increased headcount, $2.5 million in credit card processing fees, $1.1 million in allocated overhead costs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increased overall costs to support the growth of our business and related infrastructure, and $0.7 million in fees to third-party support vendors.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margin stayed consistent during fiscal 2023 compared to fiscal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January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282,897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152,064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604,724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increased $94.1 million, or 46%, during fiscal 2023 compared to fiscal 2022. The increase was primarily due to an increase of $79.8 million in personnel-related expenses driven by higher headcount, an increase of $8.9 million in allocated overhead costs as a result of increased overall costs to support the growth of our business and related infrastructure, an increase of $2.2 million in cloud computing and related costs, partially offset by an increase of $1.0 million in capitalized internal-use software.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expenses increased $152.1 million, or 54%, during fiscal 2023 compared to fiscal 2022. The increase was primarily due to an increase of $97.3 million in personnel-related expenses as a result of higher headcount, an increase of $30.6 million for advertising, an increase of $11.0 million in allocated overhead costs as a result of increased overall costs to support the growth of our business and related infrastructure, an increase of $4.3 million in fees to marketing vendors, an increase of $3.7 million in equipment and related costs, and an increase of $3.7 million in travel and entertainment costs.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increased $47.6 million, or 40%, during fiscal 2023 compared to fiscal 2022. The increase was primarily due to an increase of $34.3 million in personnel-related expenses driven by higher headcount to support our continued growth, an increase of $3.4 million in allocated overhead costs as a result of increased overall costs to support the growth of our business and related infrastructure, an increase of $2.6 million in fees to third party support vendors, and an increase of $1.7 million in equipment and related costs, partially offset by a decrease of $1.8 million in capitalized cloud computing arrangement costs.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240" w:type="dxa"/>
            <w:vAlign w:val="bottom"/>
            <w:gridSpan w:val="3"/>
          </w:tcPr>
          <w:p>
            <w:pPr>
              <w:jc w:val="center"/>
              <w:ind w:left="604"/>
              <w:spacing w:after="0"/>
              <w:rPr>
                <w:sz w:val="20"/>
                <w:szCs w:val="20"/>
                <w:color w:val="auto"/>
              </w:rPr>
            </w:pPr>
            <w:r>
              <w:rPr>
                <w:rFonts w:ascii="Arial" w:cs="Arial" w:eastAsia="Arial" w:hAnsi="Arial"/>
                <w:sz w:val="14"/>
                <w:szCs w:val="14"/>
                <w:b w:val="1"/>
                <w:bCs w:val="1"/>
                <w:color w:val="auto"/>
                <w:w w:val="93"/>
              </w:rPr>
              <w:t>Year Ended January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48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2240" w:type="dxa"/>
            <w:vAlign w:val="bottom"/>
            <w:tcBorders>
              <w:top w:val="single" w:sz="8" w:color="auto"/>
            </w:tcBorders>
            <w:gridSpan w:val="3"/>
          </w:tcPr>
          <w:p>
            <w:pPr>
              <w:jc w:val="center"/>
              <w:ind w:left="624"/>
              <w:spacing w:after="0"/>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6,933</w:t>
            </w:r>
          </w:p>
        </w:tc>
        <w:tc>
          <w:tcPr>
            <w:tcW w:w="78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(2,000)</w:t>
            </w:r>
          </w:p>
        </w:tc>
        <w:tc>
          <w:tcPr>
            <w:tcW w:w="7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(18,385)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income and other income (expense), net increased $8.5 million during fiscal 2023 compared to fiscal 2022 due primarily to an increase of $7.4 million in interest income from our investments in marketable securities and a decrease of $1.1 million in losses on foreign currency transactions. Interest expense decreased $16.4 million during fiscal 2023 compared to fiscal 2022 primarily due to the conversion in July 2021 of the senior mandatory convertible promissory notes previously issued to a trust affiliated with our CEO in January 2020 and June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Fiscal Years Ended January 31, 2022 and 2021</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comparison of our results of operations for the fiscal years ended January 31, 2022 and 2021, see </w:t>
      </w:r>
      <w:r>
        <w:rPr>
          <w:rFonts w:ascii="Arial" w:cs="Arial" w:eastAsia="Arial" w:hAnsi="Arial"/>
          <w:sz w:val="18"/>
          <w:szCs w:val="18"/>
          <w:i w:val="1"/>
          <w:iCs w:val="1"/>
          <w:color w:val="auto"/>
        </w:rPr>
        <w:t>Part II— Item 7.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fiscal year ended January 31, 2022,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on March 24,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Year Ended January 31,</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2022</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194"/>
        </w:trPr>
        <w:tc>
          <w:tcPr>
            <w:tcW w:w="5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loss from operations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(123,184)</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(207,222)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(162,915)</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(123,289)</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(75,958)</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Net Loss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define non-GAAP loss from operations as loss from operations plus stock-based compensation expense and the related employer payroll tax associated with RSUs as well as non-recurring costs, such as restructuring costs and direct listing expenses. The amount of employer payroll tax-related items on employee stock transactions is dependent on our stock price and other factors that are beyond our control and that do not correlate to the operation of the business. When evaluating the performance of our business and making operating plans, we do not consider these items (for example, when considering the impact of equity award grants, we place a greater emphasis on overall stockholder dilution rather than the accounting charges associated with such grants). We believe it is useful to exclude these expenses in order to better understand the long-term performance of our core business, to facilitate comparison of our results to those of peer companies, and to facilitate comparison over multiple periods.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define non-GAAP net loss as net loss plus stock-based compensation expense and the related employer payroll tax associated with RSUs, amortization of discount and non-cash contractual interest expense related to our senior mandatory convertible promissory notes, and non-recurring costs such as restructuring costs and direct listing expenses.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non-GAAP loss from operations and non-GAAP net loss in conjunction with traditional GAAP measures to evaluate our financial performance. We believe that non-GAAP loss from operations and non-GAAP net loss provide our management and investors consistency and comparability with our past financial performance and facilitates period-to-period comparisons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define free cash flow as net cash from operating activities less cash used for purchases of property and equipment and capitalized internal-use software costs, plus non-recurring expenditures such as capital expenditures from the purchases of property and equipment associated with the build-out of our corporate headquarters in San Francisco, restructuring costs, and direct listing expenses.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 adjusted for non-recurring expenditures.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38" w:lineRule="exact"/>
        <w:rPr>
          <w:sz w:val="20"/>
          <w:szCs w:val="20"/>
          <w:color w:val="auto"/>
        </w:rPr>
      </w:pPr>
    </w:p>
    <w:p>
      <w:pPr>
        <w:ind w:left="340" w:right="1260"/>
        <w:spacing w:after="0" w:line="456" w:lineRule="auto"/>
        <w:rPr>
          <w:sz w:val="20"/>
          <w:szCs w:val="20"/>
          <w:color w:val="auto"/>
        </w:rPr>
      </w:pPr>
      <w:r>
        <w:rPr>
          <w:rFonts w:ascii="Arial" w:cs="Arial" w:eastAsia="Arial" w:hAnsi="Arial"/>
          <w:sz w:val="18"/>
          <w:szCs w:val="18"/>
          <w:color w:val="auto"/>
        </w:rPr>
        <w:t xml:space="preserve">The following tables reconcile the most directly comparable GAAP financial measure to each of these non-GAAP financial measures. </w:t>
      </w:r>
      <w:r>
        <w:rPr>
          <w:rFonts w:ascii="Arial" w:cs="Arial" w:eastAsia="Arial" w:hAnsi="Arial"/>
          <w:sz w:val="18"/>
          <w:szCs w:val="18"/>
          <w:i w:val="1"/>
          <w:iCs w:val="1"/>
          <w:color w:val="auto"/>
        </w:rPr>
        <w:t>Non-GAAP Loss From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(407,826)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(175,567)</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Add:</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Stock-based compensation and related employer payroll tax associated with</w:t>
            </w: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34,431</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listing expenses</w:t>
            </w: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Non-GAAP loss from operations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(207,280)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(123,184)</w:t>
            </w:r>
          </w:p>
        </w:tc>
        <w:tc>
          <w:tcPr>
            <w:tcW w:w="0" w:type="dxa"/>
            <w:vAlign w:val="bottom"/>
          </w:tcPr>
          <w:p>
            <w:pPr>
              <w:spacing w:after="0"/>
              <w:rPr>
                <w:sz w:val="1"/>
                <w:szCs w:val="1"/>
                <w:color w:val="auto"/>
              </w:rPr>
            </w:pPr>
          </w:p>
        </w:tc>
      </w:tr>
      <w:tr>
        <w:trPr>
          <w:trHeight w:val="21"/>
        </w:trPr>
        <w:tc>
          <w:tcPr>
            <w:tcW w:w="570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Non-GAAP Net Loss</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(407,768)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(288,342)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(211,710)</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Add:</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Stock-based compensation and related employer payroll tax associated with</w:t>
            </w: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34,431</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 on convertible notes</w:t>
            </w: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Non-cash interest expense</w:t>
            </w:r>
          </w:p>
        </w:tc>
        <w:tc>
          <w:tcPr>
            <w:tcW w:w="10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13,681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listing expenses</w:t>
            </w: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(207,222)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(162,915)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(123,289)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22" w:lineRule="exact"/>
        <w:rPr>
          <w:sz w:val="20"/>
          <w:szCs w:val="20"/>
          <w:color w:val="auto"/>
        </w:rPr>
      </w:pPr>
    </w:p>
    <w:p>
      <w:pPr>
        <w:jc w:val="both"/>
        <w:ind w:firstLine="8"/>
        <w:spacing w:after="0" w:line="283" w:lineRule="auto"/>
        <w:tabs>
          <w:tab w:leader="none" w:pos="6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Restructuring costs for the fiscal year ended January 31, 2023 were composed of severance and related charges of $8.4 million and stock-based compensation expense of $0.9 million. These charges are non-recurring and not reflective of underlying trends in our business. See </w:t>
      </w:r>
      <w:r>
        <w:rPr>
          <w:rFonts w:ascii="Arial" w:cs="Arial" w:eastAsia="Arial" w:hAnsi="Arial"/>
          <w:sz w:val="15"/>
          <w:szCs w:val="15"/>
          <w:i w:val="1"/>
          <w:iCs w:val="1"/>
          <w:color w:val="auto"/>
        </w:rPr>
        <w:t>Note 17. Restructuring</w:t>
      </w:r>
      <w:r>
        <w:rPr>
          <w:rFonts w:ascii="Arial" w:cs="Arial" w:eastAsia="Arial" w:hAnsi="Arial"/>
          <w:sz w:val="15"/>
          <w:szCs w:val="15"/>
          <w:color w:val="auto"/>
        </w:rPr>
        <w:t xml:space="preserve"> to our consolidated financial statements included in </w:t>
      </w:r>
      <w:r>
        <w:rPr>
          <w:rFonts w:ascii="Arial" w:cs="Arial" w:eastAsia="Arial" w:hAnsi="Arial"/>
          <w:sz w:val="15"/>
          <w:szCs w:val="15"/>
          <w:i w:val="1"/>
          <w:iCs w:val="1"/>
          <w:color w:val="auto"/>
        </w:rPr>
        <w:t>Item 8. Financial Statements and Supplementary Data</w:t>
      </w:r>
      <w:r>
        <w:rPr>
          <w:rFonts w:ascii="Arial" w:cs="Arial" w:eastAsia="Arial" w:hAnsi="Arial"/>
          <w:sz w:val="15"/>
          <w:szCs w:val="15"/>
          <w:color w:val="auto"/>
        </w:rPr>
        <w:t xml:space="preserve"> in this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Free Cash Flow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194"/>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00" w:type="dxa"/>
            <w:vAlign w:val="bottom"/>
          </w:tcPr>
          <w:p>
            <w:pPr>
              <w:ind w:left="2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bottom w:val="single" w:sz="8" w:color="auto"/>
            </w:tcBorders>
          </w:tcPr>
          <w:p>
            <w:pPr>
              <w:jc w:val="right"/>
              <w:ind w:right="834"/>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381,391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37,210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201,005</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(160,058)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(92,870)</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Less: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(57,344)</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Capitalized internal-use software costs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Restructuring costs paid</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Purchases of property and equipment for build-out of corporate headquarters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55,791</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Direct listing expenses paid</w:t>
            </w:r>
          </w:p>
        </w:tc>
        <w:tc>
          <w:tcPr>
            <w:tcW w:w="10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19,427</w:t>
            </w: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04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(159,550)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inception, we have financed operations primarily through the net proceeds we have received from the sales of our preferred stock and common stock, the issuance of senior mandatory convertible promissory notes in January and June 2020 to a trust affiliated with our CEO, cash generated from the sale of subscriptions to our platform, and financing activities including the private placement transaction with our CEO. We have generated losses from our operations as reflected in our accumulated deficit of $1,237.6 million as of January 31, 2023 and negative cash flows from operating activities for fiscal 2023, fiscal 2022, and fiscal 2021.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2023, our principal sources of liquidity were cash, cash equivalents, and marketable securities of $529.3 million.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2022, we entered into a four-year credit agreement with SVB, which provided for senior secured credit facilities in the aggregate principal amount of up to $150 million, consisting of a term loan facility in the aggregate principal amount of $50 million and a revolving loan facility in an aggregate principal amount of up to $100 million, including a $30 million letter of credit sub-facility. The November 2022 Senior Secured Credit Facility refinanced the April 2020 Senior Secured Term Loan and terminates on November 7, 2026.</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Borrowings under the November 2022 Senior Secured Credit Facility may be designated as ABR Loans or SOFR Loans, subject to certain terms and conditions under the Credit Agreement. Interest will accrue on any outstanding balance at a floating rate tied to the adjusted term SOFR, the prime rate, or the federal funds effective rate. Interest is payable monthly in arrears. Pursuant to the terms of the revolving credit facility, we are required to pay an annual commitment fee that accrues at a rate of 0.15% per annum on the unused portion of the borrowing commitments under the revolving credit facility. Refer to </w:t>
      </w:r>
      <w:r>
        <w:rPr>
          <w:rFonts w:ascii="Arial" w:cs="Arial" w:eastAsia="Arial" w:hAnsi="Arial"/>
          <w:sz w:val="18"/>
          <w:szCs w:val="18"/>
          <w:i w:val="1"/>
          <w:iCs w:val="1"/>
          <w:color w:val="auto"/>
        </w:rPr>
        <w:t xml:space="preserve">Note 7. Debt </w:t>
      </w:r>
      <w:r>
        <w:rPr>
          <w:rFonts w:ascii="Arial" w:cs="Arial" w:eastAsia="Arial" w:hAnsi="Arial"/>
          <w:sz w:val="18"/>
          <w:szCs w:val="18"/>
          <w:color w:val="auto"/>
        </w:rPr>
        <w:t>for further details.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2023, under the November 2022 Senior Secured Credit Facility there was $50 million drawn and outstanding under the term loan, no amounts outstanding under the revolving credit facility and an aggregate $23.6 million in letters of credit issued under the credit sub-facility. Our total available borrowing capacity under the revolving credit facility was $76.4 million as of January 31, 2023.</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10, 2023, SVB was closed by the California Department of Financial Protection and Innovation, which appointed the FDIC as receiver. On March 12, 2023, the U.S. Department of the Treasury, Federal Reserve and FDIC jointly announced that all SVB depositors will have access to all of their funds on deposit with SVB. On March 14, 2023, the FDIC announced that substantially all third party contracts previously entered into by SVB have been transferred to SVBBNA, inclusive of our credit agreement with SVB, and that SVBBNA has assumed all obligations of SVB under those contracts. The Company therefore does not believe that there is any impact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availability of the SVB line of credit and will continue to monitor the situation with SVBBNA as it evolves. As a result of the foregoing, all references to SVB are therefore under the control of SVBBNA as of the report date.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September 2022, we issued and sold 19,273,127 shares of our Class A common stock to our CEO in a private placement transaction at a purchase price of $18.16 per share, based on the closing trading price of the Company’s Class A common stock on September 2, 2022, for aggregate proceeds of $350 million. Refer to </w:t>
      </w:r>
      <w:r>
        <w:rPr>
          <w:rFonts w:ascii="Arial" w:cs="Arial" w:eastAsia="Arial" w:hAnsi="Arial"/>
          <w:sz w:val="18"/>
          <w:szCs w:val="18"/>
          <w:i w:val="1"/>
          <w:iCs w:val="1"/>
          <w:color w:val="auto"/>
        </w:rPr>
        <w:t>Note 11. Stockholders’ Equity (Deficit)</w:t>
      </w:r>
      <w:r>
        <w:rPr>
          <w:rFonts w:ascii="Arial" w:cs="Arial" w:eastAsia="Arial" w:hAnsi="Arial"/>
          <w:sz w:val="18"/>
          <w:szCs w:val="18"/>
          <w:color w:val="auto"/>
        </w:rPr>
        <w:t xml:space="preserve"> for details.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substantial source of our cash provided by operating activities is our customer billings for subscription to our platform. Deferred revenue consists of the unearned portion of billed fees for our subscriptions, which is included on our consolidated balance sheets as a liability and is recorded as revenues over the term of the subscription agreement. As of January 31, 2023 and January 31, 2022, we had $233.6 million and $174.2 million, respectively, of deferred revenue of which $226.4 million and $170.1 million, respectively, were recorded as a current liability. This deferred revenue will be recognized as revenues when all of the revenue recognition criteria are met.</w:t>
      </w:r>
    </w:p>
    <w:p>
      <w:pPr>
        <w:spacing w:after="0" w:line="13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We assess our liquidity primarily through our cash on hand as well as the projected timing of billings under contract with our paying customers and related collection cycles. We believe our current cash, cash equivalents, marketable securities, and amounts available under our November 2022 Senior Secured Credit Facility will be sufficient to meet our working capital and capital expenditure requirements for at least the next 12 months. Our future capital requirements will depend on many factors, including our revenue growth rate, subscription renewal activity, billing frequency, our dollar-based net retention rate, the timing and extent of spending to support our research and development efforts, particularly for the introduction of new and enhanced products and features, the performance of sales and marketing activities, costs associated with international expansion, additional capital expenditures to invest in existing and new office spaces, as well as increased general and administrative expenses to support being a publicly traded company. We may, in the future, enter into arrangements to acquire or invest in complementary businesses, services, and technologies, including intellectual property rights. We may seek to raise additional funds at any time through equity, equity-linked arrangements, and debt. If we are unable to raise additional capital when desired and at reasonable rates, our business, results of operations, and financial condition would be adversely affected. Additionally, cash from operations could also be affected by various risks and uncertainties in connection with the impact of an economic downturn or recession, the COVID-19 pandemic, significant market volatility in the global economy, timing and ability to collect payments from our customers and other risks detailed in </w:t>
      </w:r>
      <w:r>
        <w:rPr>
          <w:rFonts w:ascii="Arial" w:cs="Arial" w:eastAsia="Arial" w:hAnsi="Arial"/>
          <w:sz w:val="17"/>
          <w:szCs w:val="17"/>
          <w:i w:val="1"/>
          <w:iCs w:val="1"/>
          <w:color w:val="auto"/>
        </w:rPr>
        <w:t>Part I—Item 1A.</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Year Ended January 31,</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2022</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194"/>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(160,058)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center"/>
              <w:ind w:left="879"/>
              <w:spacing w:after="0"/>
              <w:rPr>
                <w:sz w:val="20"/>
                <w:szCs w:val="20"/>
                <w:color w:val="auto"/>
              </w:rPr>
            </w:pPr>
            <w:r>
              <w:rPr>
                <w:rFonts w:ascii="Arial" w:cs="Arial" w:eastAsia="Arial" w:hAnsi="Arial"/>
                <w:sz w:val="18"/>
                <w:szCs w:val="18"/>
                <w:color w:val="auto"/>
                <w:w w:val="92"/>
              </w:rPr>
              <w:t>(83,785)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(92,870)</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64,492</w:t>
            </w:r>
          </w:p>
        </w:tc>
        <w:tc>
          <w:tcPr>
            <w:tcW w:w="180" w:type="dxa"/>
            <w:vAlign w:val="bottom"/>
          </w:tcPr>
          <w:p>
            <w:pPr>
              <w:spacing w:after="0"/>
              <w:rPr>
                <w:sz w:val="19"/>
                <w:szCs w:val="19"/>
                <w:color w:val="auto"/>
              </w:rPr>
            </w:pPr>
          </w:p>
        </w:tc>
        <w:tc>
          <w:tcPr>
            <w:tcW w:w="1700" w:type="dxa"/>
            <w:vAlign w:val="bottom"/>
          </w:tcPr>
          <w:p>
            <w:pPr>
              <w:jc w:val="center"/>
              <w:ind w:left="919"/>
              <w:spacing w:after="0"/>
              <w:rPr>
                <w:sz w:val="20"/>
                <w:szCs w:val="20"/>
                <w:color w:val="auto"/>
              </w:rPr>
            </w:pPr>
            <w:r>
              <w:rPr>
                <w:rFonts w:ascii="Arial" w:cs="Arial" w:eastAsia="Arial" w:hAnsi="Arial"/>
                <w:sz w:val="18"/>
                <w:szCs w:val="18"/>
                <w:color w:val="auto"/>
                <w:w w:val="90"/>
              </w:rPr>
              <w:t>27,561</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(158,937)</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381,391</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919"/>
              <w:spacing w:after="0"/>
              <w:rPr>
                <w:sz w:val="20"/>
                <w:szCs w:val="20"/>
                <w:color w:val="auto"/>
              </w:rPr>
            </w:pPr>
            <w:r>
              <w:rPr>
                <w:rFonts w:ascii="Arial" w:cs="Arial" w:eastAsia="Arial" w:hAnsi="Arial"/>
                <w:sz w:val="18"/>
                <w:szCs w:val="18"/>
                <w:color w:val="auto"/>
                <w:w w:val="90"/>
              </w:rPr>
              <w:t>37,210</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201,005</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 and the issuance of convertible notes.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operating activities of $160.1 million for fiscal 2023 reflects our net loss of $407.8 million, adjusted by non-cash items such as stock-based compensation expense of $189.0 million, non-cash lease expense of $15.6 million, amortization of deferred contract acquisition costs of $15.1 million, depreciation and amortization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$12.7 million, provision for doubtful accounts of $1.9 million, and net cash inflows of $13.4 million from changes in our operating assets and liabilities. The net cash inflows from changes in operating assets and liabilities primarily consisted of a $59.4 million increase in deferred revenue resulting from increased billings for subscriptions and a $25.5 million increase in accrued expenses and other liabilities primarily from increases in accrued sales and value-added taxes and other liabilities. These amounts were partially offset by a $25.2 million increase in accounts receivable due to higher customer billings, a $24.0 million increase in prepaid expenses and other current assets related to an increase in deferred contract acquisition costs, $13.8 million decrease in operating lease liabilities, a $4.4 million decrease in accounts payable, and a $4.1 million increase in other assets.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Net cash used in operating activities of $83.8 million for fiscal 2022 reflects our net loss of $288.3 million, adjusted by non-cash items such as stock-based compensation expense of $104.5 million, non-cash lease expense of $16.6 million, amortization of discount on convertible notes and term loan issuance costs of $10.6 million, amortization of deferred contract acquisition costs of $8.6 million, depreciation and amortization of $8.5 million, non-cash interest expense of $6.7 million, provision for doubtful accounts of $2.3 million, and net cash inflows of $46.0 million from changes in our operating assets and liabilities. The net cash inflows from changes in operating assets and liabilities primarily consisted of a $68.3 million increase in deferred revenue resulting from increased billings for subscriptions, a $23.7 million increase in accrued expenses and other liabilities primarily from increases in accrued payroll and other liabilities, $8.1 million increase in operating lease liabilities, and a $7.3 million increase in accounts payable not related to the purchases of property and equipment. These amounts were partially offset by a $27.0 million increase in accounts receivable due to higher customer billings, a $23.7 million increase in prepaid expenses and other current assets related to an increase in deferred contract acquisition costs, and a $10.7 million increase in other assets.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investing activities of $64.5 million for fiscal 2023 consisted of $143.9 million in maturities of marketable securities, partially offset by $72.2 million in purchases of marketable securities, $5.4 million in purchases of property and equipment from leasehold improvements, and $1.8 million in capitalized internal-use software costs.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investing activities of $27.6 million for fiscal 2022 consisted of $132.3 million in maturities of marketable securities and $0.4 million in sales of marketable securities, partially offset by $62.4 million in purchases of marketable securities, $41.6 million in purchases of property and equipment from an increase in construction in progress, and $1.1 million in capitalized internal-use software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of $381.4 million for fiscal 2023 consisted of $347.3 million in proceeds from the private placement financing net of offering costs, $49.6 million in net proceeds from the November 2022 Senior Secured Credit Facility, $17.1 million in proceeds from our employee stock purchase plan, and $5.8 million in proceeds from the exercise of stock options, partially offset by $38.3 million for the repayment of our April 2020 Senior Secured Term Loan.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of $37.2 million for fiscal 2022 consisted of $16.6 million in proceeds from the exercise of stock options, $13.4 million in proceeds from our employee stock purchase plan, and $9.0 million in net proceeds from our term loan, partially offset by $1.7 million for the repayment of our prior term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January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
        </w:trPr>
        <w:tc>
          <w:tcPr>
            <w:tcW w:w="3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3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Less than 1 Year</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1 - 3 years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More than 5 Years</w:t>
            </w:r>
          </w:p>
        </w:tc>
      </w:tr>
      <w:tr>
        <w:trPr>
          <w:trHeight w:val="196"/>
        </w:trPr>
        <w:tc>
          <w:tcPr>
            <w:tcW w:w="3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199,376</w:t>
            </w:r>
          </w:p>
        </w:tc>
      </w:tr>
      <w:tr>
        <w:trPr>
          <w:trHeight w:val="229"/>
        </w:trPr>
        <w:tc>
          <w:tcPr>
            <w:tcW w:w="3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199,376</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2" w:lineRule="exact"/>
        <w:rPr>
          <w:sz w:val="20"/>
          <w:szCs w:val="20"/>
          <w:color w:val="auto"/>
        </w:rPr>
      </w:pPr>
    </w:p>
    <w:p>
      <w:pPr>
        <w:ind w:left="34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Consists of future non-cancelable minimum rental payments under operating leases for our offices, including an office space in San Francisco that had not yet commenced as of January 31, 2023. For further information regarding operating lease commitments, refer to </w:t>
      </w:r>
      <w:r>
        <w:rPr>
          <w:rFonts w:ascii="Arial" w:cs="Arial" w:eastAsia="Arial" w:hAnsi="Arial"/>
          <w:sz w:val="16"/>
          <w:szCs w:val="16"/>
          <w:i w:val="1"/>
          <w:iCs w:val="1"/>
          <w:color w:val="auto"/>
        </w:rPr>
        <w:t>Note 9. Leases</w:t>
      </w:r>
      <w:r>
        <w:rPr>
          <w:rFonts w:ascii="Arial" w:cs="Arial" w:eastAsia="Arial" w:hAnsi="Arial"/>
          <w:sz w:val="16"/>
          <w:szCs w:val="16"/>
          <w:color w:val="auto"/>
        </w:rPr>
        <w:t>.</w:t>
      </w:r>
    </w:p>
    <w:p>
      <w:pPr>
        <w:ind w:left="34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Consists of a 60-month contract with Amazon Web Services for hosting-related services and other non-cancellable purchase commitments with various parties primarily for software-based services. Refer to </w:t>
      </w:r>
      <w:r>
        <w:rPr>
          <w:rFonts w:ascii="Arial" w:cs="Arial" w:eastAsia="Arial" w:hAnsi="Arial"/>
          <w:sz w:val="16"/>
          <w:szCs w:val="16"/>
          <w:i w:val="1"/>
          <w:iCs w:val="1"/>
          <w:color w:val="auto"/>
        </w:rPr>
        <w:t>Note 8. Commitments and Contingencies</w:t>
      </w:r>
      <w:r>
        <w:rPr>
          <w:rFonts w:ascii="Arial" w:cs="Arial" w:eastAsia="Arial" w:hAnsi="Arial"/>
          <w:sz w:val="16"/>
          <w:szCs w:val="16"/>
          <w:color w:val="auto"/>
        </w:rPr>
        <w:t xml:space="preserve"> for further details on related commitments.</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February 2019, we entered into a new lease agreement for office space in San Francisco, which commenced in May 2020 and expires in October 2033. As part of the agreement, we were required to issue a $17.0 million letter of credit upon access to the office space, which occurred in the year ended January 31, 2021. Future minimum lease payments related to this lease as of January 31, 2023 were $339.3 million. Our CEO acts as a personal guarantor to the lease for the full rent payments over the entire term of the lease should we default on our obligations.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further information on our commitments and contingencies, refer to </w:t>
      </w:r>
      <w:r>
        <w:rPr>
          <w:rFonts w:ascii="Arial" w:cs="Arial" w:eastAsia="Arial" w:hAnsi="Arial"/>
          <w:sz w:val="18"/>
          <w:szCs w:val="18"/>
          <w:i w:val="1"/>
          <w:iCs w:val="1"/>
          <w:color w:val="auto"/>
        </w:rPr>
        <w:t>Note 8. Commitments and Contingencies</w:t>
      </w:r>
      <w:r>
        <w:rPr>
          <w:rFonts w:ascii="Arial" w:cs="Arial" w:eastAsia="Arial" w:hAnsi="Arial"/>
          <w:sz w:val="18"/>
          <w:szCs w:val="18"/>
          <w:color w:val="auto"/>
        </w:rPr>
        <w:t xml:space="preserve"> in the consolidated financial statements contained within this Annual Report on Form 10-K.</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On July 1, 2021, pursuant to the terms thereof, we elected to convert the Convertible Notes (as defined in </w:t>
      </w:r>
      <w:r>
        <w:rPr>
          <w:rFonts w:ascii="Arial" w:cs="Arial" w:eastAsia="Arial" w:hAnsi="Arial"/>
          <w:sz w:val="18"/>
          <w:szCs w:val="18"/>
          <w:i w:val="1"/>
          <w:iCs w:val="1"/>
          <w:color w:val="auto"/>
        </w:rPr>
        <w:t>Note 6. Convertible Notes—Related Party</w:t>
      </w:r>
      <w:r>
        <w:rPr>
          <w:rFonts w:ascii="Arial" w:cs="Arial" w:eastAsia="Arial" w:hAnsi="Arial"/>
          <w:sz w:val="18"/>
          <w:szCs w:val="18"/>
          <w:color w:val="auto"/>
        </w:rPr>
        <w:t xml:space="preserve">) into shares of our Class B common stock. Refer to </w:t>
      </w:r>
      <w:r>
        <w:rPr>
          <w:rFonts w:ascii="Arial" w:cs="Arial" w:eastAsia="Arial" w:hAnsi="Arial"/>
          <w:sz w:val="18"/>
          <w:szCs w:val="18"/>
          <w:i w:val="1"/>
          <w:iCs w:val="1"/>
          <w:color w:val="auto"/>
        </w:rPr>
        <w:t>Note 6. Convertible Notes—Related Party</w:t>
      </w:r>
      <w:r>
        <w:rPr>
          <w:rFonts w:ascii="Arial" w:cs="Arial" w:eastAsia="Arial" w:hAnsi="Arial"/>
          <w:sz w:val="18"/>
          <w:szCs w:val="18"/>
          <w:color w:val="auto"/>
        </w:rPr>
        <w:t xml:space="preserve"> for additional information.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 November 2022, we entered into the Credit Agreement with SVB, as discussed in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above.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While our significant accounting policies are more fully described in </w:t>
      </w:r>
      <w:r>
        <w:rPr>
          <w:rFonts w:ascii="Arial" w:cs="Arial" w:eastAsia="Arial" w:hAnsi="Arial"/>
          <w:sz w:val="18"/>
          <w:szCs w:val="18"/>
          <w:i w:val="1"/>
          <w:iCs w:val="1"/>
          <w:color w:val="auto"/>
        </w:rPr>
        <w:t>Note 2. Basis of Presentation and Summary of Significant Accounting Policies</w:t>
      </w:r>
      <w:r>
        <w:rPr>
          <w:rFonts w:ascii="Arial" w:cs="Arial" w:eastAsia="Arial" w:hAnsi="Arial"/>
          <w:sz w:val="18"/>
          <w:szCs w:val="18"/>
          <w:color w:val="auto"/>
        </w:rPr>
        <w:t xml:space="preserve"> to our Consolidated Financial Statements in </w:t>
      </w:r>
      <w:r>
        <w:rPr>
          <w:rFonts w:ascii="Arial" w:cs="Arial" w:eastAsia="Arial" w:hAnsi="Arial"/>
          <w:sz w:val="18"/>
          <w:szCs w:val="18"/>
          <w:i w:val="1"/>
          <w:iCs w:val="1"/>
          <w:color w:val="auto"/>
        </w:rPr>
        <w:t>Item 8.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Statements and Supplementary Data </w:t>
      </w:r>
      <w:r>
        <w:rPr>
          <w:rFonts w:ascii="Arial" w:cs="Arial" w:eastAsia="Arial" w:hAnsi="Arial"/>
          <w:sz w:val="18"/>
          <w:szCs w:val="18"/>
          <w:color w:val="auto"/>
        </w:rPr>
        <w:t>of this Annual Report on Form 10-K, we believe that the accounting estimates described below have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impact.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measure stock-based compensation expense related to our restricted stock units, or RSUs, based on the fair value of the underlying shares on the date of grant. RSUs are subject to time-based vesting, which generally occurs over a period of four years.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account for stock-based compensation expense related to our 2020 Employee Stock Purchase Plan (“ESPP”) purchase rights based on the estimated grant date fair value, which is calculated using the Black-Scholes option pricing model and the aggregate number of shares of our common stock expected to be purchased under each offering. The assumptions used to determine the fair value of the ESPP purchase rights, including the expected term of the awards, the expected volatility of the price of our common stock, risk-free interest rates, and the expected dividend yield of our common stock, represent management’s best estimates. These estimates involve inherent uncertainties and the application of management’s judgment. We account for modifications to employee contributions as they occur.</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stock-based compensation expense ratably over the requisite service period, which is generally the vesting period of the respective award. We account for forfeitures as they occur. We recognize stock-based compensation expense related to ESPP on a straight-line basis over the term of each ESPP offering period, which is generally two years.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are based on the following for each of the years presented:</w:t>
      </w:r>
    </w:p>
    <w:p>
      <w:pPr>
        <w:spacing w:after="0" w:line="171" w:lineRule="exact"/>
        <w:rPr>
          <w:sz w:val="20"/>
          <w:szCs w:val="20"/>
          <w:color w:val="auto"/>
        </w:rPr>
      </w:pPr>
    </w:p>
    <w:p>
      <w:pPr>
        <w:jc w:val="both"/>
        <w:ind w:left="660" w:hanging="328"/>
        <w:spacing w:after="0" w:line="286"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Expected volatility is a measure of the amount by which the stock price is expected to fluctuate. Since we do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Expected term represents the period that our stock-based awards are expected to be outstanding. The expected term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determined based on the vesting terms, exercise terms, and contractual lives of the options. The expected term of the ESPP represents the period of time that purchase rights are expected to be outstanding.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We use the U.S. Treasury yield for our risk-free interest rate that corresponds with the expected term.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We utilize a dividend yield of zero, as we do not currently issue dividends, nor do we expect to do so in the future.</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Prior to our direct listing, we estimated the fair value of common stock; see</w:t>
      </w:r>
      <w:r>
        <w:rPr>
          <w:rFonts w:ascii="Arial" w:cs="Arial" w:eastAsia="Arial" w:hAnsi="Arial"/>
          <w:sz w:val="16"/>
          <w:szCs w:val="16"/>
          <w:i w:val="1"/>
          <w:iCs w:val="1"/>
          <w:color w:val="auto"/>
        </w:rPr>
        <w:t xml:space="preserve"> Common Stock Valuations </w:t>
      </w:r>
      <w:r>
        <w:rPr>
          <w:rFonts w:ascii="Arial" w:cs="Arial" w:eastAsia="Arial" w:hAnsi="Arial"/>
          <w:sz w:val="16"/>
          <w:szCs w:val="16"/>
          <w:color w:val="auto"/>
        </w:rPr>
        <w:t>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common stock for purposes of ESPP purchases is based on the stock price on the first date of the respective offering period.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Prior to our direct listing, the fair value of our common stock underlying our stock-based awards was historically determined by our board of directors, in accordance with the guidelines outlined in the </w:t>
      </w:r>
      <w:r>
        <w:rPr>
          <w:rFonts w:ascii="Arial" w:cs="Arial" w:eastAsia="Arial" w:hAnsi="Arial"/>
          <w:sz w:val="17"/>
          <w:szCs w:val="17"/>
          <w:i w:val="1"/>
          <w:iCs w:val="1"/>
          <w:color w:val="auto"/>
        </w:rPr>
        <w:t>American Institute of Certified Public Accountants, Valuation of Privately-Held-Company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Issued as Compensation </w:t>
      </w:r>
      <w:r>
        <w:rPr>
          <w:rFonts w:ascii="Arial" w:cs="Arial" w:eastAsia="Arial" w:hAnsi="Arial"/>
          <w:sz w:val="17"/>
          <w:szCs w:val="17"/>
          <w:color w:val="auto"/>
        </w:rPr>
        <w:t>guide. Each fair value estimate was based on a variety of factors, which included the following:</w:t>
      </w:r>
    </w:p>
    <w:p>
      <w:pPr>
        <w:spacing w:after="0" w:line="11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 valuation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those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business conditions and outlook;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history and the timing of the introduction of new applications and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valuation methods they deemed appropriate under the circumstances applicable at the valuation date.</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When applicable, we also used the option pricing model to backsolve the value of the security from our most recent round of financing, which implies a total equity value as well as a per share common stock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prior to January 31, 2020, once the enterprise value was determined under the market approach, we used the option pricing model to allocate that value among the various classes of securities to arrive at the fair value of the common stock.</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valuations as of and subsequent to January 31, 2020 and before our direct listing, we used a hybrid method utilizing a combination of the option pricing model and the probability-weighted expected return method (“PWERM”) in estimating the fair value of our common stock. Using the PWERM, the value of our common stock is estimated based upon a probability-weighted analysis of varying values for our common stock assuming possible future events for our company, including a scenario assuming we become a publicly traded company and a scenario assuming we continue as a privately held company.</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after our direct listing, our board of directors determined the fair value of each share of underlying Class A common stock based on the closing price of our Class A common stock as reported on the date of grant.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determine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we consider only payments that are fixed and determinable at the time of commencement. As our leases do not provide an implicit rate, we use the incremental borrowing rate based on the information available at commencement date in determining the present value of lease payments. The incremental borrowing rate is a hypothetical rate based on our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we will exercise such options. The lease agreements may contain variable costs such as common area maintenance, insurance, real estate taxes or other costs. Variable lease costs are expensed as incurred on the consolidated statements of operations. Our lease agreements generally do not contain any residual value guarantees, restrictions, or covenants.</w:t>
      </w:r>
    </w:p>
    <w:p>
      <w:pPr>
        <w:spacing w:after="0" w:line="13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lease agreements with lease and non-lease components. We have elected to combine lease and non-lease components as a single lease component for all classes of underlying assets. We have also elected to keep leases with an initial term of 12 months or less off the balance sheet and recognize the associated lease payments in the consolidated statements of operations on a straight-line basis over the lease term.</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are included in operating lease ROU assets, operating lease liabilities, current, and operating lease liabilities, noncurrent on the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Basis of Presentation and Summary of Significant Accounting Policies</w:t>
      </w:r>
      <w:r>
        <w:rPr>
          <w:rFonts w:ascii="Arial" w:cs="Arial" w:eastAsia="Arial" w:hAnsi="Arial"/>
          <w:sz w:val="18"/>
          <w:szCs w:val="18"/>
          <w:color w:val="auto"/>
        </w:rPr>
        <w:t xml:space="preserve"> to our consolidated financial statements included elsewhere in this Annual Report on Form 10-K for more information regarding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operations in the United States and internationally, and we are exposed to certain market risks in the ordinary course of our business. The uncertainty that exists with respect to the global economic impact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 and the macroeconomic environment has introduced significant volatility in the financial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cash, cash equivalents, and marketable securities primarily consist of cash on hand and highly liquid investments in money market funds, U.S. government securities, corporate bonds, and commercial paper. As of January 31, 2023 and January 31, 2022, we had cash and cash equivalents of $526.6 million and $240.4 million, respectively, and marketable securities including non-current investments of $2.7 million and $74.4 million, respectively. We do not enter into investments for trading or speculative purposes. Our investments are exposed to market risk due to fluctuations in interest rates, which may affect our interest income and the fair value of our investments. However, due to the short-term nature of our marketable securities, we do not believe we are materially exposed to changes in the fair value of our investment portfolio due to potential fluctuations in interest rates, and therefore do not expect our operating results or cash flows to be materially affected by a sudden change in market interest rates.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majority of our subscription agreements are denominated in U.S. dollars, with the remainder generated in Euros, British Pounds, Australian Dollars, Japanese Yen, Mexican Pesos, Brazilian Reais, Canadian Dollars, and Korean Won.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Icelandic Krona, Singapore Dollar, and Swiss Franc. Our results of operations and cash flows are, therefore, subject to fluctuations in foreign currency exchange rates that are unrelated to our operating performance.</w:t>
      </w:r>
    </w:p>
    <w:p>
      <w:pPr>
        <w:spacing w:after="0" w:line="1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As exchange rates may fluctuate significantly between periods, our non-U.S. dollar denominated revenue and operating expenses may also experience significant fluctuations between periods as we convert these to U.S. dollars. Volatile market conditions arising from the macro environment have and may in the future result in significant changes in exchange rates, and in particular a weakening of foreign currencies relative to the U.S. dollar has and may in the future negatively affect our revenue expressed in U.S. dollars. In the year ended January 31, 2023, 21%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 We disclose the impact of realized foreign currency gains and losses within </w:t>
      </w:r>
      <w:r>
        <w:rPr>
          <w:rFonts w:ascii="Arial" w:cs="Arial" w:eastAsia="Arial" w:hAnsi="Arial"/>
          <w:sz w:val="16"/>
          <w:szCs w:val="16"/>
          <w:i w:val="1"/>
          <w:iCs w:val="1"/>
          <w:color w:val="auto"/>
        </w:rPr>
        <w:t>Note 13. Interest Income and Other Income (Expense), Net</w:t>
      </w:r>
      <w:r>
        <w:rPr>
          <w:rFonts w:ascii="Arial" w:cs="Arial" w:eastAsia="Arial" w:hAnsi="Arial"/>
          <w:sz w:val="16"/>
          <w:szCs w:val="16"/>
          <w:color w:val="auto"/>
        </w:rPr>
        <w:t>. A hypothetical 10% change in foreign currency rates would not have resulted in material gains or losses for the years ended January 31, 2023 and 2022.</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the impact of foreign currency exchange rates are not projected to be material to our operating results,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23"/>
        </w:trPr>
        <w:tc>
          <w:tcPr>
            <w:tcW w:w="1078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240" w:type="dxa"/>
            <w:vAlign w:val="bottom"/>
            <w:gridSpan w:val="2"/>
          </w:tcPr>
          <w:p>
            <w:pPr>
              <w:jc w:val="center"/>
              <w:spacing w:after="0"/>
              <w:rPr>
                <w:sz w:val="20"/>
                <w:szCs w:val="20"/>
                <w:color w:val="auto"/>
              </w:rPr>
            </w:pPr>
            <w:r>
              <w:rPr>
                <w:rFonts w:ascii="Arial" w:cs="Arial" w:eastAsia="Arial" w:hAnsi="Arial"/>
                <w:sz w:val="18"/>
                <w:szCs w:val="18"/>
                <w:color w:val="0000FF"/>
                <w:w w:val="89"/>
              </w:rPr>
              <w:t>76</w:t>
            </w:r>
          </w:p>
        </w:tc>
        <w:tc>
          <w:tcPr>
            <w:tcW w:w="60" w:type="dxa"/>
            <w:vAlign w:val="bottom"/>
          </w:tcPr>
          <w:p>
            <w:pPr>
              <w:spacing w:after="0"/>
              <w:rPr>
                <w:sz w:val="19"/>
                <w:szCs w:val="19"/>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100" w:type="dxa"/>
            <w:vAlign w:val="bottom"/>
          </w:tcPr>
          <w:p>
            <w:pPr>
              <w:spacing w:after="0"/>
              <w:rPr>
                <w:sz w:val="20"/>
                <w:szCs w:val="20"/>
                <w:color w:val="auto"/>
              </w:rPr>
            </w:pPr>
            <w:r>
              <w:rPr>
                <w:rFonts w:ascii="Arial" w:cs="Arial" w:eastAsia="Arial" w:hAnsi="Arial"/>
                <w:sz w:val="18"/>
                <w:szCs w:val="18"/>
                <w:color w:val="0000FF"/>
                <w:w w:val="88"/>
              </w:rPr>
              <w:t>Consolidated Balance Sheets</w:t>
            </w:r>
          </w:p>
        </w:tc>
        <w:tc>
          <w:tcPr>
            <w:tcW w:w="2120" w:type="dxa"/>
            <w:vAlign w:val="bottom"/>
            <w:gridSpan w:val="5"/>
          </w:tcPr>
          <w:p>
            <w:pPr>
              <w:spacing w:after="0"/>
              <w:rPr>
                <w:sz w:val="18"/>
                <w:szCs w:val="18"/>
                <w:color w:val="auto"/>
              </w:rPr>
            </w:pPr>
          </w:p>
        </w:tc>
        <w:tc>
          <w:tcPr>
            <w:tcW w:w="6560" w:type="dxa"/>
            <w:vAlign w:val="bottom"/>
            <w:gridSpan w:val="2"/>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0000FF"/>
                <w:w w:val="89"/>
              </w:rPr>
              <w:t>78</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7960" w:type="dxa"/>
            <w:vAlign w:val="bottom"/>
            <w:gridSpan w:val="6"/>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0000FF"/>
                <w:w w:val="89"/>
              </w:rPr>
              <w:t>79</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8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Loss</w:t>
            </w:r>
          </w:p>
        </w:tc>
        <w:tc>
          <w:tcPr>
            <w:tcW w:w="240" w:type="dxa"/>
            <w:vAlign w:val="bottom"/>
            <w:gridSpan w:val="2"/>
          </w:tcPr>
          <w:p>
            <w:pPr>
              <w:jc w:val="center"/>
              <w:spacing w:after="0"/>
              <w:rPr>
                <w:sz w:val="20"/>
                <w:szCs w:val="20"/>
                <w:color w:val="auto"/>
              </w:rPr>
            </w:pPr>
            <w:r>
              <w:rPr>
                <w:rFonts w:ascii="Arial" w:cs="Arial" w:eastAsia="Arial" w:hAnsi="Arial"/>
                <w:sz w:val="18"/>
                <w:szCs w:val="18"/>
                <w:color w:val="0000FF"/>
                <w:w w:val="89"/>
              </w:rPr>
              <w:t>80</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80" w:type="dxa"/>
            <w:vAlign w:val="bottom"/>
            <w:gridSpan w:val="8"/>
          </w:tcPr>
          <w:p>
            <w:pPr>
              <w:spacing w:after="0"/>
              <w:rPr>
                <w:sz w:val="20"/>
                <w:szCs w:val="20"/>
                <w:color w:val="auto"/>
              </w:rPr>
            </w:pPr>
            <w:r>
              <w:rPr>
                <w:rFonts w:ascii="Arial" w:cs="Arial" w:eastAsia="Arial" w:hAnsi="Arial"/>
                <w:sz w:val="18"/>
                <w:szCs w:val="18"/>
                <w:color w:val="0000FF"/>
              </w:rPr>
              <w:t>Consolidated Statements of Redeemable Convertible Preferred Stock and Stockholders’ Equity (Deficit</w:t>
            </w:r>
            <w:r>
              <w:rPr>
                <w:rFonts w:ascii="Arial" w:cs="Arial" w:eastAsia="Arial" w:hAnsi="Arial"/>
                <w:sz w:val="18"/>
                <w:szCs w:val="18"/>
                <w:color w:val="000000"/>
              </w:rPr>
              <w:t>)</w:t>
            </w:r>
          </w:p>
        </w:tc>
        <w:tc>
          <w:tcPr>
            <w:tcW w:w="240" w:type="dxa"/>
            <w:vAlign w:val="bottom"/>
            <w:gridSpan w:val="2"/>
          </w:tcPr>
          <w:p>
            <w:pPr>
              <w:jc w:val="center"/>
              <w:spacing w:after="0"/>
              <w:rPr>
                <w:sz w:val="20"/>
                <w:szCs w:val="20"/>
                <w:color w:val="auto"/>
              </w:rPr>
            </w:pPr>
            <w:r>
              <w:rPr>
                <w:rFonts w:ascii="Arial" w:cs="Arial" w:eastAsia="Arial" w:hAnsi="Arial"/>
                <w:sz w:val="18"/>
                <w:szCs w:val="18"/>
                <w:color w:val="0000FF"/>
                <w:w w:val="89"/>
              </w:rPr>
              <w:t>81</w:t>
            </w:r>
          </w:p>
        </w:tc>
        <w:tc>
          <w:tcPr>
            <w:tcW w:w="60" w:type="dxa"/>
            <w:vAlign w:val="bottom"/>
          </w:tcPr>
          <w:p>
            <w:pPr>
              <w:spacing w:after="0"/>
              <w:rPr>
                <w:sz w:val="18"/>
                <w:szCs w:val="18"/>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300" w:type="dxa"/>
            <w:vAlign w:val="bottom"/>
            <w:gridSpan w:val="3"/>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80" w:type="dxa"/>
            <w:vAlign w:val="bottom"/>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4580" w:type="dxa"/>
            <w:vAlign w:val="bottom"/>
            <w:gridSpan w:val="4"/>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0000FF"/>
                <w:w w:val="89"/>
              </w:rPr>
              <w:t>83</w:t>
            </w:r>
          </w:p>
        </w:tc>
        <w:tc>
          <w:tcPr>
            <w:tcW w:w="60" w:type="dxa"/>
            <w:vAlign w:val="bottom"/>
          </w:tcPr>
          <w:p>
            <w:pPr>
              <w:spacing w:after="0"/>
              <w:rPr>
                <w:sz w:val="18"/>
                <w:szCs w:val="18"/>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160" w:type="dxa"/>
            <w:vAlign w:val="bottom"/>
            <w:gridSpan w:val="4"/>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620" w:type="dxa"/>
            <w:vAlign w:val="bottom"/>
            <w:gridSpan w:val="4"/>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0000FF"/>
                <w:w w:val="89"/>
              </w:rPr>
              <w:t>85</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5" w:name="page76"/>
    <w:bookmarkEnd w:id="75"/>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Asana,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Asana, Inc. and its subsidiaries (the “Company”) as of January 31, 2023 and 2022, and the related consolidated statements of operations, of comprehensive loss, of redeemable convertible preferred stock and stockholders’ equity (deficit) and of cash flows for each of the three years in the period ended January 31, 2023, including the related notes (collectively referred to as the “consolidated financial statements”). We also have audited the Company's internal control over financial reporting as of January 31, 2023,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2023 and 2022, and the results of its operations and its cash flows for each of the three years in the period ended January 31, 2023 in conformity with accounting principles generally accepted in the United States of America. Also in our opinion, the Company maintained, in all material respects, effective internal control over financial reporting as of January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described in Note 2 to the consolidated financial statements, the Company derives its revenues from monthly or annual subscription fees earned from customers accessing the platform. The Company accounts for revenue contracts with customers by applying the requirements of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Company’s subscription agreements generally have monthly or annual contractual terms and are billed in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For the year ended January 31, 2023, the Company’s revenue was $547.2 million.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is a critical audit matter are a high degree of audit effort in performing audit procedures and evaluating audit evidence related to the Company’s revenue recognition.</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initiation, billing and recording of new and recurring subscriptions and the related subscription revenue. These procedures also included, among others, (i) testing revenue transactions on a sample basis by tracing revenue transactions to source documents, including customer contracts, orders, invoices, and cash receipts, where applicable; (ii) testing management’s reconciliation of invoices to cash received; and (iii) recalculating the deferred revenue balance.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24,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Pr>
          <w:p>
            <w:pPr>
              <w:spacing w:after="0"/>
              <w:rPr>
                <w:sz w:val="16"/>
                <w:szCs w:val="16"/>
                <w:color w:val="auto"/>
              </w:rPr>
            </w:pPr>
          </w:p>
        </w:tc>
      </w:tr>
      <w:tr>
        <w:trPr>
          <w:trHeight w:val="26"/>
        </w:trPr>
        <w:tc>
          <w:tcPr>
            <w:tcW w:w="7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75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240,403</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71,628</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59,085</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40,278</w:t>
            </w: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411,394</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94,984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99,632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176,189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174,083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Investments, noncurrent</w:t>
            </w: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954,963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707,035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7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 (Deficit)</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83,488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60,915</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current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170,143</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 current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12,573</w:t>
            </w: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332,316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Term loan,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46,696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34,612</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210,012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208,422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23"/>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598,389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503,195</w:t>
            </w: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5"/>
        </w:trPr>
        <w:tc>
          <w:tcPr>
            <w:tcW w:w="7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Common stock, $0.00001 par value; 1,500,000 shares authorized as of January 31, 2023 and January</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8"/>
        </w:trPr>
        <w:tc>
          <w:tcPr>
            <w:tcW w:w="75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0"/>
              </w:rPr>
              <w:t>31, 2022; 214,293 and 188,298 shares issued and outstanding as of January 31, 2023 and January 31,</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2022, respectively;</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1,595,001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1,034,252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(1,237,556)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(829,788)</w:t>
            </w: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356,574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203,840</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 (deficit)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954,963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707,035</w:t>
            </w:r>
          </w:p>
        </w:tc>
      </w:tr>
      <w:tr>
        <w:trPr>
          <w:trHeight w:val="20"/>
        </w:trPr>
        <w:tc>
          <w:tcPr>
            <w:tcW w:w="7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227,004</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198,263</w:t>
            </w: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121,139</w:t>
            </w: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282,897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176,479</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76,212</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373,830</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(407,826)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(175,567)</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(36,178)</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(402,893)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(285,105)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(210,177)</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(407,768)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(288,342)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(211,710)</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shares used in calculating net loss per share: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200,034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106,344</w:t>
            </w:r>
          </w:p>
        </w:tc>
      </w:tr>
      <w:tr>
        <w:trPr>
          <w:trHeight w:val="20"/>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(407,768)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(211,710)</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gains (losses) on marketable securities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foreign currency translation adjustments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(408,015)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(211,569)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980" w:type="dxa"/>
            <w:vAlign w:val="bottom"/>
            <w:tcBorders>
              <w:right w:val="single" w:sz="8" w:color="auto"/>
            </w:tcBorders>
            <w:gridSpan w:val="5"/>
            <w:vMerge w:val="restart"/>
          </w:tcPr>
          <w:p>
            <w:pPr>
              <w:ind w:left="18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3240" w:type="dxa"/>
            <w:vAlign w:val="bottom"/>
          </w:tcPr>
          <w:p>
            <w:pPr>
              <w:spacing w:after="0"/>
              <w:rPr>
                <w:sz w:val="7"/>
                <w:szCs w:val="7"/>
                <w:color w:val="auto"/>
              </w:rPr>
            </w:pPr>
          </w:p>
        </w:tc>
        <w:tc>
          <w:tcPr>
            <w:tcW w:w="198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8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3"/>
        </w:trPr>
        <w:tc>
          <w:tcPr>
            <w:tcW w:w="3240" w:type="dxa"/>
            <w:vAlign w:val="bottom"/>
          </w:tcPr>
          <w:p>
            <w:pPr>
              <w:spacing w:after="0"/>
              <w:rPr>
                <w:sz w:val="5"/>
                <w:szCs w:val="5"/>
                <w:color w:val="auto"/>
              </w:rPr>
            </w:pPr>
          </w:p>
        </w:tc>
        <w:tc>
          <w:tcPr>
            <w:tcW w:w="18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rPr>
                <w:sz w:val="11"/>
                <w:szCs w:val="11"/>
                <w:color w:val="auto"/>
              </w:rPr>
            </w:pPr>
          </w:p>
        </w:tc>
        <w:tc>
          <w:tcPr>
            <w:tcW w:w="188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78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78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January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250,581</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(329,736)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(145,315)</w:t>
            </w: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upon the</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4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18,057</w:t>
            </w:r>
          </w:p>
        </w:tc>
        <w:tc>
          <w:tcPr>
            <w:tcW w:w="0" w:type="dxa"/>
            <w:vAlign w:val="bottom"/>
          </w:tcPr>
          <w:p>
            <w:pPr>
              <w:spacing w:after="0"/>
              <w:rPr>
                <w:sz w:val="1"/>
                <w:szCs w:val="1"/>
                <w:color w:val="auto"/>
              </w:rPr>
            </w:pPr>
          </w:p>
        </w:tc>
      </w:tr>
      <w:tr>
        <w:trPr>
          <w:trHeight w:val="232"/>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Issuance of common stock upon the vesting</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and settlement of restricted stock units, net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shares withheld for taxes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Conversion of redeemable convertible</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40" w:type="dxa"/>
            <w:vAlign w:val="bottom"/>
          </w:tcPr>
          <w:p>
            <w:pPr>
              <w:ind w:left="20"/>
              <w:spacing w:after="0" w:line="189" w:lineRule="exact"/>
              <w:rPr>
                <w:sz w:val="20"/>
                <w:szCs w:val="20"/>
                <w:color w:val="auto"/>
              </w:rPr>
            </w:pPr>
            <w:r>
              <w:rPr>
                <w:rFonts w:ascii="Arial" w:cs="Arial" w:eastAsia="Arial" w:hAnsi="Arial"/>
                <w:sz w:val="18"/>
                <w:szCs w:val="18"/>
                <w:color w:val="auto"/>
              </w:rPr>
              <w:t>preferred stock to common stock in</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connection with direct listing</w:t>
            </w:r>
          </w:p>
        </w:tc>
        <w:tc>
          <w:tcPr>
            <w:tcW w:w="900" w:type="dxa"/>
            <w:vAlign w:val="bottom"/>
          </w:tcPr>
          <w:p>
            <w:pPr>
              <w:jc w:val="right"/>
              <w:spacing w:after="0"/>
              <w:rPr>
                <w:sz w:val="20"/>
                <w:szCs w:val="20"/>
                <w:color w:val="auto"/>
              </w:rPr>
            </w:pPr>
            <w:r>
              <w:rPr>
                <w:rFonts w:ascii="Arial" w:cs="Arial" w:eastAsia="Arial" w:hAnsi="Arial"/>
                <w:sz w:val="16"/>
                <w:szCs w:val="16"/>
                <w:color w:val="auto"/>
              </w:rPr>
              <w:t>(73,577)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(250,581)</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73,577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250,580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250,581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34,419</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w w:val="90"/>
              </w:rPr>
              <w:t>Net unrealized loss on marketable securities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Foreign currency translation adjustments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w w:val="92"/>
              </w:rPr>
              <w:t>Deemed capital contribution on issuance of</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40" w:type="dxa"/>
            <w:vAlign w:val="bottom"/>
          </w:tcPr>
          <w:p>
            <w:pPr>
              <w:ind w:left="20"/>
              <w:spacing w:after="0"/>
              <w:rPr>
                <w:sz w:val="20"/>
                <w:szCs w:val="20"/>
                <w:color w:val="auto"/>
              </w:rPr>
            </w:pPr>
            <w:r>
              <w:rPr>
                <w:rFonts w:ascii="Arial" w:cs="Arial" w:eastAsia="Arial" w:hAnsi="Arial"/>
                <w:sz w:val="18"/>
                <w:szCs w:val="18"/>
                <w:color w:val="auto"/>
              </w:rPr>
              <w:t>convertible note—related party</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37,973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37,973</w:t>
            </w:r>
          </w:p>
        </w:tc>
        <w:tc>
          <w:tcPr>
            <w:tcW w:w="0" w:type="dxa"/>
            <w:vAlign w:val="bottom"/>
          </w:tcPr>
          <w:p>
            <w:pPr>
              <w:spacing w:after="0"/>
              <w:rPr>
                <w:sz w:val="1"/>
                <w:szCs w:val="1"/>
                <w:color w:val="auto"/>
              </w:rPr>
            </w:pPr>
          </w:p>
        </w:tc>
      </w:tr>
      <w:tr>
        <w:trPr>
          <w:trHeight w:val="23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(211,710)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(211,710)</w:t>
            </w:r>
          </w:p>
        </w:tc>
        <w:tc>
          <w:tcPr>
            <w:tcW w:w="0" w:type="dxa"/>
            <w:vAlign w:val="bottom"/>
          </w:tcPr>
          <w:p>
            <w:pPr>
              <w:spacing w:after="0"/>
              <w:rPr>
                <w:sz w:val="1"/>
                <w:szCs w:val="1"/>
                <w:color w:val="auto"/>
              </w:rPr>
            </w:pPr>
          </w:p>
        </w:tc>
      </w:tr>
      <w:tr>
        <w:trPr>
          <w:trHeight w:val="249"/>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Balances at January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161,480</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528,616</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3"/>
              </w:rPr>
              <w:t>(541,446)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both"/>
        <w:ind w:left="5060" w:right="5020" w:hanging="58"/>
        <w:spacing w:after="0" w:line="323" w:lineRule="auto"/>
        <w:tabs>
          <w:tab w:leader="none" w:pos="511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CONTINUED (in thousands)</w:t>
      </w:r>
    </w:p>
    <w:p>
      <w:pPr>
        <w:sectPr>
          <w:pgSz w:w="11900" w:h="16838" w:orient="portrait"/>
          <w:cols w:equalWidth="0" w:num="1">
            <w:col w:w="11220"/>
          </w:cols>
          <w:pgMar w:left="340" w:top="121" w:right="339" w:bottom="1440" w:gutter="0" w:footer="0" w:header="0"/>
        </w:sectPr>
      </w:pPr>
    </w:p>
    <w:p>
      <w:pPr>
        <w:spacing w:after="0" w:line="306"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Redeemable Convertible</w:t>
      </w:r>
    </w:p>
    <w:p>
      <w:pPr>
        <w:spacing w:after="0" w:line="4"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Preferred Stock</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tcPr>
          <w:p>
            <w:pPr>
              <w:spacing w:after="0"/>
              <w:rPr>
                <w:sz w:val="17"/>
                <w:szCs w:val="17"/>
                <w:color w:val="auto"/>
              </w:rPr>
            </w:pPr>
          </w:p>
        </w:tc>
        <w:tc>
          <w:tcPr>
            <w:tcW w:w="6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5"/>
        </w:trPr>
        <w:tc>
          <w:tcPr>
            <w:tcW w:w="3220" w:type="dxa"/>
            <w:vAlign w:val="bottom"/>
          </w:tcPr>
          <w:p>
            <w:pPr>
              <w:spacing w:after="0"/>
              <w:rPr>
                <w:sz w:val="20"/>
                <w:szCs w:val="20"/>
                <w:color w:val="auto"/>
              </w:rPr>
            </w:pPr>
            <w:r>
              <w:rPr>
                <w:rFonts w:ascii="Arial" w:cs="Arial" w:eastAsia="Arial" w:hAnsi="Arial"/>
                <w:sz w:val="18"/>
                <w:szCs w:val="18"/>
                <w:b w:val="1"/>
                <w:bCs w:val="1"/>
                <w:color w:val="auto"/>
              </w:rPr>
              <w:t>Balances at January 31, 2021</w:t>
            </w:r>
          </w:p>
        </w:tc>
        <w:tc>
          <w:tcPr>
            <w:tcW w:w="6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the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exercise of options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5"/>
        </w:trPr>
        <w:tc>
          <w:tcPr>
            <w:tcW w:w="3880" w:type="dxa"/>
            <w:vAlign w:val="bottom"/>
            <w:gridSpan w:val="2"/>
          </w:tcPr>
          <w:p>
            <w:pPr>
              <w:spacing w:after="0"/>
              <w:rPr>
                <w:sz w:val="20"/>
                <w:szCs w:val="20"/>
                <w:color w:val="auto"/>
              </w:rPr>
            </w:pPr>
            <w:r>
              <w:rPr>
                <w:rFonts w:ascii="Arial" w:cs="Arial" w:eastAsia="Arial" w:hAnsi="Arial"/>
                <w:sz w:val="18"/>
                <w:szCs w:val="18"/>
                <w:color w:val="auto"/>
              </w:rPr>
              <w:t>Vesting of early exercised stock options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the vesting</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and settlement of restricted stock units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81"/>
        </w:trPr>
        <w:tc>
          <w:tcPr>
            <w:tcW w:w="3880" w:type="dxa"/>
            <w:vAlign w:val="bottom"/>
            <w:gridSpan w:val="2"/>
          </w:tcPr>
          <w:p>
            <w:pPr>
              <w:spacing w:after="0" w:line="182" w:lineRule="exact"/>
              <w:rPr>
                <w:sz w:val="20"/>
                <w:szCs w:val="20"/>
                <w:color w:val="auto"/>
              </w:rPr>
            </w:pPr>
            <w:r>
              <w:rPr>
                <w:rFonts w:ascii="Arial" w:cs="Arial" w:eastAsia="Arial" w:hAnsi="Arial"/>
                <w:sz w:val="18"/>
                <w:szCs w:val="18"/>
                <w:color w:val="auto"/>
              </w:rPr>
              <w:t>Issuance of common stock for employee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share purchase plan</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82"/>
        </w:trPr>
        <w:tc>
          <w:tcPr>
            <w:tcW w:w="3880" w:type="dxa"/>
            <w:vAlign w:val="bottom"/>
            <w:gridSpan w:val="2"/>
          </w:tcPr>
          <w:p>
            <w:pPr>
              <w:spacing w:after="0" w:line="182" w:lineRule="exact"/>
              <w:rPr>
                <w:sz w:val="20"/>
                <w:szCs w:val="20"/>
                <w:color w:val="auto"/>
              </w:rPr>
            </w:pPr>
            <w:r>
              <w:rPr>
                <w:rFonts w:ascii="Arial" w:cs="Arial" w:eastAsia="Arial" w:hAnsi="Arial"/>
                <w:sz w:val="18"/>
                <w:szCs w:val="18"/>
                <w:color w:val="auto"/>
              </w:rPr>
              <w:t>Issuance of common stock upon conversion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of convertible notes—related party</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5"/>
        </w:trPr>
        <w:tc>
          <w:tcPr>
            <w:tcW w:w="38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Net unrealized loss on marketable securities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r>
      <w:tr>
        <w:trPr>
          <w:trHeight w:val="209"/>
        </w:trPr>
        <w:tc>
          <w:tcPr>
            <w:tcW w:w="3220" w:type="dxa"/>
            <w:vAlign w:val="bottom"/>
          </w:tcPr>
          <w:p>
            <w:pPr>
              <w:spacing w:after="0"/>
              <w:rPr>
                <w:sz w:val="20"/>
                <w:szCs w:val="20"/>
                <w:color w:val="auto"/>
              </w:rPr>
            </w:pPr>
            <w:r>
              <w:rPr>
                <w:rFonts w:ascii="Arial" w:cs="Arial" w:eastAsia="Arial" w:hAnsi="Arial"/>
                <w:sz w:val="18"/>
                <w:szCs w:val="18"/>
                <w:b w:val="1"/>
                <w:bCs w:val="1"/>
                <w:color w:val="auto"/>
              </w:rPr>
              <w:t>Balance at January 31, 2022</w:t>
            </w:r>
          </w:p>
        </w:tc>
        <w:tc>
          <w:tcPr>
            <w:tcW w:w="6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56"/>
        </w:trPr>
        <w:tc>
          <w:tcPr>
            <w:tcW w:w="3220" w:type="dxa"/>
            <w:vAlign w:val="bottom"/>
          </w:tcPr>
          <w:p>
            <w:pPr>
              <w:ind w:left="120"/>
              <w:spacing w:after="0" w:line="156" w:lineRule="exact"/>
              <w:rPr>
                <w:sz w:val="20"/>
                <w:szCs w:val="20"/>
                <w:color w:val="auto"/>
              </w:rPr>
            </w:pPr>
            <w:r>
              <w:rPr>
                <w:rFonts w:ascii="Arial" w:cs="Arial" w:eastAsia="Arial" w:hAnsi="Arial"/>
                <w:sz w:val="18"/>
                <w:szCs w:val="18"/>
                <w:color w:val="auto"/>
              </w:rPr>
              <w:t>Issuance of common stock upon the</w:t>
            </w: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237"/>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exercise of options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5"/>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Vesting of early exercised stock options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29"/>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Repurchases of common stock</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Issuance of common stock upon the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8"/>
        </w:trPr>
        <w:tc>
          <w:tcPr>
            <w:tcW w:w="38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vesting and settlement of restricted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units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Issuance of common stock for employee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7"/>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share purchase plan</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82"/>
        </w:trPr>
        <w:tc>
          <w:tcPr>
            <w:tcW w:w="38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Issuance of common stock upon private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8"/>
        </w:trPr>
        <w:tc>
          <w:tcPr>
            <w:tcW w:w="38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placement—related party, net of issuance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costs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29"/>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Net unrealized gain on marketable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7"/>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securities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5"/>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0"/>
        </w:trPr>
        <w:tc>
          <w:tcPr>
            <w:tcW w:w="32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r>
      <w:tr>
        <w:trPr>
          <w:trHeight w:val="210"/>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31, 2023</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0"/>
        </w:trPr>
        <w:tc>
          <w:tcPr>
            <w:tcW w:w="3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19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09"/>
        </w:trPr>
        <w:tc>
          <w:tcPr>
            <w:tcW w:w="19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vMerge w:val="restart"/>
          </w:tcPr>
          <w:p>
            <w:pPr>
              <w:ind w:left="60"/>
              <w:spacing w:after="0" w:line="129" w:lineRule="exact"/>
              <w:rPr>
                <w:sz w:val="20"/>
                <w:szCs w:val="20"/>
                <w:color w:val="auto"/>
              </w:rPr>
            </w:pPr>
            <w:r>
              <w:rPr>
                <w:rFonts w:ascii="Arial" w:cs="Arial" w:eastAsia="Arial" w:hAnsi="Arial"/>
                <w:sz w:val="14"/>
                <w:szCs w:val="14"/>
                <w:b w:val="1"/>
                <w:bCs w:val="1"/>
                <w:color w:val="auto"/>
                <w:w w:val="98"/>
              </w:rPr>
              <w:t>Comprehensive</w:t>
            </w:r>
          </w:p>
        </w:tc>
        <w:tc>
          <w:tcPr>
            <w:tcW w:w="1000" w:type="dxa"/>
            <w:vAlign w:val="bottom"/>
            <w:gridSpan w:val="3"/>
            <w:vMerge w:val="restart"/>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9"/>
                <w:szCs w:val="9"/>
                <w:color w:val="auto"/>
              </w:rPr>
            </w:pPr>
          </w:p>
        </w:tc>
        <w:tc>
          <w:tcPr>
            <w:tcW w:w="780" w:type="dxa"/>
            <w:vAlign w:val="bottom"/>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78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10"/>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161,480</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528,616</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(541,446)</w:t>
            </w:r>
          </w:p>
        </w:tc>
        <w:tc>
          <w:tcPr>
            <w:tcW w:w="8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(12,789)</w:t>
            </w:r>
          </w:p>
        </w:tc>
        <w:tc>
          <w:tcPr>
            <w:tcW w:w="0" w:type="dxa"/>
            <w:vAlign w:val="bottom"/>
          </w:tcPr>
          <w:p>
            <w:pPr>
              <w:spacing w:after="0"/>
              <w:rPr>
                <w:sz w:val="1"/>
                <w:szCs w:val="1"/>
                <w:color w:val="auto"/>
              </w:rPr>
            </w:pPr>
          </w:p>
        </w:tc>
      </w:tr>
      <w:tr>
        <w:trPr>
          <w:trHeight w:val="418"/>
        </w:trPr>
        <w:tc>
          <w:tcPr>
            <w:tcW w:w="900" w:type="dxa"/>
            <w:vAlign w:val="bottom"/>
          </w:tcPr>
          <w:p>
            <w:pPr>
              <w:jc w:val="right"/>
              <w:spacing w:after="0"/>
              <w:rPr>
                <w:sz w:val="20"/>
                <w:szCs w:val="20"/>
                <w:color w:val="auto"/>
              </w:rPr>
            </w:pPr>
            <w:r>
              <w:rPr>
                <w:rFonts w:ascii="Arial" w:cs="Arial" w:eastAsia="Arial" w:hAnsi="Arial"/>
                <w:sz w:val="16"/>
                <w:szCs w:val="16"/>
                <w:color w:val="auto"/>
              </w:rPr>
              <w:t>6,822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16,323</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29"/>
        </w:trPr>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900" w:type="dxa"/>
            <w:vAlign w:val="bottom"/>
          </w:tcPr>
          <w:p>
            <w:pPr>
              <w:jc w:val="right"/>
              <w:spacing w:after="0"/>
              <w:rPr>
                <w:sz w:val="20"/>
                <w:szCs w:val="20"/>
                <w:color w:val="auto"/>
              </w:rPr>
            </w:pPr>
            <w:r>
              <w:rPr>
                <w:rFonts w:ascii="Arial" w:cs="Arial" w:eastAsia="Arial" w:hAnsi="Arial"/>
                <w:sz w:val="16"/>
                <w:szCs w:val="16"/>
                <w:color w:val="auto"/>
              </w:rPr>
              <w:t>2,458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900" w:type="dxa"/>
            <w:vAlign w:val="bottom"/>
          </w:tcPr>
          <w:p>
            <w:pPr>
              <w:jc w:val="right"/>
              <w:spacing w:after="0"/>
              <w:rPr>
                <w:sz w:val="20"/>
                <w:szCs w:val="20"/>
                <w:color w:val="auto"/>
              </w:rPr>
            </w:pPr>
            <w:r>
              <w:rPr>
                <w:rFonts w:ascii="Arial" w:cs="Arial" w:eastAsia="Arial" w:hAnsi="Arial"/>
                <w:sz w:val="16"/>
                <w:szCs w:val="16"/>
                <w:color w:val="auto"/>
              </w:rPr>
              <w:t>537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13,350</w:t>
            </w:r>
          </w:p>
        </w:tc>
        <w:tc>
          <w:tcPr>
            <w:tcW w:w="0" w:type="dxa"/>
            <w:vAlign w:val="bottom"/>
          </w:tcPr>
          <w:p>
            <w:pPr>
              <w:spacing w:after="0"/>
              <w:rPr>
                <w:sz w:val="1"/>
                <w:szCs w:val="1"/>
                <w:color w:val="auto"/>
              </w:rPr>
            </w:pPr>
          </w:p>
        </w:tc>
      </w:tr>
      <w:tr>
        <w:trPr>
          <w:trHeight w:val="418"/>
        </w:trPr>
        <w:tc>
          <w:tcPr>
            <w:tcW w:w="900" w:type="dxa"/>
            <w:vAlign w:val="bottom"/>
          </w:tcPr>
          <w:p>
            <w:pPr>
              <w:jc w:val="right"/>
              <w:spacing w:after="0"/>
              <w:rPr>
                <w:sz w:val="20"/>
                <w:szCs w:val="20"/>
                <w:color w:val="auto"/>
              </w:rPr>
            </w:pPr>
            <w:r>
              <w:rPr>
                <w:rFonts w:ascii="Arial" w:cs="Arial" w:eastAsia="Arial" w:hAnsi="Arial"/>
                <w:sz w:val="16"/>
                <w:szCs w:val="16"/>
                <w:color w:val="auto"/>
              </w:rPr>
              <w:t>17,013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368,459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368,459</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105,154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105,154</w:t>
            </w:r>
          </w:p>
        </w:tc>
        <w:tc>
          <w:tcPr>
            <w:tcW w:w="0" w:type="dxa"/>
            <w:vAlign w:val="bottom"/>
          </w:tcPr>
          <w:p>
            <w:pPr>
              <w:spacing w:after="0"/>
              <w:rPr>
                <w:sz w:val="1"/>
                <w:szCs w:val="1"/>
                <w:color w:val="auto"/>
              </w:rPr>
            </w:pPr>
          </w:p>
        </w:tc>
      </w:tr>
      <w:tr>
        <w:trPr>
          <w:trHeight w:val="22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3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(288,342)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(288,342)</w:t>
            </w:r>
          </w:p>
        </w:tc>
        <w:tc>
          <w:tcPr>
            <w:tcW w:w="0" w:type="dxa"/>
            <w:vAlign w:val="bottom"/>
          </w:tcPr>
          <w:p>
            <w:pPr>
              <w:spacing w:after="0"/>
              <w:rPr>
                <w:sz w:val="1"/>
                <w:szCs w:val="1"/>
                <w:color w:val="auto"/>
              </w:rPr>
            </w:pPr>
          </w:p>
        </w:tc>
      </w:tr>
      <w:tr>
        <w:trPr>
          <w:trHeight w:val="209"/>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188,298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1,034,252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(829,788)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203,840</w:t>
            </w:r>
          </w:p>
        </w:tc>
        <w:tc>
          <w:tcPr>
            <w:tcW w:w="0" w:type="dxa"/>
            <w:vAlign w:val="bottom"/>
          </w:tcPr>
          <w:p>
            <w:pPr>
              <w:spacing w:after="0"/>
              <w:rPr>
                <w:sz w:val="1"/>
                <w:szCs w:val="1"/>
                <w:color w:val="auto"/>
              </w:rPr>
            </w:pPr>
          </w:p>
        </w:tc>
      </w:tr>
      <w:tr>
        <w:trPr>
          <w:trHeight w:val="396"/>
        </w:trPr>
        <w:tc>
          <w:tcPr>
            <w:tcW w:w="900" w:type="dxa"/>
            <w:vAlign w:val="bottom"/>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5,754</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29"/>
        </w:trPr>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94"/>
        </w:trPr>
        <w:tc>
          <w:tcPr>
            <w:tcW w:w="900" w:type="dxa"/>
            <w:vAlign w:val="bottom"/>
          </w:tcPr>
          <w:p>
            <w:pPr>
              <w:jc w:val="right"/>
              <w:spacing w:after="0"/>
              <w:rPr>
                <w:sz w:val="20"/>
                <w:szCs w:val="20"/>
                <w:color w:val="auto"/>
              </w:rPr>
            </w:pPr>
            <w:r>
              <w:rPr>
                <w:rFonts w:ascii="Arial" w:cs="Arial" w:eastAsia="Arial" w:hAnsi="Arial"/>
                <w:sz w:val="16"/>
                <w:szCs w:val="16"/>
                <w:color w:val="auto"/>
              </w:rPr>
              <w:t>3,982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900" w:type="dxa"/>
            <w:vAlign w:val="bottom"/>
          </w:tcPr>
          <w:p>
            <w:pPr>
              <w:jc w:val="right"/>
              <w:spacing w:after="0"/>
              <w:rPr>
                <w:sz w:val="20"/>
                <w:szCs w:val="20"/>
                <w:color w:val="auto"/>
              </w:rPr>
            </w:pPr>
            <w:r>
              <w:rPr>
                <w:rFonts w:ascii="Arial" w:cs="Arial" w:eastAsia="Arial" w:hAnsi="Arial"/>
                <w:sz w:val="16"/>
                <w:szCs w:val="16"/>
                <w:color w:val="auto"/>
              </w:rPr>
              <w:t>720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17,116</w:t>
            </w:r>
          </w:p>
        </w:tc>
        <w:tc>
          <w:tcPr>
            <w:tcW w:w="0" w:type="dxa"/>
            <w:vAlign w:val="bottom"/>
          </w:tcPr>
          <w:p>
            <w:pPr>
              <w:spacing w:after="0"/>
              <w:rPr>
                <w:sz w:val="1"/>
                <w:szCs w:val="1"/>
                <w:color w:val="auto"/>
              </w:rPr>
            </w:pPr>
          </w:p>
        </w:tc>
      </w:tr>
      <w:tr>
        <w:trPr>
          <w:trHeight w:val="594"/>
        </w:trPr>
        <w:tc>
          <w:tcPr>
            <w:tcW w:w="900" w:type="dxa"/>
            <w:vAlign w:val="bottom"/>
          </w:tcPr>
          <w:p>
            <w:pPr>
              <w:jc w:val="right"/>
              <w:spacing w:after="0"/>
              <w:rPr>
                <w:sz w:val="20"/>
                <w:szCs w:val="20"/>
                <w:color w:val="auto"/>
              </w:rPr>
            </w:pPr>
            <w:r>
              <w:rPr>
                <w:rFonts w:ascii="Arial" w:cs="Arial" w:eastAsia="Arial" w:hAnsi="Arial"/>
                <w:sz w:val="16"/>
                <w:szCs w:val="16"/>
                <w:color w:val="auto"/>
              </w:rPr>
              <w:t>19,273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347,289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347,289</w:t>
            </w:r>
          </w:p>
        </w:tc>
        <w:tc>
          <w:tcPr>
            <w:tcW w:w="0" w:type="dxa"/>
            <w:vAlign w:val="bottom"/>
          </w:tcPr>
          <w:p>
            <w:pPr>
              <w:spacing w:after="0"/>
              <w:rPr>
                <w:sz w:val="1"/>
                <w:szCs w:val="1"/>
                <w:color w:val="auto"/>
              </w:rPr>
            </w:pPr>
          </w:p>
        </w:tc>
      </w:tr>
      <w:tr>
        <w:trPr>
          <w:trHeight w:val="22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189,898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189,898</w:t>
            </w:r>
          </w:p>
        </w:tc>
        <w:tc>
          <w:tcPr>
            <w:tcW w:w="0" w:type="dxa"/>
            <w:vAlign w:val="bottom"/>
          </w:tcPr>
          <w:p>
            <w:pPr>
              <w:spacing w:after="0"/>
              <w:rPr>
                <w:sz w:val="1"/>
                <w:szCs w:val="1"/>
                <w:color w:val="auto"/>
              </w:rPr>
            </w:pPr>
          </w:p>
        </w:tc>
      </w:tr>
      <w:tr>
        <w:trPr>
          <w:trHeight w:val="41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3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(407,768)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(407,768)</w:t>
            </w:r>
          </w:p>
        </w:tc>
        <w:tc>
          <w:tcPr>
            <w:tcW w:w="0" w:type="dxa"/>
            <w:vAlign w:val="bottom"/>
          </w:tcPr>
          <w:p>
            <w:pPr>
              <w:spacing w:after="0"/>
              <w:rPr>
                <w:sz w:val="1"/>
                <w:szCs w:val="1"/>
                <w:color w:val="auto"/>
              </w:rPr>
            </w:pPr>
          </w:p>
        </w:tc>
      </w:tr>
      <w:tr>
        <w:trPr>
          <w:trHeight w:val="210"/>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214,293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1,595,001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(1,237,556)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356,574</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-5091430</wp:posOffset>
            </wp:positionV>
            <wp:extent cx="7132320" cy="5074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5074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160"/>
            <w:col w:w="5980"/>
          </w:cols>
          <w:pgMar w:left="340" w:top="121" w:right="339" w:bottom="1440" w:gutter="0" w:footer="0" w:header="0"/>
          <w:type w:val="continuous"/>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82" w:name="page83"/>
    <w:bookmarkEnd w:id="82"/>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Year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6"/>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(407,768)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(211,710)</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3,486</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34,225</w:t>
            </w: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of premium on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16,389</w:t>
            </w: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discount on convertible notes and term loan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22,369</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13,681</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(20,458)</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(17,184)</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(3,402)</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18,123</w:t>
            </w: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41,779</w:t>
            </w:r>
          </w:p>
        </w:tc>
      </w:tr>
      <w:tr>
        <w:trPr>
          <w:trHeight w:val="229"/>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w:t>
            </w:r>
          </w:p>
        </w:tc>
      </w:tr>
      <w:tr>
        <w:trPr>
          <w:trHeight w:val="22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(92,870)</w:t>
            </w:r>
          </w:p>
        </w:tc>
      </w:tr>
      <w:tr>
        <w:trPr>
          <w:trHeight w:val="21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(191,576)</w:t>
            </w: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Sales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37,103</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53,842</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(57,344)</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internal-use software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(158,937)</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Proceeds from term loan,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30,915</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term loan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Proceeds from private placement — related party, net of offering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convertible notes — related party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20,501</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201,005</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286,160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Year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Beginning of period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310,677</w:t>
            </w:r>
          </w:p>
        </w:tc>
      </w:tr>
      <w:tr>
        <w:trPr>
          <w:trHeight w:val="221"/>
        </w:trPr>
        <w:tc>
          <w:tcPr>
            <w:tcW w:w="6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526,563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240,403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259,878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data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4,325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3,443</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upon conversion of convertible notes — related party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ind w:firstLine="8"/>
        <w:spacing w:after="0" w:line="257" w:lineRule="auto"/>
        <w:tabs>
          <w:tab w:leader="none" w:pos="6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beginning of period cash and cash equivalents balance for fiscal 2021 includes $4.7 million of restricted cash, but as of January 31, 2021 all restrictions of the cash balances had expired and the amounts were no longer restricted.</w:t>
      </w: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 and Description of Business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Asana, Inc. (“Asana” or the “Company”) was incorporated in the state of Delaware on December 16, 2008. Asana is a work management platform that helps organizations orchestrate work, from daily tasks to cross-functional strategic initiatives. The Company is headquartered in San Francisco, California.</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Basis of Presentation and Summary of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(“GAAP”) and include the accounts of the Company’s wholly-owned subsidiaries. All intercompany transactions and balances have been eliminated on consolidation.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fiscal year ends on January 31. For example, references to fiscal 2023, 2022, and 2021 refer to the fiscal year ended January 31, 2023, January 31, 2022, and January 31, 2021,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 of Class A and Class B Common Stock</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March 23, 2020, the Company amended and restated its certificate of incorporation to effect a reclassification of the Company’s Class A common stock to Class B common stock, and vice versa. There were no changes to the rights, preferences, and privileges of each class of common stock at this time. All references to Class A common stock have been recast to Class B common stock, and all references to Class B common stock have been recast to Class A common stock, in these consolidated financial statements to give retrospective effect to the reclassification for all periods presented.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 Listing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30, 2020, the Company completed a direct listing of its Class A common stock (the “Direct Listing”) on the NYSE. The Company incurred fees related to financial advisory service, audit, and legal expenses in connection with the Direct Listing and recorded general and administrative expenses of $18.0 million for the year ended January 31, 2021. Prior to the Direct Listing, all 73,577,455 outstanding shares of redeemable convertible preferred stock were converted into an equivalent number of shares of Class B common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preparation of consolidated financial statements in conformity with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the fair value of the Convertible Notes (as defined in </w:t>
      </w:r>
      <w:r>
        <w:rPr>
          <w:rFonts w:ascii="Arial" w:cs="Arial" w:eastAsia="Arial" w:hAnsi="Arial"/>
          <w:sz w:val="18"/>
          <w:szCs w:val="18"/>
          <w:i w:val="1"/>
          <w:iCs w:val="1"/>
          <w:color w:val="auto"/>
        </w:rPr>
        <w:t>Note 6. Convertible Notes—Related Party</w:t>
      </w:r>
      <w:r>
        <w:rPr>
          <w:rFonts w:ascii="Arial" w:cs="Arial" w:eastAsia="Arial" w:hAnsi="Arial"/>
          <w:sz w:val="18"/>
          <w:szCs w:val="18"/>
          <w:color w:val="auto"/>
        </w:rPr>
        <w:t>), the fair value of common stock for periods prior to the Direct Listing, stock-based compensation expense, the period of benefit for deferred contract acquisition costs, and income taxes. Actual results could differ from those estimates.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The Company continues to monitor and respond to evolving developments regarding the COVID-19 pandemic, which has significantly impacted the global economy. While the Company has re-opened its offices globally to employees and shifted to an office-centric hybrid work model, in-office collaboration is voluntary in times of increased community spread, and could therefore be further disrupted should the severity of the pandemic worsen. Should the pandemic worsen, the Company’s operations and the operations of its partners or customers may be further affected by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other recent macroeconomic events including elevated inflation, the U.S. Federal Reserve raising interest rates, bank failures, supply chain disruptions, fluctuations in currency exchange rates, and the Russian invasion of Ukraine, have led to further economic uncertainty in the global economy. These macroeconomic conditions have and are likely to continue to have adverse effects on the rate of global IT spending, including the buying patterns of the Company’s customers and prospective customers.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conditions caused by the COVID-19 pandemic and the other aforementioned recent macroeconomic events could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limit the ability of the Company’s direct sales force to travel to customers and potential customers,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COVID-19 or the other aforementioned macroeconomic events that would require it to update its estimates or judgments or adjust the carrying value of its assets or liabilities. Actual results could differ from those estimates and any such differences may be material to the consolidated financial statements.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Company derives its revenues from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includes the following steps:</w:t>
      </w:r>
    </w:p>
    <w:p>
      <w:pPr>
        <w:spacing w:after="0" w:line="11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recognition of the revenues when, or as, the Company satisfies a performance obligation.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non-refundable in the event of cancellations.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expenses are charged to sales and marketing expense in the consolidated statements of operations as incurred. Advertising expenses were $118.1 million, $87.4 million, and $68.0 million for the years ended January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records stock-based compensation expense for all stock-based awards, including stock options, purchase rights issued under the 2020 Employee Stock Purchase Plan, and restricted stock units, made to employees, non-employees, and directors based on estimated fair values recognized over the requisite service period. The fair value of stock options granted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 Stock-based compensation expense for RSUs is measured based on the fair value of the underlying shares on the date of grant.</w:t>
      </w:r>
    </w:p>
    <w:p>
      <w:pPr>
        <w:spacing w:after="0" w:line="1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equity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statements of operations and were not material for the years ended January 31, 2023, 2022, and 2021.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For information regarding the Company’s revenues and long-lived assets by geographic area, see </w:t>
      </w:r>
      <w:r>
        <w:rPr>
          <w:rFonts w:ascii="Arial" w:cs="Arial" w:eastAsia="Arial" w:hAnsi="Arial"/>
          <w:sz w:val="16"/>
          <w:szCs w:val="16"/>
          <w:i w:val="1"/>
          <w:iCs w:val="1"/>
          <w:color w:val="auto"/>
        </w:rPr>
        <w:t>Note</w:t>
      </w:r>
    </w:p>
    <w:p>
      <w:pPr>
        <w:spacing w:after="0" w:line="2"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Geographic Information</w:t>
      </w:r>
      <w:r>
        <w:rPr>
          <w:rFonts w:ascii="Arial" w:cs="Arial" w:eastAsia="Arial" w:hAnsi="Arial"/>
          <w:sz w:val="18"/>
          <w:szCs w:val="18"/>
          <w:color w:val="auto"/>
        </w:rPr>
        <w:t>.</w:t>
      </w:r>
    </w:p>
    <w:p>
      <w:pPr>
        <w:spacing w:after="0" w:line="156"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all highly liquid investments with original maturities at the date of purchase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stated at cost, which approximates fair value.</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as reported in the Company’s consolidated statements of cash flows includes the aggregate amounts of cash and cash equivalents as shown on the consolidated balance sheets.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Marketable Securities and Investments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Marketable securities are partially comprised of U.S. government securities, commercial paper, and corporate bonds with an original contractual maturity or a remaining maturity at the time of purchase of greater than three months and no more than 37 months. Marketable securities with a remaining maturity at the time of purchase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excess of 12 months are presented as investments, non-current on the consolidated balance sheets. These marketable securities are classified as available-for-sale securities and are carried at fair value with unrealized gains and losses reported in accumulated other comprehensive income (loss) as a separate component of stockholders’ equity (deficit). Interest receivable on these securities is presented in prepaid expenses and other current assets on the consolidated balance sheets. Realized gains and losses, other-than-temporary impairments (prior to the Company’s adoption of ASU No. 2016-13 on February 1, 2021), and the recognition of expected credit losses (subsequent to the Company’s adoption of ASU No. 2016-13 on February 1, 2021), if any, on available-for-sale securities are recognized upon sale and are included in other income (expense), net in the consolidated statements of operations. The cost of securities sold is based on the specific identification method. Marketable securities are reviewed periodically to identify possible other-than-temporary impairments or expected credit losses. No impairment or credit loss has been recorded on the Company’s marketable securities during the years ended January 31, 2023, 2022, or 2021.</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Accounts receivable are stated at realizable value, net of allowance for doubtful accounts. The allowance for doubtful accounts is based on the Company’s assessment of the collectability of its accounts receivable, which considers the Company’s historical write-offs of uncollectible accounts, an analysis of the aging of outstanding accounts receivable, specific customers with known adverse financial conditions, and considers other relevant factors, including contractual terms and current and future economic conditions. The Company also considers current market conditions and current and future economic conditions in reviewing the adequacy of the allowance. The Company reassesses the adequacy of the allowance for credit losses each reporting period.</w:t>
      </w:r>
    </w:p>
    <w:p>
      <w:pPr>
        <w:spacing w:after="0" w:line="138" w:lineRule="exact"/>
        <w:rPr>
          <w:sz w:val="20"/>
          <w:szCs w:val="20"/>
          <w:color w:val="auto"/>
        </w:rPr>
      </w:pPr>
    </w:p>
    <w:p>
      <w:pPr>
        <w:ind w:left="340" w:right="1560"/>
        <w:spacing w:after="0" w:line="438" w:lineRule="auto"/>
        <w:rPr>
          <w:sz w:val="20"/>
          <w:szCs w:val="20"/>
          <w:color w:val="auto"/>
        </w:rPr>
      </w:pPr>
      <w:r>
        <w:rPr>
          <w:rFonts w:ascii="Arial" w:cs="Arial" w:eastAsia="Arial" w:hAnsi="Arial"/>
          <w:sz w:val="18"/>
          <w:szCs w:val="18"/>
          <w:color w:val="auto"/>
        </w:rPr>
        <w:t xml:space="preserve">The Company’s allowance for doubtful accounts was $2.3 million and $2.0 million as of January 31, 2023 and 2022, respectively. </w:t>
      </w:r>
      <w:r>
        <w:rPr>
          <w:rFonts w:ascii="Arial" w:cs="Arial" w:eastAsia="Arial" w:hAnsi="Arial"/>
          <w:sz w:val="18"/>
          <w:szCs w:val="18"/>
          <w:b w:val="1"/>
          <w:bCs w:val="1"/>
          <w:i w:val="1"/>
          <w:iCs w:val="1"/>
          <w:color w:val="auto"/>
        </w:rPr>
        <w:t>Concentration of Credit Risk</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cash equivalents, and marketable securities. The Company deposits its cash and cash equivalents with financial institutions that management believes are of high credit quality, although such deposits may, at times, exceed federally insured limits. The Company has not experienced any losses on its deposits of cash and cash equivalents to date. Cash equivalents are invested in highly rated money market funds.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grants credit to customers in the normal course of business. For the years ended January 31, 2023, 2022, and 2021, there were no individual customers that accounted for 10% or more of the Company’s revenues. The Company had no customers that accounted for 10% or more of accounts receivable at January 31, 2023 and 2022.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defined as the exit price that would be received to sell an asset or paid to transfer a liability in an orderly transaction between market participants at the reporting date. As such, fair value is a market-based measurement that should be determined based on assumptions that market participants would use in pricing an asset or liability. Fair value is estimated by utilizing a three-tier fair value hierarchy, which prioritizes the inputs used in measuring fair value as follows:</w:t>
      </w:r>
    </w:p>
    <w:p>
      <w:pPr>
        <w:spacing w:after="0" w:line="133"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comprised of quoted prices for identical assets or liabilities in active markets.</w:t>
      </w:r>
    </w:p>
    <w:p>
      <w:pPr>
        <w:spacing w:after="0" w:line="17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w:t>
      </w:r>
    </w:p>
    <w:p>
      <w:pPr>
        <w:spacing w:after="0" w:line="17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and that are significant to the fair value of the assets or liabilities.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fair value, a financial instrument’s classification within the three-tier fair value hierarchy is based on the lowest level of input that is significant to the fair value measurement. The Company utilizes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techniques that maximize the use of observable inputs and minimize the use of unobservable inputs to the extent possible, as well as considers counterparty credit risk in its assessment of fair value.</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carrying amount of certain financial instruments, including cash, accounts receivable, accounts payable, and accrued liabilities approximates their fair values due to their short-term nature.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determines if an arrangement is a lease at inception by determining if the contract conveys the right to control the issue of an identified asset for a period of time in exchange for consideration and other facts and circumstances. Right-of-use assets and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w:t>
      </w:r>
    </w:p>
    <w:p>
      <w:pPr>
        <w:spacing w:after="0" w:line="1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has lease agreements with lease and non-lease components. The Company elects to combine lease and non-lease components as a single lease component for all classes of underlying assets. The Company elects to not record leases with an initial term of 12 months or less on the balance sheet and the associated lease payments are recognized in the consolidated statements of operations on a straight-line basis over the lease term.</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are included in operating lease ROU assets, operating lease liabilities, current, and operating lease liabilities, noncurrent on the consolidated balance sheets.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records its property and equipment at cost. Depreciation is computed on the straight-line method over the estimated useful lives of two to five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gridSpan w:val="2"/>
          </w:tcPr>
          <w:p>
            <w:pPr>
              <w:ind w:left="2480"/>
              <w:spacing w:after="0"/>
              <w:rPr>
                <w:sz w:val="20"/>
                <w:szCs w:val="20"/>
                <w:color w:val="auto"/>
              </w:rPr>
            </w:pPr>
            <w:r>
              <w:rPr>
                <w:rFonts w:ascii="Arial" w:cs="Arial" w:eastAsia="Arial" w:hAnsi="Arial"/>
                <w:sz w:val="14"/>
                <w:szCs w:val="14"/>
                <w:b w:val="1"/>
                <w:bCs w:val="1"/>
                <w:color w:val="auto"/>
              </w:rPr>
              <w:t>Asset Type</w:t>
            </w:r>
          </w:p>
        </w:tc>
        <w:tc>
          <w:tcPr>
            <w:tcW w:w="5540" w:type="dxa"/>
            <w:vAlign w:val="bottom"/>
          </w:tcPr>
          <w:p>
            <w:pPr>
              <w:jc w:val="right"/>
              <w:ind w:right="2334"/>
              <w:spacing w:after="0"/>
              <w:rPr>
                <w:sz w:val="20"/>
                <w:szCs w:val="20"/>
                <w:color w:val="auto"/>
              </w:rPr>
            </w:pPr>
            <w:r>
              <w:rPr>
                <w:rFonts w:ascii="Arial" w:cs="Arial" w:eastAsia="Arial" w:hAnsi="Arial"/>
                <w:sz w:val="14"/>
                <w:szCs w:val="14"/>
                <w:b w:val="1"/>
                <w:bCs w:val="1"/>
                <w:color w:val="auto"/>
              </w:rPr>
              <w:t>Life (Years)</w:t>
            </w:r>
          </w:p>
        </w:tc>
      </w:tr>
      <w:tr>
        <w:trPr>
          <w:trHeight w:val="25"/>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Desktop and other computer equipment</w:t>
            </w:r>
          </w:p>
        </w:tc>
        <w:tc>
          <w:tcPr>
            <w:tcW w:w="100" w:type="dxa"/>
            <w:vAlign w:val="bottom"/>
            <w:shd w:val="clear" w:color="auto" w:fill="CCEEFF"/>
          </w:tcPr>
          <w:p>
            <w:pPr>
              <w:spacing w:after="0"/>
              <w:rPr>
                <w:sz w:val="19"/>
                <w:szCs w:val="19"/>
                <w:color w:val="auto"/>
              </w:rPr>
            </w:pP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lease term or estimated useful life</w:t>
            </w: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Capitalized internal-use software</w:t>
            </w:r>
          </w:p>
        </w:tc>
        <w:tc>
          <w:tcPr>
            <w:tcW w:w="55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losses were recorded during the years ended January 31, 2023, 2022, and 2021.</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valuation allowance is provided against deferred tax assets unless it is more likely than not that they will be realized. If there is significant negative evidence that the near-term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The Company performs a comprehensive review of potential uncertain tax positions in each jurisdiction in which the Company operates. The Company accounts for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prescribes a recognition threshold and measurement attribute for the financial statement recognition and measurement of a tax provision that an entity takes or expects to take in a tax return.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 common stock. The holders of the redeemable convertible preferred stock do not have a contractual obligation to share in the Company’s losses. As such, the Company’s net losses for the years ended January 31, 2023, 2022, and 2021 were not allocated to these participating securities.</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Diluted earnings per share attributable to common stockholders adjusts basic earnings per share for the potentially dilutive impact of redeemable convertible preferred stock warrants, stock options, RSUs, and redeemable convertible preferred stock. As the Company has reported losses for all periods presented, all potentially dilutive securities are anti-dilutive, and accordingly, basic net loss per share equaled diluted net loss per share.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reclassified $4.1 million of deferred revenue, noncurrent from other liabilities, noncurrent for the comparative consolidated balance sheets as of January 31, 2022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2021, the FASB issued ASU No. 2021-08</w:t>
      </w:r>
      <w:r>
        <w:rPr>
          <w:rFonts w:ascii="Arial" w:cs="Arial" w:eastAsia="Arial" w:hAnsi="Arial"/>
          <w:sz w:val="18"/>
          <w:szCs w:val="18"/>
          <w:i w:val="1"/>
          <w:iCs w:val="1"/>
          <w:color w:val="auto"/>
        </w:rPr>
        <w:t>, Business Combinations - Accounting for Contract Liabilities from Contracts with Customers,</w:t>
      </w:r>
      <w:r>
        <w:rPr>
          <w:rFonts w:ascii="Arial" w:cs="Arial" w:eastAsia="Arial" w:hAnsi="Arial"/>
          <w:sz w:val="18"/>
          <w:szCs w:val="18"/>
          <w:color w:val="auto"/>
        </w:rPr>
        <w:t xml:space="preserve"> which requires an acquirer in a business combination to recognize and measure contract assets and contract liabilities from acquired contracts using the revenue recognition guidance under Accounting Standards Codification Topic 606 in order to align the recognition of a contract liability with the definition of a performance obligation. The guidance is effective for the Company’s fiscal years beginning after February 1, 2023. The Company is currently evaluating the impact of adopting ASU 2021-08.</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February 1, 2022, the Company adopted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the accounting for certain convertible instruments, amends the guidance on derivative scope exceptions for contracts in an entity's own equity, and modifies the guidance on diluted earnings per share calculations as a result of these changes. The adoption of the guidance did not have an impact on the Company’s consolidated financial statements.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February 1, 2021, the Company adopted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the measurement and recognition of expected credit losses for financial assets held at amortized cost,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adoption of the guidance did not have a material impact on the Company’s consolidated financial statements.</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1, 2021, the Company adopted ASU No. 2018-15</w:t>
      </w:r>
      <w:r>
        <w:rPr>
          <w:rFonts w:ascii="Arial" w:cs="Arial" w:eastAsia="Arial" w:hAnsi="Arial"/>
          <w:sz w:val="17"/>
          <w:szCs w:val="17"/>
          <w:i w:val="1"/>
          <w:iCs w:val="1"/>
          <w:color w:val="auto"/>
        </w:rPr>
        <w:t>, 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The amendments in ASU No. 2018-15</w:t>
      </w:r>
      <w:r>
        <w:rPr>
          <w:rFonts w:ascii="Arial" w:cs="Arial" w:eastAsia="Arial" w:hAnsi="Arial"/>
          <w:sz w:val="17"/>
          <w:szCs w:val="17"/>
          <w:i w:val="1"/>
          <w:iCs w:val="1"/>
          <w:color w:val="auto"/>
        </w:rPr>
        <w:t xml:space="preserve"> </w:t>
      </w:r>
      <w:r>
        <w:rPr>
          <w:rFonts w:ascii="Arial" w:cs="Arial" w:eastAsia="Arial" w:hAnsi="Arial"/>
          <w:sz w:val="17"/>
          <w:szCs w:val="17"/>
          <w:color w:val="auto"/>
        </w:rPr>
        <w:t>amend the definition of a hosting arrangement and requires a customer in a hosting arrangement that is a service contract to capitalize certain costs as if the arrangement were an internal-use software project. The Company adopted ASU No. 2018-15 as of February 1, 2021 using a prospective transition approach. The adoption of the guidance did not have a material impact on the Company’s consolidated financial statements.</w:t>
      </w:r>
    </w:p>
    <w:p>
      <w:pPr>
        <w:spacing w:after="0" w:line="1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recognized $170.1 million and $103.9 million of revenues during the years ended January 31, 2023 and 2022, respectively, that were included in the deferred revenue balance at the beginning of the respective period.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Deferred revenue that will be recognized within the next twelve months is recorded as current deferred revenue, and the remaining portion is recorded as noncurrent. As of January 31, 2023, the Company's remaining performance obligations from subscription contracts were $299.2 million, of which the Company expects to recognize approximately 84% as revenues over the next 12 months and the remainder thereafter.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deferred contract acquisition costs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Year Ended January 31,</w:t>
            </w:r>
          </w:p>
        </w:tc>
        <w:tc>
          <w:tcPr>
            <w:tcW w:w="1060" w:type="dxa"/>
            <w:vAlign w:val="bottom"/>
          </w:tcPr>
          <w:p>
            <w:pPr>
              <w:spacing w:after="0"/>
              <w:rPr>
                <w:sz w:val="16"/>
                <w:szCs w:val="16"/>
                <w:color w:val="auto"/>
              </w:rPr>
            </w:pPr>
          </w:p>
        </w:tc>
      </w:tr>
      <w:tr>
        <w:trPr>
          <w:trHeight w:val="26"/>
        </w:trPr>
        <w:tc>
          <w:tcPr>
            <w:tcW w:w="7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75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22,771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12,093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1060" w:type="dxa"/>
            <w:vAlign w:val="bottom"/>
          </w:tcPr>
          <w:p>
            <w:pPr>
              <w:spacing w:after="0"/>
              <w:rPr>
                <w:sz w:val="19"/>
                <w:szCs w:val="19"/>
                <w:color w:val="auto"/>
              </w:rPr>
            </w:pPr>
          </w:p>
        </w:tc>
        <w:tc>
          <w:tcPr>
            <w:tcW w:w="720" w:type="dxa"/>
            <w:vAlign w:val="bottom"/>
          </w:tcPr>
          <w:p>
            <w:pPr>
              <w:jc w:val="center"/>
              <w:ind w:left="12"/>
              <w:spacing w:after="0"/>
              <w:rPr>
                <w:sz w:val="20"/>
                <w:szCs w:val="20"/>
                <w:color w:val="auto"/>
              </w:rPr>
            </w:pPr>
            <w:r>
              <w:rPr>
                <w:rFonts w:ascii="Arial" w:cs="Arial" w:eastAsia="Arial" w:hAnsi="Arial"/>
                <w:sz w:val="18"/>
                <w:szCs w:val="18"/>
                <w:color w:val="auto"/>
                <w:w w:val="90"/>
              </w:rPr>
              <w:t>28,910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Arial" w:cs="Arial" w:eastAsia="Arial" w:hAnsi="Arial"/>
                <w:sz w:val="18"/>
                <w:szCs w:val="18"/>
                <w:color w:val="auto"/>
                <w:w w:val="98"/>
              </w:rPr>
              <w:t>19,325</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(15,098)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(8,647)</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36,583</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22,771</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ind w:left="12"/>
              <w:spacing w:after="0"/>
              <w:rPr>
                <w:sz w:val="20"/>
                <w:szCs w:val="20"/>
                <w:color w:val="auto"/>
              </w:rPr>
            </w:pPr>
            <w:r>
              <w:rPr>
                <w:rFonts w:ascii="Arial" w:cs="Arial" w:eastAsia="Arial" w:hAnsi="Arial"/>
                <w:sz w:val="18"/>
                <w:szCs w:val="18"/>
                <w:color w:val="auto"/>
                <w:w w:val="90"/>
              </w:rPr>
              <w:t>18,049</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00"/>
              <w:spacing w:after="0"/>
              <w:rPr>
                <w:sz w:val="20"/>
                <w:szCs w:val="20"/>
                <w:color w:val="auto"/>
              </w:rPr>
            </w:pPr>
            <w:r>
              <w:rPr>
                <w:rFonts w:ascii="Arial" w:cs="Arial" w:eastAsia="Arial" w:hAnsi="Arial"/>
                <w:sz w:val="18"/>
                <w:szCs w:val="18"/>
                <w:color w:val="auto"/>
                <w:w w:val="98"/>
              </w:rPr>
              <w:t>10,797</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18,534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11,974</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deferred contract acquisition costs</w:t>
            </w:r>
          </w:p>
        </w:tc>
        <w:tc>
          <w:tcPr>
            <w:tcW w:w="106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36,583</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22,771</w:t>
            </w:r>
          </w:p>
        </w:tc>
      </w:tr>
      <w:tr>
        <w:trPr>
          <w:trHeight w:val="20"/>
        </w:trPr>
        <w:tc>
          <w:tcPr>
            <w:tcW w:w="7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contract acquisition costs, current is presented within prepaid expenses and other current assets in the consolidated balance sheets. Deferred contract acquisition costs, noncurrent is presented within other assets in the consolidated balance sheets.</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for assets and liabilities measured at fair value, the respective fair value and classification by level of input within the fair value hierarchy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As of January 31,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right"/>
              <w:ind w:right="33"/>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289,001</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289,001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289,001</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2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289,001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291,740</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As of January 31, 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right"/>
              <w:ind w:right="33"/>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176,855</w:t>
            </w:r>
          </w:p>
        </w:tc>
      </w:tr>
      <w:tr>
        <w:trPr>
          <w:trHeight w:val="22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176,855</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44,943</w:t>
            </w:r>
          </w:p>
        </w:tc>
        <w:tc>
          <w:tcPr>
            <w:tcW w:w="80" w:type="dxa"/>
            <w:vAlign w:val="bottom"/>
          </w:tcPr>
          <w:p>
            <w:pPr>
              <w:spacing w:after="0"/>
              <w:rPr>
                <w:sz w:val="19"/>
                <w:szCs w:val="19"/>
                <w:color w:val="auto"/>
              </w:rPr>
            </w:pP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44,943</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26,685</w:t>
            </w:r>
          </w:p>
        </w:tc>
      </w:tr>
      <w:tr>
        <w:trPr>
          <w:trHeight w:val="22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71,628</w:t>
            </w:r>
          </w:p>
        </w:tc>
        <w:tc>
          <w:tcPr>
            <w:tcW w:w="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71,628</w:t>
            </w: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74,388</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251,243</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of financial assets or liabilities into or out of Level 3 during the years ended January 31, 2023 and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investments in marketable securities on the consolidated balance sheets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January 31, 2023</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39"/>
        </w:trPr>
        <w:tc>
          <w:tcPr>
            <w:tcW w:w="5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January 31, 2022</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44,951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44,943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26,685</w:t>
            </w:r>
          </w:p>
        </w:tc>
        <w:tc>
          <w:tcPr>
            <w:tcW w:w="0" w:type="dxa"/>
            <w:vAlign w:val="bottom"/>
          </w:tcPr>
          <w:p>
            <w:pPr>
              <w:spacing w:after="0"/>
              <w:rPr>
                <w:sz w:val="1"/>
                <w:szCs w:val="1"/>
                <w:color w:val="auto"/>
              </w:rPr>
            </w:pP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64"/>
        </w:trPr>
        <w:tc>
          <w:tcPr>
            <w:tcW w:w="5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periodically evaluates its investments for expected credit losses. The unrealized losses on the available-for-sale securities were primarily due to unfavorable changes in interest rates subsequent to the initial purchase of these securities. Gross unrealized losses of the Company’s available-for-sale securities that have been in a continuous unrealized loss position for twelve months or longer were immaterial as of January 31, 2023 and January 31, 2022.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January 31, 2023 or January 31, 2022 to represent credit losses.</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April 2020 and November 2022, the Company entered into credit agreements (the “April 2020 Senior Secured Term Loan” and “November 2022 Senior Secured Credit Facility” as defined in </w:t>
      </w:r>
      <w:r>
        <w:rPr>
          <w:rFonts w:ascii="Arial" w:cs="Arial" w:eastAsia="Arial" w:hAnsi="Arial"/>
          <w:sz w:val="17"/>
          <w:szCs w:val="17"/>
          <w:i w:val="1"/>
          <w:iCs w:val="1"/>
          <w:color w:val="auto"/>
        </w:rPr>
        <w:t>Note 7. Debt</w:t>
      </w:r>
      <w:r>
        <w:rPr>
          <w:rFonts w:ascii="Arial" w:cs="Arial" w:eastAsia="Arial" w:hAnsi="Arial"/>
          <w:sz w:val="17"/>
          <w:szCs w:val="17"/>
          <w:color w:val="auto"/>
        </w:rPr>
        <w:t xml:space="preserve">) with Silicon Valley Bank (“SVB”). The fair values of the credit facilities approximated their carrying values as of January 31, 2023 and January 31, 2022. As noted in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substantially all third party contracts previously entered into by SVB have been transferred to Silicon Valley Bridge Bank, National Association (“SVBBNA”), inclusive of our credit agreement with SVB, and SVBBNA has assumed all obligations of SVB under those contracts.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January 2020 and June 2020, the Company issued Convertible Notes (as defined in </w:t>
      </w:r>
      <w:r>
        <w:rPr>
          <w:rFonts w:ascii="Arial" w:cs="Arial" w:eastAsia="Arial" w:hAnsi="Arial"/>
          <w:sz w:val="18"/>
          <w:szCs w:val="18"/>
          <w:i w:val="1"/>
          <w:iCs w:val="1"/>
          <w:color w:val="auto"/>
        </w:rPr>
        <w:t>Note 6. Convertible Notes—Related Party</w:t>
      </w:r>
      <w:r>
        <w:rPr>
          <w:rFonts w:ascii="Arial" w:cs="Arial" w:eastAsia="Arial" w:hAnsi="Arial"/>
          <w:sz w:val="18"/>
          <w:szCs w:val="18"/>
          <w:color w:val="auto"/>
        </w:rPr>
        <w:t>) to a trust affiliated with the Company’s CEO. The fair value of the Convertible Notes at issuance on January 30, 2020 and June 26, 2020 was $203.0 million and $112.0 million, respectively. The Company considers the fair values of the Convertible Notes to be a Level 3 measurement as the fair value is estimated using significant unobservable inputs. The fair value of the Convertible Notes was measured using a binomial lattice model. Inputs used to determine the estimated fair value of the convertible notes include the equity volatility of comparable companies, the risk-free interest rate, and the estimated fair value of the Company’s common stock.</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July 1, 2021, pursuant to the terms of the Convertible Notes, upon meeting the closing trading price criteria for optional conversion by the Company, the Company elected to convert the Convertible Notes into the Company’s Class B common stock. Refer to </w:t>
      </w:r>
      <w:r>
        <w:rPr>
          <w:rFonts w:ascii="Arial" w:cs="Arial" w:eastAsia="Arial" w:hAnsi="Arial"/>
          <w:sz w:val="18"/>
          <w:szCs w:val="18"/>
          <w:i w:val="1"/>
          <w:iCs w:val="1"/>
          <w:color w:val="auto"/>
        </w:rPr>
        <w:t>Note 6. Convertible Notes—Related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Party </w:t>
      </w:r>
      <w:r>
        <w:rPr>
          <w:rFonts w:ascii="Arial" w:cs="Arial" w:eastAsia="Arial" w:hAnsi="Arial"/>
          <w:sz w:val="18"/>
          <w:szCs w:val="18"/>
          <w:color w:val="auto"/>
        </w:rPr>
        <w:t>for additional information.</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Balance Sheet Components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Pr>
          <w:p>
            <w:pPr>
              <w:spacing w:after="0"/>
              <w:rPr>
                <w:sz w:val="16"/>
                <w:szCs w:val="16"/>
                <w:color w:val="auto"/>
              </w:rPr>
            </w:pPr>
          </w:p>
        </w:tc>
      </w:tr>
      <w:tr>
        <w:trPr>
          <w:trHeight w:val="25"/>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Capitalized internal-use software</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12,249</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Desktop and other computer equipment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2,217</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gross property and equipment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126,050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119,039</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(31,066)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(19,407)</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99,632</w:t>
            </w:r>
          </w:p>
        </w:tc>
      </w:tr>
      <w:tr>
        <w:trPr>
          <w:trHeight w:val="21"/>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expense for the years ended January 31, 2023, 2022, and 2021 was $12.7 million, $8.5 million, and $3.5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the carrying value of capitalized internal-use software costs for the periods presented below are as follows (in thousands):</w:t>
      </w:r>
    </w:p>
    <w:p>
      <w:pPr>
        <w:spacing w:after="0" w:line="226" w:lineRule="exact"/>
        <w:rPr>
          <w:sz w:val="20"/>
          <w:szCs w:val="20"/>
          <w:color w:val="auto"/>
        </w:rPr>
      </w:pPr>
    </w:p>
    <w:p>
      <w:pPr>
        <w:jc w:val="right"/>
        <w:ind w:right="6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32385</wp:posOffset>
            </wp:positionV>
            <wp:extent cx="11315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Capitalization of internal-use software costs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internal-use software costs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2023</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284" w:hanging="1284"/>
        <w:spacing w:after="0"/>
        <w:tabs>
          <w:tab w:leader="none" w:pos="12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1,356</w:t>
      </w:r>
    </w:p>
    <w:p>
      <w:pPr>
        <w:spacing w:after="0" w:line="23" w:lineRule="exact"/>
        <w:rPr>
          <w:rFonts w:ascii="Arial" w:cs="Arial" w:eastAsia="Arial" w:hAnsi="Arial"/>
          <w:sz w:val="18"/>
          <w:szCs w:val="18"/>
          <w:color w:val="auto"/>
        </w:rPr>
      </w:pPr>
    </w:p>
    <w:p>
      <w:pPr>
        <w:ind w:left="1284"/>
        <w:spacing w:after="0"/>
        <w:rPr>
          <w:rFonts w:ascii="Arial" w:cs="Arial" w:eastAsia="Arial" w:hAnsi="Arial"/>
          <w:sz w:val="18"/>
          <w:szCs w:val="18"/>
          <w:color w:val="auto"/>
        </w:rPr>
      </w:pPr>
      <w:r>
        <w:rPr>
          <w:rFonts w:ascii="Arial" w:cs="Arial" w:eastAsia="Arial" w:hAnsi="Arial"/>
          <w:sz w:val="18"/>
          <w:szCs w:val="18"/>
          <w:color w:val="auto"/>
        </w:rPr>
        <w:t>1,750</w:t>
      </w:r>
    </w:p>
    <w:p>
      <w:pPr>
        <w:spacing w:after="0" w:line="22" w:lineRule="exact"/>
        <w:rPr>
          <w:rFonts w:ascii="Arial" w:cs="Arial" w:eastAsia="Arial" w:hAnsi="Arial"/>
          <w:sz w:val="18"/>
          <w:szCs w:val="18"/>
          <w:color w:val="auto"/>
        </w:rPr>
      </w:pPr>
    </w:p>
    <w:p>
      <w:pPr>
        <w:ind w:left="1344"/>
        <w:spacing w:after="0"/>
        <w:rPr>
          <w:rFonts w:ascii="Arial" w:cs="Arial" w:eastAsia="Arial" w:hAnsi="Arial"/>
          <w:sz w:val="18"/>
          <w:szCs w:val="18"/>
          <w:color w:val="auto"/>
        </w:rPr>
      </w:pPr>
      <w:r>
        <w:rPr>
          <w:rFonts w:ascii="Arial" w:cs="Arial" w:eastAsia="Arial" w:hAnsi="Arial"/>
          <w:sz w:val="17"/>
          <w:szCs w:val="17"/>
          <w:color w:val="auto"/>
        </w:rPr>
        <w:t>(753)</w:t>
      </w:r>
    </w:p>
    <w:p>
      <w:pPr>
        <w:spacing w:after="0" w:line="47" w:lineRule="exact"/>
        <w:rPr>
          <w:sz w:val="20"/>
          <w:szCs w:val="20"/>
          <w:color w:val="auto"/>
        </w:rPr>
      </w:pPr>
    </w:p>
    <w:p>
      <w:pPr>
        <w:ind w:left="1284" w:hanging="1284"/>
        <w:spacing w:after="0"/>
        <w:tabs>
          <w:tab w:leader="none" w:pos="12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2,353</w:t>
      </w:r>
    </w:p>
    <w:p>
      <w:pPr>
        <w:spacing w:after="0" w:line="23" w:lineRule="exact"/>
        <w:rPr>
          <w:rFonts w:ascii="Arial" w:cs="Arial" w:eastAsia="Arial" w:hAnsi="Arial"/>
          <w:sz w:val="18"/>
          <w:szCs w:val="18"/>
          <w:color w:val="auto"/>
        </w:rPr>
      </w:pPr>
    </w:p>
    <w:p>
      <w:pPr>
        <w:ind w:left="1284"/>
        <w:spacing w:after="0"/>
        <w:rPr>
          <w:rFonts w:ascii="Arial" w:cs="Arial" w:eastAsia="Arial" w:hAnsi="Arial"/>
          <w:sz w:val="18"/>
          <w:szCs w:val="18"/>
          <w:color w:val="auto"/>
        </w:rPr>
      </w:pPr>
      <w:r>
        <w:rPr>
          <w:rFonts w:ascii="Arial" w:cs="Arial" w:eastAsia="Arial" w:hAnsi="Arial"/>
          <w:sz w:val="18"/>
          <w:szCs w:val="18"/>
          <w:color w:val="auto"/>
        </w:rPr>
        <w:t>2,756</w:t>
      </w:r>
    </w:p>
    <w:p>
      <w:pPr>
        <w:spacing w:after="0" w:line="23"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(1,074)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315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7" w:lineRule="exact"/>
        <w:rPr>
          <w:sz w:val="20"/>
          <w:szCs w:val="20"/>
          <w:color w:val="auto"/>
        </w:rPr>
      </w:pPr>
    </w:p>
    <w:p>
      <w:pPr>
        <w:ind w:left="1284" w:hanging="1284"/>
        <w:spacing w:after="0"/>
        <w:tabs>
          <w:tab w:leader="none" w:pos="12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4,035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315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1315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56" w:space="720"/>
            <w:col w:w="1764"/>
          </w:cols>
          <w:pgMar w:left="320" w:top="229" w:right="339" w:bottom="1440" w:gutter="0" w:footer="0" w:header="0"/>
          <w:type w:val="continuous"/>
        </w:sectPr>
      </w:pP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22,970</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18,049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40,278</w:t>
            </w:r>
          </w:p>
        </w:tc>
        <w:tc>
          <w:tcPr>
            <w:tcW w:w="0" w:type="dxa"/>
            <w:vAlign w:val="bottom"/>
          </w:tcPr>
          <w:p>
            <w:pPr>
              <w:spacing w:after="0"/>
              <w:rPr>
                <w:sz w:val="1"/>
                <w:szCs w:val="1"/>
                <w:color w:val="auto"/>
              </w:rPr>
            </w:pPr>
          </w:p>
        </w:tc>
      </w:tr>
      <w:tr>
        <w:trPr>
          <w:trHeight w:val="21"/>
        </w:trPr>
        <w:tc>
          <w:tcPr>
            <w:tcW w:w="75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5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liabilities</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Accrued sales and value-added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13,347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Accrued taxes for fringe benefits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consulting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18,710</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Convertible Notes—Related Party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previously issued two 3.5% unsecured senior mandatory convertible promissory notes in January 2020 (“January 2020 Convertible Note”) and June 2020 (“June 2020 Convertible Note”) (collectively, the “Convertible Notes”) in principal amounts of $300.0 million and $150.0 million, respectively. The Convertible Notes were not transferable except to affiliates, contained no financial or restrictive covenants, and were expressly subordinated in right of payment to any of the Company’s existing or future secured indebtedness.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1, 2021, upon meeting the closing trading price criteria for optional conversion by the Company (based on the Company’s Class A common stock closing trading price during the last 30 trading days of the previous calendar quarter as stated in the original terms of the Convertible Notes), the Company elected to convert both of the Convertible Notes into an aggregate of 17,012,822 shares of the Company’s Class B common stock pursuant to the original terms of the embedded, substantive conversion features in the Convertible Notes. The Company accounted</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conversion by adjusting its additional paid-in capital for the net carrying amount of the Convertible Notes as of July 1, 2021 of $368.5 million (including accrued interest of $20.4 million and the unamortized debt discount of $101.9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related to the Convertible Notes recorded prior to the conversion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22,357</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Contractual interest expense</w:t>
            </w:r>
          </w:p>
        </w:tc>
        <w:tc>
          <w:tcPr>
            <w:tcW w:w="128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13,681</w:t>
            </w:r>
          </w:p>
        </w:tc>
      </w:tr>
      <w:tr>
        <w:trPr>
          <w:trHeight w:val="248"/>
        </w:trPr>
        <w:tc>
          <w:tcPr>
            <w:tcW w:w="5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interest expense</w:t>
            </w:r>
          </w:p>
        </w:tc>
        <w:tc>
          <w:tcPr>
            <w:tcW w:w="128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2020, the Company entered into a five-year $40.0 million term loan agreement with SVB (the “April 2020 Senior Secured Term Loan”) which provided for a senior secured term loan facility, in an aggregate principal amount of up to $40.0 million to be used for the construction of the Company’s corporate headquarters. Interest accrued and was payable monthly based on a floating rate per annum equal to the prime rate (per the Wall Street Journal) plus an applicable margin ranging from 0% to (1.0)% based on the Company’s unrestricted cash balance at the lender. The April 2020 Senior Secured Term Loan was repaid in full and terminated in November 2022.</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November 2022, the Company entered into an agreement for a four-year credit facility (the “November 2022 Senior Secured Credit Facility”) with SVB, which refinanced the April 2020 Senior Secured Term Loan. The November 2022 Senior Secured Credit Facility provides for senior secured credit facilities in the aggregate principal amount of $150 million, including a senior secured term loan facility in an aggregate principal amount of $50.0 million and a revolving loan facility in an aggregate principal amount of up to $100.0 million, including a $30.0 million letter of credit sub-facility, maturing on November 7, 2026. As noted in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substantially all third party contracts previously entered into by SVB have since been transferred to SVBBNA, inclusive of our credit agreement with SVB, and SVBBNA has assumed all obligations of SVB under those contracts.</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Borrowings under the November 2022 Senior Secured Credit Facility may be designated as ABR Loans or SOFR Loans, subject to certain terms and conditions under the Credit Agreement. ABR Loans accrue interest at a rate per annum equal to the ABR plus an applicable margin of 1.25%. Term SOFR Loans accrue interest at a rate per annum equal to the applicable adjusted term SOFR rate, which is equal to the applicable term SOFR rate plus a term SOFR adjustment of 10 basis points, provided such adjusted term SOFR rate shall not be less than zero, plus an applicable margin of 2.25%. Interest accrues and is payable on a monthly basis.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Credit Agreement contains customary conditions to borrowing, events of default, and covenants, including covenants that restrict the Company’s ability to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Credit Agreement contains financial covenants, including a consolidated adjusted quick ratio of 1.25 to 1.00, as well as a minimum cash adjusted EBITDA, each tested on a quarterly basis.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terms of the Credit Agreement, the Company may issue letters of credit which may reduce the total amount available for borrowing under the revolving credit facility. Additionally, the Company is required to pay an annual commitment fee that accrues at a rate of 0.15% per annum on the unused portion of the borrowing commitments under the revolving credit facility. The Company had an aggregate of $23.6 million of letters of credit outstanding under the revolving credit facility as of January 31, 2023, and the Company’s total available borrowing capacity under the revolving credit facility was $76.4 million as of January 31, 2023.</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2023, $50.0 million was drawn and outstanding under the November 2022 Senior Secured Credit Facility. As of January 31, 2023, the Company was in compliance with all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conjunction with the close of the November 2022 Senior Secured Credit Facility, the Company paid upfront issuance fees of $0.4 million. The upfront fees are amortized over the remaining term of the agreement. Upfront issuance fees allocated to the revolving credit facility of $0.3 million are presented in the Company’s consolidated balance sheet within other assets.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carrying amounts of the credit facilities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Pr>
          <w:p>
            <w:pPr>
              <w:spacing w:after="0"/>
              <w:rPr>
                <w:sz w:val="16"/>
                <w:szCs w:val="16"/>
                <w:color w:val="auto"/>
              </w:rPr>
            </w:pPr>
          </w:p>
        </w:tc>
      </w:tr>
      <w:tr>
        <w:trPr>
          <w:trHeight w:val="26"/>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loan issuance costs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Net carrying amount</w:t>
            </w: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38,353</w:t>
            </w:r>
          </w:p>
        </w:tc>
      </w:tr>
      <w:tr>
        <w:trPr>
          <w:trHeight w:val="21"/>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7"/>
        </w:trPr>
        <w:tc>
          <w:tcPr>
            <w:tcW w:w="7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 current</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Credit facilities, noncurrent</w:t>
            </w: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46,696</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34,612</w:t>
            </w:r>
          </w:p>
        </w:tc>
      </w:tr>
    </w:tbl>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2023 and 2022, the Company had several letters of credit outstanding related to its operating leases totaling $23.6 million and $20.2 million, respectively. The letters of credit expire at various dates between 2023 and 2034.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2021, the Company entered into a 60-month contract with Amazon Web Services for hosting-related services. Pursuant to the terms of the contract, the Company is required to spend a minimum of $103.5 million over the term of the agreement. The commitment may be offset by up to $7.3 million in additional credits subject to the Company meeting certain conditions of the agreement, of which $5.0 million have been earned as of January 31, 2023 and the remainder of which the Company has determined are probable to be earned. As of January 31, 2023, the Company had purchase commitments remaining of $64.3 million for hosting-related services and $16.7 million with various parties primarily for software-based services which are not reflected on the Company’s consolidated balance sheet.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years ended January 31, 2023 and 2022,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in the normal course of business, the Company may be subject to various claims and other legal matters arising in the ordinary course of business. As of January 31, 2023 and 2022, the Company believes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540"/>
        <w:spacing w:after="0" w:line="438" w:lineRule="auto"/>
        <w:rPr>
          <w:sz w:val="20"/>
          <w:szCs w:val="20"/>
          <w:color w:val="auto"/>
        </w:rPr>
      </w:pPr>
      <w:r>
        <w:rPr>
          <w:rFonts w:ascii="Arial" w:cs="Arial" w:eastAsia="Arial" w:hAnsi="Arial"/>
          <w:sz w:val="18"/>
          <w:szCs w:val="18"/>
          <w:color w:val="auto"/>
        </w:rPr>
        <w:t xml:space="preserve">none of its current legal proceedings would have a material adverse effect on its financial position, results of operations, or cash flows. </w:t>
      </w:r>
      <w:r>
        <w:rPr>
          <w:rFonts w:ascii="Arial" w:cs="Arial" w:eastAsia="Arial" w:hAnsi="Arial"/>
          <w:sz w:val="18"/>
          <w:szCs w:val="18"/>
          <w:b w:val="1"/>
          <w:bCs w:val="1"/>
          <w:color w:val="auto"/>
        </w:rPr>
        <w:t>Note 9. Leases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real estate facilities under non-cancelable operating leases with various expiration dates through fiscal 2034. The Company has no lease agreements that are classified as finance leases.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lease term, and discount rate for operating leases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January 31,</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5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9"/>
        </w:trPr>
        <w:tc>
          <w:tcPr>
            <w:tcW w:w="5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2021</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 (in thousands)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36,542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36,494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25,192</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Short-term lease costs (in thousands)</w:t>
            </w:r>
          </w:p>
        </w:tc>
        <w:tc>
          <w:tcPr>
            <w:tcW w:w="11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36"/>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3,464</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 (in thousands)</w:t>
            </w:r>
          </w:p>
        </w:tc>
        <w:tc>
          <w:tcPr>
            <w:tcW w:w="1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1,553</w:t>
            </w: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lease costs</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41,757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41,186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30,209</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4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473"/>
        </w:trPr>
        <w:tc>
          <w:tcPr>
            <w:tcW w:w="7580" w:type="dxa"/>
            <w:vAlign w:val="bottom"/>
            <w:gridSpan w:val="4"/>
          </w:tcPr>
          <w:p>
            <w:pPr>
              <w:ind w:left="340"/>
              <w:spacing w:after="0"/>
              <w:rPr>
                <w:sz w:val="20"/>
                <w:szCs w:val="20"/>
                <w:color w:val="auto"/>
              </w:rPr>
            </w:pPr>
            <w:r>
              <w:rPr>
                <w:rFonts w:ascii="Arial" w:cs="Arial" w:eastAsia="Arial" w:hAnsi="Arial"/>
                <w:sz w:val="18"/>
                <w:szCs w:val="18"/>
                <w:color w:val="auto"/>
                <w:w w:val="97"/>
              </w:rPr>
              <w:t>Supplemental cash flow information related to operating leases are as follows (in thousands):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6"/>
        </w:trPr>
        <w:tc>
          <w:tcPr>
            <w:tcW w:w="5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
        </w:trPr>
        <w:tc>
          <w:tcPr>
            <w:tcW w:w="5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162"/>
        </w:trPr>
        <w:tc>
          <w:tcPr>
            <w:tcW w:w="57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Cash paid for amounts included in the measurement of operating lease</w:t>
            </w: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w w:val="94"/>
              </w:rPr>
              <w:t>Right-of-use assets obtained in exchange for new operating lease liabilities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17,809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177,716</w:t>
            </w: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paid for the operating lease liability amount in 2021 in the table above has been updated to include all cash payments.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Future minimum lease payments (net of tenant improvement receivables) under non-cancelable operating leases with initial lease terms in excess of one year included in the Company’s lease liabilities as of January 31, 2023,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Operating Lease Payments</w:t>
            </w:r>
          </w:p>
        </w:tc>
      </w:tr>
      <w:tr>
        <w:trPr>
          <w:trHeight w:val="25"/>
        </w:trPr>
        <w:tc>
          <w:tcPr>
            <w:tcW w:w="9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34,791</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32,710</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31,871</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32,738</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and thereafter</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228,770</w:t>
            </w:r>
          </w:p>
        </w:tc>
      </w:t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Total undiscounted operating lease payments</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360,880</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(136,037)</w:t>
            </w:r>
          </w:p>
        </w:tc>
      </w:t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224,843</w:t>
            </w:r>
          </w:p>
        </w:tc>
      </w:tr>
      <w:tr>
        <w:trPr>
          <w:trHeight w:val="20"/>
        </w:trPr>
        <w:tc>
          <w:tcPr>
            <w:tcW w:w="9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an additional operating lease arrangement for office space in San Francisco which had not yet commenced as of January 31, 2023. The San Francisco lease commences and rent payments begin in the first quarter of fiscal 2024 and will expire in the third quarter of fiscal 2029. The future minimum lease payments related to this lease totaled $30.2 million as of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Net Loss per Share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(407,768)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(288,342)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line="176" w:lineRule="exact"/>
              <w:rPr>
                <w:sz w:val="20"/>
                <w:szCs w:val="20"/>
                <w:color w:val="auto"/>
              </w:rPr>
            </w:pPr>
            <w:r>
              <w:rPr>
                <w:rFonts w:ascii="Arial" w:cs="Arial" w:eastAsia="Arial" w:hAnsi="Arial"/>
                <w:sz w:val="18"/>
                <w:szCs w:val="18"/>
                <w:color w:val="auto"/>
                <w:w w:val="95"/>
              </w:rPr>
              <w:t>Weighted-average shares used in calculating net loss per share, basic and</w:t>
            </w:r>
          </w:p>
        </w:tc>
        <w:tc>
          <w:tcPr>
            <w:tcW w:w="10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200,034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176,401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106,344</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4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00" w:type="dxa"/>
            <w:vAlign w:val="bottom"/>
          </w:tcPr>
          <w:p>
            <w:pPr>
              <w:spacing w:after="0"/>
              <w:rPr>
                <w:sz w:val="18"/>
                <w:szCs w:val="18"/>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18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w:t>
            </w: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640" w:type="dxa"/>
            <w:vAlign w:val="bottom"/>
          </w:tcPr>
          <w:p>
            <w:pPr>
              <w:jc w:val="right"/>
              <w:spacing w:after="0"/>
              <w:rPr>
                <w:sz w:val="20"/>
                <w:szCs w:val="20"/>
                <w:color w:val="auto"/>
              </w:rPr>
            </w:pPr>
            <w:r>
              <w:rPr>
                <w:rFonts w:ascii="Arial" w:cs="Arial" w:eastAsia="Arial" w:hAnsi="Arial"/>
                <w:sz w:val="18"/>
                <w:szCs w:val="18"/>
                <w:color w:val="auto"/>
              </w:rPr>
              <w:t>14,591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8,199</w:t>
            </w:r>
          </w:p>
        </w:tc>
      </w:tr>
      <w:tr>
        <w:trPr>
          <w:trHeight w:val="23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Early exercised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issuable pursuant to the 2020 Employee Stock Purchase Plan</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23,649</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As noted in </w:t>
      </w:r>
      <w:r>
        <w:rPr>
          <w:rFonts w:ascii="Arial" w:cs="Arial" w:eastAsia="Arial" w:hAnsi="Arial"/>
          <w:sz w:val="18"/>
          <w:szCs w:val="18"/>
          <w:i w:val="1"/>
          <w:iCs w:val="1"/>
          <w:color w:val="auto"/>
        </w:rPr>
        <w:t>Note 6. Convertible Notes—Related Party,</w:t>
      </w:r>
      <w:r>
        <w:rPr>
          <w:rFonts w:ascii="Arial" w:cs="Arial" w:eastAsia="Arial" w:hAnsi="Arial"/>
          <w:sz w:val="18"/>
          <w:szCs w:val="18"/>
          <w:color w:val="auto"/>
        </w:rPr>
        <w:t xml:space="preserve"> the Convertible Notes were converted into 17,012,822 shares of the Company’s Class B common stock in July 2021. The shares underlying the Convertible Notes were previously excluded from diluted EPS because the effect would have been anti-dilutive.</w:t>
      </w:r>
    </w:p>
    <w:p>
      <w:pPr>
        <w:spacing w:after="0" w:line="1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 (Deficit)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two classes of common stock that total 1,500,000,000 authorized shares: 1,000,000,000 authorized shares of Class A common stock and 500,000,000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There are 128,803,395 shares of Class A common stock and 85,489,359 shares of Class B common stock issued and outstanding as of January 31, 2023. There were 102,809,115 shares of Class A common stock and 85,489,359 shares of class B common stock issued and outstanding as of January 31, 2022.</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changes in the number of shares of common stock outstanding for the years ended January 31, 2023 and 2022, were related to changes in Class A common stock, other than the shares of Class B common stock issued in conversion of the Convertible Notes during the three and six months ended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Placement—Related Party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2022, the Company issued and sold 19,273,127 shares of its Class A common stock to the Company’s CEO in a private placement transaction at a purchase price of $18.16 per share, based on the closing trading price of the Company’s Class A common stock on September 2, 2022, for aggregate gross proceeds of approximately $350 million. The Company incurred issuance costs related to the private placement of $2.7 million. The Company recorded the proceeds (net of issuance costs) of $347.3 million as additional paid-in capital within the consolidated statements of stockholders’ equity (deficit) for the year ended January 31, 2023.</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Plans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 2009 Stock Plan (the “2009 Plan”), a 2012 Amended and Restated Stock Plan (the “2012 Plan”), and a 2020 Equity Incentive Plan (the “2020 Plan”). Each plan was initially established to grant equity awards to employees and consultants of the Company to assist in attracting, retaining, and motivating employees and consultants and to provide incentives to promote the success of the Company’s business. The number of shares reserved for issuance under the 2020 Plan increased by 9,414,923 shares of Class A common stock on February 1, 2022 pursuant to the evergreen provisions of the 2020 Plan.</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are no outstanding awards under the 2009 Plan, and new issuances under the 2012 Plan terminated upon completion of the Company’s direct listing. Awards outstanding under the 2012 Plan continue to be outstanding and are governed by the provisions of the 2012 Plan. The 2020 Plan provides for the grant of incentive stock options (“ISOs”), within the meaning of Section 422 of the Code, nonstatutory stock options (“NSOs”), stock appreciation rights, restricted stock awards, RSU awards, performance-based stock awards, and other forms of equity compensation.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ISOs may be granted only to Company employees (including officers and directors who are also employees). NSOs may be granted to Company employees and consultants. Options under the 2020 Plan may be granted for periods of up to 10 years. The exercise price of ISOs and NSOs shall not be less than 100% of the estimated fair value of the shares on the date of grant as determined by the Company’s board of directors (the “Board of Directors”). Options granted generally vest over four years and vest at a rate of 25% upon the first anniversary of the vesting commencement date and 1/48 per month thereafter.</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outstanding RSU awards issued pursuant to the 2012 Plan and 2020 Plan. RSUs granted generally vest on a predefined rate over a period of four years contingent upon continuous service.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of common stock purchased under the 2012 Plan are subject to certain restrictions and repurchase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under the Company’s combined stock plans is set forth below (in thousands, except years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center"/>
              <w:ind w:left="324"/>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040" w:type="dxa"/>
            <w:vAlign w:val="bottom"/>
          </w:tcPr>
          <w:p>
            <w:pPr>
              <w:jc w:val="center"/>
              <w:ind w:left="324"/>
              <w:spacing w:after="0" w:line="135" w:lineRule="exact"/>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1"/>
                <w:szCs w:val="11"/>
                <w:color w:val="auto"/>
              </w:rPr>
            </w:pPr>
          </w:p>
        </w:tc>
        <w:tc>
          <w:tcPr>
            <w:tcW w:w="12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20" w:type="dxa"/>
            <w:vAlign w:val="bottom"/>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040" w:type="dxa"/>
            <w:vAlign w:val="bottom"/>
          </w:tcPr>
          <w:p>
            <w:pPr>
              <w:jc w:val="center"/>
              <w:ind w:left="324"/>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7"/>
                <w:szCs w:val="17"/>
                <w:color w:val="auto"/>
              </w:rPr>
            </w:pPr>
          </w:p>
        </w:tc>
        <w:tc>
          <w:tcPr>
            <w:tcW w:w="1260" w:type="dxa"/>
            <w:vAlign w:val="bottom"/>
          </w:tcPr>
          <w:p>
            <w:pPr>
              <w:jc w:val="right"/>
              <w:ind w:right="17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711,455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149,738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January 31, 2023</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136,949</w:t>
            </w: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10,769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January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grant-date fair value of options granted and the total intrinsic value of options exercised during the periods presented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 (in thousands)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52,687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404,964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238,165</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Shares that were subject to repurchase totaled 27,864 and 205,361 as of January 31, 2023 and 2022,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Fair Values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assumptions used in the Black-Scholes pricing model for stock-based compensation for options granted in the periods below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 Ended January 31,</w:t>
            </w:r>
          </w:p>
        </w:tc>
        <w:tc>
          <w:tcPr>
            <w:tcW w:w="1920" w:type="dxa"/>
            <w:vAlign w:val="bottom"/>
          </w:tcPr>
          <w:p>
            <w:pPr>
              <w:spacing w:after="0"/>
              <w:rPr>
                <w:sz w:val="16"/>
                <w:szCs w:val="16"/>
                <w:color w:val="auto"/>
              </w:rPr>
            </w:pPr>
          </w:p>
        </w:tc>
      </w:tr>
      <w:tr>
        <w:trPr>
          <w:trHeight w:val="26"/>
        </w:trPr>
        <w:tc>
          <w:tcPr>
            <w:tcW w:w="68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189"/>
        </w:trPr>
        <w:tc>
          <w:tcPr>
            <w:tcW w:w="56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2021</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Expected term</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N/A</w:t>
            </w:r>
          </w:p>
        </w:tc>
        <w:tc>
          <w:tcPr>
            <w:tcW w:w="1920" w:type="dxa"/>
            <w:vAlign w:val="bottom"/>
          </w:tcPr>
          <w:p>
            <w:pPr>
              <w:jc w:val="right"/>
              <w:spacing w:after="0"/>
              <w:rPr>
                <w:sz w:val="20"/>
                <w:szCs w:val="20"/>
                <w:color w:val="auto"/>
              </w:rPr>
            </w:pPr>
            <w:r>
              <w:rPr>
                <w:rFonts w:ascii="Arial" w:cs="Arial" w:eastAsia="Arial" w:hAnsi="Arial"/>
                <w:sz w:val="18"/>
                <w:szCs w:val="18"/>
                <w:color w:val="auto"/>
              </w:rPr>
              <w:t>8 years</w:t>
            </w:r>
          </w:p>
        </w:tc>
      </w:tr>
      <w:tr>
        <w:trPr>
          <w:trHeight w:val="22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8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N/A</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N/A</w:t>
            </w:r>
          </w:p>
        </w:tc>
        <w:tc>
          <w:tcPr>
            <w:tcW w:w="1920" w:type="dxa"/>
            <w:vAlign w:val="bottom"/>
          </w:tcPr>
          <w:p>
            <w:pPr>
              <w:jc w:val="right"/>
              <w:spacing w:after="0"/>
              <w:rPr>
                <w:sz w:val="20"/>
                <w:szCs w:val="20"/>
                <w:color w:val="auto"/>
              </w:rPr>
            </w:pPr>
            <w:r>
              <w:rPr>
                <w:rFonts w:ascii="Arial" w:cs="Arial" w:eastAsia="Arial" w:hAnsi="Arial"/>
                <w:sz w:val="18"/>
                <w:szCs w:val="18"/>
                <w:color w:val="auto"/>
              </w:rPr>
              <w:t>44.6%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RSU activity is set forth below (in thousands, except per share data):</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7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4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1720" w:type="dxa"/>
            <w:vAlign w:val="bottom"/>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Grant Date Fair Value</w:t>
            </w:r>
          </w:p>
        </w:tc>
        <w:tc>
          <w:tcPr>
            <w:tcW w:w="260" w:type="dxa"/>
            <w:vAlign w:val="bottom"/>
          </w:tcPr>
          <w:p>
            <w:pPr>
              <w:spacing w:after="0"/>
              <w:rPr>
                <w:sz w:val="17"/>
                <w:szCs w:val="17"/>
                <w:color w:val="auto"/>
              </w:rPr>
            </w:pPr>
          </w:p>
        </w:tc>
        <w:tc>
          <w:tcPr>
            <w:tcW w:w="1480" w:type="dxa"/>
            <w:vAlign w:val="bottom"/>
          </w:tcPr>
          <w:p>
            <w:pPr>
              <w:jc w:val="right"/>
              <w:ind w:right="33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at January 31, 2022</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cancelled/forfeited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at January 31, 2023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226,145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RSUs vested, not yet released at January 31, 2023</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vMerge w:val="continue"/>
          </w:tcPr>
          <w:p>
            <w:pPr>
              <w:spacing w:after="0"/>
              <w:rPr>
                <w:sz w:val="17"/>
                <w:szCs w:val="17"/>
                <w:color w:val="auto"/>
              </w:rPr>
            </w:pPr>
          </w:p>
        </w:tc>
        <w:tc>
          <w:tcPr>
            <w:tcW w:w="1720" w:type="dxa"/>
            <w:vAlign w:val="bottom"/>
          </w:tcPr>
          <w:p>
            <w:pPr>
              <w:jc w:val="right"/>
              <w:spacing w:after="0" w:line="204" w:lineRule="exact"/>
              <w:rPr>
                <w:sz w:val="20"/>
                <w:szCs w:val="20"/>
                <w:color w:val="auto"/>
              </w:rPr>
            </w:pPr>
            <w:r>
              <w:rPr>
                <w:rFonts w:ascii="Arial" w:cs="Arial" w:eastAsia="Arial" w:hAnsi="Arial"/>
                <w:sz w:val="18"/>
                <w:szCs w:val="18"/>
                <w:color w:val="auto"/>
              </w:rPr>
              <w:t>858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Stock-based compensation for stock-based awards to employees and non-employees in the Company’s consolidated statements of operations for the periods below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100,083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18,606</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188,962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stock-based compensation expense related to options granted to non-employees for the years ended January 31, 2023, 2022, and 2021 was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unrecognized compensation costs related to unvested awards not yet recognized under all equity compensation plans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3"/>
          </w:tcPr>
          <w:p>
            <w:pPr>
              <w:jc w:val="right"/>
              <w:ind w:right="1044"/>
              <w:spacing w:after="0"/>
              <w:rPr>
                <w:sz w:val="20"/>
                <w:szCs w:val="20"/>
                <w:color w:val="auto"/>
              </w:rPr>
            </w:pPr>
            <w:r>
              <w:rPr>
                <w:rFonts w:ascii="Arial" w:cs="Arial" w:eastAsia="Arial" w:hAnsi="Arial"/>
                <w:sz w:val="14"/>
                <w:szCs w:val="14"/>
                <w:b w:val="1"/>
                <w:bCs w:val="1"/>
                <w:color w:val="auto"/>
              </w:rPr>
              <w:t>As of January 31, 2023</w:t>
            </w: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Unrecognized Expense</w:t>
            </w:r>
          </w:p>
        </w:tc>
        <w:tc>
          <w:tcPr>
            <w:tcW w:w="100" w:type="dxa"/>
            <w:vAlign w:val="bottom"/>
          </w:tcPr>
          <w:p>
            <w:pPr>
              <w:spacing w:after="0"/>
              <w:rPr>
                <w:sz w:val="11"/>
                <w:szCs w:val="11"/>
                <w:color w:val="auto"/>
              </w:rPr>
            </w:pPr>
          </w:p>
        </w:tc>
        <w:tc>
          <w:tcPr>
            <w:tcW w:w="17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2"/>
              </w:rPr>
              <w:t>Weighted-Average Expected</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92"/>
        </w:trPr>
        <w:tc>
          <w:tcPr>
            <w:tcW w:w="7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369,302</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unrecognized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372,532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3"/>
          </w:tcPr>
          <w:p>
            <w:pPr>
              <w:jc w:val="right"/>
              <w:ind w:right="1044"/>
              <w:spacing w:after="0"/>
              <w:rPr>
                <w:sz w:val="20"/>
                <w:szCs w:val="20"/>
                <w:color w:val="auto"/>
              </w:rPr>
            </w:pPr>
            <w:r>
              <w:rPr>
                <w:rFonts w:ascii="Arial" w:cs="Arial" w:eastAsia="Arial" w:hAnsi="Arial"/>
                <w:sz w:val="14"/>
                <w:szCs w:val="14"/>
                <w:b w:val="1"/>
                <w:bCs w:val="1"/>
                <w:color w:val="auto"/>
              </w:rPr>
              <w:t>As of January 31, 2022</w:t>
            </w: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Unrecognized Expense</w:t>
            </w:r>
          </w:p>
        </w:tc>
        <w:tc>
          <w:tcPr>
            <w:tcW w:w="100" w:type="dxa"/>
            <w:vAlign w:val="bottom"/>
          </w:tcPr>
          <w:p>
            <w:pPr>
              <w:spacing w:after="0"/>
              <w:rPr>
                <w:sz w:val="11"/>
                <w:szCs w:val="11"/>
                <w:color w:val="auto"/>
              </w:rPr>
            </w:pPr>
          </w:p>
        </w:tc>
        <w:tc>
          <w:tcPr>
            <w:tcW w:w="17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2"/>
              </w:rPr>
              <w:t>Weighted-Average Expected</w:t>
            </w:r>
          </w:p>
        </w:tc>
        <w:tc>
          <w:tcPr>
            <w:tcW w:w="0" w:type="dxa"/>
            <w:vAlign w:val="bottom"/>
          </w:tcPr>
          <w:p>
            <w:pPr>
              <w:spacing w:after="0"/>
              <w:rPr>
                <w:sz w:val="1"/>
                <w:szCs w:val="1"/>
                <w:color w:val="auto"/>
              </w:rPr>
            </w:pPr>
          </w:p>
        </w:tc>
      </w:tr>
      <w:tr>
        <w:trPr>
          <w:trHeight w:val="144"/>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97"/>
        </w:trPr>
        <w:tc>
          <w:tcPr>
            <w:tcW w:w="7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376,892</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unrecognized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389,140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2020, the Board of Directors adopted and approved the 2020 Employee Stock Purchase Plan which became effective on the effective date of the Company's registration statement on Form S-1 filed with the SEC in connection with the Direct Listing. The ESPP initially reserved and authorized the issuance of up to a total of 2,000,000 shares of Class A common stock to participating employees. The number of shares reserved under the ESPP was automatically increased on February 1, 2021 to 3,614,801 shares of Class A common stock and to 5,497,785 on February 1, 2022 pursuant to the evergreen provisions of the ESPP.</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ESPP provides for 24-month offering periods beginning September 16 and March 16 of each year, with each offering period consisting of four six-month purchase periods (except for the initial offering period which began on September 30, 2020 and ended on September 15, 2022), with purchase dates annually on March 15 and September 15. The purchase price of shares of Class A common stock in an offering will be the lesser of: (i) 85% of the fair market value of such shares of Class A common stock on the offering date, and (ii) 85% of the fair market value of such shares of Class A common stock on the applicable purchase date.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January 31, 2023, 2022, and 2021 the Company recognized $12.8 million, $8.0 million, and $4.2 million respectively, of stock-based compensation expense related to the ESPP. The Company withheld $6.9 million and $7.2 million as of January 31, 2023 and 2022, respectively, in contributions from employees. As of January 31, 2023, total unrecognized compensation cost related to the ESPP was $12.6 million, which will be amortized over a weighted average vesting term of 1.1 years.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calculate the fair value of shares to be granted under the ESPP during the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 January 31,</w:t>
            </w:r>
          </w:p>
        </w:tc>
        <w:tc>
          <w:tcPr>
            <w:tcW w:w="178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- 4.0%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880" w:type="dxa"/>
            <w:vAlign w:val="bottom"/>
            <w:gridSpan w:val="2"/>
          </w:tcPr>
          <w:p>
            <w:pPr>
              <w:ind w:left="740"/>
              <w:spacing w:after="0"/>
              <w:rPr>
                <w:sz w:val="20"/>
                <w:szCs w:val="20"/>
                <w:color w:val="auto"/>
              </w:rPr>
            </w:pPr>
            <w:r>
              <w:rPr>
                <w:rFonts w:ascii="Arial" w:cs="Arial" w:eastAsia="Arial" w:hAnsi="Arial"/>
                <w:sz w:val="18"/>
                <w:szCs w:val="18"/>
                <w:color w:val="auto"/>
                <w:w w:val="97"/>
              </w:rPr>
              <w:t>0.5 - 2.0 years</w:t>
            </w:r>
          </w:p>
        </w:tc>
        <w:tc>
          <w:tcPr>
            <w:tcW w:w="1880" w:type="dxa"/>
            <w:vAlign w:val="bottom"/>
            <w:gridSpan w:val="2"/>
          </w:tcPr>
          <w:p>
            <w:pPr>
              <w:ind w:left="740"/>
              <w:spacing w:after="0"/>
              <w:rPr>
                <w:sz w:val="20"/>
                <w:szCs w:val="20"/>
                <w:color w:val="auto"/>
              </w:rPr>
            </w:pPr>
            <w:r>
              <w:rPr>
                <w:rFonts w:ascii="Arial" w:cs="Arial" w:eastAsia="Arial" w:hAnsi="Arial"/>
                <w:sz w:val="18"/>
                <w:szCs w:val="18"/>
                <w:color w:val="auto"/>
                <w:w w:val="97"/>
              </w:rPr>
              <w:t>0.5 - 2.0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0.5 - 2.0 years</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46.2% - 64.1%</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36.8% - 53.8%</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50.8% - 55.3%</w:t>
            </w:r>
          </w:p>
        </w:tc>
      </w:tr>
    </w:tbl>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Employee Benefit Plans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as of January 31, 2023. Additionally, the Company engages in required pension plans of respective countries in which operations exist.</w:t>
      </w:r>
    </w:p>
    <w:p>
      <w:pPr>
        <w:spacing w:after="0" w:line="1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Interest Income and Other Income (Expense),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and other income (expense), net consist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
        </w:trPr>
        <w:tc>
          <w:tcPr>
            <w:tcW w:w="5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Unrealized gains (losses) on foreign currency transactions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700" w:type="dxa"/>
            <w:vAlign w:val="bottom"/>
          </w:tcPr>
          <w:p>
            <w:pPr>
              <w:ind w:left="140"/>
              <w:spacing w:after="0"/>
              <w:rPr>
                <w:sz w:val="20"/>
                <w:szCs w:val="20"/>
                <w:color w:val="auto"/>
              </w:rPr>
            </w:pPr>
            <w:r>
              <w:rPr>
                <w:rFonts w:ascii="Arial" w:cs="Arial" w:eastAsia="Arial" w:hAnsi="Arial"/>
                <w:sz w:val="18"/>
                <w:szCs w:val="18"/>
                <w:color w:val="auto"/>
              </w:rPr>
              <w:t>Total interest income and other income (expense), net</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r>
      <w:tr>
        <w:trPr>
          <w:trHeight w:val="20"/>
        </w:trPr>
        <w:tc>
          <w:tcPr>
            <w:tcW w:w="5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non-operating expense consists primarily of realized foreign currency gains and losses on transactions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r>
      <w:tr>
        <w:trPr>
          <w:trHeight w:val="223"/>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Pr>
          <w:p>
            <w:pPr>
              <w:ind w:left="180"/>
              <w:spacing w:after="0"/>
              <w:rPr>
                <w:sz w:val="20"/>
                <w:szCs w:val="20"/>
                <w:color w:val="auto"/>
              </w:rPr>
            </w:pPr>
            <w:r>
              <w:rPr>
                <w:rFonts w:ascii="Arial" w:cs="Arial" w:eastAsia="Arial" w:hAnsi="Arial"/>
                <w:sz w:val="18"/>
                <w:szCs w:val="18"/>
                <w:color w:val="auto"/>
              </w:rPr>
              <w:t>State</w:t>
            </w:r>
          </w:p>
        </w:tc>
        <w:tc>
          <w:tcPr>
            <w:tcW w:w="1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(loss) before income taxes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(413,505)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(214,540)</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(402,893)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(210,177)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reconciliation between the statutory federal income tax and the Company’s effective tax rates as a percentage of loss before income taxes were as follows:</w:t>
      </w:r>
    </w:p>
    <w:p>
      <w:pPr>
        <w:spacing w:after="0" w:line="148"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19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r>
      <w:tr>
        <w:trPr>
          <w:trHeight w:val="23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rate</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16.3</w:t>
            </w:r>
          </w:p>
        </w:tc>
      </w:tr>
      <w:tr>
        <w:trPr>
          <w:trHeight w:val="22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(34.0)</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Transaction costs</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(1.8)</w:t>
            </w: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Convertible debt interest</w:t>
            </w:r>
          </w:p>
        </w:tc>
        <w:tc>
          <w:tcPr>
            <w:tcW w:w="1960" w:type="dxa"/>
            <w:vAlign w:val="bottom"/>
            <w:gridSpan w:val="3"/>
          </w:tcPr>
          <w:p>
            <w:pPr>
              <w:jc w:val="right"/>
              <w:ind w:right="14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(3.6)</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5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 components of deferred tax assets (liabilities)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Pr>
          <w:p>
            <w:pPr>
              <w:spacing w:after="0"/>
              <w:rPr>
                <w:sz w:val="16"/>
                <w:szCs w:val="16"/>
                <w:color w:val="auto"/>
              </w:rPr>
            </w:pPr>
          </w:p>
        </w:tc>
      </w:tr>
      <w:tr>
        <w:trPr>
          <w:trHeight w:val="26"/>
        </w:trPr>
        <w:tc>
          <w:tcPr>
            <w:tcW w:w="7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5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282,705</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282,385</w:t>
            </w:r>
          </w:p>
        </w:tc>
      </w:tr>
      <w:tr>
        <w:trPr>
          <w:trHeight w:val="230"/>
        </w:trPr>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tax credits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53,641</w:t>
            </w:r>
          </w:p>
        </w:tc>
      </w:tr>
      <w:tr>
        <w:trPr>
          <w:trHeight w:val="229"/>
        </w:trPr>
        <w:tc>
          <w:tcPr>
            <w:tcW w:w="75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12,947</w:t>
            </w:r>
          </w:p>
        </w:tc>
      </w:tr>
      <w:tr>
        <w:trPr>
          <w:trHeight w:val="229"/>
        </w:trPr>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Reserves and accrued expenses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r>
      <w:tr>
        <w:trPr>
          <w:trHeight w:val="230"/>
        </w:trPr>
        <w:tc>
          <w:tcPr>
            <w:tcW w:w="758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54,556</w:t>
            </w:r>
          </w:p>
        </w:tc>
      </w:tr>
      <w:tr>
        <w:trPr>
          <w:trHeight w:val="229"/>
        </w:trPr>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R&amp;D expense capitalization under Sec. 174</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Pr>
          <w:p>
            <w:pPr>
              <w:ind w:left="280"/>
              <w:spacing w:after="0"/>
              <w:rPr>
                <w:sz w:val="20"/>
                <w:szCs w:val="20"/>
                <w:color w:val="auto"/>
              </w:rPr>
            </w:pPr>
            <w:r>
              <w:rPr>
                <w:rFonts w:ascii="Arial" w:cs="Arial" w:eastAsia="Arial" w:hAnsi="Arial"/>
                <w:sz w:val="18"/>
                <w:szCs w:val="18"/>
                <w:color w:val="auto"/>
              </w:rPr>
              <w:t>Total deferred tax assets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520,896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407,354</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(470,548)</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(356,946)</w:t>
            </w:r>
          </w:p>
        </w:tc>
      </w:tr>
      <w:tr>
        <w:trPr>
          <w:trHeight w:val="223"/>
        </w:trPr>
        <w:tc>
          <w:tcPr>
            <w:tcW w:w="7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deferred tax assets, net of valuation allowance</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50,408</w:t>
            </w: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Right of use asset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(41,434)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(42,816)</w:t>
            </w: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commissions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r>
      <w:tr>
        <w:trPr>
          <w:trHeight w:val="229"/>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(50,850)</w:t>
            </w:r>
          </w:p>
        </w:tc>
      </w:tr>
      <w:tr>
        <w:trPr>
          <w:trHeight w:val="223"/>
        </w:trPr>
        <w:tc>
          <w:tcPr>
            <w:tcW w:w="7580" w:type="dxa"/>
            <w:vAlign w:val="bottom"/>
          </w:tcPr>
          <w:p>
            <w:pPr>
              <w:ind w:left="320"/>
              <w:spacing w:after="0"/>
              <w:rPr>
                <w:sz w:val="20"/>
                <w:szCs w:val="20"/>
                <w:color w:val="auto"/>
              </w:rPr>
            </w:pPr>
            <w:r>
              <w:rPr>
                <w:rFonts w:ascii="Arial" w:cs="Arial" w:eastAsia="Arial" w:hAnsi="Arial"/>
                <w:sz w:val="18"/>
                <w:szCs w:val="18"/>
                <w:color w:val="auto"/>
              </w:rPr>
              <w:t>Net deferred tax liabilities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r>
      <w:tr>
        <w:trPr>
          <w:trHeight w:val="21"/>
        </w:trPr>
        <w:tc>
          <w:tcPr>
            <w:tcW w:w="7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valuation allowance increased by $113.6 million, $174.4 million, and $86.4 million during the years ended January 31, 2023, 2022, and 2021, respectively. The increase in the valuation allowance during the year ended January 31, 2023 was primarily driven by research and development expense capitalization under Sec. 174, loss carryforwards, and tax credits generated in the United States. The increase in the valuation allowance during the years ended January 31, 2022, and 2021 was primarily driven by losses and tax credits generated in the United States. As of January 31, 2023, 2022, and 2021, the Company believes it is not more likely than not that the deferred tax assets will be fully realizable and continues to maintain a full valuation allowance against its net deferred tax assets.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2023, the Company had federal and state net operating loss carryforwards of $1,169.5 million and $632.1 million, respectively. The federal and state net operating losses, if not used, will begin to expire in 2029. Federal net operating losses generated after January 31, 2018 will carry forward indefinitely.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2023, the Company has federal and California research and development tax credit carryforwards of $73.2 million and $53.7 million, respectively, to offset future taxable income. The federal research and development tax credits, if not used, will begin to expire in 2030, while the state tax credit carryforwards may be carried forward indefinitely.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Tax Reform Act of 1986 limits the use of net operating loss and tax credit carryforwards in certain situations where changes occur in the stock ownership of a company. Under Section 382 of the Internal Revenue Code of 1986, as amended, the Company’s ability to utilize net operating loss carryforwards or other tax attributes in any taxable year may be limited if the Company has experienced an “ownership change.” Generally, a Section 382 “ownership change” occurs if one or more stockholders or groups of stockholders who owns at least 5% of a corporation’s stock increases its ownership by more than 50 percentage points over its lowest ownership percentage within a specified testing period. Similar rules may apply under state tax laws. The Company has completed a Section 382 study of transactions in its stock through January 31, 2020. The study concluded that the Company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Tax Cuts and Jobs Act of 2017, research and development costs are no longer fully deductible and are required to be capitalized and amortized for U.S. tax purposes effective January 1, 2022. This tax law change did not result in any U.S. federal tax liability due to the use of existing U.S. federal net operating loss carryforwards. It did result in incremental state tax liability and expense due to limitations on the use of existing state net operating loss carryforwards.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Foreign withholding taxes have not been provided for the cumulative undistributed earnings of the Company’s foreign subsidiaries as of January 31, 2023 due to the Company’s intention to permanently reinvest such earnings.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liability related to uncertain tax positions is recorded in the financial statements due to the fact the liabilities have been netted against deferred attribute carryovers.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gross unrecognized tax benefits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Pr>
          <w:p>
            <w:pPr>
              <w:spacing w:after="0"/>
              <w:rPr>
                <w:sz w:val="16"/>
                <w:szCs w:val="16"/>
                <w:color w:val="auto"/>
              </w:rPr>
            </w:pPr>
          </w:p>
        </w:tc>
      </w:tr>
      <w:tr>
        <w:trPr>
          <w:trHeight w:val="26"/>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Increases - current period tax positions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11,410</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 prior period tax positions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Decreases - prior period tax positions</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year</w:t>
            </w: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no accrued interest and penalties related to unrecognized tax benefits as of January 31, 2023 or January 31, 2022. As of January 31, 2023, there are no unrecognized tax benefits that, if recognized, would affect the Company’s effective tax rate. The Company does not expect that its uncertain tax positions will materially change in the next 12 months.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files federal and state tax returns in the United States and in various foreign jurisdictions. The Company’s tax years since inception are open to examination by federal and state taxing authorities, and the tax years 2017 and forward remain open in various foreign jurisdictions.</w:t>
      </w:r>
    </w:p>
    <w:p>
      <w:pPr>
        <w:spacing w:after="0" w:line="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Geographic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revenues and long-lived assets, including operating lease ROU assets, by geographic area for the periods presented below (in thousands):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
        </w:trPr>
        <w:tc>
          <w:tcPr>
            <w:tcW w:w="5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131,534</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216,974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95,470</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547,212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227,004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by geography are based on the billing address of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Pr>
          <w:p>
            <w:pPr>
              <w:spacing w:after="0"/>
              <w:rPr>
                <w:sz w:val="16"/>
                <w:szCs w:val="16"/>
                <w:color w:val="auto"/>
              </w:rPr>
            </w:pPr>
          </w:p>
        </w:tc>
      </w:tr>
      <w:tr>
        <w:trPr>
          <w:trHeight w:val="26"/>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265,582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267,007</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271,173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273,715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January and June 2020, the Company issued Convertible Notes to a trust affiliated with the Company’s CEO. The Company elected to convert these Convertible Notes on July 1, 2021. See </w:t>
      </w:r>
      <w:r>
        <w:rPr>
          <w:rFonts w:ascii="Arial" w:cs="Arial" w:eastAsia="Arial" w:hAnsi="Arial"/>
          <w:sz w:val="18"/>
          <w:szCs w:val="18"/>
          <w:i w:val="1"/>
          <w:iCs w:val="1"/>
          <w:color w:val="auto"/>
        </w:rPr>
        <w:t>Note 6. Convertible Notes—Related Party</w:t>
      </w:r>
      <w:r>
        <w:rPr>
          <w:rFonts w:ascii="Arial" w:cs="Arial" w:eastAsia="Arial" w:hAnsi="Arial"/>
          <w:sz w:val="18"/>
          <w:szCs w:val="18"/>
          <w:color w:val="auto"/>
        </w:rPr>
        <w:t xml:space="preserve"> for further details.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fiscal year ended January 31, 2020, the Company began leasing certain office facilities from a company affiliated with Board members of the Company. Rent payments made under these leases totaled $2.0 million and $2.0 million for the years ended January 31, 2023 and 2022, respectively. The Company has entered into various agreements with the same company and had receivable amounts of $1.7 million and $0.1 million as of January 31, 2023 and 2022, respectively.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entered into an advertising agreement with a company affiliated with a Board member of the Company. Payments under this agreement totaled $1.8 million and $1.0 million for the years ended January 31, 2023 and 2022, respectively.</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entered into an advertising agreement with a company affiliated with a Board member of the Company. Payments under this agreement totaled $3.2 million for the year ended January 31, 2023. This company was not a related party during the year ended January 31, 2022.</w:t>
      </w: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September 2022, the Company issued and sold 19,273,127 shares of its Class A common stock to the Company’s CEO in a private placement transaction at a purchase price of $18.16 per share, based on the closing trading price of the Company’s Class A common stock on September 2, 2022, for aggregate gross proceeds of approximately $350 million. See </w:t>
      </w:r>
      <w:r>
        <w:rPr>
          <w:rFonts w:ascii="Arial" w:cs="Arial" w:eastAsia="Arial" w:hAnsi="Arial"/>
          <w:sz w:val="17"/>
          <w:szCs w:val="17"/>
          <w:i w:val="1"/>
          <w:iCs w:val="1"/>
          <w:color w:val="auto"/>
        </w:rPr>
        <w:t>Note 11. Stockholders’ Equity (Deficit)</w:t>
      </w:r>
      <w:r>
        <w:rPr>
          <w:rFonts w:ascii="Arial" w:cs="Arial" w:eastAsia="Arial" w:hAnsi="Arial"/>
          <w:sz w:val="17"/>
          <w:szCs w:val="17"/>
          <w:color w:val="auto"/>
        </w:rPr>
        <w:t xml:space="preserve"> for further details.</w:t>
      </w:r>
    </w:p>
    <w:p>
      <w:pPr>
        <w:spacing w:after="0" w:line="1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Restructuring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15, 2022, the Company authorized a plan to reduce its global headcount by approximately 9%. This plan was adopted as part of a restructuring intended to improve operational efficiencies and operating costs and better align the Company’s workforce with current business needs, top strategic priorities, and key growth opportunities.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Non-recurring charges in connection with the headcount reductions include notice period and severance payments, employee benefits, and related facilitation costs as well as non-cash expenditures related to the accelerated vesting of share-based awards, which resulted in $9.3 million of restructuring costs for the year ended January 31, 2023. The headcount reductions, including cash payments, were substantially completed by the end of fiscal 2023.</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balance sheet as of January 31, 2023 includes $0.9 million of restructuring costs classified in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restructuring costs are recognized in the consolidated statement of operations for the year ended January 31, 2023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Severance and Related</w:t>
            </w:r>
          </w:p>
        </w:tc>
        <w:tc>
          <w:tcPr>
            <w:tcW w:w="1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Stock-Based Compensation</w:t>
            </w:r>
          </w:p>
        </w:tc>
        <w:tc>
          <w:tcPr>
            <w:tcW w:w="420" w:type="dxa"/>
            <w:vAlign w:val="bottom"/>
          </w:tcPr>
          <w:p>
            <w:pPr>
              <w:spacing w:after="0"/>
              <w:rPr>
                <w:sz w:val="14"/>
                <w:szCs w:val="14"/>
                <w:color w:val="auto"/>
              </w:rPr>
            </w:pPr>
          </w:p>
        </w:tc>
        <w:tc>
          <w:tcPr>
            <w:tcW w:w="13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Charges</w:t>
            </w:r>
          </w:p>
        </w:tc>
        <w:tc>
          <w:tcPr>
            <w:tcW w:w="24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Expense (Benefit)</w:t>
            </w: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January 31, 2023. Based on such evaluation, our Chief Executive Officer and Chief Financial Officer concluded that, as of January 31, 2023, our disclosure controls and procedures were effective to provide reasonable assurance that information we are required to disclose in reports that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Because of its inherent limitations, internal control over financial reporting may not prevent or detect misstatements. Based on that assessment, management has concluded that our internal control over financial reporting was effective as of January 31, 2023 to provide reasonable assurance regarding the reliability of financial reporting and the preparation of financial statements for external purposes in accordance with GAAP.</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effectiveness of our internal control over financial reporting as of January 31, 2023 has been audited by PricewaterhouseCoopers LLP, an independent registered accounting firm, as stated in their report which appears in </w:t>
      </w:r>
      <w:r>
        <w:rPr>
          <w:rFonts w:ascii="Arial" w:cs="Arial" w:eastAsia="Arial" w:hAnsi="Arial"/>
          <w:sz w:val="18"/>
          <w:szCs w:val="18"/>
          <w:i w:val="1"/>
          <w:iCs w:val="1"/>
          <w:color w:val="auto"/>
        </w:rPr>
        <w:t>Part II—Item 8. Financial Statements and Supplementary Data</w:t>
      </w:r>
      <w:r>
        <w:rPr>
          <w:rFonts w:ascii="Arial" w:cs="Arial" w:eastAsia="Arial" w:hAnsi="Arial"/>
          <w:sz w:val="18"/>
          <w:szCs w:val="18"/>
          <w:color w:val="auto"/>
        </w:rPr>
        <w:t xml:space="preserve"> 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during the quarter ended January 31, 2023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deteriorate. Due to inherent limitations in a cost-effective control system, misstatements due to error or fraud may occur and not be detected.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0" w:name="page111"/>
    <w:bookmarkEnd w:id="1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investors.asana.com.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2023 Annual Meeting of Stockholders, which will be filed with the SEC no later than 120 days after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January 31,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January 31,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 on Form 10-K:</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Our Consolidated Financial Statements are listed in the </w:t>
      </w:r>
      <w:r>
        <w:rPr>
          <w:rFonts w:ascii="Arial" w:cs="Arial" w:eastAsia="Arial" w:hAnsi="Arial"/>
          <w:sz w:val="18"/>
          <w:szCs w:val="18"/>
          <w:i w:val="1"/>
          <w:iCs w:val="1"/>
          <w:color w:val="auto"/>
        </w:rPr>
        <w:t>Index to Consolidated Financial Statements</w:t>
      </w:r>
      <w:r>
        <w:rPr>
          <w:rFonts w:ascii="Arial" w:cs="Arial" w:eastAsia="Arial" w:hAnsi="Arial"/>
          <w:sz w:val="18"/>
          <w:szCs w:val="18"/>
          <w:color w:val="auto"/>
        </w:rPr>
        <w:t xml:space="preserve"> under </w:t>
      </w:r>
      <w:r>
        <w:rPr>
          <w:rFonts w:ascii="Arial" w:cs="Arial" w:eastAsia="Arial" w:hAnsi="Arial"/>
          <w:sz w:val="18"/>
          <w:szCs w:val="18"/>
          <w:i w:val="1"/>
          <w:iCs w:val="1"/>
          <w:color w:val="auto"/>
        </w:rPr>
        <w:t>Part II—Item 8.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w:t>
      </w:r>
      <w:r>
        <w:rPr>
          <w:rFonts w:ascii="Arial" w:cs="Arial" w:eastAsia="Arial" w:hAnsi="Arial"/>
          <w:sz w:val="18"/>
          <w:szCs w:val="18"/>
          <w:color w:val="auto"/>
        </w:rPr>
        <w:t>of this Annual Report on Form 10-K.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herein.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880"/>
              <w:spacing w:after="0"/>
              <w:rPr>
                <w:sz w:val="20"/>
                <w:szCs w:val="20"/>
                <w:color w:val="auto"/>
              </w:rPr>
            </w:pPr>
            <w:r>
              <w:rPr>
                <w:rFonts w:ascii="Arial" w:cs="Arial" w:eastAsia="Arial" w:hAnsi="Arial"/>
                <w:sz w:val="14"/>
                <w:szCs w:val="14"/>
                <w:b w:val="1"/>
                <w:bCs w:val="1"/>
                <w:color w:val="auto"/>
                <w:w w:val="94"/>
              </w:rPr>
              <w:t>Incorporated by Reference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80" w:type="dxa"/>
            <w:vAlign w:val="bottom"/>
            <w:gridSpan w:val="17"/>
            <w:vMerge w:val="restart"/>
          </w:tcPr>
          <w:p>
            <w:pPr>
              <w:ind w:left="20"/>
              <w:spacing w:after="0"/>
              <w:rPr>
                <w:sz w:val="20"/>
                <w:szCs w:val="20"/>
                <w:color w:val="auto"/>
              </w:rPr>
            </w:pPr>
            <w:r>
              <w:rPr>
                <w:rFonts w:ascii="Arial" w:cs="Arial" w:eastAsia="Arial" w:hAnsi="Arial"/>
                <w:sz w:val="14"/>
                <w:szCs w:val="14"/>
                <w:b w:val="1"/>
                <w:bCs w:val="1"/>
                <w:color w:val="auto"/>
              </w:rPr>
              <w:t>Exhibit Title</w:t>
            </w:r>
          </w:p>
        </w:tc>
        <w:tc>
          <w:tcPr>
            <w:tcW w:w="8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17"/>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File Number</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6"/>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bottom w:val="single" w:sz="8" w:color="0000FF"/>
            </w:tcBorders>
            <w:gridSpan w:val="11"/>
          </w:tcPr>
          <w:p>
            <w:pPr>
              <w:spacing w:after="0" w:line="155" w:lineRule="exact"/>
              <w:rPr>
                <w:rFonts w:ascii="Arial" w:cs="Arial" w:eastAsia="Arial" w:hAnsi="Arial"/>
                <w:sz w:val="14"/>
                <w:szCs w:val="14"/>
                <w:color w:val="0000FF"/>
                <w:w w:val="93"/>
              </w:rPr>
            </w:pPr>
            <w:hyperlink r:id="rId136">
              <w:r>
                <w:rPr>
                  <w:rFonts w:ascii="Arial" w:cs="Arial" w:eastAsia="Arial" w:hAnsi="Arial"/>
                  <w:sz w:val="14"/>
                  <w:szCs w:val="14"/>
                  <w:color w:val="0000FF"/>
                  <w:w w:val="93"/>
                </w:rPr>
                <w:t>Restated Certificate of Incorporation of the Registrant</w:t>
              </w:r>
            </w:hyperlink>
          </w:p>
        </w:tc>
        <w:tc>
          <w:tcPr>
            <w:tcW w:w="1720" w:type="dxa"/>
            <w:vAlign w:val="bottom"/>
            <w:gridSpan w:val="11"/>
          </w:tcPr>
          <w:p>
            <w:pPr>
              <w:spacing w:after="0"/>
              <w:rPr>
                <w:sz w:val="13"/>
                <w:szCs w:val="13"/>
                <w:color w:val="auto"/>
              </w:rPr>
            </w:pPr>
          </w:p>
        </w:tc>
        <w:tc>
          <w:tcPr>
            <w:tcW w:w="84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rPr>
              <w:t>8-K</w:t>
            </w:r>
          </w:p>
        </w:tc>
        <w:tc>
          <w:tcPr>
            <w:tcW w:w="1280" w:type="dxa"/>
            <w:vAlign w:val="bottom"/>
          </w:tcPr>
          <w:p>
            <w:pPr>
              <w:jc w:val="center"/>
              <w:spacing w:after="0" w:line="155" w:lineRule="exact"/>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Arial" w:cs="Arial" w:eastAsia="Arial" w:hAnsi="Arial"/>
                <w:sz w:val="14"/>
                <w:szCs w:val="14"/>
                <w:color w:val="auto"/>
                <w:w w:val="91"/>
              </w:rPr>
              <w:t>September 21,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Arial" w:cs="Arial" w:eastAsia="Arial" w:hAnsi="Arial"/>
                <w:sz w:val="14"/>
                <w:szCs w:val="14"/>
                <w:color w:val="0000FF"/>
              </w:rPr>
            </w:pPr>
            <w:hyperlink r:id="rId137">
              <w:r>
                <w:rPr>
                  <w:rFonts w:ascii="Arial" w:cs="Arial" w:eastAsia="Arial" w:hAnsi="Arial"/>
                  <w:sz w:val="14"/>
                  <w:szCs w:val="14"/>
                  <w:color w:val="0000FF"/>
                </w:rPr>
                <w:t>Restated Bylaws of the Registrant</w:t>
              </w:r>
            </w:hyperlink>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1"/>
              </w:rPr>
              <w:t>September 21,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0000FF"/>
            </w:tcBorders>
            <w:gridSpan w:val="10"/>
          </w:tcPr>
          <w:p>
            <w:pPr>
              <w:spacing w:after="0"/>
              <w:rPr>
                <w:rFonts w:ascii="Arial" w:cs="Arial" w:eastAsia="Arial" w:hAnsi="Arial"/>
                <w:sz w:val="14"/>
                <w:szCs w:val="14"/>
                <w:color w:val="0000FF"/>
                <w:w w:val="92"/>
              </w:rPr>
            </w:pPr>
            <w:hyperlink r:id="rId138">
              <w:r>
                <w:rPr>
                  <w:rFonts w:ascii="Arial" w:cs="Arial" w:eastAsia="Arial" w:hAnsi="Arial"/>
                  <w:sz w:val="14"/>
                  <w:szCs w:val="14"/>
                  <w:color w:val="0000FF"/>
                  <w:w w:val="92"/>
                </w:rPr>
                <w:t>Omnibus Amendment to Financing Agreements</w:t>
              </w:r>
            </w:hyperlink>
          </w:p>
        </w:tc>
        <w:tc>
          <w:tcPr>
            <w:tcW w:w="2060" w:type="dxa"/>
            <w:vAlign w:val="bottom"/>
            <w:gridSpan w:val="12"/>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0"/>
              </w:rPr>
              <w:t>September 9,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3"/>
          </w:tcPr>
          <w:p>
            <w:pPr>
              <w:spacing w:after="0"/>
              <w:rPr>
                <w:rFonts w:ascii="Arial" w:cs="Arial" w:eastAsia="Arial" w:hAnsi="Arial"/>
                <w:sz w:val="14"/>
                <w:szCs w:val="14"/>
                <w:color w:val="0000FF"/>
                <w:w w:val="92"/>
              </w:rPr>
            </w:pPr>
            <w:hyperlink r:id="rId139">
              <w:r>
                <w:rPr>
                  <w:rFonts w:ascii="Arial" w:cs="Arial" w:eastAsia="Arial" w:hAnsi="Arial"/>
                  <w:sz w:val="14"/>
                  <w:szCs w:val="14"/>
                  <w:color w:val="0000FF"/>
                  <w:w w:val="92"/>
                </w:rPr>
                <w:t>Description of Securities</w:t>
              </w:r>
            </w:hyperlink>
          </w:p>
        </w:tc>
        <w:tc>
          <w:tcPr>
            <w:tcW w:w="3400" w:type="dxa"/>
            <w:vAlign w:val="bottom"/>
            <w:gridSpan w:val="19"/>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24, 2022</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Arial" w:cs="Arial" w:eastAsia="Arial" w:hAnsi="Arial"/>
                <w:sz w:val="14"/>
                <w:szCs w:val="14"/>
                <w:color w:val="0000FF"/>
                <w:w w:val="94"/>
              </w:rPr>
            </w:pPr>
            <w:hyperlink r:id="rId140">
              <w:r>
                <w:rPr>
                  <w:rFonts w:ascii="Arial" w:cs="Arial" w:eastAsia="Arial" w:hAnsi="Arial"/>
                  <w:sz w:val="14"/>
                  <w:szCs w:val="14"/>
                  <w:color w:val="0000FF"/>
                  <w:w w:val="94"/>
                </w:rPr>
                <w:t>Form of Indemnification Agreement entered into between the Registrant and each</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tcBorders>
              <w:top w:val="single" w:sz="8" w:color="0000FF"/>
            </w:tcBorders>
            <w:gridSpan w:val="20"/>
          </w:tcPr>
          <w:p>
            <w:pPr>
              <w:spacing w:after="0" w:line="142" w:lineRule="exact"/>
              <w:rPr>
                <w:rFonts w:ascii="Arial" w:cs="Arial" w:eastAsia="Arial" w:hAnsi="Arial"/>
                <w:sz w:val="14"/>
                <w:szCs w:val="14"/>
                <w:color w:val="0000FF"/>
              </w:rPr>
            </w:pPr>
            <w:hyperlink r:id="rId140">
              <w:r>
                <w:rPr>
                  <w:rFonts w:ascii="Arial" w:cs="Arial" w:eastAsia="Arial" w:hAnsi="Arial"/>
                  <w:sz w:val="14"/>
                  <w:szCs w:val="14"/>
                  <w:color w:val="0000FF"/>
                </w:rPr>
                <w:t>of its directors and executive officers</w:t>
              </w:r>
            </w:hyperlink>
          </w:p>
        </w:tc>
        <w:tc>
          <w:tcPr>
            <w:tcW w:w="12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300" w:type="dxa"/>
            <w:vAlign w:val="bottom"/>
            <w:gridSpan w:val="2"/>
          </w:tcPr>
          <w:p>
            <w:pPr>
              <w:spacing w:after="0"/>
              <w:rPr>
                <w:rFonts w:ascii="Arial" w:cs="Arial" w:eastAsia="Arial" w:hAnsi="Arial"/>
                <w:sz w:val="14"/>
                <w:szCs w:val="14"/>
                <w:color w:val="0000FF"/>
                <w:w w:val="89"/>
              </w:rPr>
            </w:pPr>
            <w:hyperlink r:id="rId141">
              <w:r>
                <w:rPr>
                  <w:rFonts w:ascii="Arial" w:cs="Arial" w:eastAsia="Arial" w:hAnsi="Arial"/>
                  <w:sz w:val="14"/>
                  <w:szCs w:val="14"/>
                  <w:color w:val="0000FF"/>
                  <w:w w:val="89"/>
                </w:rPr>
                <w:t>2009</w:t>
              </w:r>
            </w:hyperlink>
          </w:p>
        </w:tc>
        <w:tc>
          <w:tcPr>
            <w:tcW w:w="4540" w:type="dxa"/>
            <w:vAlign w:val="bottom"/>
            <w:gridSpan w:val="21"/>
          </w:tcPr>
          <w:p>
            <w:pPr>
              <w:ind w:left="40"/>
              <w:spacing w:after="0"/>
              <w:rPr>
                <w:rFonts w:ascii="Arial" w:cs="Arial" w:eastAsia="Arial" w:hAnsi="Arial"/>
                <w:sz w:val="14"/>
                <w:szCs w:val="14"/>
                <w:color w:val="0000FF"/>
              </w:rPr>
            </w:pPr>
            <w:hyperlink r:id="rId141">
              <w:r>
                <w:rPr>
                  <w:rFonts w:ascii="Arial" w:cs="Arial" w:eastAsia="Arial" w:hAnsi="Arial"/>
                  <w:sz w:val="14"/>
                  <w:szCs w:val="14"/>
                  <w:color w:val="0000FF"/>
                </w:rPr>
                <w:t>Stock Plan, as amended, and forms of agreement thereunder</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bottom w:val="single" w:sz="8" w:color="0000FF"/>
            </w:tcBorders>
            <w:gridSpan w:val="16"/>
          </w:tcPr>
          <w:p>
            <w:pPr>
              <w:spacing w:after="0"/>
              <w:rPr>
                <w:rFonts w:ascii="Arial" w:cs="Arial" w:eastAsia="Arial" w:hAnsi="Arial"/>
                <w:sz w:val="14"/>
                <w:szCs w:val="14"/>
                <w:color w:val="0000FF"/>
                <w:w w:val="91"/>
              </w:rPr>
            </w:pPr>
            <w:hyperlink r:id="rId142">
              <w:r>
                <w:rPr>
                  <w:rFonts w:ascii="Arial" w:cs="Arial" w:eastAsia="Arial" w:hAnsi="Arial"/>
                  <w:sz w:val="14"/>
                  <w:szCs w:val="14"/>
                  <w:color w:val="0000FF"/>
                  <w:w w:val="91"/>
                </w:rPr>
                <w:t>Amended and Restated 2012 Stock Plan, and forms of agreement thereunder</w:t>
              </w:r>
            </w:hyperlink>
          </w:p>
        </w:tc>
        <w:tc>
          <w:tcPr>
            <w:tcW w:w="420" w:type="dxa"/>
            <w:vAlign w:val="bottom"/>
            <w:gridSpan w:val="6"/>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300" w:type="dxa"/>
            <w:vAlign w:val="bottom"/>
            <w:gridSpan w:val="2"/>
          </w:tcPr>
          <w:p>
            <w:pPr>
              <w:spacing w:after="0"/>
              <w:rPr>
                <w:rFonts w:ascii="Arial" w:cs="Arial" w:eastAsia="Arial" w:hAnsi="Arial"/>
                <w:sz w:val="14"/>
                <w:szCs w:val="14"/>
                <w:color w:val="0000FF"/>
                <w:w w:val="89"/>
              </w:rPr>
            </w:pPr>
            <w:hyperlink r:id="rId143">
              <w:r>
                <w:rPr>
                  <w:rFonts w:ascii="Arial" w:cs="Arial" w:eastAsia="Arial" w:hAnsi="Arial"/>
                  <w:sz w:val="14"/>
                  <w:szCs w:val="14"/>
                  <w:color w:val="0000FF"/>
                  <w:w w:val="89"/>
                </w:rPr>
                <w:t>2020</w:t>
              </w:r>
            </w:hyperlink>
          </w:p>
        </w:tc>
        <w:tc>
          <w:tcPr>
            <w:tcW w:w="4540" w:type="dxa"/>
            <w:vAlign w:val="bottom"/>
            <w:gridSpan w:val="21"/>
          </w:tcPr>
          <w:p>
            <w:pPr>
              <w:ind w:left="40"/>
              <w:spacing w:after="0"/>
              <w:rPr>
                <w:rFonts w:ascii="Arial" w:cs="Arial" w:eastAsia="Arial" w:hAnsi="Arial"/>
                <w:sz w:val="14"/>
                <w:szCs w:val="14"/>
                <w:color w:val="0000FF"/>
              </w:rPr>
            </w:pPr>
            <w:hyperlink r:id="rId143">
              <w:r>
                <w:rPr>
                  <w:rFonts w:ascii="Arial" w:cs="Arial" w:eastAsia="Arial" w:hAnsi="Arial"/>
                  <w:sz w:val="14"/>
                  <w:szCs w:val="14"/>
                  <w:color w:val="0000FF"/>
                </w:rPr>
                <w:t>Equity Incentive Plan, and forms of agreement thereunder</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300" w:type="dxa"/>
            <w:vAlign w:val="bottom"/>
            <w:gridSpan w:val="2"/>
          </w:tcPr>
          <w:p>
            <w:pPr>
              <w:spacing w:after="0"/>
              <w:rPr>
                <w:rFonts w:ascii="Arial" w:cs="Arial" w:eastAsia="Arial" w:hAnsi="Arial"/>
                <w:sz w:val="14"/>
                <w:szCs w:val="14"/>
                <w:color w:val="0000FF"/>
                <w:w w:val="89"/>
              </w:rPr>
            </w:pPr>
            <w:hyperlink r:id="rId144">
              <w:r>
                <w:rPr>
                  <w:rFonts w:ascii="Arial" w:cs="Arial" w:eastAsia="Arial" w:hAnsi="Arial"/>
                  <w:sz w:val="14"/>
                  <w:szCs w:val="14"/>
                  <w:color w:val="0000FF"/>
                  <w:w w:val="89"/>
                </w:rPr>
                <w:t>2020</w:t>
              </w:r>
            </w:hyperlink>
          </w:p>
        </w:tc>
        <w:tc>
          <w:tcPr>
            <w:tcW w:w="4540" w:type="dxa"/>
            <w:vAlign w:val="bottom"/>
            <w:gridSpan w:val="21"/>
          </w:tcPr>
          <w:p>
            <w:pPr>
              <w:ind w:left="40"/>
              <w:spacing w:after="0"/>
              <w:rPr>
                <w:rFonts w:ascii="Arial" w:cs="Arial" w:eastAsia="Arial" w:hAnsi="Arial"/>
                <w:sz w:val="14"/>
                <w:szCs w:val="14"/>
                <w:color w:val="0000FF"/>
                <w:w w:val="99"/>
              </w:rPr>
            </w:pPr>
            <w:hyperlink r:id="rId144">
              <w:r>
                <w:rPr>
                  <w:rFonts w:ascii="Arial" w:cs="Arial" w:eastAsia="Arial" w:hAnsi="Arial"/>
                  <w:sz w:val="14"/>
                  <w:szCs w:val="14"/>
                  <w:color w:val="0000FF"/>
                  <w:w w:val="99"/>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w w:val="96"/>
              </w:rPr>
            </w:pPr>
            <w:hyperlink r:id="rId144">
              <w:r>
                <w:rPr>
                  <w:rFonts w:ascii="Arial" w:cs="Arial" w:eastAsia="Arial" w:hAnsi="Arial"/>
                  <w:sz w:val="14"/>
                  <w:szCs w:val="14"/>
                  <w:color w:val="0000FF"/>
                  <w:w w:val="96"/>
                </w:rPr>
                <w:t>(No Holding Period) (Hybrid)</w:t>
              </w:r>
            </w:hyperlink>
          </w:p>
        </w:tc>
        <w:tc>
          <w:tcPr>
            <w:tcW w:w="2860" w:type="dxa"/>
            <w:vAlign w:val="bottom"/>
            <w:tcBorders>
              <w:top w:val="single" w:sz="8" w:color="0000FF"/>
            </w:tcBorders>
            <w:gridSpan w:val="15"/>
          </w:tcPr>
          <w:p>
            <w:pPr>
              <w:spacing w:after="0"/>
              <w:rPr>
                <w:sz w:val="12"/>
                <w:szCs w:val="12"/>
                <w:color w:val="auto"/>
              </w:rPr>
            </w:pPr>
          </w:p>
        </w:tc>
        <w:tc>
          <w:tcPr>
            <w:tcW w:w="2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8"/>
                <w:szCs w:val="18"/>
                <w:color w:val="auto"/>
              </w:rPr>
            </w:pPr>
          </w:p>
        </w:tc>
        <w:tc>
          <w:tcPr>
            <w:tcW w:w="300" w:type="dxa"/>
            <w:vAlign w:val="bottom"/>
            <w:gridSpan w:val="2"/>
          </w:tcPr>
          <w:p>
            <w:pPr>
              <w:spacing w:after="0"/>
              <w:rPr>
                <w:rFonts w:ascii="Arial" w:cs="Arial" w:eastAsia="Arial" w:hAnsi="Arial"/>
                <w:sz w:val="14"/>
                <w:szCs w:val="14"/>
                <w:color w:val="0000FF"/>
                <w:w w:val="89"/>
              </w:rPr>
            </w:pPr>
            <w:hyperlink r:id="rId145">
              <w:r>
                <w:rPr>
                  <w:rFonts w:ascii="Arial" w:cs="Arial" w:eastAsia="Arial" w:hAnsi="Arial"/>
                  <w:sz w:val="14"/>
                  <w:szCs w:val="14"/>
                  <w:color w:val="0000FF"/>
                  <w:w w:val="89"/>
                </w:rPr>
                <w:t>2020</w:t>
              </w:r>
            </w:hyperlink>
          </w:p>
        </w:tc>
        <w:tc>
          <w:tcPr>
            <w:tcW w:w="4540" w:type="dxa"/>
            <w:vAlign w:val="bottom"/>
            <w:gridSpan w:val="21"/>
          </w:tcPr>
          <w:p>
            <w:pPr>
              <w:ind w:left="40"/>
              <w:spacing w:after="0"/>
              <w:rPr>
                <w:rFonts w:ascii="Arial" w:cs="Arial" w:eastAsia="Arial" w:hAnsi="Arial"/>
                <w:sz w:val="14"/>
                <w:szCs w:val="14"/>
                <w:color w:val="0000FF"/>
                <w:w w:val="99"/>
              </w:rPr>
            </w:pPr>
            <w:hyperlink r:id="rId145">
              <w:r>
                <w:rPr>
                  <w:rFonts w:ascii="Arial" w:cs="Arial" w:eastAsia="Arial" w:hAnsi="Arial"/>
                  <w:sz w:val="14"/>
                  <w:szCs w:val="14"/>
                  <w:color w:val="0000FF"/>
                  <w:w w:val="99"/>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9"/>
          </w:tcPr>
          <w:p>
            <w:pPr>
              <w:spacing w:after="0" w:line="142" w:lineRule="exact"/>
              <w:rPr>
                <w:rFonts w:ascii="Arial" w:cs="Arial" w:eastAsia="Arial" w:hAnsi="Arial"/>
                <w:sz w:val="14"/>
                <w:szCs w:val="14"/>
                <w:color w:val="0000FF"/>
                <w:w w:val="95"/>
              </w:rPr>
            </w:pPr>
            <w:hyperlink r:id="rId145">
              <w:r>
                <w:rPr>
                  <w:rFonts w:ascii="Arial" w:cs="Arial" w:eastAsia="Arial" w:hAnsi="Arial"/>
                  <w:sz w:val="14"/>
                  <w:szCs w:val="14"/>
                  <w:color w:val="0000FF"/>
                  <w:w w:val="95"/>
                </w:rPr>
                <w:t>(One- or Two-Year Holding Period) (Hybrid)</w:t>
              </w:r>
            </w:hyperlink>
          </w:p>
        </w:tc>
        <w:tc>
          <w:tcPr>
            <w:tcW w:w="1980" w:type="dxa"/>
            <w:vAlign w:val="bottom"/>
            <w:tcBorders>
              <w:top w:val="single" w:sz="8" w:color="0000FF"/>
            </w:tcBorders>
            <w:gridSpan w:val="10"/>
          </w:tcPr>
          <w:p>
            <w:pPr>
              <w:spacing w:after="0"/>
              <w:rPr>
                <w:sz w:val="12"/>
                <w:szCs w:val="12"/>
                <w:color w:val="auto"/>
              </w:rPr>
            </w:pPr>
          </w:p>
        </w:tc>
        <w:tc>
          <w:tcPr>
            <w:tcW w:w="2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300" w:type="dxa"/>
            <w:vAlign w:val="bottom"/>
            <w:gridSpan w:val="2"/>
          </w:tcPr>
          <w:p>
            <w:pPr>
              <w:spacing w:after="0"/>
              <w:rPr>
                <w:rFonts w:ascii="Arial" w:cs="Arial" w:eastAsia="Arial" w:hAnsi="Arial"/>
                <w:sz w:val="14"/>
                <w:szCs w:val="14"/>
                <w:color w:val="0000FF"/>
                <w:w w:val="89"/>
              </w:rPr>
            </w:pPr>
            <w:hyperlink r:id="rId146">
              <w:r>
                <w:rPr>
                  <w:rFonts w:ascii="Arial" w:cs="Arial" w:eastAsia="Arial" w:hAnsi="Arial"/>
                  <w:sz w:val="14"/>
                  <w:szCs w:val="14"/>
                  <w:color w:val="0000FF"/>
                  <w:w w:val="89"/>
                </w:rPr>
                <w:t>2020</w:t>
              </w:r>
            </w:hyperlink>
          </w:p>
        </w:tc>
        <w:tc>
          <w:tcPr>
            <w:tcW w:w="4540" w:type="dxa"/>
            <w:vAlign w:val="bottom"/>
            <w:gridSpan w:val="21"/>
          </w:tcPr>
          <w:p>
            <w:pPr>
              <w:ind w:left="40"/>
              <w:spacing w:after="0"/>
              <w:rPr>
                <w:rFonts w:ascii="Arial" w:cs="Arial" w:eastAsia="Arial" w:hAnsi="Arial"/>
                <w:sz w:val="14"/>
                <w:szCs w:val="14"/>
                <w:color w:val="0000FF"/>
                <w:w w:val="99"/>
              </w:rPr>
            </w:pPr>
            <w:hyperlink r:id="rId146">
              <w:r>
                <w:rPr>
                  <w:rFonts w:ascii="Arial" w:cs="Arial" w:eastAsia="Arial" w:hAnsi="Arial"/>
                  <w:sz w:val="14"/>
                  <w:szCs w:val="14"/>
                  <w:color w:val="0000FF"/>
                  <w:w w:val="99"/>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2"/>
              </w:rPr>
              <w:t>December 1, 2022</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w w:val="96"/>
              </w:rPr>
            </w:pPr>
            <w:hyperlink r:id="rId146">
              <w:r>
                <w:rPr>
                  <w:rFonts w:ascii="Arial" w:cs="Arial" w:eastAsia="Arial" w:hAnsi="Arial"/>
                  <w:sz w:val="14"/>
                  <w:szCs w:val="14"/>
                  <w:color w:val="0000FF"/>
                  <w:w w:val="96"/>
                </w:rPr>
                <w:t>(No Holding Period) (Hybrid)</w:t>
              </w:r>
            </w:hyperlink>
          </w:p>
        </w:tc>
        <w:tc>
          <w:tcPr>
            <w:tcW w:w="2860" w:type="dxa"/>
            <w:vAlign w:val="bottom"/>
            <w:tcBorders>
              <w:top w:val="single" w:sz="8" w:color="0000FF"/>
            </w:tcBorders>
            <w:gridSpan w:val="15"/>
          </w:tcPr>
          <w:p>
            <w:pPr>
              <w:spacing w:after="0"/>
              <w:rPr>
                <w:sz w:val="12"/>
                <w:szCs w:val="12"/>
                <w:color w:val="auto"/>
              </w:rPr>
            </w:pPr>
          </w:p>
        </w:tc>
        <w:tc>
          <w:tcPr>
            <w:tcW w:w="2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8"/>
                <w:szCs w:val="18"/>
                <w:color w:val="auto"/>
              </w:rPr>
            </w:pPr>
          </w:p>
        </w:tc>
        <w:tc>
          <w:tcPr>
            <w:tcW w:w="300" w:type="dxa"/>
            <w:vAlign w:val="bottom"/>
            <w:gridSpan w:val="2"/>
          </w:tcPr>
          <w:p>
            <w:pPr>
              <w:spacing w:after="0"/>
              <w:rPr>
                <w:rFonts w:ascii="Arial" w:cs="Arial" w:eastAsia="Arial" w:hAnsi="Arial"/>
                <w:sz w:val="14"/>
                <w:szCs w:val="14"/>
                <w:color w:val="0000FF"/>
                <w:w w:val="89"/>
              </w:rPr>
            </w:pPr>
            <w:hyperlink r:id="rId147">
              <w:r>
                <w:rPr>
                  <w:rFonts w:ascii="Arial" w:cs="Arial" w:eastAsia="Arial" w:hAnsi="Arial"/>
                  <w:sz w:val="14"/>
                  <w:szCs w:val="14"/>
                  <w:color w:val="0000FF"/>
                  <w:w w:val="89"/>
                </w:rPr>
                <w:t>2020</w:t>
              </w:r>
            </w:hyperlink>
          </w:p>
        </w:tc>
        <w:tc>
          <w:tcPr>
            <w:tcW w:w="4540" w:type="dxa"/>
            <w:vAlign w:val="bottom"/>
            <w:gridSpan w:val="21"/>
          </w:tcPr>
          <w:p>
            <w:pPr>
              <w:ind w:left="40"/>
              <w:spacing w:after="0"/>
              <w:rPr>
                <w:rFonts w:ascii="Arial" w:cs="Arial" w:eastAsia="Arial" w:hAnsi="Arial"/>
                <w:sz w:val="14"/>
                <w:szCs w:val="14"/>
                <w:color w:val="0000FF"/>
                <w:w w:val="99"/>
              </w:rPr>
            </w:pPr>
            <w:hyperlink r:id="rId147">
              <w:r>
                <w:rPr>
                  <w:rFonts w:ascii="Arial" w:cs="Arial" w:eastAsia="Arial" w:hAnsi="Arial"/>
                  <w:sz w:val="14"/>
                  <w:szCs w:val="14"/>
                  <w:color w:val="0000FF"/>
                  <w:w w:val="99"/>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2"/>
              </w:rPr>
              <w:t>December 1, 2022</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r:id="rId147">
              <w:r>
                <w:rPr>
                  <w:rFonts w:ascii="Arial" w:cs="Arial" w:eastAsia="Arial" w:hAnsi="Arial"/>
                  <w:sz w:val="14"/>
                  <w:szCs w:val="14"/>
                  <w:color w:val="0000FF"/>
                </w:rPr>
                <w:t>(One- or Two-Year Holding Period) (Hybrid)</w:t>
              </w:r>
            </w:hyperlink>
          </w:p>
        </w:tc>
        <w:tc>
          <w:tcPr>
            <w:tcW w:w="2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8"/>
                <w:szCs w:val="18"/>
                <w:color w:val="auto"/>
              </w:rPr>
            </w:pPr>
          </w:p>
        </w:tc>
        <w:tc>
          <w:tcPr>
            <w:tcW w:w="300" w:type="dxa"/>
            <w:vAlign w:val="bottom"/>
            <w:gridSpan w:val="2"/>
          </w:tcPr>
          <w:p>
            <w:pPr>
              <w:spacing w:after="0"/>
              <w:rPr>
                <w:rFonts w:ascii="Arial" w:cs="Arial" w:eastAsia="Arial" w:hAnsi="Arial"/>
                <w:sz w:val="14"/>
                <w:szCs w:val="14"/>
                <w:color w:val="0000FF"/>
                <w:w w:val="89"/>
              </w:rPr>
            </w:pPr>
            <w:hyperlink r:id="rId148">
              <w:r>
                <w:rPr>
                  <w:rFonts w:ascii="Arial" w:cs="Arial" w:eastAsia="Arial" w:hAnsi="Arial"/>
                  <w:sz w:val="14"/>
                  <w:szCs w:val="14"/>
                  <w:color w:val="0000FF"/>
                  <w:w w:val="89"/>
                </w:rPr>
                <w:t>2020</w:t>
              </w:r>
            </w:hyperlink>
          </w:p>
        </w:tc>
        <w:tc>
          <w:tcPr>
            <w:tcW w:w="4540" w:type="dxa"/>
            <w:vAlign w:val="bottom"/>
            <w:gridSpan w:val="21"/>
          </w:tcPr>
          <w:p>
            <w:pPr>
              <w:ind w:left="40"/>
              <w:spacing w:after="0"/>
              <w:rPr>
                <w:rFonts w:ascii="Arial" w:cs="Arial" w:eastAsia="Arial" w:hAnsi="Arial"/>
                <w:sz w:val="14"/>
                <w:szCs w:val="14"/>
                <w:color w:val="0000FF"/>
              </w:rPr>
            </w:pPr>
            <w:hyperlink r:id="rId148">
              <w:r>
                <w:rPr>
                  <w:rFonts w:ascii="Arial" w:cs="Arial" w:eastAsia="Arial" w:hAnsi="Arial"/>
                  <w:sz w:val="14"/>
                  <w:szCs w:val="14"/>
                  <w:color w:val="0000FF"/>
                </w:rPr>
                <w:t>Employee Stock Purchase Plan</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Arial" w:cs="Arial" w:eastAsia="Arial" w:hAnsi="Arial"/>
                <w:sz w:val="14"/>
                <w:szCs w:val="14"/>
                <w:color w:val="0000FF"/>
              </w:rPr>
            </w:pPr>
            <w:hyperlink r:id="rId149">
              <w:r>
                <w:rPr>
                  <w:rFonts w:ascii="Arial" w:cs="Arial" w:eastAsia="Arial" w:hAnsi="Arial"/>
                  <w:sz w:val="14"/>
                  <w:szCs w:val="14"/>
                  <w:color w:val="0000FF"/>
                </w:rPr>
                <w:t>Amended and Restated Non-Employee Director Compensation Policy</w:t>
              </w:r>
            </w:hyperlink>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88"/>
              </w:rPr>
              <w:t>June 3, 2022</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tcBorders>
            <w:gridSpan w:val="15"/>
          </w:tcPr>
          <w:p>
            <w:pPr>
              <w:spacing w:after="0"/>
              <w:rPr>
                <w:rFonts w:ascii="Arial" w:cs="Arial" w:eastAsia="Arial" w:hAnsi="Arial"/>
                <w:sz w:val="14"/>
                <w:szCs w:val="14"/>
                <w:color w:val="0000FF"/>
              </w:rPr>
            </w:pPr>
            <w:hyperlink r:id="rId150">
              <w:r>
                <w:rPr>
                  <w:rFonts w:ascii="Arial" w:cs="Arial" w:eastAsia="Arial" w:hAnsi="Arial"/>
                  <w:sz w:val="14"/>
                  <w:szCs w:val="14"/>
                  <w:color w:val="0000FF"/>
                </w:rPr>
                <w:t>Directors Deferred Compensation Plan</w:t>
              </w:r>
            </w:hyperlink>
          </w:p>
        </w:tc>
        <w:tc>
          <w:tcPr>
            <w:tcW w:w="800" w:type="dxa"/>
            <w:vAlign w:val="bottom"/>
            <w:gridSpan w:val="7"/>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Arial" w:cs="Arial" w:eastAsia="Arial" w:hAnsi="Arial"/>
                <w:sz w:val="14"/>
                <w:szCs w:val="14"/>
                <w:color w:val="0000FF"/>
                <w:w w:val="98"/>
              </w:rPr>
            </w:pPr>
            <w:hyperlink r:id="rId151">
              <w:r>
                <w:rPr>
                  <w:rFonts w:ascii="Arial" w:cs="Arial" w:eastAsia="Arial" w:hAnsi="Arial"/>
                  <w:sz w:val="14"/>
                  <w:szCs w:val="14"/>
                  <w:color w:val="0000FF"/>
                  <w:w w:val="98"/>
                </w:rPr>
                <w:t>Asana France SAS Equity Sub-Plan and Form of RSU Grant Notice and Award</w:t>
              </w:r>
            </w:hyperlink>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10.10</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18"/>
          </w:tcPr>
          <w:p>
            <w:pPr>
              <w:spacing w:after="0" w:line="142" w:lineRule="exact"/>
              <w:rPr>
                <w:rFonts w:ascii="Arial" w:cs="Arial" w:eastAsia="Arial" w:hAnsi="Arial"/>
                <w:sz w:val="14"/>
                <w:szCs w:val="14"/>
                <w:color w:val="0000FF"/>
              </w:rPr>
            </w:pPr>
            <w:hyperlink r:id="rId151">
              <w:r>
                <w:rPr>
                  <w:rFonts w:ascii="Arial" w:cs="Arial" w:eastAsia="Arial" w:hAnsi="Arial"/>
                  <w:sz w:val="14"/>
                  <w:szCs w:val="14"/>
                  <w:color w:val="0000FF"/>
                </w:rPr>
                <w:t>Agreement</w:t>
              </w:r>
            </w:hyperlink>
          </w:p>
        </w:tc>
        <w:tc>
          <w:tcPr>
            <w:tcW w:w="260" w:type="dxa"/>
            <w:vAlign w:val="bottom"/>
            <w:gridSpan w:val="4"/>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22"/>
          </w:tcPr>
          <w:p>
            <w:pPr>
              <w:spacing w:after="0"/>
              <w:rPr>
                <w:rFonts w:ascii="Arial" w:cs="Arial" w:eastAsia="Arial" w:hAnsi="Arial"/>
                <w:sz w:val="14"/>
                <w:szCs w:val="14"/>
                <w:color w:val="0000FF"/>
              </w:rPr>
            </w:pPr>
            <w:hyperlink r:id="rId152">
              <w:r>
                <w:rPr>
                  <w:rFonts w:ascii="Arial" w:cs="Arial" w:eastAsia="Arial" w:hAnsi="Arial"/>
                  <w:sz w:val="14"/>
                  <w:szCs w:val="14"/>
                  <w:color w:val="0000FF"/>
                </w:rPr>
                <w:t>Executive Severance and Change in Control Benefit Plan</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12"/>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Arial" w:cs="Arial" w:eastAsia="Arial" w:hAnsi="Arial"/>
                <w:sz w:val="14"/>
                <w:szCs w:val="14"/>
                <w:color w:val="0000FF"/>
              </w:rPr>
            </w:pPr>
            <w:hyperlink r:id="rId153">
              <w:r>
                <w:rPr>
                  <w:rFonts w:ascii="Arial" w:cs="Arial" w:eastAsia="Arial" w:hAnsi="Arial"/>
                  <w:sz w:val="14"/>
                  <w:szCs w:val="14"/>
                  <w:color w:val="0000FF"/>
                </w:rPr>
                <w:t>Offer Letter between Dustin Moskovitz and the Registrant, dated August 20,</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83"/>
              </w:rPr>
            </w:pPr>
            <w:hyperlink r:id="rId153">
              <w:r>
                <w:rPr>
                  <w:rFonts w:ascii="Arial" w:cs="Arial" w:eastAsia="Arial" w:hAnsi="Arial"/>
                  <w:sz w:val="14"/>
                  <w:szCs w:val="14"/>
                  <w:color w:val="0000FF"/>
                  <w:w w:val="83"/>
                </w:rPr>
                <w:t>2020</w:t>
              </w:r>
            </w:hyperlink>
          </w:p>
        </w:tc>
        <w:tc>
          <w:tcPr>
            <w:tcW w:w="34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Borders>
              <w:bottom w:val="single" w:sz="8" w:color="0000FF"/>
            </w:tcBorders>
            <w:gridSpan w:val="17"/>
          </w:tcPr>
          <w:p>
            <w:pPr>
              <w:spacing w:after="0"/>
              <w:rPr>
                <w:rFonts w:ascii="Arial" w:cs="Arial" w:eastAsia="Arial" w:hAnsi="Arial"/>
                <w:sz w:val="14"/>
                <w:szCs w:val="14"/>
                <w:color w:val="0000FF"/>
                <w:w w:val="92"/>
              </w:rPr>
            </w:pPr>
            <w:hyperlink r:id="rId154">
              <w:r>
                <w:rPr>
                  <w:rFonts w:ascii="Arial" w:cs="Arial" w:eastAsia="Arial" w:hAnsi="Arial"/>
                  <w:sz w:val="14"/>
                  <w:szCs w:val="14"/>
                  <w:color w:val="0000FF"/>
                  <w:w w:val="92"/>
                </w:rPr>
                <w:t>Offer Letter between Eleanor Lacey and the Registrant, dated August 21, 2020</w:t>
              </w:r>
            </w:hyperlink>
          </w:p>
        </w:tc>
        <w:tc>
          <w:tcPr>
            <w:tcW w:w="300" w:type="dxa"/>
            <w:vAlign w:val="bottom"/>
            <w:gridSpan w:val="5"/>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color w:val="auto"/>
              </w:rPr>
              <w:t>10.16#</w:t>
            </w:r>
          </w:p>
        </w:tc>
        <w:tc>
          <w:tcPr>
            <w:tcW w:w="4240" w:type="dxa"/>
            <w:vAlign w:val="bottom"/>
            <w:tcBorders>
              <w:bottom w:val="single" w:sz="8" w:color="0000FF"/>
            </w:tcBorders>
            <w:gridSpan w:val="10"/>
          </w:tcPr>
          <w:p>
            <w:pPr>
              <w:spacing w:after="0"/>
              <w:rPr>
                <w:rFonts w:ascii="Arial" w:cs="Arial" w:eastAsia="Arial" w:hAnsi="Arial"/>
                <w:sz w:val="14"/>
                <w:szCs w:val="14"/>
                <w:color w:val="0000FF"/>
                <w:w w:val="92"/>
              </w:rPr>
            </w:pPr>
            <w:hyperlink r:id="rId156">
              <w:r>
                <w:rPr>
                  <w:rFonts w:ascii="Arial" w:cs="Arial" w:eastAsia="Arial" w:hAnsi="Arial"/>
                  <w:sz w:val="14"/>
                  <w:szCs w:val="14"/>
                  <w:color w:val="0000FF"/>
                  <w:w w:val="92"/>
                </w:rPr>
                <w:t>Offer Letter between Tim Wan and the Registrant, dated August 20, 2020</w:t>
              </w:r>
            </w:hyperlink>
          </w:p>
        </w:tc>
        <w:tc>
          <w:tcPr>
            <w:tcW w:w="660" w:type="dxa"/>
            <w:vAlign w:val="bottom"/>
            <w:gridSpan w:val="13"/>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color w:val="auto"/>
                <w:w w:val="91"/>
              </w:rPr>
              <w:t>S-1</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3"/>
              </w:rPr>
              <w:t>333-248303</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10.10</w:t>
            </w:r>
          </w:p>
        </w:tc>
        <w:tc>
          <w:tcPr>
            <w:tcW w:w="1520" w:type="dxa"/>
            <w:vAlign w:val="bottom"/>
          </w:tcPr>
          <w:p>
            <w:pPr>
              <w:jc w:val="center"/>
              <w:ind w:left="328"/>
              <w:spacing w:after="0"/>
              <w:rPr>
                <w:sz w:val="20"/>
                <w:szCs w:val="20"/>
                <w:color w:val="auto"/>
              </w:rPr>
            </w:pPr>
            <w:r>
              <w:rPr>
                <w:rFonts w:ascii="Arial" w:cs="Arial" w:eastAsia="Arial" w:hAnsi="Arial"/>
                <w:sz w:val="14"/>
                <w:szCs w:val="14"/>
                <w:color w:val="auto"/>
                <w:w w:val="94"/>
              </w:rPr>
              <w:t>August 24, 2020</w:t>
            </w:r>
          </w:p>
        </w:tc>
      </w:tr>
      <w:tr>
        <w:trPr>
          <w:trHeight w:val="196"/>
        </w:trPr>
        <w:tc>
          <w:tcPr>
            <w:tcW w:w="1280" w:type="dxa"/>
            <w:vAlign w:val="bottom"/>
          </w:tcPr>
          <w:p>
            <w:pPr>
              <w:spacing w:after="0"/>
              <w:rPr>
                <w:sz w:val="20"/>
                <w:szCs w:val="20"/>
                <w:color w:val="auto"/>
              </w:rPr>
            </w:pPr>
            <w:r>
              <w:rPr>
                <w:rFonts w:ascii="Arial" w:cs="Arial" w:eastAsia="Arial" w:hAnsi="Arial"/>
                <w:sz w:val="14"/>
                <w:szCs w:val="14"/>
                <w:color w:val="auto"/>
              </w:rPr>
              <w:t>10.17#</w:t>
            </w:r>
          </w:p>
        </w:tc>
        <w:tc>
          <w:tcPr>
            <w:tcW w:w="4640" w:type="dxa"/>
            <w:vAlign w:val="bottom"/>
            <w:tcBorders>
              <w:bottom w:val="single" w:sz="8" w:color="0000FF"/>
            </w:tcBorders>
            <w:gridSpan w:val="20"/>
          </w:tcPr>
          <w:p>
            <w:pPr>
              <w:spacing w:after="0"/>
              <w:rPr>
                <w:rFonts w:ascii="Arial" w:cs="Arial" w:eastAsia="Arial" w:hAnsi="Arial"/>
                <w:sz w:val="14"/>
                <w:szCs w:val="14"/>
                <w:color w:val="0000FF"/>
                <w:w w:val="93"/>
              </w:rPr>
            </w:pPr>
            <w:hyperlink r:id="rId157">
              <w:r>
                <w:rPr>
                  <w:rFonts w:ascii="Arial" w:cs="Arial" w:eastAsia="Arial" w:hAnsi="Arial"/>
                  <w:sz w:val="14"/>
                  <w:szCs w:val="14"/>
                  <w:color w:val="0000FF"/>
                  <w:w w:val="93"/>
                </w:rPr>
                <w:t>Offer Letter between Anne Raimondi and the Registrant, dated August 27, 2021</w:t>
              </w:r>
            </w:hyperlink>
          </w:p>
        </w:tc>
        <w:tc>
          <w:tcPr>
            <w:tcW w:w="260" w:type="dxa"/>
            <w:vAlign w:val="bottom"/>
            <w:gridSpan w:val="3"/>
          </w:tcPr>
          <w:p>
            <w:pPr>
              <w:spacing w:after="0"/>
              <w:rPr>
                <w:sz w:val="17"/>
                <w:szCs w:val="17"/>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2"/>
              </w:rPr>
              <w:t>001-39495</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520" w:type="dxa"/>
            <w:vAlign w:val="bottom"/>
          </w:tcPr>
          <w:p>
            <w:pPr>
              <w:jc w:val="center"/>
              <w:ind w:left="328"/>
              <w:spacing w:after="0"/>
              <w:rPr>
                <w:sz w:val="20"/>
                <w:szCs w:val="20"/>
                <w:color w:val="auto"/>
              </w:rPr>
            </w:pPr>
            <w:r>
              <w:rPr>
                <w:rFonts w:ascii="Arial" w:cs="Arial" w:eastAsia="Arial" w:hAnsi="Arial"/>
                <w:sz w:val="14"/>
                <w:szCs w:val="14"/>
                <w:color w:val="auto"/>
                <w:w w:val="90"/>
              </w:rPr>
              <w:t>September 1, 2021</w:t>
            </w:r>
          </w:p>
        </w:tc>
      </w:tr>
      <w:tr>
        <w:trPr>
          <w:trHeight w:val="196"/>
        </w:trPr>
        <w:tc>
          <w:tcPr>
            <w:tcW w:w="1280" w:type="dxa"/>
            <w:vAlign w:val="bottom"/>
          </w:tcPr>
          <w:p>
            <w:pPr>
              <w:spacing w:after="0"/>
              <w:rPr>
                <w:sz w:val="20"/>
                <w:szCs w:val="20"/>
                <w:color w:val="auto"/>
              </w:rPr>
            </w:pPr>
            <w:r>
              <w:rPr>
                <w:rFonts w:ascii="Arial" w:cs="Arial" w:eastAsia="Arial" w:hAnsi="Arial"/>
                <w:sz w:val="14"/>
                <w:szCs w:val="14"/>
                <w:color w:val="auto"/>
              </w:rPr>
              <w:t>10.18</w:t>
            </w:r>
          </w:p>
        </w:tc>
        <w:tc>
          <w:tcPr>
            <w:tcW w:w="4900" w:type="dxa"/>
            <w:vAlign w:val="bottom"/>
            <w:gridSpan w:val="23"/>
          </w:tcPr>
          <w:p>
            <w:pPr>
              <w:spacing w:after="0"/>
              <w:rPr>
                <w:rFonts w:ascii="Arial" w:cs="Arial" w:eastAsia="Arial" w:hAnsi="Arial"/>
                <w:sz w:val="14"/>
                <w:szCs w:val="14"/>
                <w:color w:val="0000FF"/>
              </w:rPr>
            </w:pPr>
            <w:hyperlink r:id="rId158">
              <w:r>
                <w:rPr>
                  <w:rFonts w:ascii="Arial" w:cs="Arial" w:eastAsia="Arial" w:hAnsi="Arial"/>
                  <w:sz w:val="14"/>
                  <w:szCs w:val="14"/>
                  <w:color w:val="0000FF"/>
                </w:rPr>
                <w:t>Lease between Swig 631 Folsom, LLC, SIC Holdings, LLC and the Registrant,</w:t>
              </w:r>
            </w:hyperlink>
          </w:p>
        </w:tc>
        <w:tc>
          <w:tcPr>
            <w:tcW w:w="780" w:type="dxa"/>
            <w:vAlign w:val="bottom"/>
          </w:tcPr>
          <w:p>
            <w:pPr>
              <w:jc w:val="center"/>
              <w:ind w:right="68"/>
              <w:spacing w:after="0"/>
              <w:rPr>
                <w:sz w:val="20"/>
                <w:szCs w:val="20"/>
                <w:color w:val="auto"/>
              </w:rPr>
            </w:pPr>
            <w:r>
              <w:rPr>
                <w:rFonts w:ascii="Arial" w:cs="Arial" w:eastAsia="Arial" w:hAnsi="Arial"/>
                <w:sz w:val="14"/>
                <w:szCs w:val="14"/>
                <w:color w:val="auto"/>
                <w:w w:val="91"/>
              </w:rPr>
              <w:t>S-1</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3"/>
              </w:rPr>
              <w:t>333-248303</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10.12</w:t>
            </w:r>
          </w:p>
        </w:tc>
        <w:tc>
          <w:tcPr>
            <w:tcW w:w="1520" w:type="dxa"/>
            <w:vAlign w:val="bottom"/>
          </w:tcPr>
          <w:p>
            <w:pPr>
              <w:jc w:val="center"/>
              <w:ind w:left="328"/>
              <w:spacing w:after="0"/>
              <w:rPr>
                <w:sz w:val="20"/>
                <w:szCs w:val="20"/>
                <w:color w:val="auto"/>
              </w:rPr>
            </w:pPr>
            <w:r>
              <w:rPr>
                <w:rFonts w:ascii="Arial" w:cs="Arial" w:eastAsia="Arial" w:hAnsi="Arial"/>
                <w:sz w:val="14"/>
                <w:szCs w:val="14"/>
                <w:color w:val="auto"/>
                <w:w w:val="94"/>
              </w:rPr>
              <w:t>August 24, 2020</w:t>
            </w:r>
          </w:p>
        </w:tc>
      </w:tr>
      <w:tr>
        <w:trPr>
          <w:trHeight w:val="142"/>
        </w:trPr>
        <w:tc>
          <w:tcPr>
            <w:tcW w:w="1280" w:type="dxa"/>
            <w:vAlign w:val="bottom"/>
          </w:tcPr>
          <w:p>
            <w:pPr>
              <w:spacing w:after="0"/>
              <w:rPr>
                <w:sz w:val="12"/>
                <w:szCs w:val="12"/>
                <w:color w:val="auto"/>
              </w:rPr>
            </w:pPr>
          </w:p>
        </w:tc>
        <w:tc>
          <w:tcPr>
            <w:tcW w:w="458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r:id="rId158">
              <w:r>
                <w:rPr>
                  <w:rFonts w:ascii="Arial" w:cs="Arial" w:eastAsia="Arial" w:hAnsi="Arial"/>
                  <w:sz w:val="14"/>
                  <w:szCs w:val="14"/>
                  <w:color w:val="0000FF"/>
                </w:rPr>
                <w:t>dated as of February 22,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4"/>
                <w:szCs w:val="14"/>
                <w:color w:val="auto"/>
              </w:rPr>
              <w:t>10.19</w:t>
            </w:r>
          </w:p>
        </w:tc>
        <w:tc>
          <w:tcPr>
            <w:tcW w:w="4900" w:type="dxa"/>
            <w:vAlign w:val="bottom"/>
            <w:gridSpan w:val="23"/>
          </w:tcPr>
          <w:p>
            <w:pPr>
              <w:spacing w:after="0"/>
              <w:rPr>
                <w:rFonts w:ascii="Arial" w:cs="Arial" w:eastAsia="Arial" w:hAnsi="Arial"/>
                <w:sz w:val="14"/>
                <w:szCs w:val="14"/>
                <w:color w:val="0000FF"/>
                <w:w w:val="96"/>
              </w:rPr>
            </w:pPr>
            <w:hyperlink r:id="rId159">
              <w:r>
                <w:rPr>
                  <w:rFonts w:ascii="Arial" w:cs="Arial" w:eastAsia="Arial" w:hAnsi="Arial"/>
                  <w:sz w:val="14"/>
                  <w:szCs w:val="14"/>
                  <w:color w:val="0000FF"/>
                  <w:w w:val="96"/>
                </w:rPr>
                <w:t>Commencement Date Memoranda to Lease between Swig 631 Folsom, LLC, SIC</w:t>
              </w:r>
            </w:hyperlink>
          </w:p>
        </w:tc>
        <w:tc>
          <w:tcPr>
            <w:tcW w:w="780" w:type="dxa"/>
            <w:vAlign w:val="bottom"/>
          </w:tcPr>
          <w:p>
            <w:pPr>
              <w:jc w:val="center"/>
              <w:ind w:right="68"/>
              <w:spacing w:after="0"/>
              <w:rPr>
                <w:sz w:val="20"/>
                <w:szCs w:val="20"/>
                <w:color w:val="auto"/>
              </w:rPr>
            </w:pPr>
            <w:r>
              <w:rPr>
                <w:rFonts w:ascii="Arial" w:cs="Arial" w:eastAsia="Arial" w:hAnsi="Arial"/>
                <w:sz w:val="14"/>
                <w:szCs w:val="14"/>
                <w:color w:val="auto"/>
                <w:w w:val="89"/>
              </w:rPr>
              <w:t>10-Q</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2"/>
              </w:rPr>
              <w:t>001-39495</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520" w:type="dxa"/>
            <w:vAlign w:val="bottom"/>
          </w:tcPr>
          <w:p>
            <w:pPr>
              <w:jc w:val="center"/>
              <w:ind w:left="328"/>
              <w:spacing w:after="0"/>
              <w:rPr>
                <w:sz w:val="20"/>
                <w:szCs w:val="20"/>
                <w:color w:val="auto"/>
              </w:rPr>
            </w:pPr>
            <w:r>
              <w:rPr>
                <w:rFonts w:ascii="Arial" w:cs="Arial" w:eastAsia="Arial" w:hAnsi="Arial"/>
                <w:sz w:val="14"/>
                <w:szCs w:val="14"/>
                <w:color w:val="auto"/>
                <w:w w:val="90"/>
              </w:rPr>
              <w:t>September 3, 2021</w:t>
            </w:r>
          </w:p>
        </w:tc>
      </w:tr>
      <w:tr>
        <w:trPr>
          <w:trHeight w:val="142"/>
        </w:trPr>
        <w:tc>
          <w:tcPr>
            <w:tcW w:w="12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9"/>
          </w:tcPr>
          <w:p>
            <w:pPr>
              <w:spacing w:after="0" w:line="142" w:lineRule="exact"/>
              <w:rPr>
                <w:rFonts w:ascii="Arial" w:cs="Arial" w:eastAsia="Arial" w:hAnsi="Arial"/>
                <w:sz w:val="14"/>
                <w:szCs w:val="14"/>
                <w:color w:val="0000FF"/>
                <w:w w:val="93"/>
              </w:rPr>
            </w:pPr>
            <w:hyperlink r:id="rId159">
              <w:r>
                <w:rPr>
                  <w:rFonts w:ascii="Arial" w:cs="Arial" w:eastAsia="Arial" w:hAnsi="Arial"/>
                  <w:sz w:val="14"/>
                  <w:szCs w:val="14"/>
                  <w:color w:val="0000FF"/>
                  <w:w w:val="93"/>
                </w:rPr>
                <w:t>Holdings, LLC and the Registrant, dated as of May 17, 2021</w:t>
              </w:r>
            </w:hyperlink>
          </w:p>
        </w:tc>
        <w:tc>
          <w:tcPr>
            <w:tcW w:w="1220" w:type="dxa"/>
            <w:vAlign w:val="bottom"/>
            <w:tcBorders>
              <w:top w:val="single" w:sz="8" w:color="0000FF"/>
            </w:tcBorders>
            <w:gridSpan w:val="13"/>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4"/>
                <w:szCs w:val="14"/>
                <w:color w:val="auto"/>
              </w:rPr>
              <w:t>10.20</w:t>
            </w:r>
          </w:p>
        </w:tc>
        <w:tc>
          <w:tcPr>
            <w:tcW w:w="4900" w:type="dxa"/>
            <w:vAlign w:val="bottom"/>
            <w:gridSpan w:val="23"/>
          </w:tcPr>
          <w:p>
            <w:pPr>
              <w:spacing w:after="0"/>
              <w:rPr>
                <w:rFonts w:ascii="Arial" w:cs="Arial" w:eastAsia="Arial" w:hAnsi="Arial"/>
                <w:sz w:val="14"/>
                <w:szCs w:val="14"/>
                <w:color w:val="0000FF"/>
                <w:w w:val="98"/>
              </w:rPr>
            </w:pPr>
            <w:hyperlink r:id="rId160">
              <w:r>
                <w:rPr>
                  <w:rFonts w:ascii="Arial" w:cs="Arial" w:eastAsia="Arial" w:hAnsi="Arial"/>
                  <w:sz w:val="14"/>
                  <w:szCs w:val="14"/>
                  <w:color w:val="0000FF"/>
                  <w:w w:val="98"/>
                </w:rPr>
                <w:t>Voting Agreement dated as of August 13, 2021, by and between Good Ventures</w:t>
              </w:r>
            </w:hyperlink>
          </w:p>
        </w:tc>
        <w:tc>
          <w:tcPr>
            <w:tcW w:w="780" w:type="dxa"/>
            <w:vAlign w:val="bottom"/>
          </w:tcPr>
          <w:p>
            <w:pPr>
              <w:jc w:val="center"/>
              <w:ind w:right="68"/>
              <w:spacing w:after="0"/>
              <w:rPr>
                <w:sz w:val="20"/>
                <w:szCs w:val="20"/>
                <w:color w:val="auto"/>
              </w:rPr>
            </w:pPr>
            <w:r>
              <w:rPr>
                <w:rFonts w:ascii="Arial" w:cs="Arial" w:eastAsia="Arial" w:hAnsi="Arial"/>
                <w:sz w:val="14"/>
                <w:szCs w:val="14"/>
                <w:color w:val="auto"/>
                <w:w w:val="89"/>
              </w:rPr>
              <w:t>10-Q</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2"/>
              </w:rPr>
              <w:t>001-39495</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520" w:type="dxa"/>
            <w:vAlign w:val="bottom"/>
          </w:tcPr>
          <w:p>
            <w:pPr>
              <w:jc w:val="center"/>
              <w:ind w:left="328"/>
              <w:spacing w:after="0"/>
              <w:rPr>
                <w:sz w:val="20"/>
                <w:szCs w:val="20"/>
                <w:color w:val="auto"/>
              </w:rPr>
            </w:pPr>
            <w:r>
              <w:rPr>
                <w:rFonts w:ascii="Arial" w:cs="Arial" w:eastAsia="Arial" w:hAnsi="Arial"/>
                <w:sz w:val="14"/>
                <w:szCs w:val="14"/>
                <w:color w:val="auto"/>
                <w:w w:val="90"/>
              </w:rPr>
              <w:t>September 3, 2021</w:t>
            </w:r>
          </w:p>
        </w:tc>
      </w:tr>
      <w:tr>
        <w:trPr>
          <w:trHeight w:val="142"/>
        </w:trPr>
        <w:tc>
          <w:tcPr>
            <w:tcW w:w="128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w w:val="94"/>
              </w:rPr>
            </w:pPr>
            <w:hyperlink r:id="rId160">
              <w:r>
                <w:rPr>
                  <w:rFonts w:ascii="Arial" w:cs="Arial" w:eastAsia="Arial" w:hAnsi="Arial"/>
                  <w:sz w:val="14"/>
                  <w:szCs w:val="14"/>
                  <w:color w:val="0000FF"/>
                  <w:w w:val="94"/>
                </w:rPr>
                <w:t>Foundation and Dustin Moskovitz</w:t>
              </w:r>
            </w:hyperlink>
          </w:p>
        </w:tc>
        <w:tc>
          <w:tcPr>
            <w:tcW w:w="26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4"/>
                <w:szCs w:val="14"/>
                <w:color w:val="auto"/>
              </w:rPr>
              <w:t>10.21</w:t>
            </w:r>
          </w:p>
        </w:tc>
        <w:tc>
          <w:tcPr>
            <w:tcW w:w="4900" w:type="dxa"/>
            <w:vAlign w:val="bottom"/>
            <w:gridSpan w:val="23"/>
          </w:tcPr>
          <w:p>
            <w:pPr>
              <w:spacing w:after="0"/>
              <w:rPr>
                <w:rFonts w:ascii="Arial" w:cs="Arial" w:eastAsia="Arial" w:hAnsi="Arial"/>
                <w:sz w:val="14"/>
                <w:szCs w:val="14"/>
                <w:color w:val="0000FF"/>
                <w:w w:val="95"/>
              </w:rPr>
            </w:pPr>
            <w:hyperlink r:id="rId161">
              <w:r>
                <w:rPr>
                  <w:rFonts w:ascii="Arial" w:cs="Arial" w:eastAsia="Arial" w:hAnsi="Arial"/>
                  <w:sz w:val="14"/>
                  <w:szCs w:val="14"/>
                  <w:color w:val="0000FF"/>
                  <w:w w:val="95"/>
                </w:rPr>
                <w:t>Share Purchase Agreement, dated September 6, 2022, by and among Asana, Inc.</w:t>
              </w:r>
            </w:hyperlink>
          </w:p>
        </w:tc>
        <w:tc>
          <w:tcPr>
            <w:tcW w:w="78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2"/>
              </w:rPr>
              <w:t>001-39495</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520" w:type="dxa"/>
            <w:vAlign w:val="bottom"/>
          </w:tcPr>
          <w:p>
            <w:pPr>
              <w:jc w:val="center"/>
              <w:ind w:left="328"/>
              <w:spacing w:after="0"/>
              <w:rPr>
                <w:sz w:val="20"/>
                <w:szCs w:val="20"/>
                <w:color w:val="auto"/>
              </w:rPr>
            </w:pPr>
            <w:r>
              <w:rPr>
                <w:rFonts w:ascii="Arial" w:cs="Arial" w:eastAsia="Arial" w:hAnsi="Arial"/>
                <w:sz w:val="14"/>
                <w:szCs w:val="14"/>
                <w:color w:val="auto"/>
                <w:w w:val="90"/>
              </w:rPr>
              <w:t>September 7, 2022</w:t>
            </w:r>
          </w:p>
        </w:tc>
      </w:tr>
      <w:tr>
        <w:trPr>
          <w:trHeight w:val="142"/>
        </w:trPr>
        <w:tc>
          <w:tcPr>
            <w:tcW w:w="128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6"/>
          </w:tcPr>
          <w:p>
            <w:pPr>
              <w:spacing w:after="0" w:line="142" w:lineRule="exact"/>
              <w:rPr>
                <w:rFonts w:ascii="Arial" w:cs="Arial" w:eastAsia="Arial" w:hAnsi="Arial"/>
                <w:sz w:val="14"/>
                <w:szCs w:val="14"/>
                <w:color w:val="0000FF"/>
                <w:w w:val="90"/>
              </w:rPr>
            </w:pPr>
            <w:hyperlink r:id="rId161">
              <w:r>
                <w:rPr>
                  <w:rFonts w:ascii="Arial" w:cs="Arial" w:eastAsia="Arial" w:hAnsi="Arial"/>
                  <w:sz w:val="14"/>
                  <w:szCs w:val="14"/>
                  <w:color w:val="0000FF"/>
                  <w:w w:val="90"/>
                </w:rPr>
                <w:t>and the purchaser named therein</w:t>
              </w:r>
            </w:hyperlink>
          </w:p>
        </w:tc>
        <w:tc>
          <w:tcPr>
            <w:tcW w:w="27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4"/>
                <w:szCs w:val="14"/>
                <w:color w:val="auto"/>
              </w:rPr>
              <w:t>10.22</w:t>
            </w:r>
          </w:p>
        </w:tc>
        <w:tc>
          <w:tcPr>
            <w:tcW w:w="4580" w:type="dxa"/>
            <w:vAlign w:val="bottom"/>
            <w:tcBorders>
              <w:bottom w:val="single" w:sz="8" w:color="0000FF"/>
            </w:tcBorders>
            <w:gridSpan w:val="17"/>
          </w:tcPr>
          <w:p>
            <w:pPr>
              <w:spacing w:after="0"/>
              <w:rPr>
                <w:rFonts w:ascii="Arial" w:cs="Arial" w:eastAsia="Arial" w:hAnsi="Arial"/>
                <w:sz w:val="14"/>
                <w:szCs w:val="14"/>
                <w:color w:val="0000FF"/>
                <w:w w:val="92"/>
              </w:rPr>
            </w:pPr>
            <w:hyperlink r:id="rId162">
              <w:r>
                <w:rPr>
                  <w:rFonts w:ascii="Arial" w:cs="Arial" w:eastAsia="Arial" w:hAnsi="Arial"/>
                  <w:sz w:val="14"/>
                  <w:szCs w:val="14"/>
                  <w:color w:val="0000FF"/>
                  <w:w w:val="92"/>
                </w:rPr>
                <w:t>Credit Agreement, dated as of November 7, 2022, by and among the Company,</w:t>
              </w:r>
            </w:hyperlink>
          </w:p>
        </w:tc>
        <w:tc>
          <w:tcPr>
            <w:tcW w:w="320" w:type="dxa"/>
            <w:vAlign w:val="bottom"/>
            <w:gridSpan w:val="6"/>
          </w:tcPr>
          <w:p>
            <w:pPr>
              <w:spacing w:after="0"/>
              <w:rPr>
                <w:sz w:val="18"/>
                <w:szCs w:val="18"/>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2"/>
              </w:rPr>
              <w:t>001-39495</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92"/>
              </w:rPr>
              <w:t>November 10, 2022</w:t>
            </w:r>
          </w:p>
        </w:tc>
      </w:tr>
      <w:tr>
        <w:trPr>
          <w:trHeight w:val="142"/>
        </w:trPr>
        <w:tc>
          <w:tcPr>
            <w:tcW w:w="1280" w:type="dxa"/>
            <w:vAlign w:val="bottom"/>
          </w:tcPr>
          <w:p>
            <w:pPr>
              <w:spacing w:after="0"/>
              <w:rPr>
                <w:sz w:val="12"/>
                <w:szCs w:val="12"/>
                <w:color w:val="auto"/>
              </w:rPr>
            </w:pPr>
          </w:p>
        </w:tc>
        <w:tc>
          <w:tcPr>
            <w:tcW w:w="4660" w:type="dxa"/>
            <w:vAlign w:val="bottom"/>
            <w:tcBorders>
              <w:bottom w:val="single" w:sz="8" w:color="0000FF"/>
            </w:tcBorders>
            <w:gridSpan w:val="21"/>
          </w:tcPr>
          <w:p>
            <w:pPr>
              <w:spacing w:after="0" w:line="142" w:lineRule="exact"/>
              <w:rPr>
                <w:rFonts w:ascii="Arial" w:cs="Arial" w:eastAsia="Arial" w:hAnsi="Arial"/>
                <w:sz w:val="14"/>
                <w:szCs w:val="14"/>
                <w:color w:val="0000FF"/>
                <w:w w:val="93"/>
              </w:rPr>
            </w:pPr>
            <w:hyperlink r:id="rId162">
              <w:r>
                <w:rPr>
                  <w:rFonts w:ascii="Arial" w:cs="Arial" w:eastAsia="Arial" w:hAnsi="Arial"/>
                  <w:sz w:val="14"/>
                  <w:szCs w:val="14"/>
                  <w:color w:val="0000FF"/>
                  <w:w w:val="93"/>
                </w:rPr>
                <w:t>Silicon Valley Bank, as issuing lender, the swingline lender, administrative agent</w:t>
              </w:r>
            </w:hyperlink>
          </w:p>
        </w:tc>
        <w:tc>
          <w:tcPr>
            <w:tcW w:w="2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900" w:type="dxa"/>
            <w:vAlign w:val="bottom"/>
            <w:gridSpan w:val="23"/>
          </w:tcPr>
          <w:p>
            <w:pPr>
              <w:spacing w:after="0" w:line="155" w:lineRule="exact"/>
              <w:rPr>
                <w:rFonts w:ascii="Arial" w:cs="Arial" w:eastAsia="Arial" w:hAnsi="Arial"/>
                <w:sz w:val="14"/>
                <w:szCs w:val="14"/>
                <w:color w:val="0000FF"/>
              </w:rPr>
            </w:pPr>
            <w:hyperlink r:id="rId162">
              <w:r>
                <w:rPr>
                  <w:rFonts w:ascii="Arial" w:cs="Arial" w:eastAsia="Arial" w:hAnsi="Arial"/>
                  <w:sz w:val="14"/>
                  <w:szCs w:val="14"/>
                  <w:color w:val="0000FF"/>
                </w:rPr>
                <w:t>and collateral agent, and each of the lenders identified on the signature pages</w:t>
              </w:r>
            </w:hyperlink>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2"/>
        </w:trPr>
        <w:tc>
          <w:tcPr>
            <w:tcW w:w="1280" w:type="dxa"/>
            <w:vAlign w:val="bottom"/>
          </w:tcPr>
          <w:p>
            <w:pPr>
              <w:spacing w:after="0"/>
              <w:rPr>
                <w:sz w:val="12"/>
                <w:szCs w:val="12"/>
                <w:color w:val="auto"/>
              </w:rPr>
            </w:pPr>
          </w:p>
        </w:tc>
        <w:tc>
          <w:tcPr>
            <w:tcW w:w="4440" w:type="dxa"/>
            <w:vAlign w:val="bottom"/>
            <w:tcBorders>
              <w:top w:val="single" w:sz="8" w:color="0000FF"/>
            </w:tcBorders>
            <w:gridSpan w:val="13"/>
          </w:tcPr>
          <w:p>
            <w:pPr>
              <w:spacing w:after="0" w:line="142" w:lineRule="exact"/>
              <w:rPr>
                <w:rFonts w:ascii="Arial" w:cs="Arial" w:eastAsia="Arial" w:hAnsi="Arial"/>
                <w:sz w:val="14"/>
                <w:szCs w:val="14"/>
                <w:color w:val="0000FF"/>
              </w:rPr>
            </w:pPr>
            <w:hyperlink r:id="rId162">
              <w:r>
                <w:rPr>
                  <w:rFonts w:ascii="Arial" w:cs="Arial" w:eastAsia="Arial" w:hAnsi="Arial"/>
                  <w:sz w:val="14"/>
                  <w:szCs w:val="14"/>
                  <w:color w:val="0000FF"/>
                </w:rPr>
                <w:t>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8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Arial" w:cs="Arial" w:eastAsia="Arial" w:hAnsi="Arial"/>
                <w:sz w:val="14"/>
                <w:szCs w:val="14"/>
                <w:color w:val="auto"/>
              </w:rPr>
              <w:t>21.1</w:t>
            </w:r>
          </w:p>
        </w:tc>
        <w:tc>
          <w:tcPr>
            <w:tcW w:w="4900" w:type="dxa"/>
            <w:vAlign w:val="bottom"/>
            <w:gridSpan w:val="23"/>
          </w:tcPr>
          <w:p>
            <w:pPr>
              <w:spacing w:after="0"/>
              <w:rPr>
                <w:rFonts w:ascii="Arial" w:cs="Arial" w:eastAsia="Arial" w:hAnsi="Arial"/>
                <w:sz w:val="14"/>
                <w:szCs w:val="14"/>
                <w:color w:val="0000FF"/>
              </w:rPr>
            </w:pPr>
            <w:hyperlink r:id="rId163">
              <w:r>
                <w:rPr>
                  <w:rFonts w:ascii="Arial" w:cs="Arial" w:eastAsia="Arial" w:hAnsi="Arial"/>
                  <w:sz w:val="14"/>
                  <w:szCs w:val="14"/>
                  <w:color w:val="0000FF"/>
                </w:rPr>
                <w:t>List of subsidiaries</w:t>
              </w:r>
            </w:hyperlink>
          </w:p>
        </w:tc>
        <w:tc>
          <w:tcPr>
            <w:tcW w:w="780" w:type="dxa"/>
            <w:vAlign w:val="bottom"/>
          </w:tcPr>
          <w:p>
            <w:pPr>
              <w:jc w:val="center"/>
              <w:ind w:right="68"/>
              <w:spacing w:after="0"/>
              <w:rPr>
                <w:sz w:val="20"/>
                <w:szCs w:val="20"/>
                <w:color w:val="auto"/>
              </w:rPr>
            </w:pPr>
            <w:r>
              <w:rPr>
                <w:rFonts w:ascii="Arial" w:cs="Arial" w:eastAsia="Arial" w:hAnsi="Arial"/>
                <w:sz w:val="14"/>
                <w:szCs w:val="14"/>
                <w:color w:val="auto"/>
                <w:w w:val="94"/>
              </w:rPr>
              <w:t>10-K</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2"/>
              </w:rPr>
              <w:t>001-39495</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21.1</w:t>
            </w:r>
          </w:p>
        </w:tc>
        <w:tc>
          <w:tcPr>
            <w:tcW w:w="1520" w:type="dxa"/>
            <w:vAlign w:val="bottom"/>
          </w:tcPr>
          <w:p>
            <w:pPr>
              <w:jc w:val="center"/>
              <w:ind w:left="328"/>
              <w:spacing w:after="0"/>
              <w:rPr>
                <w:sz w:val="20"/>
                <w:szCs w:val="20"/>
                <w:color w:val="auto"/>
              </w:rPr>
            </w:pPr>
            <w:r>
              <w:rPr>
                <w:rFonts w:ascii="Arial" w:cs="Arial" w:eastAsia="Arial" w:hAnsi="Arial"/>
                <w:sz w:val="14"/>
                <w:szCs w:val="14"/>
                <w:color w:val="auto"/>
                <w:w w:val="94"/>
              </w:rPr>
              <w:t>March 24, 2022</w:t>
            </w:r>
          </w:p>
        </w:tc>
      </w:tr>
      <w:tr>
        <w:trPr>
          <w:trHeight w:val="20"/>
        </w:trPr>
        <w:tc>
          <w:tcPr>
            <w:tcW w:w="1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Arial" w:cs="Arial" w:eastAsia="Arial" w:hAnsi="Arial"/>
                <w:sz w:val="14"/>
                <w:szCs w:val="14"/>
                <w:color w:val="auto"/>
              </w:rPr>
              <w:t>23.1*</w:t>
            </w:r>
          </w:p>
        </w:tc>
        <w:tc>
          <w:tcPr>
            <w:tcW w:w="4900" w:type="dxa"/>
            <w:vAlign w:val="bottom"/>
            <w:gridSpan w:val="23"/>
          </w:tcPr>
          <w:p>
            <w:pPr>
              <w:spacing w:after="0"/>
              <w:rPr>
                <w:sz w:val="20"/>
                <w:szCs w:val="20"/>
                <w:color w:val="auto"/>
              </w:rPr>
            </w:pPr>
            <w:r>
              <w:rPr>
                <w:rFonts w:ascii="Arial" w:cs="Arial" w:eastAsia="Arial" w:hAnsi="Arial"/>
                <w:sz w:val="14"/>
                <w:szCs w:val="14"/>
                <w:color w:val="0000FF"/>
              </w:rPr>
              <w:t>Consent of Independent Registered Public Accounting Firm</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Arial" w:cs="Arial" w:eastAsia="Arial" w:hAnsi="Arial"/>
                <w:sz w:val="14"/>
                <w:szCs w:val="14"/>
                <w:color w:val="auto"/>
              </w:rPr>
              <w:t>24.1*</w:t>
            </w:r>
          </w:p>
        </w:tc>
        <w:tc>
          <w:tcPr>
            <w:tcW w:w="4900" w:type="dxa"/>
            <w:vAlign w:val="bottom"/>
            <w:gridSpan w:val="23"/>
          </w:tcPr>
          <w:p>
            <w:pPr>
              <w:spacing w:after="0"/>
              <w:rPr>
                <w:sz w:val="20"/>
                <w:szCs w:val="20"/>
                <w:color w:val="auto"/>
              </w:rPr>
            </w:pPr>
            <w:r>
              <w:rPr>
                <w:rFonts w:ascii="Arial" w:cs="Arial" w:eastAsia="Arial" w:hAnsi="Arial"/>
                <w:sz w:val="14"/>
                <w:szCs w:val="14"/>
                <w:color w:val="0000FF"/>
              </w:rPr>
              <w:t>Power of Attorney (included in the signature pages attached to this Annual</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32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4"/>
                <w:szCs w:val="14"/>
                <w:color w:val="0000FF"/>
              </w:rPr>
              <w:t>Report on Form 10-K)</w:t>
            </w: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8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4"/>
                <w:szCs w:val="14"/>
                <w:color w:val="auto"/>
              </w:rPr>
              <w:t>31.1*</w:t>
            </w:r>
          </w:p>
        </w:tc>
        <w:tc>
          <w:tcPr>
            <w:tcW w:w="4900" w:type="dxa"/>
            <w:vAlign w:val="bottom"/>
            <w:gridSpan w:val="23"/>
          </w:tcPr>
          <w:p>
            <w:pPr>
              <w:spacing w:after="0"/>
              <w:rPr>
                <w:sz w:val="20"/>
                <w:szCs w:val="20"/>
                <w:color w:val="auto"/>
              </w:rPr>
            </w:pPr>
            <w:r>
              <w:rPr>
                <w:rFonts w:ascii="Arial" w:cs="Arial" w:eastAsia="Arial" w:hAnsi="Arial"/>
                <w:sz w:val="14"/>
                <w:szCs w:val="14"/>
                <w:color w:val="0000FF"/>
              </w:rPr>
              <w:t>Certification of Chief Executive Officer pursuant to Exchange Act Rules 13a-</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42"/>
        </w:trPr>
        <w:tc>
          <w:tcPr>
            <w:tcW w:w="128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15"/>
          </w:tcPr>
          <w:p>
            <w:pPr>
              <w:spacing w:after="0" w:line="142" w:lineRule="exact"/>
              <w:rPr>
                <w:sz w:val="20"/>
                <w:szCs w:val="20"/>
                <w:color w:val="auto"/>
              </w:rPr>
            </w:pPr>
            <w:r>
              <w:rPr>
                <w:rFonts w:ascii="Arial" w:cs="Arial" w:eastAsia="Arial" w:hAnsi="Arial"/>
                <w:sz w:val="14"/>
                <w:szCs w:val="14"/>
                <w:color w:val="0000FF"/>
                <w:w w:val="89"/>
              </w:rPr>
              <w:t>14(a) and 15d-14(a), as adopted pursuant to Section 302 of the Sarbanes-Oxley</w:t>
            </w:r>
          </w:p>
        </w:tc>
        <w:tc>
          <w:tcPr>
            <w:tcW w:w="8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8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700" w:type="dxa"/>
            <w:vAlign w:val="bottom"/>
            <w:tcBorders>
              <w:bottom w:val="single" w:sz="8" w:color="0000FF"/>
            </w:tcBorders>
            <w:gridSpan w:val="2"/>
          </w:tcPr>
          <w:p>
            <w:pPr>
              <w:spacing w:after="0" w:line="155" w:lineRule="exact"/>
              <w:rPr>
                <w:sz w:val="20"/>
                <w:szCs w:val="20"/>
                <w:color w:val="auto"/>
              </w:rPr>
            </w:pPr>
            <w:r>
              <w:rPr>
                <w:rFonts w:ascii="Arial" w:cs="Arial" w:eastAsia="Arial" w:hAnsi="Arial"/>
                <w:sz w:val="14"/>
                <w:szCs w:val="14"/>
                <w:color w:val="0000FF"/>
                <w:w w:val="95"/>
              </w:rPr>
              <w:t>Act of 2002</w:t>
            </w:r>
          </w:p>
        </w:tc>
        <w:tc>
          <w:tcPr>
            <w:tcW w:w="4200" w:type="dxa"/>
            <w:vAlign w:val="bottom"/>
            <w:gridSpan w:val="21"/>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6"/>
        </w:trPr>
        <w:tc>
          <w:tcPr>
            <w:tcW w:w="1280" w:type="dxa"/>
            <w:vAlign w:val="bottom"/>
          </w:tcPr>
          <w:p>
            <w:pPr>
              <w:spacing w:after="0"/>
              <w:rPr>
                <w:sz w:val="20"/>
                <w:szCs w:val="20"/>
                <w:color w:val="auto"/>
              </w:rPr>
            </w:pPr>
            <w:r>
              <w:rPr>
                <w:rFonts w:ascii="Arial" w:cs="Arial" w:eastAsia="Arial" w:hAnsi="Arial"/>
                <w:sz w:val="14"/>
                <w:szCs w:val="14"/>
                <w:color w:val="auto"/>
              </w:rPr>
              <w:t>31.2*</w:t>
            </w:r>
          </w:p>
        </w:tc>
        <w:tc>
          <w:tcPr>
            <w:tcW w:w="446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5"/>
              </w:rPr>
              <w:t>Certification of Chief Financial Officer pursuant to Exchange Act Rules 13a-</w:t>
            </w:r>
          </w:p>
        </w:tc>
        <w:tc>
          <w:tcPr>
            <w:tcW w:w="44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900" w:type="dxa"/>
            <w:vAlign w:val="bottom"/>
            <w:gridSpan w:val="23"/>
          </w:tcPr>
          <w:p>
            <w:pPr>
              <w:spacing w:after="0" w:line="142" w:lineRule="exact"/>
              <w:rPr>
                <w:sz w:val="20"/>
                <w:szCs w:val="20"/>
                <w:color w:val="auto"/>
              </w:rPr>
            </w:pPr>
            <w:r>
              <w:rPr>
                <w:rFonts w:ascii="Arial" w:cs="Arial" w:eastAsia="Arial" w:hAnsi="Arial"/>
                <w:sz w:val="14"/>
                <w:szCs w:val="14"/>
                <w:color w:val="0000FF"/>
                <w:w w:val="98"/>
              </w:rPr>
              <w:t>14(a) and 15d-14(a), as adopted pursuant to Section 302 of the Sarbanes-Oxley</w:t>
            </w: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5" w:lineRule="exact"/>
              <w:rPr>
                <w:sz w:val="20"/>
                <w:szCs w:val="20"/>
                <w:color w:val="auto"/>
              </w:rPr>
            </w:pPr>
            <w:r>
              <w:rPr>
                <w:rFonts w:ascii="Arial" w:cs="Arial" w:eastAsia="Arial" w:hAnsi="Arial"/>
                <w:sz w:val="14"/>
                <w:szCs w:val="14"/>
                <w:color w:val="0000FF"/>
                <w:w w:val="95"/>
              </w:rPr>
              <w:t>Act of 2002</w:t>
            </w:r>
          </w:p>
        </w:tc>
        <w:tc>
          <w:tcPr>
            <w:tcW w:w="3860" w:type="dxa"/>
            <w:vAlign w:val="bottom"/>
            <w:tcBorders>
              <w:top w:val="single" w:sz="8" w:color="0000FF"/>
            </w:tcBorders>
            <w:gridSpan w:val="14"/>
          </w:tcPr>
          <w:p>
            <w:pPr>
              <w:spacing w:after="0"/>
              <w:rPr>
                <w:sz w:val="13"/>
                <w:szCs w:val="13"/>
                <w:color w:val="auto"/>
              </w:rPr>
            </w:pPr>
          </w:p>
        </w:tc>
        <w:tc>
          <w:tcPr>
            <w:tcW w:w="34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6"/>
        </w:trPr>
        <w:tc>
          <w:tcPr>
            <w:tcW w:w="1280" w:type="dxa"/>
            <w:vAlign w:val="bottom"/>
          </w:tcPr>
          <w:p>
            <w:pPr>
              <w:spacing w:after="0"/>
              <w:rPr>
                <w:sz w:val="20"/>
                <w:szCs w:val="20"/>
                <w:color w:val="auto"/>
              </w:rPr>
            </w:pPr>
            <w:r>
              <w:rPr>
                <w:rFonts w:ascii="Arial" w:cs="Arial" w:eastAsia="Arial" w:hAnsi="Arial"/>
                <w:sz w:val="14"/>
                <w:szCs w:val="14"/>
                <w:color w:val="auto"/>
              </w:rPr>
              <w:t>32.1†</w:t>
            </w:r>
          </w:p>
        </w:tc>
        <w:tc>
          <w:tcPr>
            <w:tcW w:w="4900" w:type="dxa"/>
            <w:vAlign w:val="bottom"/>
            <w:gridSpan w:val="23"/>
          </w:tcPr>
          <w:p>
            <w:pPr>
              <w:spacing w:after="0"/>
              <w:rPr>
                <w:sz w:val="20"/>
                <w:szCs w:val="20"/>
                <w:color w:val="auto"/>
              </w:rPr>
            </w:pPr>
            <w:r>
              <w:rPr>
                <w:rFonts w:ascii="Arial" w:cs="Arial" w:eastAsia="Arial" w:hAnsi="Arial"/>
                <w:sz w:val="14"/>
                <w:szCs w:val="14"/>
                <w:color w:val="0000FF"/>
              </w:rPr>
              <w:t>Certification of Chief Executive Officer and Chief Financial Officer pursuant to</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4"/>
                <w:szCs w:val="14"/>
                <w:color w:val="0000FF"/>
                <w:w w:val="91"/>
              </w:rPr>
              <w:t>18 U.S.C. Section 1350, as adopted pursuant to Section 906 of the Sarbanes-</w:t>
            </w:r>
          </w:p>
        </w:tc>
        <w:tc>
          <w:tcPr>
            <w:tcW w:w="200" w:type="dxa"/>
            <w:vAlign w:val="bottom"/>
            <w:tcBorders>
              <w:top w:val="single" w:sz="8" w:color="0000FF"/>
            </w:tcBorders>
            <w:gridSpan w:val="7"/>
          </w:tcPr>
          <w:p>
            <w:pPr>
              <w:spacing w:after="0"/>
              <w:rPr>
                <w:sz w:val="12"/>
                <w:szCs w:val="12"/>
                <w:color w:val="auto"/>
              </w:rPr>
            </w:pPr>
          </w:p>
        </w:tc>
        <w:tc>
          <w:tcPr>
            <w:tcW w:w="28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4900" w:type="dxa"/>
            <w:vAlign w:val="bottom"/>
            <w:gridSpan w:val="23"/>
          </w:tcPr>
          <w:p>
            <w:pPr>
              <w:spacing w:after="0" w:line="155" w:lineRule="exact"/>
              <w:rPr>
                <w:sz w:val="20"/>
                <w:szCs w:val="20"/>
                <w:color w:val="auto"/>
              </w:rPr>
            </w:pPr>
            <w:r>
              <w:rPr>
                <w:rFonts w:ascii="Arial" w:cs="Arial" w:eastAsia="Arial" w:hAnsi="Arial"/>
                <w:sz w:val="14"/>
                <w:szCs w:val="14"/>
                <w:color w:val="0000FF"/>
              </w:rPr>
              <w:t>Oxley Act of 2002</w:t>
            </w: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820" w:type="dxa"/>
            <w:vAlign w:val="bottom"/>
            <w:gridSpan w:val="2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5"/>
        </w:trPr>
        <w:tc>
          <w:tcPr>
            <w:tcW w:w="1280" w:type="dxa"/>
            <w:vAlign w:val="bottom"/>
          </w:tcPr>
          <w:p>
            <w:pPr>
              <w:spacing w:after="0"/>
              <w:rPr>
                <w:sz w:val="20"/>
                <w:szCs w:val="20"/>
                <w:color w:val="auto"/>
              </w:rPr>
            </w:pPr>
            <w:r>
              <w:rPr>
                <w:rFonts w:ascii="Arial" w:cs="Arial" w:eastAsia="Arial" w:hAnsi="Arial"/>
                <w:sz w:val="14"/>
                <w:szCs w:val="14"/>
                <w:color w:val="auto"/>
              </w:rPr>
              <w:t>101.INS</w:t>
            </w:r>
          </w:p>
        </w:tc>
        <w:tc>
          <w:tcPr>
            <w:tcW w:w="4900" w:type="dxa"/>
            <w:vAlign w:val="bottom"/>
            <w:gridSpan w:val="23"/>
          </w:tcPr>
          <w:p>
            <w:pPr>
              <w:spacing w:after="0"/>
              <w:rPr>
                <w:sz w:val="20"/>
                <w:szCs w:val="20"/>
                <w:color w:val="auto"/>
              </w:rPr>
            </w:pPr>
            <w:r>
              <w:rPr>
                <w:rFonts w:ascii="Arial" w:cs="Arial" w:eastAsia="Arial" w:hAnsi="Arial"/>
                <w:sz w:val="14"/>
                <w:szCs w:val="14"/>
                <w:color w:val="auto"/>
              </w:rPr>
              <w:t>XBRL Instance Document</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4"/>
                <w:szCs w:val="14"/>
                <w:color w:val="auto"/>
              </w:rPr>
              <w:t>101.SCH</w:t>
            </w:r>
          </w:p>
        </w:tc>
        <w:tc>
          <w:tcPr>
            <w:tcW w:w="4900" w:type="dxa"/>
            <w:vAlign w:val="bottom"/>
            <w:gridSpan w:val="23"/>
          </w:tcPr>
          <w:p>
            <w:pPr>
              <w:spacing w:after="0"/>
              <w:rPr>
                <w:sz w:val="20"/>
                <w:szCs w:val="20"/>
                <w:color w:val="auto"/>
              </w:rPr>
            </w:pPr>
            <w:r>
              <w:rPr>
                <w:rFonts w:ascii="Arial" w:cs="Arial" w:eastAsia="Arial" w:hAnsi="Arial"/>
                <w:sz w:val="14"/>
                <w:szCs w:val="14"/>
                <w:color w:val="auto"/>
              </w:rPr>
              <w:t>XBRL Taxonomy Extension Schema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4"/>
                <w:szCs w:val="14"/>
                <w:color w:val="auto"/>
              </w:rPr>
              <w:t>101.CAL</w:t>
            </w:r>
          </w:p>
        </w:tc>
        <w:tc>
          <w:tcPr>
            <w:tcW w:w="4900" w:type="dxa"/>
            <w:vAlign w:val="bottom"/>
            <w:gridSpan w:val="23"/>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4"/>
                <w:szCs w:val="14"/>
                <w:color w:val="auto"/>
              </w:rPr>
              <w:t>101.DEF</w:t>
            </w:r>
          </w:p>
        </w:tc>
        <w:tc>
          <w:tcPr>
            <w:tcW w:w="4900" w:type="dxa"/>
            <w:vAlign w:val="bottom"/>
            <w:gridSpan w:val="23"/>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4"/>
                <w:szCs w:val="14"/>
                <w:color w:val="auto"/>
              </w:rPr>
              <w:t>101.LAB</w:t>
            </w:r>
          </w:p>
        </w:tc>
        <w:tc>
          <w:tcPr>
            <w:tcW w:w="4900" w:type="dxa"/>
            <w:vAlign w:val="bottom"/>
            <w:gridSpan w:val="23"/>
          </w:tcPr>
          <w:p>
            <w:pPr>
              <w:spacing w:after="0"/>
              <w:rPr>
                <w:sz w:val="20"/>
                <w:szCs w:val="20"/>
                <w:color w:val="auto"/>
              </w:rPr>
            </w:pPr>
            <w:r>
              <w:rPr>
                <w:rFonts w:ascii="Arial" w:cs="Arial" w:eastAsia="Arial" w:hAnsi="Arial"/>
                <w:sz w:val="14"/>
                <w:szCs w:val="14"/>
                <w:color w:val="auto"/>
              </w:rPr>
              <w:t>XBRL Taxonomy Extension Label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4"/>
                <w:szCs w:val="14"/>
                <w:color w:val="auto"/>
              </w:rPr>
              <w:t>101.PRE</w:t>
            </w:r>
          </w:p>
        </w:tc>
        <w:tc>
          <w:tcPr>
            <w:tcW w:w="4900" w:type="dxa"/>
            <w:vAlign w:val="bottom"/>
            <w:gridSpan w:val="23"/>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34" w:lineRule="exact"/>
        <w:rPr>
          <w:sz w:val="20"/>
          <w:szCs w:val="20"/>
          <w:color w:val="auto"/>
        </w:rPr>
      </w:pPr>
    </w:p>
    <w:p>
      <w:pPr>
        <w:ind w:left="1300" w:right="5340" w:hanging="1274"/>
        <w:spacing w:after="0" w:line="273" w:lineRule="auto"/>
        <w:tabs>
          <w:tab w:leader="none" w:pos="13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cover page from the Registrant’s Annual Report on Form 10-K for the year ended January 31, 2023, has been formatted in Inline XBRL</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herewith.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71" w:lineRule="exact"/>
        <w:rPr>
          <w:sz w:val="20"/>
          <w:szCs w:val="20"/>
          <w:color w:val="auto"/>
        </w:rPr>
      </w:pPr>
    </w:p>
    <w:p>
      <w:pPr>
        <w:jc w:val="both"/>
        <w:ind w:firstLine="332"/>
        <w:spacing w:after="0" w:line="263" w:lineRule="auto"/>
        <w:tabs>
          <w:tab w:leader="none" w:pos="4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ASANA, INC.</w:t>
      </w:r>
    </w:p>
    <w:p>
      <w:pPr>
        <w:spacing w:after="0" w:line="30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Dustin Moskovitz</w:t>
      </w:r>
    </w:p>
    <w:p>
      <w:pPr>
        <w:ind w:left="20"/>
        <w:spacing w:after="0"/>
        <w:tabs>
          <w:tab w:leader="none" w:pos="5400" w:val="left"/>
        </w:tabs>
        <w:rPr>
          <w:sz w:val="20"/>
          <w:szCs w:val="20"/>
          <w:color w:val="auto"/>
        </w:rPr>
      </w:pPr>
      <w:r>
        <w:rPr>
          <w:rFonts w:ascii="Arial" w:cs="Arial" w:eastAsia="Arial" w:hAnsi="Arial"/>
          <w:sz w:val="18"/>
          <w:szCs w:val="18"/>
          <w:color w:val="auto"/>
        </w:rPr>
        <w:t>March 24, 2023</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4445</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Dustin Moskovitz</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9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Tim Wan</w:t>
      </w:r>
    </w:p>
    <w:p>
      <w:pPr>
        <w:ind w:left="20"/>
        <w:spacing w:after="0"/>
        <w:tabs>
          <w:tab w:leader="none" w:pos="5400" w:val="left"/>
        </w:tabs>
        <w:rPr>
          <w:sz w:val="20"/>
          <w:szCs w:val="20"/>
          <w:color w:val="auto"/>
        </w:rPr>
      </w:pPr>
      <w:r>
        <w:rPr>
          <w:rFonts w:ascii="Arial" w:cs="Arial" w:eastAsia="Arial" w:hAnsi="Arial"/>
          <w:sz w:val="18"/>
          <w:szCs w:val="18"/>
          <w:color w:val="auto"/>
        </w:rPr>
        <w:t>March 24, 2023</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4445</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Tim Wan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Dustin Moskovitz, Tim Wan, and Eleanor Lacey,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Exchange Act of 1934, as amended, this report has been signed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in the capacities and on the dates indicated:</w:t>
      </w:r>
    </w:p>
    <w:p>
      <w:pPr>
        <w:sectPr>
          <w:pgSz w:w="11900" w:h="16838" w:orient="portrait"/>
          <w:cols w:equalWidth="0" w:num="1">
            <w:col w:w="11240"/>
          </w:cols>
          <w:pgMar w:left="320" w:top="1440" w:right="339" w:bottom="1440" w:gutter="0" w:footer="0" w:header="0"/>
        </w:sectPr>
      </w:pP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u w:val="single" w:color="auto"/>
          <w:color w:val="auto"/>
        </w:rPr>
        <w:t>Name</w:t>
      </w:r>
    </w:p>
    <w:p>
      <w:pPr>
        <w:spacing w:after="0" w:line="7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Dustin Moskovitz</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Tim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Tim Wan</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 Krista Anderson-Copperman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517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Krista Anderson-Copperman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Sydney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Sydney Carey</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Matthew Cohler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Matthew Cohler</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Adam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Adam D’Angelo</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Andrew Lindsay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Andrew Lindsay</w:t>
      </w:r>
    </w:p>
    <w:p>
      <w:pPr>
        <w:spacing w:after="0" w:line="10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Lorrie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Lorrie Norrington</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Justin Rosenstein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Justin Rosenstein</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Amit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Amit Singh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u w:val="single" w:color="auto"/>
          <w:color w:val="auto"/>
        </w:rPr>
        <w:t>Title</w:t>
      </w:r>
    </w:p>
    <w:p>
      <w:pPr>
        <w:spacing w:after="0" w:line="104"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President, Chief Executive Officer, and Chair</w:t>
      </w:r>
    </w:p>
    <w:p>
      <w:pPr>
        <w:spacing w:after="0" w:line="8" w:lineRule="exact"/>
        <w:rPr>
          <w:sz w:val="20"/>
          <w:szCs w:val="20"/>
          <w:color w:val="auto"/>
        </w:rPr>
      </w:pPr>
    </w:p>
    <w:p>
      <w:pPr>
        <w:jc w:val="center"/>
        <w:ind w:right="76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Chief Financial Officer</w:t>
      </w:r>
    </w:p>
    <w:p>
      <w:pPr>
        <w:jc w:val="center"/>
        <w:ind w:right="76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315"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u w:val="single" w:color="auto"/>
          <w:color w:val="auto"/>
        </w:rPr>
        <w:t>Date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2023</w:t>
      </w:r>
    </w:p>
    <w:p>
      <w:pPr>
        <w:spacing w:after="0" w:line="357" w:lineRule="exact"/>
        <w:rPr>
          <w:sz w:val="20"/>
          <w:szCs w:val="20"/>
          <w:color w:val="auto"/>
        </w:rPr>
      </w:pPr>
    </w:p>
    <w:p>
      <w:pPr>
        <w:sectPr>
          <w:pgSz w:w="11900" w:h="16838" w:orient="portrait"/>
          <w:cols w:equalWidth="0" w:num="3">
            <w:col w:w="3940" w:space="720"/>
            <w:col w:w="4040" w:space="720"/>
            <w:col w:w="18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40"/>
          </w:cols>
          <w:pgMar w:left="320" w:top="1440"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333-263825) and Form S-8 (No. 333-263822, 333-254881 and 333-248955) of Asana, Inc. of our report dated March 24, 2023 relating to the financial statements and the effectiveness of internal control over financial reporting, which appears in this Form 10-K.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24, 2023</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Dustin Moskovitz, certify that:</w:t>
      </w:r>
    </w:p>
    <w:p>
      <w:pPr>
        <w:spacing w:after="0" w:line="225"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Asana, Inc.;</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ind w:left="660" w:right="260" w:hanging="652"/>
        <w:spacing w:after="0" w:line="248" w:lineRule="auto"/>
        <w:tabs>
          <w:tab w:leader="none" w:pos="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1300" w:hanging="644"/>
        <w:spacing w:after="0" w:line="263" w:lineRule="auto"/>
        <w:tabs>
          <w:tab w:leader="none" w:pos="10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644"/>
        <w:spacing w:after="0" w:line="263" w:lineRule="auto"/>
        <w:tabs>
          <w:tab w:leader="none" w:pos="11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122"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3" w:lineRule="auto"/>
        <w:tabs>
          <w:tab w:leader="none" w:pos="1122"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154"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19"/>
        <w:spacing w:after="0" w:line="277" w:lineRule="auto"/>
        <w:tabs>
          <w:tab w:leader="none" w:pos="11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4860" w:val="left"/>
          <w:tab w:leader="none" w:pos="6740" w:val="left"/>
        </w:tabs>
        <w:rPr>
          <w:sz w:val="20"/>
          <w:szCs w:val="20"/>
          <w:color w:val="auto"/>
        </w:rPr>
      </w:pPr>
      <w:r>
        <w:rPr>
          <w:rFonts w:ascii="Arial" w:cs="Arial" w:eastAsia="Arial" w:hAnsi="Arial"/>
          <w:sz w:val="18"/>
          <w:szCs w:val="18"/>
          <w:color w:val="auto"/>
        </w:rPr>
        <w:t>Date: March 24,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43180</wp:posOffset>
            </wp:positionV>
            <wp:extent cx="2820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0" w:lineRule="exact"/>
        <w:rPr>
          <w:sz w:val="20"/>
          <w:szCs w:val="20"/>
          <w:color w:val="auto"/>
        </w:rPr>
      </w:pPr>
    </w:p>
    <w:p>
      <w:pPr>
        <w:jc w:val="center"/>
        <w:ind w:left="3780"/>
        <w:spacing w:after="0"/>
        <w:rPr>
          <w:sz w:val="20"/>
          <w:szCs w:val="20"/>
          <w:color w:val="auto"/>
        </w:rPr>
      </w:pPr>
      <w:r>
        <w:rPr>
          <w:rFonts w:ascii="Arial" w:cs="Arial" w:eastAsia="Arial" w:hAnsi="Arial"/>
          <w:sz w:val="18"/>
          <w:szCs w:val="18"/>
          <w:b w:val="1"/>
          <w:bCs w:val="1"/>
          <w:color w:val="auto"/>
        </w:rPr>
        <w:t>Dustin Moskovitz</w:t>
      </w:r>
    </w:p>
    <w:p>
      <w:pPr>
        <w:spacing w:after="0" w:line="77" w:lineRule="exact"/>
        <w:rPr>
          <w:sz w:val="20"/>
          <w:szCs w:val="20"/>
          <w:color w:val="auto"/>
        </w:rPr>
      </w:pPr>
    </w:p>
    <w:p>
      <w:pPr>
        <w:jc w:val="center"/>
        <w:ind w:left="37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769"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Tim Wan, certify that:</w:t>
      </w:r>
    </w:p>
    <w:p>
      <w:pPr>
        <w:spacing w:after="0" w:line="252"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Asana, Inc.;</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ind w:left="660" w:right="260" w:hanging="652"/>
        <w:spacing w:after="0" w:line="248" w:lineRule="auto"/>
        <w:tabs>
          <w:tab w:leader="none" w:pos="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1300" w:hanging="644"/>
        <w:spacing w:after="0" w:line="263" w:lineRule="auto"/>
        <w:tabs>
          <w:tab w:leader="none" w:pos="10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48" w:lineRule="auto"/>
        <w:tabs>
          <w:tab w:leader="none" w:pos="104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ind w:left="1300" w:hanging="644"/>
        <w:spacing w:after="0" w:line="342" w:lineRule="auto"/>
        <w:tabs>
          <w:tab w:leader="none" w:pos="1122"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3" w:lineRule="auto"/>
        <w:tabs>
          <w:tab w:leader="none" w:pos="112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15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19"/>
        <w:spacing w:after="0" w:line="277" w:lineRule="auto"/>
        <w:tabs>
          <w:tab w:leader="none" w:pos="11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4860" w:val="left"/>
          <w:tab w:leader="none" w:pos="7120" w:val="left"/>
        </w:tabs>
        <w:rPr>
          <w:sz w:val="20"/>
          <w:szCs w:val="20"/>
          <w:color w:val="auto"/>
        </w:rPr>
      </w:pPr>
      <w:r>
        <w:rPr>
          <w:rFonts w:ascii="Arial" w:cs="Arial" w:eastAsia="Arial" w:hAnsi="Arial"/>
          <w:sz w:val="18"/>
          <w:szCs w:val="18"/>
          <w:color w:val="auto"/>
        </w:rPr>
        <w:t>Date: March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40640</wp:posOffset>
            </wp:positionV>
            <wp:extent cx="27774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66" w:lineRule="exact"/>
        <w:rPr>
          <w:sz w:val="20"/>
          <w:szCs w:val="20"/>
          <w:color w:val="auto"/>
        </w:rPr>
      </w:pPr>
    </w:p>
    <w:p>
      <w:pPr>
        <w:jc w:val="center"/>
        <w:ind w:left="3880"/>
        <w:spacing w:after="0"/>
        <w:rPr>
          <w:sz w:val="20"/>
          <w:szCs w:val="20"/>
          <w:color w:val="auto"/>
        </w:rPr>
      </w:pPr>
      <w:r>
        <w:rPr>
          <w:rFonts w:ascii="Arial" w:cs="Arial" w:eastAsia="Arial" w:hAnsi="Arial"/>
          <w:sz w:val="18"/>
          <w:szCs w:val="18"/>
          <w:b w:val="1"/>
          <w:bCs w:val="1"/>
          <w:color w:val="auto"/>
        </w:rPr>
        <w:t>Tim Wan</w:t>
      </w:r>
    </w:p>
    <w:p>
      <w:pPr>
        <w:spacing w:after="0" w:line="77" w:lineRule="exact"/>
        <w:rPr>
          <w:sz w:val="20"/>
          <w:szCs w:val="20"/>
          <w:color w:val="auto"/>
        </w:rPr>
      </w:pPr>
    </w:p>
    <w:p>
      <w:pPr>
        <w:jc w:val="center"/>
        <w:ind w:left="38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769"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Dustin Moskovitz, Chief Executive Officer of Asana, Inc. (the “Company”), and Tim Wan, Chief Financial Officer of the Company, each hereby certifies that, to the best of his or her knowledge:</w:t>
      </w:r>
    </w:p>
    <w:p>
      <w:pPr>
        <w:spacing w:after="0" w:line="202" w:lineRule="exact"/>
        <w:rPr>
          <w:sz w:val="20"/>
          <w:szCs w:val="20"/>
          <w:color w:val="auto"/>
        </w:rPr>
      </w:pPr>
    </w:p>
    <w:p>
      <w:pPr>
        <w:ind w:left="660" w:right="20" w:hanging="328"/>
        <w:spacing w:after="0" w:line="25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January 31, 2023, to which this Certification is attached as Exhibit 32.1 (the “Annual Report”), fully complies with the requirements of Section 13(a) or Section 15(d) of the Exchange Act; and</w:t>
      </w:r>
    </w:p>
    <w:p>
      <w:pPr>
        <w:spacing w:after="0" w:line="1" w:lineRule="exact"/>
        <w:rPr>
          <w:rFonts w:ascii="Arial" w:cs="Arial" w:eastAsia="Arial" w:hAnsi="Arial"/>
          <w:sz w:val="18"/>
          <w:szCs w:val="18"/>
          <w:color w:val="auto"/>
        </w:rPr>
      </w:pPr>
    </w:p>
    <w:p>
      <w:pPr>
        <w:ind w:left="660" w:hanging="328"/>
        <w:spacing w:after="0" w:line="24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 March 24,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24</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Dustin Moskovitz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Dustin Moskovitz</w:t>
      </w:r>
    </w:p>
    <w:p>
      <w:pPr>
        <w:spacing w:after="0"/>
        <w:rPr>
          <w:sz w:val="20"/>
          <w:szCs w:val="20"/>
          <w:color w:val="auto"/>
        </w:rPr>
      </w:pPr>
      <w:r>
        <w:rPr>
          <w:rFonts w:ascii="Arial" w:cs="Arial" w:eastAsia="Arial" w:hAnsi="Arial"/>
          <w:sz w:val="18"/>
          <w:szCs w:val="18"/>
          <w:i w:val="1"/>
          <w:iCs w:val="1"/>
          <w:color w:val="auto"/>
        </w:rPr>
        <w:t>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Tim Wan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Tim Wan</w:t>
      </w:r>
    </w:p>
    <w:p>
      <w:pPr>
        <w:spacing w:after="0"/>
        <w:rPr>
          <w:sz w:val="20"/>
          <w:szCs w:val="20"/>
          <w:color w:val="auto"/>
        </w:rPr>
      </w:pPr>
      <w:r>
        <w:rPr>
          <w:rFonts w:ascii="Arial" w:cs="Arial" w:eastAsia="Arial" w:hAnsi="Arial"/>
          <w:sz w:val="18"/>
          <w:szCs w:val="18"/>
          <w:i w:val="1"/>
          <w:iCs w:val="1"/>
          <w:color w:val="auto"/>
        </w:rPr>
        <w:t>Chief Financial Officer</w:t>
      </w:r>
    </w:p>
    <w:p>
      <w:pPr>
        <w:spacing w:after="0" w:line="223"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i w:val="1"/>
          <w:iCs w:val="1"/>
          <w:color w:val="auto"/>
        </w:rPr>
        <w:t>This certification accompanies the Form 10-K to which it relates, is not deemed filed with the Securities and Exchange Commission and is not to be incorporated by reference into any filing of Asana,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Roman"/>
      <w:start w:val="10"/>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5"/>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1"/>
    </w:lvl>
    <w:lvl w:ilvl="1">
      <w:lvlJc w:val="left"/>
      <w:lvlText w:val="(%2)"/>
      <w:numFmt w:val="decimal"/>
      <w:start w:val="1"/>
    </w:lvl>
  </w:abstractNum>
  <w:abstractNum w:abstractNumId="45">
    <w:nsid w:val="7644A45C"/>
    <w:multiLevelType w:val="hybridMultilevel"/>
    <w:lvl w:ilvl="0">
      <w:lvlJc w:val="left"/>
      <w:lvlText w:val="%1"/>
      <w:numFmt w:val="decimal"/>
      <w:start w:val="104"/>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8">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5"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36" Type="http://schemas.openxmlformats.org/officeDocument/2006/relationships/hyperlink" Target="https://www.sec.gov/Archives/edgar/data/1477720/000119312520250298/d98181dex31.htm" TargetMode="External"/><Relationship Id="rId137" Type="http://schemas.openxmlformats.org/officeDocument/2006/relationships/hyperlink" Target="https://www.sec.gov/Archives/edgar/data/0001477720/000119312520250298/d98181dex32.htm" TargetMode="External"/><Relationship Id="rId138" Type="http://schemas.openxmlformats.org/officeDocument/2006/relationships/hyperlink" Target="https://www.sec.gov/Archives/edgar/data/1477720/000119312520241148/d855753dex43.htm" TargetMode="External"/><Relationship Id="rId139" Type="http://schemas.openxmlformats.org/officeDocument/2006/relationships/hyperlink" Target="https://www.sec.gov/Archives/edgar/data/1477720/000147772022000012/exhibit43-descriptionofsec.htm" TargetMode="External"/><Relationship Id="rId140" Type="http://schemas.openxmlformats.org/officeDocument/2006/relationships/hyperlink" Target="https://www.sec.gov/Archives/edgar/data/1477720/000119312520228462/d855753dex101.htm" TargetMode="External"/><Relationship Id="rId141" Type="http://schemas.openxmlformats.org/officeDocument/2006/relationships/hyperlink" Target="https://www.sec.gov/Archives/edgar/data/1477720/000119312520228462/d855753dex102.htm" TargetMode="External"/><Relationship Id="rId142" Type="http://schemas.openxmlformats.org/officeDocument/2006/relationships/hyperlink" Target="https://www.sec.gov/Archives/edgar/data/1477720/000119312520228462/d855753dex103.htm" TargetMode="External"/><Relationship Id="rId143" Type="http://schemas.openxmlformats.org/officeDocument/2006/relationships/hyperlink" Target="https://www.sec.gov/Archives/edgar/data/1477720/000119312520228462/d855753dex104.htm" TargetMode="External"/><Relationship Id="rId144" Type="http://schemas.openxmlformats.org/officeDocument/2006/relationships/hyperlink" Target="https://www.sec.gov/Archives/edgar/data/1477720/000147772021000007/a103-2020equityincentive.htm" TargetMode="External"/><Relationship Id="rId145" Type="http://schemas.openxmlformats.org/officeDocument/2006/relationships/hyperlink" Target="https://www.sec.gov/Archives/edgar/data/1477720/000147772021000007/a104-2020equityincentive.htm" TargetMode="External"/><Relationship Id="rId146" Type="http://schemas.openxmlformats.org/officeDocument/2006/relationships/hyperlink" Target="https://www.sec.gov/Archives/edgar/data/1477720/000147772022000062/exhibit101-2020equityincen.htm" TargetMode="External"/><Relationship Id="rId147" Type="http://schemas.openxmlformats.org/officeDocument/2006/relationships/hyperlink" Target="https://www.sec.gov/Archives/edgar/data/1477720/000147772022000062/exhibit102-2020equityincen.htm" TargetMode="External"/><Relationship Id="rId148" Type="http://schemas.openxmlformats.org/officeDocument/2006/relationships/hyperlink" Target="https://www.sec.gov/Archives/edgar/data/1477720/000119312520228462/d855753dex105.htm" TargetMode="External"/><Relationship Id="rId149" Type="http://schemas.openxmlformats.org/officeDocument/2006/relationships/hyperlink" Target="https://www.sec.gov/Archives/edgar/data/1477720/000147772022000031/exhibit101-amendedandresta.htm" TargetMode="External"/><Relationship Id="rId150" Type="http://schemas.openxmlformats.org/officeDocument/2006/relationships/hyperlink" Target="https://www.sec.gov/Archives/edgar/data/1477720/000147772021000007/asanainc-directorsdeferred.htm" TargetMode="External"/><Relationship Id="rId151" Type="http://schemas.openxmlformats.org/officeDocument/2006/relationships/hyperlink" Target="https://www.sec.gov/Archives/edgar/data/1477720/000147772021000007/asana-frenchequitysubxplan.htm" TargetMode="External"/><Relationship Id="rId152" Type="http://schemas.openxmlformats.org/officeDocument/2006/relationships/hyperlink" Target="https://www.sec.gov/Archives/edgar/data/1477720/000119312520228462/d855753dex107.htm" TargetMode="External"/><Relationship Id="rId153" Type="http://schemas.openxmlformats.org/officeDocument/2006/relationships/hyperlink" Target="https://www.sec.gov/Archives/edgar/data/1477720/000119312520228462/d855753dex108.htm" TargetMode="External"/><Relationship Id="rId154" Type="http://schemas.openxmlformats.org/officeDocument/2006/relationships/hyperlink" Target="https://www.sec.gov/Archives/edgar/data/1477720/000119312520228462/d855753dex109.htm" TargetMode="External"/><Relationship Id="rId156" Type="http://schemas.openxmlformats.org/officeDocument/2006/relationships/hyperlink" Target="https://www.sec.gov/Archives/edgar/data/1477720/000119312520228462/d855753dex1010.htm" TargetMode="External"/><Relationship Id="rId157" Type="http://schemas.openxmlformats.org/officeDocument/2006/relationships/hyperlink" Target="https://www.sec.gov/Archives/edgar/data/1477720/000147772021000051/exhibit101-offerletterxrai.htm" TargetMode="External"/><Relationship Id="rId158" Type="http://schemas.openxmlformats.org/officeDocument/2006/relationships/hyperlink" Target="https://www.sec.gov/Archives/edgar/data/1477720/000119312520228462/d855753dex1012.htm" TargetMode="External"/><Relationship Id="rId159" Type="http://schemas.openxmlformats.org/officeDocument/2006/relationships/hyperlink" Target="https://www.sec.gov/Archives/edgar/data/1477720/000147772021000054/asana-leaseaddendumxex101.htm" TargetMode="External"/><Relationship Id="rId160" Type="http://schemas.openxmlformats.org/officeDocument/2006/relationships/hyperlink" Target="https://www.sec.gov/Archives/edgar/data/1477720/000147772021000054/asana-votingagreementxex102.htm" TargetMode="External"/><Relationship Id="rId161" Type="http://schemas.openxmlformats.org/officeDocument/2006/relationships/hyperlink" Target="https://www.sec.gov/Archives/edgar/data/1477720/000119312522239995/d401626dex101.htm" TargetMode="External"/><Relationship Id="rId162" Type="http://schemas.openxmlformats.org/officeDocument/2006/relationships/hyperlink" Target="https://www.sec.gov/Archives/edgar/data/1477720/000147772022000051/exhibit101creditagreement.htm" TargetMode="External"/><Relationship Id="rId163" Type="http://schemas.openxmlformats.org/officeDocument/2006/relationships/hyperlink" Target="https://www.sec.gov/Archives/edgar/data/1477720/000147772022000012/exhibit211-asanaincsubsid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2023-03-24T22:58:20Z</dcterms:created>
  <dcterms:modified xsi:type="dcterms:W3CDTF">2023-03-24T22:58:20Z</dcterms:modified>
</cp:coreProperties>
</file>