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9" w:lineRule="exact"/>
        <w:rPr>
          <w:sz w:val="24"/>
          <w:szCs w:val="24"/>
          <w:color w:val="auto"/>
        </w:rPr>
      </w:pPr>
    </w:p>
    <w:p>
      <w:pPr>
        <w:ind w:left="320" w:right="1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-214630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4" w:lineRule="exact"/>
        <w:rPr>
          <w:sz w:val="24"/>
          <w:szCs w:val="24"/>
          <w:color w:val="auto"/>
        </w:rPr>
      </w:pPr>
    </w:p>
    <w:p>
      <w:pPr>
        <w:ind w:left="32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-594360</wp:posOffset>
            </wp:positionV>
            <wp:extent cx="56515" cy="607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629920</wp:posOffset>
            </wp:positionV>
            <wp:extent cx="7000240" cy="6518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6518910"/>
                    </a:xfrm>
                    <a:prstGeom prst="rect">
                      <a:avLst/>
                    </a:prstGeom>
                    <a:noFill/>
                  </pic:spPr>
                </pic:pic>
              </a:graphicData>
            </a:graphic>
          </wp:anchor>
        </w:drawing>
      </w:r>
    </w:p>
    <w:p>
      <w:pPr>
        <w:spacing w:after="0" w:line="1002" w:lineRule="exact"/>
        <w:rPr>
          <w:sz w:val="24"/>
          <w:szCs w:val="24"/>
          <w:color w:val="auto"/>
        </w:rPr>
      </w:pPr>
    </w:p>
    <w:p>
      <w:pPr>
        <w:sectPr>
          <w:pgSz w:w="11900" w:h="16959" w:orient="portrait"/>
          <w:cols w:equalWidth="0" w:num="2">
            <w:col w:w="2260" w:space="460"/>
            <w:col w:w="8360"/>
          </w:cols>
          <w:pgMar w:left="460" w:top="212"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gridSpan w:val="5"/>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Rosenstein Justin</w:t>
              </w:r>
            </w:hyperlink>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gridSpan w:val="6"/>
          </w:tcPr>
          <w:p>
            <w:pPr>
              <w:ind w:left="60"/>
              <w:spacing w:after="0" w:line="98"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Asana,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ASAN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gridSpan w:val="5"/>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0000EE"/>
            </w:tcBorders>
          </w:tcPr>
          <w:p>
            <w:pPr>
              <w:spacing w:after="0"/>
              <w:rPr>
                <w:sz w:val="5"/>
                <w:szCs w:val="5"/>
                <w:color w:val="auto"/>
              </w:rPr>
            </w:pPr>
          </w:p>
        </w:tc>
        <w:tc>
          <w:tcPr>
            <w:tcW w:w="520" w:type="dxa"/>
            <w:vAlign w:val="bottom"/>
            <w:tcBorders>
              <w:bottom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gridSpan w:val="5"/>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8"/>
                <w:szCs w:val="8"/>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0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ind w:left="120"/>
              <w:spacing w:after="0" w:line="103" w:lineRule="exact"/>
              <w:rPr>
                <w:sz w:val="20"/>
                <w:szCs w:val="20"/>
                <w:color w:val="auto"/>
              </w:rPr>
            </w:pPr>
            <w:r>
              <w:rPr>
                <w:rFonts w:ascii="Arial" w:cs="Arial" w:eastAsia="Arial" w:hAnsi="Arial"/>
                <w:sz w:val="11"/>
                <w:szCs w:val="11"/>
                <w:color w:val="auto"/>
              </w:rPr>
              <w:t>below)</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jc w:val="center"/>
              <w:ind w:left="58"/>
              <w:spacing w:after="0" w:line="103" w:lineRule="exact"/>
              <w:rPr>
                <w:sz w:val="20"/>
                <w:szCs w:val="20"/>
                <w:color w:val="auto"/>
              </w:rPr>
            </w:pPr>
            <w:r>
              <w:rPr>
                <w:rFonts w:ascii="Arial" w:cs="Arial" w:eastAsia="Arial" w:hAnsi="Arial"/>
                <w:sz w:val="11"/>
                <w:szCs w:val="11"/>
                <w:color w:val="auto"/>
              </w:rPr>
              <w:t>below)</w:t>
            </w: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ASANA, INC.</w:t>
            </w: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gridSpan w:val="6"/>
          </w:tcPr>
          <w:p>
            <w:pPr>
              <w:ind w:left="500"/>
              <w:spacing w:after="0"/>
              <w:rPr>
                <w:sz w:val="20"/>
                <w:szCs w:val="20"/>
                <w:color w:val="auto"/>
              </w:rPr>
            </w:pPr>
            <w:r>
              <w:rPr>
                <w:rFonts w:ascii="Times New Roman" w:cs="Times New Roman" w:eastAsia="Times New Roman" w:hAnsi="Times New Roman"/>
                <w:sz w:val="16"/>
                <w:szCs w:val="16"/>
                <w:color w:val="0000FF"/>
              </w:rPr>
              <w:t>12/19/2025</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8"/>
              </w:rPr>
              <w:t>633 FOLSOM STREET, SUITE 100</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2620" w:type="dxa"/>
            <w:vAlign w:val="bottom"/>
            <w:gridSpan w:val="6"/>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2820" w:type="dxa"/>
            <w:vAlign w:val="bottom"/>
            <w:gridSpan w:val="5"/>
          </w:tcPr>
          <w:p>
            <w:pPr>
              <w:spacing w:after="0"/>
              <w:rPr>
                <w:sz w:val="11"/>
                <w:szCs w:val="11"/>
                <w:color w:val="auto"/>
              </w:rPr>
            </w:pP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94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2620" w:type="dxa"/>
            <w:vAlign w:val="bottom"/>
            <w:tcBorders>
              <w:bottom w:val="single" w:sz="8" w:color="2C2C2C"/>
            </w:tcBorders>
            <w:gridSpan w:val="6"/>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2820" w:type="dxa"/>
            <w:vAlign w:val="bottom"/>
            <w:tcBorders>
              <w:bottom w:val="single" w:sz="8" w:color="2C2C2C"/>
            </w:tcBorders>
            <w:gridSpan w:val="5"/>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0000FF"/>
              </w:rPr>
              <w:t>SAN</w:t>
            </w:r>
          </w:p>
        </w:tc>
        <w:tc>
          <w:tcPr>
            <w:tcW w:w="660" w:type="dxa"/>
            <w:vAlign w:val="bottom"/>
          </w:tcPr>
          <w:p>
            <w:pPr>
              <w:spacing w:after="0"/>
              <w:rPr>
                <w:sz w:val="17"/>
                <w:szCs w:val="17"/>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94107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FRANCISCO</w:t>
            </w:r>
          </w:p>
        </w:tc>
        <w:tc>
          <w:tcPr>
            <w:tcW w:w="114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gridSpan w:val="2"/>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940" w:type="dxa"/>
            <w:vAlign w:val="bottom"/>
          </w:tcPr>
          <w:p>
            <w:pPr>
              <w:ind w:left="10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6400" w:type="dxa"/>
            <w:vAlign w:val="bottom"/>
            <w:tcBorders>
              <w:top w:val="single" w:sz="8" w:color="2C2C2C"/>
            </w:tcBorders>
            <w:gridSpan w:val="17"/>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8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jc w:val="center"/>
              <w:ind w:right="19"/>
              <w:spacing w:after="0" w:line="123" w:lineRule="exact"/>
              <w:rPr>
                <w:sz w:val="20"/>
                <w:szCs w:val="20"/>
                <w:color w:val="auto"/>
              </w:rPr>
            </w:pPr>
            <w:r>
              <w:rPr>
                <w:rFonts w:ascii="Arial" w:cs="Arial" w:eastAsia="Arial" w:hAnsi="Arial"/>
                <w:sz w:val="11"/>
                <w:szCs w:val="11"/>
                <w:b w:val="1"/>
                <w:bCs w:val="1"/>
                <w:color w:val="auto"/>
                <w:w w:val="99"/>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gridSpan w:val="7"/>
          </w:tcPr>
          <w:p>
            <w:pPr>
              <w:ind w:left="20"/>
              <w:spacing w:after="0" w:line="123" w:lineRule="exact"/>
              <w:rPr>
                <w:sz w:val="20"/>
                <w:szCs w:val="20"/>
                <w:color w:val="auto"/>
              </w:rPr>
            </w:pPr>
            <w:r>
              <w:rPr>
                <w:rFonts w:ascii="Arial" w:cs="Arial" w:eastAsia="Arial" w:hAnsi="Arial"/>
                <w:sz w:val="11"/>
                <w:szCs w:val="11"/>
                <w:b w:val="1"/>
                <w:bCs w:val="1"/>
                <w:color w:val="auto"/>
              </w:rPr>
              <w:t>(Month/Day/Year)  if any</w:t>
            </w:r>
          </w:p>
        </w:tc>
        <w:tc>
          <w:tcPr>
            <w:tcW w:w="58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40"/>
              <w:spacing w:after="0"/>
              <w:rPr>
                <w:sz w:val="20"/>
                <w:szCs w:val="20"/>
                <w:color w:val="auto"/>
              </w:rPr>
            </w:pPr>
            <w:r>
              <w:rPr>
                <w:rFonts w:ascii="Times New Roman" w:cs="Times New Roman" w:eastAsia="Times New Roman" w:hAnsi="Times New Roman"/>
                <w:sz w:val="16"/>
                <w:szCs w:val="16"/>
                <w:color w:val="0000FF"/>
              </w:rPr>
              <w:t>12/19/2025</w:t>
            </w: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6"/>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800" w:type="dxa"/>
            <w:vAlign w:val="bottom"/>
            <w:tcBorders>
              <w:bottom w:val="single" w:sz="8" w:color="2C2C2C"/>
            </w:tcBorders>
            <w:gridSpan w:val="2"/>
          </w:tcPr>
          <w:p>
            <w:pPr>
              <w:jc w:val="center"/>
              <w:ind w:left="61"/>
              <w:spacing w:after="0"/>
              <w:rPr>
                <w:sz w:val="20"/>
                <w:szCs w:val="20"/>
                <w:color w:val="auto"/>
              </w:rPr>
            </w:pPr>
            <w:r>
              <w:rPr>
                <w:rFonts w:ascii="Times New Roman" w:cs="Times New Roman" w:eastAsia="Times New Roman" w:hAnsi="Times New Roman"/>
                <w:sz w:val="16"/>
                <w:szCs w:val="16"/>
                <w:color w:val="0000FF"/>
                <w:w w:val="99"/>
              </w:rPr>
              <w:t>3,000,000</w:t>
            </w:r>
          </w:p>
        </w:tc>
        <w:tc>
          <w:tcPr>
            <w:tcW w:w="4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3,210,398</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40"/>
              <w:spacing w:after="0"/>
              <w:rPr>
                <w:sz w:val="20"/>
                <w:szCs w:val="20"/>
                <w:color w:val="auto"/>
              </w:rPr>
            </w:pPr>
            <w:r>
              <w:rPr>
                <w:rFonts w:ascii="Times New Roman" w:cs="Times New Roman" w:eastAsia="Times New Roman" w:hAnsi="Times New Roman"/>
                <w:sz w:val="16"/>
                <w:szCs w:val="16"/>
                <w:color w:val="0000FF"/>
              </w:rPr>
              <w:t>12/22/2025</w:t>
            </w: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6"/>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720" w:type="dxa"/>
            <w:vAlign w:val="bottom"/>
            <w:tcBorders>
              <w:bottom w:val="single" w:sz="8" w:color="2C2C2C"/>
            </w:tcBorders>
          </w:tcPr>
          <w:p>
            <w:pPr>
              <w:jc w:val="center"/>
              <w:ind w:left="141"/>
              <w:spacing w:after="0"/>
              <w:rPr>
                <w:sz w:val="20"/>
                <w:szCs w:val="20"/>
                <w:color w:val="auto"/>
              </w:rPr>
            </w:pPr>
            <w:r>
              <w:rPr>
                <w:rFonts w:ascii="Times New Roman" w:cs="Times New Roman" w:eastAsia="Times New Roman" w:hAnsi="Times New Roman"/>
                <w:sz w:val="16"/>
                <w:szCs w:val="16"/>
                <w:color w:val="0000FF"/>
                <w:w w:val="99"/>
              </w:rPr>
              <w:t>665,000</w:t>
            </w:r>
          </w:p>
        </w:tc>
        <w:tc>
          <w:tcPr>
            <w:tcW w:w="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3,875,398</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40"/>
              <w:spacing w:after="0"/>
              <w:rPr>
                <w:sz w:val="20"/>
                <w:szCs w:val="20"/>
                <w:color w:val="auto"/>
              </w:rPr>
            </w:pPr>
            <w:r>
              <w:rPr>
                <w:rFonts w:ascii="Times New Roman" w:cs="Times New Roman" w:eastAsia="Times New Roman" w:hAnsi="Times New Roman"/>
                <w:sz w:val="16"/>
                <w:szCs w:val="16"/>
                <w:color w:val="0000FF"/>
              </w:rPr>
              <w:t>12/22/2025</w:t>
            </w: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6"/>
              <w:spacing w:after="0"/>
              <w:rPr>
                <w:sz w:val="20"/>
                <w:szCs w:val="20"/>
                <w:color w:val="auto"/>
              </w:rPr>
            </w:pPr>
            <w:r>
              <w:rPr>
                <w:rFonts w:ascii="Times New Roman" w:cs="Times New Roman" w:eastAsia="Times New Roman" w:hAnsi="Times New Roman"/>
                <w:sz w:val="12"/>
                <w:szCs w:val="12"/>
                <w:color w:val="0000FF"/>
                <w:w w:val="91"/>
              </w:rPr>
              <w:t>G</w:t>
            </w:r>
          </w:p>
        </w:tc>
        <w:tc>
          <w:tcPr>
            <w:tcW w:w="800" w:type="dxa"/>
            <w:vAlign w:val="bottom"/>
            <w:tcBorders>
              <w:bottom w:val="single" w:sz="8" w:color="2C2C2C"/>
            </w:tcBorders>
            <w:gridSpan w:val="2"/>
          </w:tcPr>
          <w:p>
            <w:pPr>
              <w:jc w:val="center"/>
              <w:ind w:left="61"/>
              <w:spacing w:after="0"/>
              <w:rPr>
                <w:sz w:val="20"/>
                <w:szCs w:val="20"/>
                <w:color w:val="auto"/>
              </w:rPr>
            </w:pPr>
            <w:r>
              <w:rPr>
                <w:rFonts w:ascii="Times New Roman" w:cs="Times New Roman" w:eastAsia="Times New Roman" w:hAnsi="Times New Roman"/>
                <w:sz w:val="16"/>
                <w:szCs w:val="16"/>
                <w:color w:val="0000FF"/>
                <w:w w:val="94"/>
              </w:rPr>
              <w:t>665,000</w:t>
            </w:r>
            <w:r>
              <w:rPr>
                <w:rFonts w:ascii="Times New Roman" w:cs="Times New Roman" w:eastAsia="Times New Roman" w:hAnsi="Times New Roman"/>
                <w:sz w:val="20"/>
                <w:szCs w:val="20"/>
                <w:color w:val="008000"/>
                <w:w w:val="94"/>
                <w:vertAlign w:val="superscript"/>
              </w:rPr>
              <w:t>(2)</w:t>
            </w:r>
          </w:p>
        </w:tc>
        <w:tc>
          <w:tcPr>
            <w:tcW w:w="4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3,210,398</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400" w:type="dxa"/>
            <w:vAlign w:val="bottom"/>
            <w:tcBorders>
              <w:top w:val="single" w:sz="8" w:color="2C2C2C"/>
            </w:tcBorders>
            <w:gridSpan w:val="17"/>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60" w:type="dxa"/>
            <w:vAlign w:val="bottom"/>
            <w:gridSpan w:val="15"/>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5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w w:val="94"/>
              </w:rPr>
              <w:t>Derivative</w:t>
            </w:r>
          </w:p>
        </w:tc>
        <w:tc>
          <w:tcPr>
            <w:tcW w:w="580" w:type="dxa"/>
            <w:vAlign w:val="bottom"/>
          </w:tcPr>
          <w:p>
            <w:pPr>
              <w:spacing w:after="0"/>
              <w:rPr>
                <w:sz w:val="10"/>
                <w:szCs w:val="10"/>
                <w:color w:val="auto"/>
              </w:rPr>
            </w:pPr>
          </w:p>
        </w:tc>
        <w:tc>
          <w:tcPr>
            <w:tcW w:w="14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80" w:type="dxa"/>
            <w:vAlign w:val="bottom"/>
          </w:tcPr>
          <w:p>
            <w:pPr>
              <w:spacing w:after="0"/>
              <w:rPr>
                <w:sz w:val="10"/>
                <w:szCs w:val="10"/>
                <w:color w:val="auto"/>
              </w:rPr>
            </w:pPr>
          </w:p>
        </w:tc>
        <w:tc>
          <w:tcPr>
            <w:tcW w:w="1060" w:type="dxa"/>
            <w:vAlign w:val="bottom"/>
            <w:gridSpan w:val="2"/>
          </w:tcPr>
          <w:p>
            <w:pPr>
              <w:jc w:val="center"/>
              <w:ind w:right="4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9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5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w w:val="94"/>
              </w:rPr>
              <w:t>Securities</w:t>
            </w:r>
          </w:p>
        </w:tc>
        <w:tc>
          <w:tcPr>
            <w:tcW w:w="580" w:type="dxa"/>
            <w:vAlign w:val="bottom"/>
          </w:tcPr>
          <w:p>
            <w:pPr>
              <w:spacing w:after="0"/>
              <w:rPr>
                <w:sz w:val="10"/>
                <w:szCs w:val="10"/>
                <w:color w:val="auto"/>
              </w:rPr>
            </w:pPr>
          </w:p>
        </w:tc>
        <w:tc>
          <w:tcPr>
            <w:tcW w:w="14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ind w:left="4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40" w:type="dxa"/>
            <w:vAlign w:val="bottom"/>
          </w:tcPr>
          <w:p>
            <w:pPr>
              <w:jc w:val="center"/>
              <w:ind w:left="38"/>
              <w:spacing w:after="0" w:line="123"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jc w:val="center"/>
              <w:ind w:right="680"/>
              <w:spacing w:after="0" w:line="123" w:lineRule="exact"/>
              <w:rPr>
                <w:sz w:val="20"/>
                <w:szCs w:val="20"/>
                <w:color w:val="auto"/>
              </w:rPr>
            </w:pPr>
            <w:r>
              <w:rPr>
                <w:rFonts w:ascii="Arial" w:cs="Arial" w:eastAsia="Arial" w:hAnsi="Arial"/>
                <w:sz w:val="11"/>
                <w:szCs w:val="11"/>
                <w:b w:val="1"/>
                <w:bCs w:val="1"/>
                <w:color w:val="auto"/>
                <w:w w:val="98"/>
              </w:rPr>
              <w:t>(I) (Instr.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1"/>
              <w:spacing w:after="0" w:line="123"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3"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3,000,000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jc w:val="right"/>
              <w:ind w:right="167"/>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12"/>
                <w:szCs w:val="12"/>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0000FF"/>
              </w:rPr>
              <w:t>12/19/2025</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0000FF"/>
                <w:w w:val="99"/>
              </w:rPr>
              <w:t>3,000,000</w:t>
            </w:r>
          </w:p>
        </w:tc>
        <w:tc>
          <w:tcPr>
            <w:tcW w:w="72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tcPr>
          <w:p>
            <w:pPr>
              <w:jc w:val="center"/>
              <w:ind w:right="1"/>
              <w:spacing w:after="0"/>
              <w:rPr>
                <w:sz w:val="20"/>
                <w:szCs w:val="20"/>
                <w:color w:val="auto"/>
              </w:rPr>
            </w:pPr>
            <w:r>
              <w:rPr>
                <w:rFonts w:ascii="Times New Roman" w:cs="Times New Roman" w:eastAsia="Times New Roman" w:hAnsi="Times New Roman"/>
                <w:sz w:val="10"/>
                <w:szCs w:val="10"/>
                <w:color w:val="008000"/>
                <w:w w:val="85"/>
              </w:rPr>
              <w:t>(3)</w:t>
            </w: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w w:val="98"/>
              </w:rPr>
              <w:t>Common</w:t>
            </w:r>
          </w:p>
        </w:tc>
        <w:tc>
          <w:tcPr>
            <w:tcW w:w="720" w:type="dxa"/>
            <w:vAlign w:val="bottom"/>
            <w:gridSpan w:val="2"/>
            <w:vMerge w:val="continue"/>
          </w:tcPr>
          <w:p>
            <w:pPr>
              <w:spacing w:after="0"/>
              <w:rPr>
                <w:sz w:val="12"/>
                <w:szCs w:val="12"/>
                <w:color w:val="auto"/>
              </w:rPr>
            </w:pPr>
          </w:p>
        </w:tc>
        <w:tc>
          <w:tcPr>
            <w:tcW w:w="740" w:type="dxa"/>
            <w:vAlign w:val="bottom"/>
            <w:gridSpan w:val="2"/>
          </w:tcPr>
          <w:p>
            <w:pPr>
              <w:jc w:val="right"/>
              <w:ind w:right="2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7,716,532</w:t>
            </w:r>
          </w:p>
        </w:tc>
        <w:tc>
          <w:tcPr>
            <w:tcW w:w="64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Borders>
              <w:bottom w:val="single" w:sz="8" w:color="2C2C2C"/>
            </w:tcBorders>
            <w:gridSpan w:val="2"/>
          </w:tcPr>
          <w:p>
            <w:pPr>
              <w:ind w:left="60"/>
              <w:spacing w:after="0" w:line="213" w:lineRule="exact"/>
              <w:rPr>
                <w:sz w:val="20"/>
                <w:szCs w:val="20"/>
                <w:color w:val="auto"/>
              </w:rPr>
            </w:pPr>
            <w:r>
              <w:rPr>
                <w:rFonts w:ascii="Times New Roman" w:cs="Times New Roman" w:eastAsia="Times New Roman" w:hAnsi="Times New Roman"/>
                <w:sz w:val="12"/>
                <w:szCs w:val="12"/>
                <w:color w:val="0000FF"/>
              </w:rPr>
              <w:t>Stock</w:t>
            </w:r>
            <w:r>
              <w:rPr>
                <w:rFonts w:ascii="Times New Roman" w:cs="Times New Roman" w:eastAsia="Times New Roman" w:hAnsi="Times New Roman"/>
                <w:sz w:val="20"/>
                <w:szCs w:val="20"/>
                <w:color w:val="008000"/>
                <w:vertAlign w:val="superscript"/>
              </w:rPr>
              <w:t>(3)</w:t>
            </w: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665,000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jc w:val="right"/>
              <w:ind w:right="167"/>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12"/>
                <w:szCs w:val="12"/>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0000FF"/>
              </w:rPr>
              <w:t>12/22/2025</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0000FF"/>
              </w:rPr>
              <w:t>665,000</w:t>
            </w:r>
          </w:p>
        </w:tc>
        <w:tc>
          <w:tcPr>
            <w:tcW w:w="72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tcPr>
          <w:p>
            <w:pPr>
              <w:jc w:val="center"/>
              <w:ind w:right="1"/>
              <w:spacing w:after="0"/>
              <w:rPr>
                <w:sz w:val="20"/>
                <w:szCs w:val="20"/>
                <w:color w:val="auto"/>
              </w:rPr>
            </w:pPr>
            <w:r>
              <w:rPr>
                <w:rFonts w:ascii="Times New Roman" w:cs="Times New Roman" w:eastAsia="Times New Roman" w:hAnsi="Times New Roman"/>
                <w:sz w:val="10"/>
                <w:szCs w:val="10"/>
                <w:color w:val="008000"/>
                <w:w w:val="85"/>
              </w:rPr>
              <w:t>(3)</w:t>
            </w: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w w:val="98"/>
              </w:rPr>
              <w:t>Common</w:t>
            </w:r>
          </w:p>
        </w:tc>
        <w:tc>
          <w:tcPr>
            <w:tcW w:w="720" w:type="dxa"/>
            <w:vAlign w:val="bottom"/>
            <w:gridSpan w:val="2"/>
            <w:vMerge w:val="continue"/>
          </w:tcPr>
          <w:p>
            <w:pPr>
              <w:spacing w:after="0"/>
              <w:rPr>
                <w:sz w:val="12"/>
                <w:szCs w:val="12"/>
                <w:color w:val="auto"/>
              </w:rPr>
            </w:pPr>
          </w:p>
        </w:tc>
        <w:tc>
          <w:tcPr>
            <w:tcW w:w="740" w:type="dxa"/>
            <w:vAlign w:val="bottom"/>
            <w:gridSpan w:val="2"/>
          </w:tcPr>
          <w:p>
            <w:pPr>
              <w:jc w:val="right"/>
              <w:ind w:right="2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7,051,532</w:t>
            </w:r>
          </w:p>
        </w:tc>
        <w:tc>
          <w:tcPr>
            <w:tcW w:w="64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Borders>
              <w:bottom w:val="single" w:sz="8" w:color="2C2C2C"/>
            </w:tcBorders>
            <w:gridSpan w:val="2"/>
          </w:tcPr>
          <w:p>
            <w:pPr>
              <w:ind w:left="60"/>
              <w:spacing w:after="0" w:line="213" w:lineRule="exact"/>
              <w:rPr>
                <w:sz w:val="20"/>
                <w:szCs w:val="20"/>
                <w:color w:val="auto"/>
              </w:rPr>
            </w:pPr>
            <w:r>
              <w:rPr>
                <w:rFonts w:ascii="Times New Roman" w:cs="Times New Roman" w:eastAsia="Times New Roman" w:hAnsi="Times New Roman"/>
                <w:sz w:val="12"/>
                <w:szCs w:val="12"/>
                <w:color w:val="0000FF"/>
              </w:rPr>
              <w:t>Stock</w:t>
            </w:r>
            <w:r>
              <w:rPr>
                <w:rFonts w:ascii="Times New Roman" w:cs="Times New Roman" w:eastAsia="Times New Roman" w:hAnsi="Times New Roman"/>
                <w:sz w:val="20"/>
                <w:szCs w:val="20"/>
                <w:color w:val="008000"/>
                <w:vertAlign w:val="superscript"/>
              </w:rPr>
              <w:t>(3)</w:t>
            </w: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(4)</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125,000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5"/>
                <w:szCs w:val="5"/>
                <w:color w:val="auto"/>
              </w:rPr>
            </w:pPr>
          </w:p>
        </w:tc>
        <w:tc>
          <w:tcPr>
            <w:tcW w:w="1060" w:type="dxa"/>
            <w:vAlign w:val="bottom"/>
            <w:gridSpan w:val="2"/>
            <w:vMerge w:val="restart"/>
          </w:tcPr>
          <w:p>
            <w:pPr>
              <w:jc w:val="center"/>
              <w:ind w:right="20"/>
              <w:spacing w:after="0" w:line="135" w:lineRule="exact"/>
              <w:rPr>
                <w:sz w:val="20"/>
                <w:szCs w:val="20"/>
                <w:color w:val="auto"/>
              </w:rPr>
            </w:pPr>
            <w:r>
              <w:rPr>
                <w:rFonts w:ascii="Times New Roman" w:cs="Times New Roman" w:eastAsia="Times New Roman" w:hAnsi="Times New Roman"/>
                <w:sz w:val="12"/>
                <w:szCs w:val="12"/>
                <w:color w:val="0000FF"/>
              </w:rPr>
              <w:t>12/22/2025</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jc w:val="center"/>
              <w:ind w:right="40"/>
              <w:spacing w:after="0" w:line="135" w:lineRule="exact"/>
              <w:rPr>
                <w:sz w:val="20"/>
                <w:szCs w:val="20"/>
                <w:color w:val="auto"/>
              </w:rPr>
            </w:pPr>
            <w:r>
              <w:rPr>
                <w:rFonts w:ascii="Times New Roman" w:cs="Times New Roman" w:eastAsia="Times New Roman" w:hAnsi="Times New Roman"/>
                <w:sz w:val="12"/>
                <w:szCs w:val="12"/>
                <w:color w:val="0000FF"/>
              </w:rPr>
              <w:t>125,000</w:t>
            </w:r>
          </w:p>
        </w:tc>
        <w:tc>
          <w:tcPr>
            <w:tcW w:w="72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w w:val="85"/>
              </w:rPr>
              <w:t>(3)</w:t>
            </w:r>
          </w:p>
        </w:tc>
        <w:tc>
          <w:tcPr>
            <w:tcW w:w="560" w:type="dxa"/>
            <w:vAlign w:val="bottom"/>
            <w:gridSpan w:val="2"/>
            <w:vMerge w:val="restart"/>
          </w:tcPr>
          <w:p>
            <w:pPr>
              <w:jc w:val="center"/>
              <w:ind w:right="15"/>
              <w:spacing w:after="0" w:line="135" w:lineRule="exact"/>
              <w:rPr>
                <w:sz w:val="20"/>
                <w:szCs w:val="20"/>
                <w:color w:val="auto"/>
              </w:rPr>
            </w:pPr>
            <w:r>
              <w:rPr>
                <w:rFonts w:ascii="Times New Roman" w:cs="Times New Roman" w:eastAsia="Times New Roman" w:hAnsi="Times New Roman"/>
                <w:sz w:val="12"/>
                <w:szCs w:val="12"/>
                <w:color w:val="0000FF"/>
                <w:w w:val="98"/>
              </w:rPr>
              <w:t>Common</w:t>
            </w:r>
          </w:p>
        </w:tc>
        <w:tc>
          <w:tcPr>
            <w:tcW w:w="72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283"/>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722,458</w:t>
            </w:r>
          </w:p>
        </w:tc>
        <w:tc>
          <w:tcPr>
            <w:tcW w:w="640" w:type="dxa"/>
            <w:vAlign w:val="bottom"/>
            <w:vMerge w:val="restart"/>
          </w:tcPr>
          <w:p>
            <w:pPr>
              <w:jc w:val="center"/>
              <w:ind w:left="58"/>
              <w:spacing w:after="0" w:line="135" w:lineRule="exact"/>
              <w:rPr>
                <w:sz w:val="20"/>
                <w:szCs w:val="20"/>
                <w:color w:val="auto"/>
              </w:rPr>
            </w:pPr>
            <w:r>
              <w:rPr>
                <w:rFonts w:ascii="Times New Roman" w:cs="Times New Roman" w:eastAsia="Times New Roman" w:hAnsi="Times New Roman"/>
                <w:sz w:val="12"/>
                <w:szCs w:val="12"/>
                <w:color w:val="0000FF"/>
                <w:w w:val="98"/>
              </w:rPr>
              <w:t>I</w:t>
            </w: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ind w:left="560"/>
              <w:spacing w:after="0" w:line="77" w:lineRule="exact"/>
              <w:rPr>
                <w:sz w:val="20"/>
                <w:szCs w:val="20"/>
                <w:color w:val="auto"/>
              </w:rPr>
            </w:pPr>
            <w:r>
              <w:rPr>
                <w:rFonts w:ascii="Times New Roman" w:cs="Times New Roman" w:eastAsia="Times New Roman" w:hAnsi="Times New Roman"/>
                <w:sz w:val="8"/>
                <w:szCs w:val="8"/>
                <w:color w:val="008000"/>
              </w:rPr>
              <w:t>(5)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0" w:type="dxa"/>
            <w:vAlign w:val="bottom"/>
            <w:tcBorders>
              <w:bottom w:val="single" w:sz="8" w:color="2C2C2C"/>
            </w:tcBorders>
            <w:gridSpan w:val="2"/>
          </w:tcPr>
          <w:p>
            <w:pPr>
              <w:ind w:left="60"/>
              <w:spacing w:after="0" w:line="220" w:lineRule="exact"/>
              <w:rPr>
                <w:sz w:val="20"/>
                <w:szCs w:val="20"/>
                <w:color w:val="auto"/>
              </w:rPr>
            </w:pPr>
            <w:r>
              <w:rPr>
                <w:rFonts w:ascii="Times New Roman" w:cs="Times New Roman" w:eastAsia="Times New Roman" w:hAnsi="Times New Roman"/>
                <w:sz w:val="12"/>
                <w:szCs w:val="12"/>
                <w:color w:val="0000FF"/>
              </w:rPr>
              <w:t>Stock</w:t>
            </w:r>
            <w:r>
              <w:rPr>
                <w:rFonts w:ascii="Times New Roman" w:cs="Times New Roman" w:eastAsia="Times New Roman" w:hAnsi="Times New Roman"/>
                <w:sz w:val="20"/>
                <w:szCs w:val="20"/>
                <w:color w:val="008000"/>
                <w:vertAlign w:val="superscript"/>
              </w:rPr>
              <w:t>(3)</w:t>
            </w:r>
          </w:p>
        </w:tc>
        <w:tc>
          <w:tcPr>
            <w:tcW w:w="6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(4)</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125,000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jc w:val="right"/>
              <w:ind w:right="167"/>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12"/>
                <w:szCs w:val="12"/>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0000FF"/>
              </w:rPr>
              <w:t>12/22/2025</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125,000</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tcPr>
          <w:p>
            <w:pPr>
              <w:jc w:val="center"/>
              <w:ind w:right="1"/>
              <w:spacing w:after="0"/>
              <w:rPr>
                <w:sz w:val="20"/>
                <w:szCs w:val="20"/>
                <w:color w:val="auto"/>
              </w:rPr>
            </w:pPr>
            <w:r>
              <w:rPr>
                <w:rFonts w:ascii="Times New Roman" w:cs="Times New Roman" w:eastAsia="Times New Roman" w:hAnsi="Times New Roman"/>
                <w:sz w:val="10"/>
                <w:szCs w:val="10"/>
                <w:color w:val="008000"/>
                <w:w w:val="85"/>
              </w:rPr>
              <w:t>(3)</w:t>
            </w: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w w:val="98"/>
              </w:rPr>
              <w:t>Common</w:t>
            </w:r>
          </w:p>
        </w:tc>
        <w:tc>
          <w:tcPr>
            <w:tcW w:w="720" w:type="dxa"/>
            <w:vAlign w:val="bottom"/>
            <w:gridSpan w:val="2"/>
            <w:vMerge w:val="continue"/>
          </w:tcPr>
          <w:p>
            <w:pPr>
              <w:spacing w:after="0"/>
              <w:rPr>
                <w:sz w:val="12"/>
                <w:szCs w:val="12"/>
                <w:color w:val="auto"/>
              </w:rPr>
            </w:pPr>
          </w:p>
        </w:tc>
        <w:tc>
          <w:tcPr>
            <w:tcW w:w="740" w:type="dxa"/>
            <w:vAlign w:val="bottom"/>
            <w:gridSpan w:val="2"/>
          </w:tcPr>
          <w:p>
            <w:pPr>
              <w:jc w:val="right"/>
              <w:ind w:right="2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7,176,532</w:t>
            </w:r>
          </w:p>
        </w:tc>
        <w:tc>
          <w:tcPr>
            <w:tcW w:w="64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Borders>
              <w:bottom w:val="single" w:sz="8" w:color="2C2C2C"/>
            </w:tcBorders>
            <w:gridSpan w:val="2"/>
          </w:tcPr>
          <w:p>
            <w:pPr>
              <w:ind w:left="60"/>
              <w:spacing w:after="0" w:line="213" w:lineRule="exact"/>
              <w:rPr>
                <w:sz w:val="20"/>
                <w:szCs w:val="20"/>
                <w:color w:val="auto"/>
              </w:rPr>
            </w:pPr>
            <w:r>
              <w:rPr>
                <w:rFonts w:ascii="Times New Roman" w:cs="Times New Roman" w:eastAsia="Times New Roman" w:hAnsi="Times New Roman"/>
                <w:sz w:val="12"/>
                <w:szCs w:val="12"/>
                <w:color w:val="0000FF"/>
              </w:rPr>
              <w:t>Stock</w:t>
            </w:r>
            <w:r>
              <w:rPr>
                <w:rFonts w:ascii="Times New Roman" w:cs="Times New Roman" w:eastAsia="Times New Roman" w:hAnsi="Times New Roman"/>
                <w:sz w:val="20"/>
                <w:szCs w:val="20"/>
                <w:color w:val="008000"/>
                <w:vertAlign w:val="superscript"/>
              </w:rPr>
              <w:t>(3)</w:t>
            </w: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460,000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w w:val="85"/>
              </w:rPr>
              <w:t>(3)</w:t>
            </w:r>
          </w:p>
        </w:tc>
        <w:tc>
          <w:tcPr>
            <w:tcW w:w="560" w:type="dxa"/>
            <w:vAlign w:val="bottom"/>
            <w:gridSpan w:val="2"/>
            <w:vMerge w:val="restart"/>
          </w:tcPr>
          <w:p>
            <w:pPr>
              <w:jc w:val="center"/>
              <w:ind w:right="15"/>
              <w:spacing w:after="0" w:line="135" w:lineRule="exact"/>
              <w:rPr>
                <w:sz w:val="20"/>
                <w:szCs w:val="20"/>
                <w:color w:val="auto"/>
              </w:rPr>
            </w:pPr>
            <w:r>
              <w:rPr>
                <w:rFonts w:ascii="Times New Roman" w:cs="Times New Roman" w:eastAsia="Times New Roman" w:hAnsi="Times New Roman"/>
                <w:sz w:val="12"/>
                <w:szCs w:val="12"/>
                <w:color w:val="0000FF"/>
                <w:w w:val="98"/>
              </w:rPr>
              <w:t>Common</w:t>
            </w: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460,000</w:t>
            </w:r>
          </w:p>
        </w:tc>
        <w:tc>
          <w:tcPr>
            <w:tcW w:w="640" w:type="dxa"/>
            <w:vAlign w:val="bottom"/>
            <w:vMerge w:val="restart"/>
          </w:tcPr>
          <w:p>
            <w:pPr>
              <w:jc w:val="center"/>
              <w:ind w:left="58"/>
              <w:spacing w:after="0" w:line="135" w:lineRule="exact"/>
              <w:rPr>
                <w:sz w:val="20"/>
                <w:szCs w:val="20"/>
                <w:color w:val="auto"/>
              </w:rPr>
            </w:pPr>
            <w:r>
              <w:rPr>
                <w:rFonts w:ascii="Times New Roman" w:cs="Times New Roman" w:eastAsia="Times New Roman" w:hAnsi="Times New Roman"/>
                <w:sz w:val="12"/>
                <w:szCs w:val="12"/>
                <w:color w:val="0000FF"/>
                <w:w w:val="98"/>
              </w:rPr>
              <w:t>I</w:t>
            </w: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ind w:left="560"/>
              <w:spacing w:after="0" w:line="77" w:lineRule="exact"/>
              <w:rPr>
                <w:sz w:val="20"/>
                <w:szCs w:val="20"/>
                <w:color w:val="auto"/>
              </w:rPr>
            </w:pPr>
            <w:r>
              <w:rPr>
                <w:rFonts w:ascii="Times New Roman" w:cs="Times New Roman" w:eastAsia="Times New Roman" w:hAnsi="Times New Roman"/>
                <w:sz w:val="8"/>
                <w:szCs w:val="8"/>
                <w:color w:val="008000"/>
              </w:rPr>
              <w:t>(6)</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0" w:type="dxa"/>
            <w:vAlign w:val="bottom"/>
            <w:tcBorders>
              <w:bottom w:val="single" w:sz="8" w:color="2C2C2C"/>
            </w:tcBorders>
            <w:gridSpan w:val="2"/>
          </w:tcPr>
          <w:p>
            <w:pPr>
              <w:ind w:left="60"/>
              <w:spacing w:after="0" w:line="220" w:lineRule="exact"/>
              <w:rPr>
                <w:sz w:val="20"/>
                <w:szCs w:val="20"/>
                <w:color w:val="auto"/>
              </w:rPr>
            </w:pPr>
            <w:r>
              <w:rPr>
                <w:rFonts w:ascii="Times New Roman" w:cs="Times New Roman" w:eastAsia="Times New Roman" w:hAnsi="Times New Roman"/>
                <w:sz w:val="12"/>
                <w:szCs w:val="12"/>
                <w:color w:val="0000FF"/>
              </w:rPr>
              <w:t>Stock</w:t>
            </w:r>
            <w:r>
              <w:rPr>
                <w:rFonts w:ascii="Times New Roman" w:cs="Times New Roman" w:eastAsia="Times New Roman" w:hAnsi="Times New Roman"/>
                <w:sz w:val="20"/>
                <w:szCs w:val="20"/>
                <w:color w:val="008000"/>
                <w:vertAlign w:val="superscript"/>
              </w:rPr>
              <w:t>(3)</w:t>
            </w:r>
          </w:p>
        </w:tc>
        <w:tc>
          <w:tcPr>
            <w:tcW w:w="6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gridSpan w:val="2"/>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539,719</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w w:val="85"/>
              </w:rPr>
              <w:t>(3)</w:t>
            </w:r>
          </w:p>
        </w:tc>
        <w:tc>
          <w:tcPr>
            <w:tcW w:w="560" w:type="dxa"/>
            <w:vAlign w:val="bottom"/>
            <w:gridSpan w:val="2"/>
            <w:vMerge w:val="restart"/>
          </w:tcPr>
          <w:p>
            <w:pPr>
              <w:jc w:val="center"/>
              <w:ind w:right="15"/>
              <w:spacing w:after="0" w:line="135" w:lineRule="exact"/>
              <w:rPr>
                <w:sz w:val="20"/>
                <w:szCs w:val="20"/>
                <w:color w:val="auto"/>
              </w:rPr>
            </w:pPr>
            <w:r>
              <w:rPr>
                <w:rFonts w:ascii="Times New Roman" w:cs="Times New Roman" w:eastAsia="Times New Roman" w:hAnsi="Times New Roman"/>
                <w:sz w:val="12"/>
                <w:szCs w:val="12"/>
                <w:color w:val="0000FF"/>
                <w:w w:val="98"/>
              </w:rPr>
              <w:t>Common</w:t>
            </w: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539,719</w:t>
            </w:r>
          </w:p>
        </w:tc>
        <w:tc>
          <w:tcPr>
            <w:tcW w:w="640" w:type="dxa"/>
            <w:vAlign w:val="bottom"/>
            <w:vMerge w:val="restart"/>
          </w:tcPr>
          <w:p>
            <w:pPr>
              <w:jc w:val="center"/>
              <w:ind w:left="58"/>
              <w:spacing w:after="0" w:line="135" w:lineRule="exact"/>
              <w:rPr>
                <w:sz w:val="20"/>
                <w:szCs w:val="20"/>
                <w:color w:val="auto"/>
              </w:rPr>
            </w:pPr>
            <w:r>
              <w:rPr>
                <w:rFonts w:ascii="Times New Roman" w:cs="Times New Roman" w:eastAsia="Times New Roman" w:hAnsi="Times New Roman"/>
                <w:sz w:val="12"/>
                <w:szCs w:val="12"/>
                <w:color w:val="0000FF"/>
                <w:w w:val="98"/>
              </w:rPr>
              <w:t>I</w:t>
            </w: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ind w:left="560"/>
              <w:spacing w:after="0" w:line="77" w:lineRule="exact"/>
              <w:rPr>
                <w:sz w:val="20"/>
                <w:szCs w:val="20"/>
                <w:color w:val="auto"/>
              </w:rPr>
            </w:pPr>
            <w:r>
              <w:rPr>
                <w:rFonts w:ascii="Times New Roman" w:cs="Times New Roman" w:eastAsia="Times New Roman" w:hAnsi="Times New Roman"/>
                <w:sz w:val="8"/>
                <w:szCs w:val="8"/>
                <w:color w:val="008000"/>
              </w:rPr>
              <w:t>(7)</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gridSpan w:val="2"/>
          </w:tcPr>
          <w:p>
            <w:pPr>
              <w:ind w:left="60"/>
              <w:spacing w:after="0" w:line="220" w:lineRule="exact"/>
              <w:rPr>
                <w:sz w:val="20"/>
                <w:szCs w:val="20"/>
                <w:color w:val="auto"/>
              </w:rPr>
            </w:pPr>
            <w:r>
              <w:rPr>
                <w:rFonts w:ascii="Times New Roman" w:cs="Times New Roman" w:eastAsia="Times New Roman" w:hAnsi="Times New Roman"/>
                <w:sz w:val="12"/>
                <w:szCs w:val="12"/>
                <w:color w:val="0000FF"/>
              </w:rPr>
              <w:t>Stock</w:t>
            </w:r>
            <w:r>
              <w:rPr>
                <w:rFonts w:ascii="Times New Roman" w:cs="Times New Roman" w:eastAsia="Times New Roman" w:hAnsi="Times New Roman"/>
                <w:sz w:val="20"/>
                <w:szCs w:val="20"/>
                <w:color w:val="008000"/>
                <w:vertAlign w:val="superscript"/>
              </w:rPr>
              <w:t>(3)</w:t>
            </w:r>
          </w:p>
        </w:tc>
        <w:tc>
          <w:tcPr>
            <w:tcW w:w="6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jc w:val="center"/>
              <w:ind w:right="95"/>
              <w:spacing w:after="0"/>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-3282315</wp:posOffset>
            </wp:positionV>
            <wp:extent cx="27940" cy="328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328739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conversion of Class B Common Stock into Class A Common Stock held of record by the Reporting Person.</w:t>
      </w:r>
    </w:p>
    <w:p>
      <w:pPr>
        <w:spacing w:after="0" w:line="45" w:lineRule="exact"/>
        <w:rPr>
          <w:rFonts w:ascii="Times New Roman" w:cs="Times New Roman" w:eastAsia="Times New Roman" w:hAnsi="Times New Roman"/>
          <w:sz w:val="12"/>
          <w:szCs w:val="12"/>
          <w:color w:val="008000"/>
        </w:rPr>
      </w:pPr>
    </w:p>
    <w:p>
      <w:pPr>
        <w:ind w:left="40" w:right="280" w:hanging="5"/>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A Common Stock that the Reporting Person donated as a gift to The One Project Foundation. The Reporting Person does not exercise voting or investment control, directly or indirectly, over The One Project Foundation or any of its affiliates, or over the donated shares following this transfer. The Reporting Person does not have any pecuniary interest in any shares held by The One Project Foundation.</w:t>
      </w:r>
    </w:p>
    <w:p>
      <w:pPr>
        <w:spacing w:after="0" w:line="7"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into one share of Class A Common Stock upon the option of the holder and has no expiration date.</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Justin Rosenstein 2024 Grantor Retained Annuity Trust transferred the shares as an annuity payment to the Reporting Person.</w:t>
      </w:r>
    </w:p>
    <w:p>
      <w:pPr>
        <w:spacing w:after="0" w:line="45" w:lineRule="exact"/>
        <w:rPr>
          <w:rFonts w:ascii="Times New Roman" w:cs="Times New Roman" w:eastAsia="Times New Roman" w:hAnsi="Times New Roman"/>
          <w:sz w:val="12"/>
          <w:szCs w:val="12"/>
          <w:color w:val="008000"/>
        </w:rPr>
      </w:pPr>
    </w:p>
    <w:p>
      <w:pPr>
        <w:ind w:left="40" w:right="200" w:hanging="5"/>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Justin Rosenstein 2024 Grantor Retained Annuity Trust. The Reporting Person is the grantor and trustee of Justin Rosenstein 2024 Grantor Retained Annuity Trust and may be deemed to have voting power and dispositive over the shares held by the trust.</w:t>
      </w:r>
    </w:p>
    <w:p>
      <w:pPr>
        <w:spacing w:after="0" w:line="7" w:lineRule="exact"/>
        <w:rPr>
          <w:rFonts w:ascii="Times New Roman" w:cs="Times New Roman" w:eastAsia="Times New Roman" w:hAnsi="Times New Roman"/>
          <w:sz w:val="12"/>
          <w:szCs w:val="12"/>
          <w:color w:val="008000"/>
        </w:rPr>
      </w:pPr>
    </w:p>
    <w:p>
      <w:pPr>
        <w:ind w:left="40" w:right="140" w:hanging="5"/>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Justin Rosenstein Trust. The Reporting Person was appointed trustee of Justin Rosenstein Trust and may be deemed to have voting power and dispositive power over the shares held by the trust.</w:t>
      </w:r>
    </w:p>
    <w:p>
      <w:pPr>
        <w:spacing w:after="0" w:line="7" w:lineRule="exact"/>
        <w:rPr>
          <w:rFonts w:ascii="Times New Roman" w:cs="Times New Roman" w:eastAsia="Times New Roman" w:hAnsi="Times New Roman"/>
          <w:sz w:val="12"/>
          <w:szCs w:val="12"/>
          <w:color w:val="008000"/>
        </w:rPr>
      </w:pPr>
    </w:p>
    <w:p>
      <w:pPr>
        <w:ind w:left="40" w:right="700" w:hanging="5"/>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Justin Rosenstein Non-Exempt Trust. The Reporting Person was appointed trustee of Justin Rosenstein Non-Exempt Trust trustee and may be deemed to have voting power and dispositive power over the shares held by the trust.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6" w:lineRule="auto"/>
        <w:rPr>
          <w:sz w:val="20"/>
          <w:szCs w:val="20"/>
          <w:color w:val="auto"/>
        </w:rPr>
      </w:pPr>
      <w:r>
        <w:rPr>
          <w:rFonts w:ascii="Times New Roman" w:cs="Times New Roman" w:eastAsia="Times New Roman" w:hAnsi="Times New Roman"/>
          <w:sz w:val="16"/>
          <w:szCs w:val="16"/>
          <w:color w:val="0000FF"/>
        </w:rPr>
        <w:t xml:space="preserve">/s/ Katie Colendich, Attorney-in-  </w:t>
      </w:r>
      <w:r>
        <w:rPr>
          <w:rFonts w:ascii="Times New Roman" w:cs="Times New Roman" w:eastAsia="Times New Roman" w:hAnsi="Times New Roman"/>
          <w:sz w:val="31"/>
          <w:szCs w:val="31"/>
          <w:color w:val="0000FF"/>
          <w:vertAlign w:val="subscript"/>
        </w:rPr>
        <w:t>12/23/2025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-26035</wp:posOffset>
            </wp:positionV>
            <wp:extent cx="13347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-18415</wp:posOffset>
            </wp:positionV>
            <wp:extent cx="1739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3990" cy="7620"/>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-80645</wp:posOffset>
            </wp:positionV>
            <wp:extent cx="4597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3980" w:hanging="5"/>
        <w:spacing w:after="0" w:line="358"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59" w:orient="portrait"/>
          <w:cols w:equalWidth="0" w:num="1">
            <w:col w:w="11080"/>
          </w:cols>
          <w:pgMar w:left="460" w:top="21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3099" TargetMode="External"/><Relationship Id="rId14" Type="http://schemas.openxmlformats.org/officeDocument/2006/relationships/hyperlink" Target="http://www.sec.gov/cgi-bin/browse-edgar?action=getcompany&amp;CIK=0001477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2025-12-23T20:02:50Z</dcterms:created>
  <dcterms:modified xsi:type="dcterms:W3CDTF">2025-12-23T20:02:50Z</dcterms:modified>
</cp:coreProperties>
</file>